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hint="eastAsia" w:eastAsia="华文中宋"/>
          <w:b/>
          <w:color w:val="000000" w:themeColor="text1"/>
          <w:spacing w:val="20"/>
          <w:kern w:val="0"/>
          <w:sz w:val="44"/>
          <w:lang w:eastAsia="zh-CN"/>
          <w14:textFill>
            <w14:solidFill>
              <w14:schemeClr w14:val="tx1"/>
            </w14:solidFill>
          </w14:textFill>
        </w:rPr>
      </w:pPr>
    </w:p>
    <w:p>
      <w:pPr>
        <w:adjustRightInd w:val="0"/>
        <w:snapToGrid w:val="0"/>
        <w:spacing w:line="360" w:lineRule="auto"/>
        <w:jc w:val="center"/>
        <w:rPr>
          <w:rFonts w:eastAsia="华文中宋"/>
          <w:b/>
          <w:color w:val="000000" w:themeColor="text1"/>
          <w:spacing w:val="20"/>
          <w:kern w:val="0"/>
          <w:sz w:val="44"/>
          <w14:textFill>
            <w14:solidFill>
              <w14:schemeClr w14:val="tx1"/>
            </w14:solidFill>
          </w14:textFill>
        </w:rPr>
      </w:pPr>
    </w:p>
    <w:p>
      <w:pPr>
        <w:pStyle w:val="31"/>
        <w:snapToGrid w:val="0"/>
        <w:ind w:left="-424" w:leftChars="-202" w:right="-482" w:rightChars="-230"/>
        <w:jc w:val="center"/>
        <w:textAlignment w:val="auto"/>
        <w:rPr>
          <w:rFonts w:hint="eastAsia" w:ascii="宋体" w:hAnsi="宋体" w:eastAsia="宋体" w:cs="宋体"/>
          <w:b/>
          <w:color w:val="000000" w:themeColor="text1"/>
          <w:spacing w:val="0"/>
          <w:kern w:val="2"/>
          <w:sz w:val="44"/>
          <w:szCs w:val="44"/>
          <w14:textFill>
            <w14:solidFill>
              <w14:schemeClr w14:val="tx1"/>
            </w14:solidFill>
          </w14:textFill>
        </w:rPr>
      </w:pPr>
    </w:p>
    <w:p>
      <w:pPr>
        <w:adjustRightInd w:val="0"/>
        <w:snapToGrid w:val="0"/>
        <w:spacing w:line="360" w:lineRule="auto"/>
        <w:jc w:val="center"/>
        <w:rPr>
          <w:rFonts w:hint="eastAsia" w:ascii="宋体" w:hAnsi="宋体" w:eastAsia="宋体" w:cs="宋体"/>
          <w:b/>
          <w:color w:val="000000" w:themeColor="text1"/>
          <w:spacing w:val="0"/>
          <w:kern w:val="2"/>
          <w:sz w:val="44"/>
          <w:szCs w:val="44"/>
          <w:lang w:eastAsia="zh-CN"/>
          <w14:textFill>
            <w14:solidFill>
              <w14:schemeClr w14:val="tx1"/>
            </w14:solidFill>
          </w14:textFill>
        </w:rPr>
      </w:pPr>
      <w:r>
        <w:rPr>
          <w:rFonts w:hint="eastAsia" w:ascii="宋体" w:hAnsi="宋体" w:cs="宋体"/>
          <w:b/>
          <w:color w:val="000000" w:themeColor="text1"/>
          <w:spacing w:val="0"/>
          <w:kern w:val="2"/>
          <w:sz w:val="44"/>
          <w:szCs w:val="44"/>
          <w:lang w:eastAsia="zh-CN"/>
          <w14:textFill>
            <w14:solidFill>
              <w14:schemeClr w14:val="tx1"/>
            </w14:solidFill>
          </w14:textFill>
        </w:rPr>
        <w:t>海塔石油科技有限公司</w:t>
      </w:r>
    </w:p>
    <w:p>
      <w:pPr>
        <w:adjustRightInd w:val="0"/>
        <w:snapToGrid w:val="0"/>
        <w:spacing w:line="360" w:lineRule="auto"/>
        <w:jc w:val="center"/>
        <w:rPr>
          <w:rFonts w:hint="eastAsia" w:ascii="宋体" w:hAnsi="宋体" w:eastAsia="宋体" w:cs="宋体"/>
          <w:b/>
          <w:color w:val="000000" w:themeColor="text1"/>
          <w:sz w:val="44"/>
          <w:szCs w:val="44"/>
          <w14:textFill>
            <w14:solidFill>
              <w14:schemeClr w14:val="tx1"/>
            </w14:solidFill>
          </w14:textFill>
        </w:rPr>
      </w:pPr>
      <w:r>
        <w:rPr>
          <w:rFonts w:hint="eastAsia" w:ascii="宋体" w:hAnsi="宋体" w:eastAsia="宋体" w:cs="宋体"/>
          <w:b/>
          <w:color w:val="000000" w:themeColor="text1"/>
          <w:spacing w:val="0"/>
          <w:kern w:val="2"/>
          <w:sz w:val="44"/>
          <w:szCs w:val="44"/>
          <w:lang w:eastAsia="zh-CN"/>
          <w14:textFill>
            <w14:solidFill>
              <w14:schemeClr w14:val="tx1"/>
            </w14:solidFill>
          </w14:textFill>
        </w:rPr>
        <w:t>井下作业项目</w:t>
      </w:r>
    </w:p>
    <w:p>
      <w:pPr>
        <w:adjustRightInd w:val="0"/>
        <w:snapToGrid w:val="0"/>
        <w:spacing w:line="360" w:lineRule="auto"/>
        <w:jc w:val="center"/>
        <w:rPr>
          <w:rFonts w:hint="eastAsia" w:ascii="黑体" w:hAnsi="黑体" w:eastAsia="黑体" w:cs="黑体"/>
          <w:b/>
          <w:bCs/>
          <w:color w:val="000000" w:themeColor="text1"/>
          <w:spacing w:val="11"/>
          <w:sz w:val="52"/>
          <w:szCs w:val="52"/>
          <w:lang w:eastAsia="zh-CN"/>
          <w14:textFill>
            <w14:solidFill>
              <w14:schemeClr w14:val="tx1"/>
            </w14:solidFill>
          </w14:textFill>
        </w:rPr>
      </w:pPr>
      <w:r>
        <w:rPr>
          <w:rFonts w:hint="eastAsia" w:ascii="黑体" w:hAnsi="黑体" w:eastAsia="黑体" w:cs="黑体"/>
          <w:b/>
          <w:bCs/>
          <w:color w:val="000000" w:themeColor="text1"/>
          <w:spacing w:val="11"/>
          <w:sz w:val="52"/>
          <w:szCs w:val="52"/>
          <w14:textFill>
            <w14:solidFill>
              <w14:schemeClr w14:val="tx1"/>
            </w14:solidFill>
          </w14:textFill>
        </w:rPr>
        <w:t>安全现状评价报告</w:t>
      </w:r>
    </w:p>
    <w:p>
      <w:pPr>
        <w:adjustRightInd w:val="0"/>
        <w:snapToGrid w:val="0"/>
        <w:spacing w:line="360" w:lineRule="auto"/>
        <w:jc w:val="center"/>
        <w:rPr>
          <w:rFonts w:eastAsia="仿宋_GB2312"/>
          <w:b/>
          <w:bCs/>
          <w:color w:val="000000" w:themeColor="text1"/>
          <w:kern w:val="0"/>
          <w:sz w:val="5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pStyle w:val="66"/>
        <w:rPr>
          <w:rFonts w:eastAsia="仿宋_GB2312"/>
          <w:b/>
          <w:bCs/>
          <w:color w:val="000000" w:themeColor="text1"/>
          <w:kern w:val="0"/>
          <w:sz w:val="32"/>
          <w14:textFill>
            <w14:solidFill>
              <w14:schemeClr w14:val="tx1"/>
            </w14:solidFill>
          </w14:textFill>
        </w:rPr>
      </w:pPr>
    </w:p>
    <w:p>
      <w:pPr>
        <w:pStyle w:val="66"/>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color w:val="000000" w:themeColor="text1"/>
          <w:kern w:val="0"/>
          <w:sz w:val="44"/>
          <w14:textFill>
            <w14:solidFill>
              <w14:schemeClr w14:val="tx1"/>
            </w14:solidFill>
          </w14:textFill>
        </w:rPr>
      </w:pPr>
      <w:r>
        <w:rPr>
          <w:rFonts w:hint="eastAsia" w:ascii="仿宋_GB2312" w:hAnsi="仿宋_GB2312" w:eastAsia="仿宋_GB2312" w:cs="仿宋_GB2312"/>
          <w:b/>
          <w:bCs/>
          <w:color w:val="000000" w:themeColor="text1"/>
          <w:kern w:val="0"/>
          <w:sz w:val="44"/>
          <w:lang w:val="en-US" w:eastAsia="zh-CN"/>
          <w14:textFill>
            <w14:solidFill>
              <w14:schemeClr w14:val="tx1"/>
            </w14:solidFill>
          </w14:textFill>
        </w:rPr>
        <w:t>山东实华</w:t>
      </w:r>
      <w:r>
        <w:rPr>
          <w:rFonts w:hint="eastAsia" w:ascii="仿宋_GB2312" w:hAnsi="仿宋_GB2312" w:eastAsia="仿宋_GB2312" w:cs="仿宋_GB2312"/>
          <w:b/>
          <w:bCs/>
          <w:color w:val="000000" w:themeColor="text1"/>
          <w:kern w:val="0"/>
          <w:sz w:val="44"/>
          <w14:textFill>
            <w14:solidFill>
              <w14:schemeClr w14:val="tx1"/>
            </w14:solidFill>
          </w14:textFill>
        </w:rPr>
        <w:t>安全技术有限公司</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color w:val="000000" w:themeColor="text1"/>
          <w:kern w:val="0"/>
          <w:sz w:val="36"/>
          <w:szCs w:val="28"/>
          <w14:textFill>
            <w14:solidFill>
              <w14:schemeClr w14:val="tx1"/>
            </w14:solidFill>
          </w14:textFill>
        </w:rPr>
      </w:pPr>
      <w:r>
        <w:rPr>
          <w:rFonts w:hint="eastAsia" w:ascii="仿宋_GB2312" w:hAnsi="仿宋_GB2312" w:eastAsia="仿宋_GB2312" w:cs="仿宋_GB2312"/>
          <w:b/>
          <w:bCs/>
          <w:color w:val="000000" w:themeColor="text1"/>
          <w:kern w:val="0"/>
          <w:sz w:val="36"/>
          <w:szCs w:val="36"/>
          <w14:textFill>
            <w14:solidFill>
              <w14:schemeClr w14:val="tx1"/>
            </w14:solidFill>
          </w14:textFill>
        </w:rPr>
        <w:t>APJ-（鲁）-013</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color w:val="000000" w:themeColor="text1"/>
          <w:kern w:val="0"/>
          <w:sz w:val="36"/>
          <w:szCs w:val="28"/>
          <w:lang w:val="en-US" w:eastAsia="zh-CN"/>
          <w14:textFill>
            <w14:solidFill>
              <w14:schemeClr w14:val="tx1"/>
            </w14:solidFill>
          </w14:textFill>
        </w:rPr>
      </w:pPr>
      <w:r>
        <w:rPr>
          <w:rFonts w:hint="eastAsia" w:ascii="仿宋_GB2312" w:hAnsi="仿宋_GB2312" w:eastAsia="仿宋_GB2312" w:cs="仿宋_GB2312"/>
          <w:b/>
          <w:bCs/>
          <w:color w:val="000000" w:themeColor="text1"/>
          <w:kern w:val="0"/>
          <w:sz w:val="36"/>
          <w:szCs w:val="28"/>
          <w:lang w:val="en-US" w:eastAsia="zh-CN"/>
          <w14:textFill>
            <w14:solidFill>
              <w14:schemeClr w14:val="tx1"/>
            </w14:solidFill>
          </w14:textFill>
        </w:rPr>
        <w:t>二〇二三年七月</w:t>
      </w:r>
    </w:p>
    <w:p>
      <w:pPr>
        <w:adjustRightInd w:val="0"/>
        <w:snapToGrid w:val="0"/>
        <w:spacing w:line="360" w:lineRule="auto"/>
        <w:jc w:val="center"/>
        <w:rPr>
          <w:b/>
          <w:bCs/>
          <w:color w:val="000000" w:themeColor="text1"/>
          <w:kern w:val="0"/>
          <w:sz w:val="32"/>
          <w14:textFill>
            <w14:solidFill>
              <w14:schemeClr w14:val="tx1"/>
            </w14:solidFill>
          </w14:textFill>
        </w:rPr>
      </w:pPr>
    </w:p>
    <w:p>
      <w:pPr>
        <w:rPr>
          <w:b/>
          <w:bCs/>
          <w:color w:val="000000" w:themeColor="text1"/>
          <w:kern w:val="0"/>
          <w:sz w:val="32"/>
          <w14:textFill>
            <w14:solidFill>
              <w14:schemeClr w14:val="tx1"/>
            </w14:solidFill>
          </w14:textFill>
        </w:rPr>
      </w:pPr>
      <w:r>
        <w:rPr>
          <w:b/>
          <w:bCs/>
          <w:color w:val="000000" w:themeColor="text1"/>
          <w:kern w:val="0"/>
          <w:sz w:val="32"/>
          <w14:textFill>
            <w14:solidFill>
              <w14:schemeClr w14:val="tx1"/>
            </w14:solidFill>
          </w14:textFill>
        </w:rPr>
        <w:br w:type="page"/>
      </w:r>
    </w:p>
    <w:p>
      <w:pPr>
        <w:pStyle w:val="2"/>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2"/>
        <w:ind w:left="0" w:leftChars="0" w:firstLine="0" w:firstLineChars="0"/>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rFonts w:hint="eastAsia" w:ascii="Times New Roman"/>
          <w:b/>
          <w:color w:val="000000" w:themeColor="text1"/>
          <w:spacing w:val="0"/>
          <w:kern w:val="2"/>
          <w:sz w:val="32"/>
          <w:szCs w:val="44"/>
          <w:lang w:eastAsia="zh-CN"/>
          <w14:textFill>
            <w14:solidFill>
              <w14:schemeClr w14:val="tx1"/>
            </w14:solidFill>
          </w14:textFill>
        </w:rPr>
      </w:pPr>
      <w:r>
        <w:rPr>
          <w:rFonts w:hint="eastAsia"/>
          <w:b/>
          <w:color w:val="000000" w:themeColor="text1"/>
          <w:spacing w:val="0"/>
          <w:kern w:val="2"/>
          <w:sz w:val="32"/>
          <w:szCs w:val="44"/>
          <w:lang w:eastAsia="zh-CN"/>
          <w14:textFill>
            <w14:solidFill>
              <w14:schemeClr w14:val="tx1"/>
            </w14:solidFill>
          </w14:textFill>
        </w:rPr>
        <w:t>海塔石油科技有限公司</w:t>
      </w:r>
    </w:p>
    <w:p>
      <w:pPr>
        <w:adjustRightInd w:val="0"/>
        <w:snapToGrid w:val="0"/>
        <w:spacing w:line="360" w:lineRule="auto"/>
        <w:jc w:val="center"/>
        <w:rPr>
          <w:rFonts w:hint="eastAsia" w:ascii="Times New Roman"/>
          <w:b/>
          <w:color w:val="000000" w:themeColor="text1"/>
          <w:spacing w:val="0"/>
          <w:kern w:val="2"/>
          <w:sz w:val="32"/>
          <w:szCs w:val="44"/>
          <w:lang w:eastAsia="zh-CN"/>
          <w14:textFill>
            <w14:solidFill>
              <w14:schemeClr w14:val="tx1"/>
            </w14:solidFill>
          </w14:textFill>
        </w:rPr>
      </w:pPr>
      <w:r>
        <w:rPr>
          <w:rFonts w:hint="eastAsia" w:ascii="Times New Roman"/>
          <w:b/>
          <w:color w:val="000000" w:themeColor="text1"/>
          <w:spacing w:val="0"/>
          <w:kern w:val="2"/>
          <w:sz w:val="32"/>
          <w:szCs w:val="44"/>
          <w:lang w:eastAsia="zh-CN"/>
          <w14:textFill>
            <w14:solidFill>
              <w14:schemeClr w14:val="tx1"/>
            </w14:solidFill>
          </w14:textFill>
        </w:rPr>
        <w:t>井下作业项目</w:t>
      </w:r>
    </w:p>
    <w:p>
      <w:pPr>
        <w:pStyle w:val="66"/>
        <w:rPr>
          <w:rFonts w:hint="eastAsia"/>
          <w:color w:val="000000" w:themeColor="text1"/>
          <w14:textFill>
            <w14:solidFill>
              <w14:schemeClr w14:val="tx1"/>
            </w14:solidFill>
          </w14:textFill>
        </w:rPr>
      </w:pPr>
    </w:p>
    <w:p>
      <w:pPr>
        <w:adjustRightInd w:val="0"/>
        <w:snapToGrid w:val="0"/>
        <w:spacing w:line="360" w:lineRule="auto"/>
        <w:jc w:val="center"/>
        <w:rPr>
          <w:b/>
          <w:bCs/>
          <w:color w:val="000000" w:themeColor="text1"/>
          <w:spacing w:val="60"/>
          <w:sz w:val="44"/>
          <w:szCs w:val="52"/>
          <w14:textFill>
            <w14:solidFill>
              <w14:schemeClr w14:val="tx1"/>
            </w14:solidFill>
          </w14:textFill>
        </w:rPr>
      </w:pPr>
      <w:r>
        <w:rPr>
          <w:rFonts w:hint="eastAsia"/>
          <w:b/>
          <w:bCs/>
          <w:color w:val="000000" w:themeColor="text1"/>
          <w:spacing w:val="60"/>
          <w:sz w:val="44"/>
          <w:szCs w:val="52"/>
          <w14:textFill>
            <w14:solidFill>
              <w14:schemeClr w14:val="tx1"/>
            </w14:solidFill>
          </w14:textFill>
        </w:rPr>
        <w:t>安全现状评价报告</w:t>
      </w:r>
    </w:p>
    <w:p>
      <w:pPr>
        <w:adjustRightInd w:val="0"/>
        <w:snapToGrid w:val="0"/>
        <w:spacing w:line="360" w:lineRule="auto"/>
        <w:rPr>
          <w:rFonts w:eastAsia="黑体"/>
          <w:b/>
          <w:bCs/>
          <w:color w:val="0070C0"/>
          <w:spacing w:val="60"/>
          <w:sz w:val="32"/>
          <w:szCs w:val="32"/>
        </w:rPr>
      </w:pPr>
    </w:p>
    <w:p>
      <w:pPr>
        <w:adjustRightInd w:val="0"/>
        <w:snapToGrid w:val="0"/>
        <w:spacing w:line="360" w:lineRule="auto"/>
        <w:rPr>
          <w:b/>
          <w:bCs/>
          <w:color w:val="0070C0"/>
          <w:sz w:val="13"/>
        </w:rPr>
      </w:pPr>
    </w:p>
    <w:p>
      <w:pPr>
        <w:adjustRightInd w:val="0"/>
        <w:snapToGrid w:val="0"/>
        <w:spacing w:line="360" w:lineRule="auto"/>
        <w:jc w:val="center"/>
        <w:rPr>
          <w:rFonts w:eastAsia="仿宋_GB2312"/>
          <w:b/>
          <w:bCs/>
          <w:color w:val="0070C0"/>
          <w:kern w:val="0"/>
          <w:sz w:val="28"/>
          <w:szCs w:val="28"/>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jc w:val="center"/>
        <w:rPr>
          <w:rFonts w:hint="eastAsia" w:eastAsia="宋体"/>
          <w:color w:val="000000" w:themeColor="text1"/>
          <w:kern w:val="0"/>
          <w:sz w:val="28"/>
          <w:szCs w:val="28"/>
          <w:lang w:eastAsia="zh-CN"/>
          <w14:textFill>
            <w14:solidFill>
              <w14:schemeClr w14:val="tx1"/>
            </w14:solidFill>
          </w14:textFill>
        </w:rPr>
      </w:pPr>
      <w:r>
        <w:rPr>
          <w:rFonts w:hint="eastAsia"/>
          <w:color w:val="000000" w:themeColor="text1"/>
          <w:kern w:val="0"/>
          <w:sz w:val="28"/>
          <w:szCs w:val="28"/>
          <w14:textFill>
            <w14:solidFill>
              <w14:schemeClr w14:val="tx1"/>
            </w14:solidFill>
          </w14:textFill>
        </w:rPr>
        <w:t>法定代表人：</w:t>
      </w:r>
      <w:r>
        <w:rPr>
          <w:rFonts w:hint="eastAsia"/>
          <w:color w:val="000000" w:themeColor="text1"/>
          <w:kern w:val="0"/>
          <w:sz w:val="28"/>
          <w:szCs w:val="28"/>
          <w:lang w:eastAsia="zh-CN"/>
          <w14:textFill>
            <w14:solidFill>
              <w14:schemeClr w14:val="tx1"/>
            </w14:solidFill>
          </w14:textFill>
        </w:rPr>
        <w:t>任红艳</w:t>
      </w:r>
    </w:p>
    <w:p>
      <w:pPr>
        <w:adjustRightInd w:val="0"/>
        <w:snapToGrid w:val="0"/>
        <w:spacing w:line="360" w:lineRule="auto"/>
        <w:jc w:val="center"/>
        <w:rPr>
          <w:rFonts w:hint="eastAsia" w:eastAsia="宋体"/>
          <w:color w:val="000000" w:themeColor="text1"/>
          <w:kern w:val="0"/>
          <w:sz w:val="28"/>
          <w:szCs w:val="28"/>
          <w:highlight w:val="none"/>
          <w:lang w:eastAsia="zh-CN"/>
          <w14:textFill>
            <w14:solidFill>
              <w14:schemeClr w14:val="tx1"/>
            </w14:solidFill>
          </w14:textFill>
        </w:rPr>
      </w:pPr>
      <w:r>
        <w:rPr>
          <w:rFonts w:hint="eastAsia"/>
          <w:color w:val="000000" w:themeColor="text1"/>
          <w:kern w:val="0"/>
          <w:sz w:val="28"/>
          <w:szCs w:val="28"/>
          <w:highlight w:val="none"/>
          <w14:textFill>
            <w14:solidFill>
              <w14:schemeClr w14:val="tx1"/>
            </w14:solidFill>
          </w14:textFill>
        </w:rPr>
        <w:t>技术负责人：</w:t>
      </w:r>
      <w:r>
        <w:rPr>
          <w:rFonts w:hint="eastAsia"/>
          <w:color w:val="000000" w:themeColor="text1"/>
          <w:kern w:val="0"/>
          <w:sz w:val="28"/>
          <w:szCs w:val="28"/>
          <w:highlight w:val="none"/>
          <w:lang w:eastAsia="zh-CN"/>
          <w14:textFill>
            <w14:solidFill>
              <w14:schemeClr w14:val="tx1"/>
            </w14:solidFill>
          </w14:textFill>
        </w:rPr>
        <w:t>吴佳东</w:t>
      </w:r>
    </w:p>
    <w:p>
      <w:pPr>
        <w:adjustRightInd w:val="0"/>
        <w:snapToGrid w:val="0"/>
        <w:spacing w:line="360" w:lineRule="auto"/>
        <w:jc w:val="center"/>
        <w:rPr>
          <w:rFonts w:hint="eastAsia" w:eastAsia="宋体"/>
          <w:color w:val="000000" w:themeColor="text1"/>
          <w:kern w:val="0"/>
          <w:sz w:val="28"/>
          <w:szCs w:val="28"/>
          <w:highlight w:val="none"/>
          <w:lang w:eastAsia="zh-CN"/>
          <w14:textFill>
            <w14:solidFill>
              <w14:schemeClr w14:val="tx1"/>
            </w14:solidFill>
          </w14:textFill>
        </w:rPr>
      </w:pPr>
      <w:r>
        <w:rPr>
          <w:rFonts w:hint="eastAsia"/>
          <w:color w:val="000000" w:themeColor="text1"/>
          <w:kern w:val="0"/>
          <w:sz w:val="28"/>
          <w:szCs w:val="28"/>
          <w:highlight w:val="none"/>
          <w14:textFill>
            <w14:solidFill>
              <w14:schemeClr w14:val="tx1"/>
            </w14:solidFill>
          </w14:textFill>
        </w:rPr>
        <w:t>项目负责人：</w:t>
      </w:r>
      <w:r>
        <w:rPr>
          <w:rFonts w:hint="eastAsia"/>
          <w:color w:val="000000" w:themeColor="text1"/>
          <w:kern w:val="0"/>
          <w:sz w:val="28"/>
          <w:szCs w:val="28"/>
          <w:highlight w:val="none"/>
          <w:lang w:eastAsia="zh-CN"/>
          <w14:textFill>
            <w14:solidFill>
              <w14:schemeClr w14:val="tx1"/>
            </w14:solidFill>
          </w14:textFill>
        </w:rPr>
        <w:t>周菲菲</w:t>
      </w:r>
    </w:p>
    <w:p>
      <w:pPr>
        <w:adjustRightInd w:val="0"/>
        <w:snapToGrid w:val="0"/>
        <w:spacing w:line="360" w:lineRule="auto"/>
        <w:rPr>
          <w:rFonts w:eastAsia="仿宋_GB2312"/>
          <w:color w:val="0070C0"/>
          <w:kern w:val="0"/>
          <w:sz w:val="32"/>
        </w:rPr>
      </w:pPr>
    </w:p>
    <w:p>
      <w:pPr>
        <w:pStyle w:val="61"/>
      </w:pPr>
    </w:p>
    <w:p>
      <w:pPr>
        <w:adjustRightInd w:val="0"/>
        <w:snapToGrid w:val="0"/>
        <w:spacing w:line="360" w:lineRule="auto"/>
        <w:rPr>
          <w:rFonts w:eastAsia="仿宋_GB2312"/>
          <w:color w:val="0070C0"/>
          <w:kern w:val="0"/>
          <w:sz w:val="32"/>
        </w:rPr>
      </w:pPr>
    </w:p>
    <w:p>
      <w:pPr>
        <w:adjustRightInd w:val="0"/>
        <w:snapToGrid w:val="0"/>
        <w:spacing w:line="360" w:lineRule="auto"/>
        <w:jc w:val="center"/>
        <w:rPr>
          <w:b/>
          <w:bCs/>
          <w:color w:val="0070C0"/>
          <w:kern w:val="0"/>
          <w:sz w:val="24"/>
        </w:rPr>
      </w:pPr>
      <w:r>
        <w:rPr>
          <w:rFonts w:hint="eastAsia"/>
          <w:b/>
          <w:bCs/>
          <w:color w:val="000000" w:themeColor="text1"/>
          <w:kern w:val="0"/>
          <w:sz w:val="24"/>
          <w14:textFill>
            <w14:solidFill>
              <w14:schemeClr w14:val="tx1"/>
            </w14:solidFill>
          </w14:textFill>
        </w:rPr>
        <w:t>报告完成日期：20</w:t>
      </w:r>
      <w:r>
        <w:rPr>
          <w:rFonts w:hint="eastAsia"/>
          <w:b/>
          <w:bCs/>
          <w:color w:val="000000" w:themeColor="text1"/>
          <w:kern w:val="0"/>
          <w:sz w:val="24"/>
          <w:lang w:val="en-US" w:eastAsia="zh-CN"/>
          <w14:textFill>
            <w14:solidFill>
              <w14:schemeClr w14:val="tx1"/>
            </w14:solidFill>
          </w14:textFill>
        </w:rPr>
        <w:t>23</w:t>
      </w:r>
      <w:r>
        <w:rPr>
          <w:rFonts w:hint="eastAsia"/>
          <w:b/>
          <w:bCs/>
          <w:color w:val="000000" w:themeColor="text1"/>
          <w:kern w:val="0"/>
          <w:sz w:val="24"/>
          <w14:textFill>
            <w14:solidFill>
              <w14:schemeClr w14:val="tx1"/>
            </w14:solidFill>
          </w14:textFill>
        </w:rPr>
        <w:t>年</w:t>
      </w:r>
      <w:r>
        <w:rPr>
          <w:rFonts w:hint="eastAsia"/>
          <w:b/>
          <w:bCs/>
          <w:color w:val="000000" w:themeColor="text1"/>
          <w:kern w:val="0"/>
          <w:sz w:val="24"/>
          <w:lang w:val="en-US" w:eastAsia="zh-CN"/>
          <w14:textFill>
            <w14:solidFill>
              <w14:schemeClr w14:val="tx1"/>
            </w14:solidFill>
          </w14:textFill>
        </w:rPr>
        <w:t>7</w:t>
      </w:r>
      <w:r>
        <w:rPr>
          <w:rFonts w:hint="eastAsia"/>
          <w:b/>
          <w:bCs/>
          <w:color w:val="auto"/>
          <w:kern w:val="0"/>
          <w:sz w:val="24"/>
        </w:rPr>
        <w:t>月</w:t>
      </w:r>
      <w:r>
        <w:rPr>
          <w:rFonts w:hint="default"/>
          <w:b/>
          <w:bCs/>
          <w:color w:val="auto"/>
          <w:kern w:val="0"/>
          <w:sz w:val="24"/>
          <w:lang w:val="es-MX" w:eastAsia="zh-CN"/>
        </w:rPr>
        <w:t>1</w:t>
      </w:r>
      <w:r>
        <w:rPr>
          <w:rFonts w:hint="eastAsia"/>
          <w:b/>
          <w:bCs/>
          <w:color w:val="auto"/>
          <w:kern w:val="0"/>
          <w:sz w:val="24"/>
          <w:lang w:val="en-US" w:eastAsia="zh-CN"/>
        </w:rPr>
        <w:t>1</w:t>
      </w:r>
      <w:r>
        <w:rPr>
          <w:rFonts w:hint="eastAsia"/>
          <w:b/>
          <w:bCs/>
          <w:color w:val="auto"/>
          <w:kern w:val="0"/>
          <w:sz w:val="24"/>
        </w:rPr>
        <w:t>日</w:t>
      </w: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rFonts w:hint="eastAsia" w:eastAsia="宋体"/>
          <w:color w:val="0070C0"/>
          <w:sz w:val="44"/>
          <w:szCs w:val="32"/>
          <w:lang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eastAsia" w:eastAsia="宋体"/>
          <w:color w:val="0070C0"/>
          <w:sz w:val="44"/>
          <w:szCs w:val="32"/>
          <w:lang w:eastAsia="zh-CN"/>
        </w:rPr>
        <w:drawing>
          <wp:inline distT="0" distB="0" distL="114300" distR="114300">
            <wp:extent cx="5269865" cy="7247255"/>
            <wp:effectExtent l="0" t="0" r="3175" b="6985"/>
            <wp:docPr id="47" name="图片 47" descr="34056ae175d71954ec0a790c7dcec2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34056ae175d71954ec0a790c7dcec28b"/>
                    <pic:cNvPicPr>
                      <a:picLocks noChangeAspect="1"/>
                    </pic:cNvPicPr>
                  </pic:nvPicPr>
                  <pic:blipFill>
                    <a:blip r:embed="rId17"/>
                    <a:stretch>
                      <a:fillRect/>
                    </a:stretch>
                  </pic:blipFill>
                  <pic:spPr>
                    <a:xfrm>
                      <a:off x="0" y="0"/>
                      <a:ext cx="5269865" cy="7247255"/>
                    </a:xfrm>
                    <a:prstGeom prst="rect">
                      <a:avLst/>
                    </a:prstGeom>
                  </pic:spPr>
                </pic:pic>
              </a:graphicData>
            </a:graphic>
          </wp:inline>
        </w:drawing>
      </w:r>
    </w:p>
    <w:p>
      <w:pPr>
        <w:pStyle w:val="61"/>
        <w:rPr>
          <w:rFonts w:hint="eastAsia"/>
          <w:lang w:eastAsia="zh-CN"/>
        </w:rPr>
      </w:pPr>
    </w:p>
    <w:p>
      <w:pPr>
        <w:wordWrap/>
        <w:adjustRightInd w:val="0"/>
        <w:snapToGrid w:val="0"/>
        <w:spacing w:line="360" w:lineRule="auto"/>
        <w:ind w:firstLine="6440" w:firstLineChars="2300"/>
        <w:jc w:val="both"/>
        <w:rPr>
          <w:color w:val="000000" w:themeColor="text1"/>
          <w:sz w:val="28"/>
          <w:szCs w:val="28"/>
          <w14:textFill>
            <w14:solidFill>
              <w14:schemeClr w14:val="tx1"/>
            </w14:solidFill>
          </w14:textFill>
        </w:rPr>
      </w:pPr>
    </w:p>
    <w:p>
      <w:pPr>
        <w:adjustRightInd w:val="0"/>
        <w:snapToGrid w:val="0"/>
        <w:spacing w:line="360" w:lineRule="auto"/>
        <w:ind w:firstLine="560" w:firstLineChars="200"/>
        <w:rPr>
          <w:color w:val="000000" w:themeColor="text1"/>
          <w:sz w:val="28"/>
          <w:szCs w:val="28"/>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eastAsia="黑体"/>
          <w:b/>
          <w:bCs/>
          <w:color w:val="000000" w:themeColor="text1"/>
          <w:kern w:val="44"/>
          <w:sz w:val="32"/>
          <w:szCs w:val="32"/>
          <w14:textFill>
            <w14:solidFill>
              <w14:schemeClr w14:val="tx1"/>
            </w14:solidFill>
          </w14:textFill>
        </w:rPr>
      </w:pPr>
      <w:r>
        <w:rPr>
          <w:rFonts w:hint="eastAsia" w:eastAsia="黑体"/>
          <w:b/>
          <w:bCs/>
          <w:color w:val="000000" w:themeColor="text1"/>
          <w:kern w:val="44"/>
          <w:sz w:val="32"/>
          <w:szCs w:val="32"/>
          <w14:textFill>
            <w14:solidFill>
              <w14:schemeClr w14:val="tx1"/>
            </w14:solidFill>
          </w14:textFill>
        </w:rPr>
        <w:t>前  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eastAsia" w:cs="Times New Roman"/>
          <w:sz w:val="28"/>
          <w:szCs w:val="28"/>
          <w:lang w:eastAsia="zh-CN"/>
        </w:rPr>
        <w:t>海塔石油科技有限公司</w:t>
      </w:r>
      <w:r>
        <w:rPr>
          <w:rFonts w:hint="default" w:ascii="Times New Roman" w:hAnsi="Times New Roman" w:eastAsia="宋体" w:cs="Times New Roman"/>
          <w:sz w:val="28"/>
          <w:szCs w:val="28"/>
        </w:rPr>
        <w:t>成立于20</w:t>
      </w:r>
      <w:r>
        <w:rPr>
          <w:rFonts w:hint="default" w:ascii="Times New Roman" w:hAnsi="Times New Roman" w:eastAsia="宋体" w:cs="Times New Roman"/>
          <w:sz w:val="28"/>
          <w:szCs w:val="28"/>
          <w:lang w:val="en-US" w:eastAsia="zh-CN"/>
        </w:rPr>
        <w:t>1</w:t>
      </w:r>
      <w:r>
        <w:rPr>
          <w:rFonts w:hint="eastAsia" w:cs="Times New Roman"/>
          <w:sz w:val="28"/>
          <w:szCs w:val="28"/>
          <w:lang w:val="en-US" w:eastAsia="zh-CN"/>
        </w:rPr>
        <w:t>8</w:t>
      </w:r>
      <w:r>
        <w:rPr>
          <w:rFonts w:hint="default" w:ascii="Times New Roman" w:hAnsi="Times New Roman" w:eastAsia="宋体" w:cs="Times New Roman"/>
          <w:sz w:val="28"/>
          <w:szCs w:val="28"/>
        </w:rPr>
        <w:t>年</w:t>
      </w:r>
      <w:r>
        <w:rPr>
          <w:rFonts w:hint="eastAsia" w:cs="Times New Roman"/>
          <w:sz w:val="28"/>
          <w:szCs w:val="28"/>
          <w:lang w:val="en-US" w:eastAsia="zh-CN"/>
        </w:rPr>
        <w:t>11</w:t>
      </w:r>
      <w:r>
        <w:rPr>
          <w:rFonts w:hint="default" w:ascii="Times New Roman" w:hAnsi="Times New Roman" w:eastAsia="宋体" w:cs="Times New Roman"/>
          <w:sz w:val="28"/>
          <w:szCs w:val="28"/>
        </w:rPr>
        <w:t>月</w:t>
      </w:r>
      <w:r>
        <w:rPr>
          <w:rFonts w:hint="eastAsia" w:cs="Times New Roman"/>
          <w:sz w:val="28"/>
          <w:szCs w:val="28"/>
          <w:lang w:val="en-US" w:eastAsia="zh-CN"/>
        </w:rPr>
        <w:t>05</w:t>
      </w:r>
      <w:r>
        <w:rPr>
          <w:rFonts w:hint="default" w:ascii="Times New Roman" w:hAnsi="Times New Roman" w:eastAsia="宋体" w:cs="Times New Roman"/>
          <w:sz w:val="28"/>
          <w:szCs w:val="28"/>
        </w:rPr>
        <w:t>日，</w:t>
      </w:r>
      <w:r>
        <w:rPr>
          <w:rFonts w:hint="default" w:ascii="Times New Roman" w:hAnsi="Times New Roman" w:eastAsia="宋体" w:cs="Times New Roman"/>
          <w:sz w:val="28"/>
          <w:szCs w:val="28"/>
          <w:lang w:val="en-US" w:eastAsia="zh-CN"/>
        </w:rPr>
        <w:t>注册地址</w:t>
      </w:r>
      <w:r>
        <w:rPr>
          <w:rFonts w:hint="default" w:ascii="Times New Roman" w:hAnsi="Times New Roman" w:eastAsia="宋体" w:cs="Times New Roman"/>
          <w:sz w:val="28"/>
          <w:szCs w:val="28"/>
        </w:rPr>
        <w:t>位于</w:t>
      </w:r>
      <w:r>
        <w:rPr>
          <w:rFonts w:hint="default" w:ascii="Times New Roman" w:hAnsi="Times New Roman" w:eastAsia="宋体" w:cs="Times New Roman"/>
          <w:sz w:val="28"/>
          <w:szCs w:val="28"/>
          <w:lang w:eastAsia="zh-CN"/>
        </w:rPr>
        <w:t>山东省东营市东营区章丘路19号58幢1单元302室</w:t>
      </w:r>
      <w:r>
        <w:rPr>
          <w:rFonts w:hint="default" w:ascii="Times New Roman" w:hAnsi="Times New Roman" w:eastAsia="宋体" w:cs="Times New Roman"/>
          <w:sz w:val="28"/>
          <w:szCs w:val="28"/>
        </w:rPr>
        <w:t>，</w:t>
      </w:r>
      <w:r>
        <w:rPr>
          <w:rFonts w:hint="default" w:ascii="Times New Roman" w:hAnsi="Times New Roman" w:eastAsia="宋体" w:cs="Times New Roman"/>
          <w:sz w:val="28"/>
          <w:szCs w:val="28"/>
          <w:lang w:val="en-US" w:eastAsia="zh-CN"/>
        </w:rPr>
        <w:t>现办公地址位于山东省东营市经济技术开发区东五路与汾河路交叉路口向东150米路南。</w:t>
      </w:r>
      <w:r>
        <w:rPr>
          <w:rFonts w:hint="default" w:ascii="Times New Roman" w:hAnsi="Times New Roman" w:eastAsia="宋体" w:cs="Times New Roman"/>
          <w:sz w:val="28"/>
          <w:szCs w:val="28"/>
        </w:rPr>
        <w:t>公司法定代表人</w:t>
      </w:r>
      <w:r>
        <w:rPr>
          <w:rFonts w:hint="eastAsia" w:cs="Times New Roman"/>
          <w:sz w:val="28"/>
          <w:szCs w:val="28"/>
          <w:lang w:eastAsia="zh-CN"/>
        </w:rPr>
        <w:t>商延兵</w:t>
      </w:r>
      <w:r>
        <w:rPr>
          <w:rFonts w:hint="default" w:ascii="Times New Roman" w:hAnsi="Times New Roman" w:eastAsia="宋体" w:cs="Times New Roman"/>
          <w:sz w:val="28"/>
          <w:szCs w:val="28"/>
        </w:rPr>
        <w:t>，注册资本</w:t>
      </w:r>
      <w:r>
        <w:rPr>
          <w:rFonts w:hint="eastAsia" w:cs="Times New Roman"/>
          <w:sz w:val="28"/>
          <w:szCs w:val="28"/>
          <w:lang w:eastAsia="zh-CN"/>
        </w:rPr>
        <w:t>伍</w:t>
      </w:r>
      <w:r>
        <w:rPr>
          <w:rFonts w:hint="default" w:ascii="Times New Roman" w:hAnsi="Times New Roman" w:eastAsia="宋体" w:cs="Times New Roman"/>
          <w:sz w:val="28"/>
          <w:szCs w:val="28"/>
        </w:rPr>
        <w:t>仟万元整</w:t>
      </w:r>
      <w:r>
        <w:rPr>
          <w:rFonts w:hint="eastAsia" w:cs="Times New Roman"/>
          <w:sz w:val="28"/>
          <w:szCs w:val="28"/>
          <w:lang w:eastAsia="zh-CN"/>
        </w:rPr>
        <w:t>，</w:t>
      </w:r>
      <w:r>
        <w:rPr>
          <w:rFonts w:hint="default" w:ascii="Times New Roman" w:hAnsi="Times New Roman" w:eastAsia="宋体" w:cs="Times New Roman"/>
          <w:sz w:val="28"/>
          <w:szCs w:val="28"/>
        </w:rPr>
        <w:t>主要经营范围</w:t>
      </w:r>
      <w:r>
        <w:rPr>
          <w:rFonts w:hint="eastAsia" w:ascii="Times New Roman" w:hAnsi="Times New Roman" w:eastAsia="宋体" w:cs="Times New Roman"/>
          <w:sz w:val="28"/>
          <w:szCs w:val="28"/>
          <w:lang w:eastAsia="zh-CN"/>
        </w:rPr>
        <w:t>：石油工程技术服务</w:t>
      </w:r>
      <w:r>
        <w:rPr>
          <w:rFonts w:hint="eastAsia" w:cs="Times New Roman"/>
          <w:sz w:val="28"/>
          <w:szCs w:val="28"/>
          <w:lang w:eastAsia="zh-CN"/>
        </w:rPr>
        <w:t>；</w:t>
      </w:r>
      <w:r>
        <w:rPr>
          <w:rFonts w:hint="eastAsia" w:ascii="Times New Roman" w:hAnsi="Times New Roman" w:eastAsia="宋体" w:cs="Times New Roman"/>
          <w:sz w:val="28"/>
          <w:szCs w:val="28"/>
          <w:lang w:eastAsia="zh-CN"/>
        </w:rPr>
        <w:t>石油机械设备维修</w:t>
      </w:r>
      <w:r>
        <w:rPr>
          <w:rFonts w:hint="eastAsia" w:cs="Times New Roman"/>
          <w:sz w:val="28"/>
          <w:szCs w:val="28"/>
          <w:lang w:eastAsia="zh-CN"/>
        </w:rPr>
        <w:t>；</w:t>
      </w:r>
      <w:r>
        <w:rPr>
          <w:rFonts w:hint="eastAsia" w:ascii="Times New Roman" w:hAnsi="Times New Roman" w:eastAsia="宋体" w:cs="Times New Roman"/>
          <w:sz w:val="28"/>
          <w:szCs w:val="28"/>
          <w:lang w:eastAsia="zh-CN"/>
        </w:rPr>
        <w:t>电器、钢材、压缩机、仪器仪表、五金工具销售</w:t>
      </w:r>
      <w:r>
        <w:rPr>
          <w:rFonts w:hint="eastAsia" w:cs="Times New Roman"/>
          <w:sz w:val="28"/>
          <w:szCs w:val="28"/>
          <w:lang w:eastAsia="zh-CN"/>
        </w:rPr>
        <w:t>；</w:t>
      </w:r>
      <w:r>
        <w:rPr>
          <w:rFonts w:hint="eastAsia" w:ascii="Times New Roman" w:hAnsi="Times New Roman" w:eastAsia="宋体" w:cs="Times New Roman"/>
          <w:sz w:val="28"/>
          <w:szCs w:val="28"/>
          <w:lang w:eastAsia="zh-CN"/>
        </w:rPr>
        <w:t>油管修复</w:t>
      </w:r>
      <w:r>
        <w:rPr>
          <w:rFonts w:hint="eastAsia" w:cs="Times New Roman"/>
          <w:sz w:val="28"/>
          <w:szCs w:val="28"/>
          <w:lang w:eastAsia="zh-CN"/>
        </w:rPr>
        <w:t>；</w:t>
      </w:r>
      <w:r>
        <w:rPr>
          <w:rFonts w:hint="eastAsia" w:ascii="Times New Roman" w:hAnsi="Times New Roman" w:eastAsia="宋体" w:cs="Times New Roman"/>
          <w:sz w:val="28"/>
          <w:szCs w:val="28"/>
          <w:lang w:eastAsia="zh-CN"/>
        </w:rPr>
        <w:t>清洗服务</w:t>
      </w:r>
      <w:r>
        <w:rPr>
          <w:rFonts w:hint="eastAsia" w:cs="Times New Roman"/>
          <w:sz w:val="28"/>
          <w:szCs w:val="28"/>
          <w:lang w:eastAsia="zh-CN"/>
        </w:rPr>
        <w:t>；</w:t>
      </w:r>
      <w:r>
        <w:rPr>
          <w:rFonts w:hint="eastAsia" w:ascii="Times New Roman" w:hAnsi="Times New Roman" w:eastAsia="宋体" w:cs="Times New Roman"/>
          <w:sz w:val="28"/>
          <w:szCs w:val="28"/>
          <w:lang w:eastAsia="zh-CN"/>
        </w:rPr>
        <w:t>石油机械配件、自动控制设备、水处理设备、化工产品</w:t>
      </w:r>
      <w:r>
        <w:rPr>
          <w:rFonts w:hint="eastAsia" w:cs="Times New Roman"/>
          <w:sz w:val="28"/>
          <w:szCs w:val="28"/>
          <w:lang w:eastAsia="zh-CN"/>
        </w:rPr>
        <w:t>（</w:t>
      </w:r>
      <w:r>
        <w:rPr>
          <w:rFonts w:hint="eastAsia" w:ascii="Times New Roman" w:hAnsi="Times New Roman" w:eastAsia="宋体" w:cs="Times New Roman"/>
          <w:sz w:val="28"/>
          <w:szCs w:val="28"/>
          <w:lang w:eastAsia="zh-CN"/>
        </w:rPr>
        <w:t>不含危险品及易制毒化学品</w:t>
      </w:r>
      <w:r>
        <w:rPr>
          <w:rFonts w:hint="eastAsia" w:cs="Times New Roman"/>
          <w:sz w:val="28"/>
          <w:szCs w:val="28"/>
          <w:lang w:eastAsia="zh-CN"/>
        </w:rPr>
        <w:t>）</w:t>
      </w:r>
      <w:r>
        <w:rPr>
          <w:rFonts w:hint="eastAsia" w:ascii="Times New Roman" w:hAnsi="Times New Roman" w:eastAsia="宋体" w:cs="Times New Roman"/>
          <w:sz w:val="28"/>
          <w:szCs w:val="28"/>
          <w:lang w:eastAsia="zh-CN"/>
        </w:rPr>
        <w:t>生产、销售</w:t>
      </w:r>
      <w:r>
        <w:rPr>
          <w:rFonts w:hint="eastAsia" w:cs="Times New Roman"/>
          <w:sz w:val="28"/>
          <w:szCs w:val="28"/>
          <w:lang w:eastAsia="zh-CN"/>
        </w:rPr>
        <w:t>；</w:t>
      </w:r>
      <w:r>
        <w:rPr>
          <w:rFonts w:hint="eastAsia" w:ascii="Times New Roman" w:hAnsi="Times New Roman" w:eastAsia="宋体" w:cs="Times New Roman"/>
          <w:sz w:val="28"/>
          <w:szCs w:val="28"/>
          <w:lang w:eastAsia="zh-CN"/>
        </w:rPr>
        <w:t>房地产开发</w:t>
      </w:r>
      <w:r>
        <w:rPr>
          <w:rFonts w:hint="eastAsia" w:cs="Times New Roman"/>
          <w:sz w:val="28"/>
          <w:szCs w:val="28"/>
          <w:lang w:eastAsia="zh-CN"/>
        </w:rPr>
        <w:t>；</w:t>
      </w:r>
      <w:r>
        <w:rPr>
          <w:rFonts w:hint="eastAsia" w:ascii="Times New Roman" w:hAnsi="Times New Roman" w:eastAsia="宋体" w:cs="Times New Roman"/>
          <w:sz w:val="28"/>
          <w:szCs w:val="28"/>
          <w:lang w:eastAsia="zh-CN"/>
        </w:rPr>
        <w:t>计算机软硬件开发及销售</w:t>
      </w:r>
      <w:r>
        <w:rPr>
          <w:rFonts w:hint="eastAsia" w:cs="Times New Roman"/>
          <w:sz w:val="28"/>
          <w:szCs w:val="28"/>
          <w:lang w:eastAsia="zh-CN"/>
        </w:rPr>
        <w:t>；</w:t>
      </w:r>
      <w:r>
        <w:rPr>
          <w:rFonts w:hint="eastAsia" w:ascii="Times New Roman" w:hAnsi="Times New Roman" w:eastAsia="宋体" w:cs="Times New Roman"/>
          <w:sz w:val="28"/>
          <w:szCs w:val="28"/>
          <w:lang w:eastAsia="zh-CN"/>
        </w:rPr>
        <w:t>智能化工程</w:t>
      </w:r>
      <w:r>
        <w:rPr>
          <w:rFonts w:hint="eastAsia" w:cs="Times New Roman"/>
          <w:sz w:val="28"/>
          <w:szCs w:val="28"/>
          <w:lang w:eastAsia="zh-CN"/>
        </w:rPr>
        <w:t>；</w:t>
      </w:r>
      <w:r>
        <w:rPr>
          <w:rFonts w:hint="eastAsia" w:ascii="Times New Roman" w:hAnsi="Times New Roman" w:eastAsia="宋体" w:cs="Times New Roman"/>
          <w:sz w:val="28"/>
          <w:szCs w:val="28"/>
          <w:lang w:eastAsia="zh-CN"/>
        </w:rPr>
        <w:t>自营和代理各类商品进出口业务</w:t>
      </w:r>
      <w:r>
        <w:rPr>
          <w:rFonts w:hint="eastAsia" w:cs="Times New Roman"/>
          <w:sz w:val="28"/>
          <w:szCs w:val="28"/>
          <w:lang w:eastAsia="zh-CN"/>
        </w:rPr>
        <w:t>（</w:t>
      </w:r>
      <w:r>
        <w:rPr>
          <w:rFonts w:hint="eastAsia" w:ascii="Times New Roman" w:hAnsi="Times New Roman" w:eastAsia="宋体" w:cs="Times New Roman"/>
          <w:sz w:val="28"/>
          <w:szCs w:val="28"/>
          <w:lang w:eastAsia="zh-CN"/>
        </w:rPr>
        <w:t>国家限制或禁止的进出口商品除外</w:t>
      </w:r>
      <w:r>
        <w:rPr>
          <w:rFonts w:hint="eastAsia" w:cs="Times New Roman"/>
          <w:sz w:val="28"/>
          <w:szCs w:val="28"/>
          <w:lang w:eastAsia="zh-CN"/>
        </w:rPr>
        <w:t>）；</w:t>
      </w:r>
      <w:r>
        <w:rPr>
          <w:rFonts w:hint="eastAsia" w:ascii="Times New Roman" w:hAnsi="Times New Roman" w:eastAsia="宋体" w:cs="Times New Roman"/>
          <w:sz w:val="28"/>
          <w:szCs w:val="28"/>
          <w:lang w:eastAsia="zh-CN"/>
        </w:rPr>
        <w:t>井下工具研发、生产及销售。</w:t>
      </w:r>
      <w:r>
        <w:rPr>
          <w:rFonts w:hint="eastAsia" w:cs="Times New Roman"/>
          <w:sz w:val="28"/>
          <w:szCs w:val="28"/>
          <w:lang w:eastAsia="zh-CN"/>
        </w:rPr>
        <w:t>（</w:t>
      </w:r>
      <w:r>
        <w:rPr>
          <w:rFonts w:hint="eastAsia" w:ascii="Times New Roman" w:hAnsi="Times New Roman" w:eastAsia="宋体" w:cs="Times New Roman"/>
          <w:sz w:val="28"/>
          <w:szCs w:val="28"/>
          <w:lang w:eastAsia="zh-CN"/>
        </w:rPr>
        <w:t>依法须经批准的项目，经相关部门批准后方可开展经营活动</w:t>
      </w:r>
      <w:r>
        <w:rPr>
          <w:rFonts w:hint="eastAsia" w:cs="Times New Roman"/>
          <w:sz w:val="28"/>
          <w:szCs w:val="28"/>
          <w:lang w:eastAsia="zh-CN"/>
        </w:rPr>
        <w:t>）</w:t>
      </w:r>
      <w:r>
        <w:rPr>
          <w:rFonts w:hint="default" w:ascii="Times New Roman" w:hAnsi="Times New Roman" w:eastAsia="宋体" w:cs="Times New Roman"/>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lang w:val="en-US" w:eastAsia="zh-CN"/>
        </w:rPr>
      </w:pPr>
      <w:r>
        <w:rPr>
          <w:rFonts w:hint="eastAsia" w:ascii="Times New Roman" w:hAnsi="Times New Roman" w:cs="Times New Roman"/>
          <w:sz w:val="28"/>
          <w:szCs w:val="28"/>
          <w:lang w:eastAsia="zh-CN"/>
        </w:rPr>
        <w:t>海塔石油科技有限公司</w:t>
      </w:r>
      <w:r>
        <w:rPr>
          <w:rFonts w:hint="eastAsia" w:ascii="Times New Roman" w:hAnsi="Times New Roman" w:eastAsia="宋体" w:cs="Times New Roman"/>
          <w:sz w:val="28"/>
          <w:szCs w:val="28"/>
        </w:rPr>
        <w:t>是一家专门从事</w:t>
      </w:r>
      <w:r>
        <w:rPr>
          <w:rFonts w:hint="eastAsia" w:ascii="Times New Roman" w:hAnsi="Times New Roman" w:eastAsia="宋体" w:cs="Times New Roman"/>
          <w:color w:val="auto"/>
          <w:sz w:val="28"/>
          <w:szCs w:val="28"/>
        </w:rPr>
        <w:t>油</w:t>
      </w:r>
      <w:r>
        <w:rPr>
          <w:rFonts w:hint="eastAsia" w:ascii="Times New Roman" w:hAnsi="Times New Roman" w:eastAsia="宋体" w:cs="Times New Roman"/>
          <w:color w:val="auto"/>
          <w:sz w:val="28"/>
          <w:szCs w:val="28"/>
          <w:lang w:val="en-US" w:eastAsia="zh-CN"/>
        </w:rPr>
        <w:t>水</w:t>
      </w:r>
      <w:r>
        <w:rPr>
          <w:rFonts w:hint="eastAsia" w:ascii="Times New Roman" w:hAnsi="Times New Roman" w:cs="Times New Roman"/>
          <w:color w:val="auto"/>
          <w:sz w:val="28"/>
          <w:szCs w:val="28"/>
          <w:lang w:val="en-US" w:eastAsia="zh-CN"/>
        </w:rPr>
        <w:t>气</w:t>
      </w:r>
      <w:r>
        <w:rPr>
          <w:rFonts w:hint="eastAsia" w:ascii="Times New Roman" w:hAnsi="Times New Roman" w:eastAsia="宋体" w:cs="Times New Roman"/>
          <w:sz w:val="28"/>
          <w:szCs w:val="28"/>
        </w:rPr>
        <w:t>井</w:t>
      </w:r>
      <w:r>
        <w:rPr>
          <w:rFonts w:hint="eastAsia" w:ascii="Times New Roman" w:hAnsi="Times New Roman" w:cs="Times New Roman"/>
          <w:sz w:val="28"/>
          <w:szCs w:val="28"/>
          <w:lang w:val="en-US" w:eastAsia="zh-CN"/>
        </w:rPr>
        <w:t>大修、井下复杂情况处理</w:t>
      </w:r>
      <w:r>
        <w:rPr>
          <w:rFonts w:hint="eastAsia" w:cs="Times New Roman"/>
          <w:sz w:val="28"/>
          <w:szCs w:val="28"/>
          <w:lang w:eastAsia="zh-CN"/>
        </w:rPr>
        <w:t>服务</w:t>
      </w:r>
      <w:r>
        <w:rPr>
          <w:rFonts w:hint="eastAsia" w:ascii="Times New Roman" w:hAnsi="Times New Roman" w:eastAsia="宋体" w:cs="Times New Roman"/>
          <w:sz w:val="28"/>
          <w:szCs w:val="28"/>
        </w:rPr>
        <w:t>的专业油田技术服务公司。公司致力于自主知识产权创新技术的研发和国内外现有技术的综合集成应用，已经申请2</w:t>
      </w:r>
      <w:r>
        <w:rPr>
          <w:rFonts w:hint="eastAsia" w:ascii="Times New Roman" w:hAnsi="Times New Roman" w:eastAsia="宋体" w:cs="Times New Roman"/>
          <w:sz w:val="28"/>
          <w:szCs w:val="28"/>
          <w:lang w:val="en-US" w:eastAsia="zh-CN"/>
        </w:rPr>
        <w:t>8余</w:t>
      </w:r>
      <w:r>
        <w:rPr>
          <w:rFonts w:hint="eastAsia" w:ascii="Times New Roman" w:hAnsi="Times New Roman" w:eastAsia="宋体" w:cs="Times New Roman"/>
          <w:sz w:val="28"/>
          <w:szCs w:val="28"/>
        </w:rPr>
        <w:t>项实用新型专利，</w:t>
      </w:r>
      <w:r>
        <w:rPr>
          <w:rFonts w:hint="eastAsia" w:ascii="Times New Roman" w:hAnsi="Times New Roman" w:eastAsia="宋体" w:cs="Times New Roman"/>
          <w:sz w:val="28"/>
          <w:szCs w:val="28"/>
          <w:lang w:val="en-US" w:eastAsia="zh-CN"/>
        </w:rPr>
        <w:t>14</w:t>
      </w:r>
      <w:r>
        <w:rPr>
          <w:rFonts w:hint="eastAsia" w:ascii="Times New Roman" w:hAnsi="Times New Roman" w:eastAsia="宋体" w:cs="Times New Roman"/>
          <w:sz w:val="28"/>
          <w:szCs w:val="28"/>
        </w:rPr>
        <w:t>项发明专利以及海塔™️商标公司</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形成了</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多功能封堵桥塞</w:t>
      </w:r>
      <w:r>
        <w:rPr>
          <w:rFonts w:hint="eastAsia" w:ascii="Times New Roman" w:hAnsi="Times New Roman" w:eastAsia="宋体" w:cs="Times New Roman"/>
          <w:sz w:val="28"/>
          <w:szCs w:val="28"/>
          <w:lang w:eastAsia="zh-CN"/>
        </w:rPr>
        <w:t>”、“一种超级封窜堵漏剂及其制备方法和应用”、“一种锚定式液压套管整形工具”、“一种修井打捞增力辅助装置”、“一种修井封隔装置”、“一种调流控水筛管”、“一种双向锚定可溶压裂桥塞”等一系列具有国内领先水平的产品和技术，在国内主要油田得以广泛推广应用。</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根据《关于对钻井、物探、测井、录井、井下作业、油建企业实施安全生产许可的通知》（鲁应急函</w:t>
      </w:r>
      <w:r>
        <w:rPr>
          <w:rFonts w:hint="default"/>
          <w:color w:val="000000" w:themeColor="text1"/>
          <w:sz w:val="28"/>
          <w:szCs w:val="28"/>
          <w14:textFill>
            <w14:solidFill>
              <w14:schemeClr w14:val="tx1"/>
            </w14:solidFill>
          </w14:textFill>
        </w:rPr>
        <w:t>[20</w:t>
      </w:r>
      <w:r>
        <w:rPr>
          <w:rFonts w:hint="default"/>
          <w:color w:val="000000" w:themeColor="text1"/>
          <w:sz w:val="28"/>
          <w:szCs w:val="28"/>
          <w:lang w:val="en-US" w:eastAsia="zh-CN"/>
          <w14:textFill>
            <w14:solidFill>
              <w14:schemeClr w14:val="tx1"/>
            </w14:solidFill>
          </w14:textFill>
        </w:rPr>
        <w:t>21</w:t>
      </w:r>
      <w:r>
        <w:rPr>
          <w:rFonts w:hint="default"/>
          <w:color w:val="000000" w:themeColor="text1"/>
          <w:sz w:val="28"/>
          <w:szCs w:val="28"/>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86号）、《东营市应急管理局关于进一步规范非煤矿矿山《安全生产许可证》颁发管理有关问题的函》（东应急函字</w:t>
      </w:r>
      <w:r>
        <w:rPr>
          <w:rFonts w:hint="default"/>
          <w:color w:val="000000" w:themeColor="text1"/>
          <w:sz w:val="28"/>
          <w:szCs w:val="28"/>
          <w14:textFill>
            <w14:solidFill>
              <w14:schemeClr w14:val="tx1"/>
            </w14:solidFill>
          </w14:textFill>
        </w:rPr>
        <w:t>[20</w:t>
      </w:r>
      <w:r>
        <w:rPr>
          <w:rFonts w:hint="default"/>
          <w:color w:val="000000" w:themeColor="text1"/>
          <w:sz w:val="28"/>
          <w:szCs w:val="28"/>
          <w:lang w:val="en-US" w:eastAsia="zh-CN"/>
          <w14:textFill>
            <w14:solidFill>
              <w14:schemeClr w14:val="tx1"/>
            </w14:solidFill>
          </w14:textFill>
        </w:rPr>
        <w:t>21</w:t>
      </w:r>
      <w:r>
        <w:rPr>
          <w:rFonts w:hint="default"/>
          <w:color w:val="000000" w:themeColor="text1"/>
          <w:sz w:val="28"/>
          <w:szCs w:val="28"/>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50号）等文件要求，</w:t>
      </w:r>
      <w:r>
        <w:rPr>
          <w:rFonts w:hint="eastAsia"/>
          <w:color w:val="000000" w:themeColor="text1"/>
          <w:sz w:val="28"/>
          <w:szCs w:val="28"/>
          <w:lang w:eastAsia="zh-CN"/>
          <w14:textFill>
            <w14:solidFill>
              <w14:schemeClr w14:val="tx1"/>
            </w14:solidFill>
          </w14:textFill>
        </w:rPr>
        <w:t>海塔石油科技有限公司</w:t>
      </w:r>
      <w:r>
        <w:rPr>
          <w:rFonts w:hint="default"/>
          <w:color w:val="000000" w:themeColor="text1"/>
          <w:sz w:val="28"/>
          <w:szCs w:val="28"/>
          <w:lang w:val="en-US" w:eastAsia="zh-CN"/>
          <w14:textFill>
            <w14:solidFill>
              <w14:schemeClr w14:val="tx1"/>
            </w14:solidFill>
          </w14:textFill>
        </w:rPr>
        <w:t>现申请</w:t>
      </w:r>
      <w:r>
        <w:rPr>
          <w:rFonts w:hint="eastAsia"/>
          <w:color w:val="000000" w:themeColor="text1"/>
          <w:sz w:val="28"/>
          <w:szCs w:val="28"/>
          <w:lang w:val="en-US" w:eastAsia="zh-CN"/>
          <w14:textFill>
            <w14:solidFill>
              <w14:schemeClr w14:val="tx1"/>
            </w14:solidFill>
          </w14:textFill>
        </w:rPr>
        <w:t>非煤矿矿山企业</w:t>
      </w:r>
      <w:r>
        <w:rPr>
          <w:rFonts w:hint="default"/>
          <w:color w:val="000000" w:themeColor="text1"/>
          <w:sz w:val="28"/>
          <w:szCs w:val="28"/>
          <w:lang w:val="en-US" w:eastAsia="zh-CN"/>
          <w14:textFill>
            <w14:solidFill>
              <w14:schemeClr w14:val="tx1"/>
            </w14:solidFill>
          </w14:textFill>
        </w:rPr>
        <w:t>安全生产许可证。</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我公司接到委托后，成立了评价项目组，按照《安全评价通则》（AQ8001-2007）的要求，进行了资料与标准收集、现场调研、工程分析、危险与有害因素分析、定性评价，并在此基础上提出了安全对策措施建议，最后编制完成了本安全现状评价报告。</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此次安全评价工作，自始至终都得到了</w:t>
      </w:r>
      <w:r>
        <w:rPr>
          <w:rFonts w:hint="eastAsia"/>
          <w:color w:val="000000" w:themeColor="text1"/>
          <w:sz w:val="28"/>
          <w:szCs w:val="28"/>
          <w:lang w:eastAsia="zh-CN"/>
          <w14:textFill>
            <w14:solidFill>
              <w14:schemeClr w14:val="tx1"/>
            </w14:solidFill>
          </w14:textFill>
        </w:rPr>
        <w:t>海塔石油科技有限公司</w:t>
      </w:r>
      <w:r>
        <w:rPr>
          <w:rFonts w:hint="eastAsia"/>
          <w:color w:val="000000" w:themeColor="text1"/>
          <w:sz w:val="28"/>
          <w:szCs w:val="28"/>
          <w14:textFill>
            <w14:solidFill>
              <w14:schemeClr w14:val="tx1"/>
            </w14:solidFill>
          </w14:textFill>
        </w:rPr>
        <w:t>领导和员工的大力支持和配合，在此表示衷心的感谢！</w:t>
      </w:r>
    </w:p>
    <w:p>
      <w:pPr>
        <w:adjustRightInd w:val="0"/>
        <w:snapToGrid w:val="0"/>
        <w:spacing w:line="360" w:lineRule="auto"/>
        <w:ind w:firstLine="560" w:firstLineChars="200"/>
        <w:jc w:val="righ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评价</w:t>
      </w:r>
      <w:r>
        <w:rPr>
          <w:color w:val="000000" w:themeColor="text1"/>
          <w:sz w:val="28"/>
          <w:szCs w:val="28"/>
          <w14:textFill>
            <w14:solidFill>
              <w14:schemeClr w14:val="tx1"/>
            </w14:solidFill>
          </w14:textFill>
        </w:rPr>
        <w:t>项目组</w:t>
      </w:r>
    </w:p>
    <w:p>
      <w:pPr>
        <w:adjustRightInd w:val="0"/>
        <w:snapToGrid w:val="0"/>
        <w:spacing w:line="360" w:lineRule="auto"/>
        <w:ind w:firstLine="560" w:firstLineChars="200"/>
        <w:jc w:val="righ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20</w:t>
      </w:r>
      <w:r>
        <w:rPr>
          <w:rFonts w:hint="eastAsia"/>
          <w:color w:val="000000" w:themeColor="text1"/>
          <w:sz w:val="28"/>
          <w:szCs w:val="28"/>
          <w:lang w:val="en-US" w:eastAsia="zh-CN"/>
          <w14:textFill>
            <w14:solidFill>
              <w14:schemeClr w14:val="tx1"/>
            </w14:solidFill>
          </w14:textFill>
        </w:rPr>
        <w:t>23</w:t>
      </w:r>
      <w:r>
        <w:rPr>
          <w:rFonts w:hint="eastAsia"/>
          <w:color w:val="000000" w:themeColor="text1"/>
          <w:sz w:val="28"/>
          <w:szCs w:val="28"/>
          <w14:textFill>
            <w14:solidFill>
              <w14:schemeClr w14:val="tx1"/>
            </w14:solidFill>
          </w14:textFill>
        </w:rPr>
        <w:t>年</w:t>
      </w:r>
      <w:r>
        <w:rPr>
          <w:rFonts w:hint="eastAsia"/>
          <w:color w:val="000000" w:themeColor="text1"/>
          <w:sz w:val="28"/>
          <w:szCs w:val="28"/>
          <w:lang w:val="en-US" w:eastAsia="zh-CN"/>
          <w14:textFill>
            <w14:solidFill>
              <w14:schemeClr w14:val="tx1"/>
            </w14:solidFill>
          </w14:textFill>
        </w:rPr>
        <w:t>7</w:t>
      </w:r>
      <w:r>
        <w:rPr>
          <w:rFonts w:hint="eastAsia"/>
          <w:color w:val="000000" w:themeColor="text1"/>
          <w:sz w:val="28"/>
          <w:szCs w:val="28"/>
          <w14:textFill>
            <w14:solidFill>
              <w14:schemeClr w14:val="tx1"/>
            </w14:solidFill>
          </w14:textFill>
        </w:rPr>
        <w:t>月</w:t>
      </w:r>
    </w:p>
    <w:p>
      <w:pPr>
        <w:widowControl/>
        <w:adjustRightInd w:val="0"/>
        <w:snapToGrid w:val="0"/>
        <w:spacing w:line="360" w:lineRule="auto"/>
        <w:ind w:firstLine="640" w:firstLineChars="200"/>
        <w:jc w:val="center"/>
        <w:rPr>
          <w:b/>
          <w:bCs/>
          <w:color w:val="000000" w:themeColor="text1"/>
          <w:kern w:val="0"/>
          <w:sz w:val="32"/>
          <w:szCs w:val="32"/>
          <w14:textFill>
            <w14:solidFill>
              <w14:schemeClr w14:val="tx1"/>
            </w14:solidFill>
          </w14:textFill>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eastAsia="黑体"/>
          <w:b/>
          <w:bCs/>
          <w:color w:val="0070C0"/>
          <w:kern w:val="44"/>
          <w:sz w:val="28"/>
          <w:szCs w:val="28"/>
        </w:rPr>
      </w:pPr>
      <w:r>
        <w:rPr>
          <w:rFonts w:hint="eastAsia" w:eastAsia="黑体"/>
          <w:b/>
          <w:bCs/>
          <w:color w:val="auto"/>
          <w:kern w:val="44"/>
          <w:sz w:val="28"/>
          <w:szCs w:val="28"/>
        </w:rPr>
        <w:t>目   录</w:t>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color w:val="0070C0"/>
          <w:sz w:val="24"/>
          <w:szCs w:val="24"/>
        </w:rPr>
        <w:instrText xml:space="preserve"> TOC \o "1-2" \h \z \u </w:instrText>
      </w:r>
      <w:r>
        <w:rPr>
          <w:rFonts w:ascii="Times New Roman" w:hAnsi="Times New Roman" w:eastAsia="宋体" w:cs="Times New Roman"/>
          <w:bCs w:val="0"/>
          <w:color w:val="0070C0"/>
          <w:sz w:val="24"/>
          <w:szCs w:val="24"/>
        </w:rPr>
        <w:fldChar w:fldCharType="separate"/>
      </w: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_Toc17388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sz w:val="24"/>
          <w:szCs w:val="24"/>
        </w:rPr>
        <w:t>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总则</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_Toc17388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_Toc10933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1.1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评价目的</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_Toc10933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_Toc11645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1.2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评价依据</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_Toc11645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_Toc8685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1.3</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评价范围</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_Toc8685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10</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_Toc10167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1.4</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评价程序</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_Toc10167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11</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_Toc8381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sz w:val="24"/>
          <w:szCs w:val="24"/>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被评价单位基本情况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_Toc8381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13</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_Toc15212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企业概况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_Toc15212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13</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_Toc11080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w:t>
      </w:r>
      <w:r>
        <w:rPr>
          <w:rFonts w:ascii="Times New Roman" w:hAnsi="Times New Roman" w:eastAsia="宋体" w:cs="Times New Roman"/>
          <w:bCs/>
          <w:sz w:val="24"/>
          <w:szCs w:val="24"/>
        </w:rPr>
        <w:t xml:space="preserve">2 </w:t>
      </w:r>
      <w:r>
        <w:rPr>
          <w:rFonts w:hint="eastAsia" w:ascii="Times New Roman" w:hAnsi="Times New Roman" w:eastAsia="宋体" w:cs="Times New Roman"/>
          <w:bCs/>
          <w:sz w:val="24"/>
          <w:szCs w:val="24"/>
        </w:rPr>
        <w:t>机构设置</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_Toc11080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14</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_Toc26731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w:t>
      </w:r>
      <w:r>
        <w:rPr>
          <w:rFonts w:ascii="Times New Roman" w:hAnsi="Times New Roman" w:eastAsia="宋体" w:cs="Times New Roman"/>
          <w:bCs/>
          <w:sz w:val="24"/>
          <w:szCs w:val="24"/>
        </w:rPr>
        <w:t xml:space="preserve">3 </w:t>
      </w:r>
      <w:r>
        <w:rPr>
          <w:rFonts w:hint="eastAsia" w:ascii="Times New Roman" w:hAnsi="Times New Roman" w:eastAsia="宋体" w:cs="Times New Roman"/>
          <w:bCs/>
          <w:sz w:val="24"/>
          <w:szCs w:val="24"/>
        </w:rPr>
        <w:t>主要装备、设施、作业场所概况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_Toc26731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14</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_Toc25998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2.4 安全生产管理机构的设置和安全生产管理人员的配备</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_Toc25998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_Toc116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w:t>
      </w:r>
      <w:r>
        <w:rPr>
          <w:rFonts w:ascii="Times New Roman" w:hAnsi="Times New Roman" w:eastAsia="宋体" w:cs="Times New Roman"/>
          <w:bCs/>
          <w:sz w:val="24"/>
          <w:szCs w:val="24"/>
        </w:rPr>
        <w:t xml:space="preserve">5 </w:t>
      </w:r>
      <w:r>
        <w:rPr>
          <w:rFonts w:hint="eastAsia" w:ascii="Times New Roman" w:hAnsi="Times New Roman" w:eastAsia="宋体" w:cs="Times New Roman"/>
          <w:bCs/>
          <w:sz w:val="24"/>
          <w:szCs w:val="24"/>
        </w:rPr>
        <w:t>安全生产规章制度及操作规程</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_Toc116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29</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_Toc10503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w:t>
      </w:r>
      <w:r>
        <w:rPr>
          <w:rFonts w:ascii="Times New Roman" w:hAnsi="Times New Roman" w:eastAsia="宋体" w:cs="Times New Roman"/>
          <w:bCs/>
          <w:sz w:val="24"/>
          <w:szCs w:val="24"/>
        </w:rPr>
        <w:t xml:space="preserve">6 </w:t>
      </w:r>
      <w:r>
        <w:rPr>
          <w:rFonts w:hint="eastAsia" w:ascii="Times New Roman" w:hAnsi="Times New Roman" w:eastAsia="宋体" w:cs="Times New Roman"/>
          <w:bCs/>
          <w:sz w:val="24"/>
          <w:szCs w:val="24"/>
        </w:rPr>
        <w:t>安全投入情况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_Toc10503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37</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_Toc29422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w:t>
      </w:r>
      <w:r>
        <w:rPr>
          <w:rFonts w:ascii="Times New Roman" w:hAnsi="Times New Roman" w:eastAsia="宋体" w:cs="Times New Roman"/>
          <w:bCs/>
          <w:sz w:val="24"/>
          <w:szCs w:val="24"/>
        </w:rPr>
        <w:t xml:space="preserve">7 </w:t>
      </w:r>
      <w:r>
        <w:rPr>
          <w:rFonts w:hint="eastAsia" w:ascii="Times New Roman" w:hAnsi="Times New Roman" w:eastAsia="宋体" w:cs="Times New Roman"/>
          <w:bCs/>
          <w:sz w:val="24"/>
          <w:szCs w:val="24"/>
        </w:rPr>
        <w:t>安全教育培训及人员持证情况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_Toc29422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_Toc31751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w:t>
      </w:r>
      <w:r>
        <w:rPr>
          <w:rFonts w:ascii="Times New Roman" w:hAnsi="Times New Roman" w:eastAsia="宋体" w:cs="Times New Roman"/>
          <w:bCs/>
          <w:sz w:val="24"/>
          <w:szCs w:val="24"/>
        </w:rPr>
        <w:t xml:space="preserve">8 </w:t>
      </w:r>
      <w:r>
        <w:rPr>
          <w:rFonts w:hint="eastAsia" w:ascii="Times New Roman" w:hAnsi="Times New Roman" w:eastAsia="宋体" w:cs="Times New Roman"/>
          <w:bCs/>
          <w:sz w:val="24"/>
          <w:szCs w:val="24"/>
        </w:rPr>
        <w:t>人员保险</w:t>
      </w:r>
      <w:r>
        <w:rPr>
          <w:rFonts w:hint="eastAsia" w:ascii="Times New Roman" w:hAnsi="Times New Roman" w:eastAsia="宋体" w:cs="Times New Roman"/>
          <w:bCs/>
          <w:sz w:val="24"/>
          <w:szCs w:val="24"/>
          <w:lang w:val="en-US" w:eastAsia="zh-CN"/>
        </w:rPr>
        <w:t>情况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_Toc31751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46</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_Toc22338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w:t>
      </w:r>
      <w:r>
        <w:rPr>
          <w:rFonts w:ascii="Times New Roman" w:hAnsi="Times New Roman" w:eastAsia="宋体" w:cs="Times New Roman"/>
          <w:bCs/>
          <w:sz w:val="24"/>
          <w:szCs w:val="24"/>
        </w:rPr>
        <w:t xml:space="preserve">9 </w:t>
      </w:r>
      <w:r>
        <w:rPr>
          <w:rFonts w:hint="eastAsia" w:ascii="Times New Roman" w:hAnsi="Times New Roman" w:eastAsia="宋体" w:cs="Times New Roman"/>
          <w:bCs/>
          <w:sz w:val="24"/>
          <w:szCs w:val="24"/>
        </w:rPr>
        <w:t>职业危害防护及劳保用品发放</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_Toc22338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46</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_Toc8494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lang w:val="en-US" w:eastAsia="zh-CN"/>
        </w:rPr>
        <w:t>2.10 设备设施检测、检验情况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_Toc8494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47</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_Toc13056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2.</w:t>
      </w:r>
      <w:r>
        <w:rPr>
          <w:rFonts w:ascii="Times New Roman" w:hAnsi="Times New Roman" w:eastAsia="宋体" w:cs="Times New Roman"/>
          <w:bCs/>
          <w:sz w:val="24"/>
          <w:szCs w:val="24"/>
        </w:rPr>
        <w:t>1</w:t>
      </w:r>
      <w:r>
        <w:rPr>
          <w:rFonts w:hint="eastAsia" w:ascii="Times New Roman" w:hAnsi="Times New Roman" w:eastAsia="宋体" w:cs="Times New Roman"/>
          <w:bCs/>
          <w:sz w:val="24"/>
          <w:szCs w:val="24"/>
          <w:lang w:val="en-US" w:eastAsia="zh-CN"/>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事故应急救援预案及演练</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_Toc13056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55</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_Toc26487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sz w:val="24"/>
          <w:szCs w:val="24"/>
          <w:highlight w:val="none"/>
        </w:rPr>
        <w:t>2.1</w:t>
      </w:r>
      <w:r>
        <w:rPr>
          <w:rFonts w:hint="default" w:ascii="Times New Roman" w:hAnsi="Times New Roman" w:eastAsia="宋体" w:cs="Times New Roman"/>
          <w:sz w:val="24"/>
          <w:szCs w:val="24"/>
          <w:highlight w:val="none"/>
          <w:lang w:val="en-US" w:eastAsia="zh-CN"/>
        </w:rPr>
        <w:t>2 承</w:t>
      </w:r>
      <w:r>
        <w:rPr>
          <w:rFonts w:hint="eastAsia" w:ascii="Times New Roman" w:hAnsi="Times New Roman" w:eastAsia="宋体" w:cs="Times New Roman"/>
          <w:sz w:val="24"/>
          <w:szCs w:val="24"/>
          <w:highlight w:val="none"/>
          <w:lang w:val="en-US" w:eastAsia="zh-CN"/>
        </w:rPr>
        <w:t>包商管理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_Toc26487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60</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_Toc8763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val="0"/>
          <w:sz w:val="24"/>
          <w:szCs w:val="24"/>
          <w:highlight w:val="none"/>
          <w:lang w:val="en-US" w:eastAsia="zh-CN"/>
        </w:rPr>
        <w:t>2.1</w:t>
      </w:r>
      <w:r>
        <w:rPr>
          <w:rFonts w:hint="eastAsia" w:ascii="Times New Roman" w:hAnsi="Times New Roman" w:eastAsia="宋体" w:cs="Times New Roman"/>
          <w:bCs w:val="0"/>
          <w:sz w:val="24"/>
          <w:szCs w:val="24"/>
          <w:highlight w:val="none"/>
          <w:lang w:val="en-US" w:eastAsia="zh-CN"/>
        </w:rPr>
        <w:t>3</w:t>
      </w:r>
      <w:r>
        <w:rPr>
          <w:rFonts w:hint="default" w:ascii="Times New Roman" w:hAnsi="Times New Roman" w:eastAsia="宋体" w:cs="Times New Roman"/>
          <w:bCs w:val="0"/>
          <w:sz w:val="24"/>
          <w:szCs w:val="24"/>
          <w:highlight w:val="none"/>
          <w:lang w:val="en-US" w:eastAsia="zh-CN"/>
        </w:rPr>
        <w:t xml:space="preserve"> 变更安全管理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_Toc8763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60</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_Toc26532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val="0"/>
          <w:kern w:val="2"/>
          <w:sz w:val="24"/>
          <w:szCs w:val="24"/>
          <w:highlight w:val="none"/>
          <w:lang w:val="en-US" w:eastAsia="zh-CN" w:bidi="ar-SA"/>
        </w:rPr>
        <w:t>2.1</w:t>
      </w:r>
      <w:r>
        <w:rPr>
          <w:rFonts w:hint="eastAsia" w:ascii="Times New Roman" w:hAnsi="Times New Roman" w:eastAsia="宋体" w:cs="Times New Roman"/>
          <w:bCs w:val="0"/>
          <w:kern w:val="2"/>
          <w:sz w:val="24"/>
          <w:szCs w:val="24"/>
          <w:highlight w:val="none"/>
          <w:lang w:val="en-US" w:eastAsia="zh-CN" w:bidi="ar-SA"/>
        </w:rPr>
        <w:t>4</w:t>
      </w:r>
      <w:r>
        <w:rPr>
          <w:rFonts w:hint="default" w:ascii="Times New Roman" w:hAnsi="Times New Roman" w:eastAsia="宋体" w:cs="Times New Roman"/>
          <w:bCs w:val="0"/>
          <w:kern w:val="2"/>
          <w:sz w:val="24"/>
          <w:szCs w:val="24"/>
          <w:highlight w:val="none"/>
          <w:lang w:val="en-US" w:eastAsia="zh-CN" w:bidi="ar-SA"/>
        </w:rPr>
        <w:t xml:space="preserve"> 危险作业安全管理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_Toc26532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60</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_Toc31681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val="0"/>
          <w:sz w:val="24"/>
          <w:szCs w:val="24"/>
          <w:lang w:val="en-US" w:eastAsia="zh-CN"/>
        </w:rPr>
        <w:t xml:space="preserve">2.15 </w:t>
      </w:r>
      <w:r>
        <w:rPr>
          <w:rFonts w:hint="eastAsia" w:ascii="Times New Roman" w:hAnsi="Times New Roman" w:eastAsia="宋体" w:cs="Times New Roman"/>
          <w:bCs w:val="0"/>
          <w:sz w:val="24"/>
          <w:szCs w:val="24"/>
          <w:lang w:val="en-US" w:eastAsia="zh-CN"/>
        </w:rPr>
        <w:t>井控管理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_Toc31681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61</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_Toc529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val="0"/>
          <w:sz w:val="24"/>
          <w:szCs w:val="24"/>
          <w:lang w:val="en-US" w:eastAsia="zh-CN"/>
        </w:rPr>
        <w:t>2.1</w:t>
      </w:r>
      <w:r>
        <w:rPr>
          <w:rFonts w:hint="eastAsia" w:ascii="Times New Roman" w:hAnsi="Times New Roman" w:eastAsia="宋体" w:cs="Times New Roman"/>
          <w:bCs w:val="0"/>
          <w:sz w:val="24"/>
          <w:szCs w:val="24"/>
          <w:lang w:val="en-US" w:eastAsia="zh-CN"/>
        </w:rPr>
        <w:t>6</w:t>
      </w:r>
      <w:r>
        <w:rPr>
          <w:rFonts w:hint="default" w:ascii="Times New Roman" w:hAnsi="Times New Roman" w:eastAsia="宋体" w:cs="Times New Roman"/>
          <w:bCs w:val="0"/>
          <w:sz w:val="24"/>
          <w:szCs w:val="24"/>
          <w:lang w:val="en-US" w:eastAsia="zh-CN"/>
        </w:rPr>
        <w:t xml:space="preserve"> </w:t>
      </w:r>
      <w:r>
        <w:rPr>
          <w:rFonts w:hint="eastAsia" w:ascii="Times New Roman" w:hAnsi="Times New Roman" w:eastAsia="宋体" w:cs="Times New Roman"/>
          <w:bCs w:val="0"/>
          <w:sz w:val="24"/>
          <w:szCs w:val="24"/>
          <w:lang w:val="en-US" w:eastAsia="zh-CN"/>
        </w:rPr>
        <w:t>交叉作业安全管理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_Toc529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61</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_Toc6170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val="0"/>
          <w:sz w:val="24"/>
          <w:szCs w:val="24"/>
          <w:lang w:val="en-US" w:eastAsia="zh-CN"/>
        </w:rPr>
        <w:t>2.1</w:t>
      </w:r>
      <w:r>
        <w:rPr>
          <w:rFonts w:hint="eastAsia" w:ascii="Times New Roman" w:hAnsi="Times New Roman" w:eastAsia="宋体" w:cs="Times New Roman"/>
          <w:bCs w:val="0"/>
          <w:sz w:val="24"/>
          <w:szCs w:val="24"/>
          <w:lang w:val="en-US" w:eastAsia="zh-CN"/>
        </w:rPr>
        <w:t>7</w:t>
      </w:r>
      <w:r>
        <w:rPr>
          <w:rFonts w:hint="default" w:ascii="Times New Roman" w:hAnsi="Times New Roman" w:eastAsia="宋体" w:cs="Times New Roman"/>
          <w:bCs w:val="0"/>
          <w:sz w:val="24"/>
          <w:szCs w:val="24"/>
          <w:lang w:val="en-US" w:eastAsia="zh-CN"/>
        </w:rPr>
        <w:t xml:space="preserve"> 生产安全事故管理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_Toc6170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61</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_Toc18497 </w:instrText>
      </w:r>
      <w:r>
        <w:rPr>
          <w:rFonts w:ascii="Times New Roman" w:hAnsi="Times New Roman" w:eastAsia="宋体" w:cs="Times New Roman"/>
          <w:bCs w:val="0"/>
          <w:sz w:val="24"/>
          <w:szCs w:val="24"/>
        </w:rPr>
        <w:fldChar w:fldCharType="separate"/>
      </w:r>
      <w:r>
        <w:rPr>
          <w:rFonts w:ascii="Times New Roman" w:hAnsi="Times New Roman" w:eastAsia="宋体" w:cs="Times New Roman"/>
          <w:bCs/>
          <w:sz w:val="24"/>
          <w:szCs w:val="24"/>
        </w:rPr>
        <w:t>2.1</w:t>
      </w:r>
      <w:r>
        <w:rPr>
          <w:rFonts w:hint="eastAsia" w:ascii="Times New Roman" w:hAnsi="Times New Roman" w:eastAsia="宋体" w:cs="Times New Roman"/>
          <w:bCs/>
          <w:sz w:val="24"/>
          <w:szCs w:val="24"/>
          <w:lang w:val="en-US" w:eastAsia="zh-CN"/>
        </w:rPr>
        <w:t xml:space="preserve">8 </w:t>
      </w:r>
      <w:r>
        <w:rPr>
          <w:rFonts w:hint="eastAsia" w:ascii="Times New Roman" w:hAnsi="Times New Roman" w:eastAsia="宋体" w:cs="Times New Roman"/>
          <w:bCs/>
          <w:sz w:val="24"/>
          <w:szCs w:val="24"/>
        </w:rPr>
        <w:t>安全生产标准化及双重预防体系的建设、运行情况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_Toc18497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62</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_Toc22899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sz w:val="24"/>
          <w:szCs w:val="24"/>
        </w:rPr>
        <w:t>3 主要危险、有害因素分析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_Toc22899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64</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_Toc6042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3.1 主要危险有害物质分析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_Toc6042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64</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_Toc17371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3.2 主要</w:t>
      </w:r>
      <w:r>
        <w:rPr>
          <w:rFonts w:hint="eastAsia" w:ascii="Times New Roman" w:hAnsi="Times New Roman" w:eastAsia="宋体" w:cs="Times New Roman"/>
          <w:bCs/>
          <w:sz w:val="24"/>
          <w:szCs w:val="24"/>
          <w:lang w:val="en-US" w:eastAsia="zh-CN"/>
        </w:rPr>
        <w:t>作业流程</w:t>
      </w:r>
      <w:r>
        <w:rPr>
          <w:rFonts w:hint="eastAsia" w:ascii="Times New Roman" w:hAnsi="Times New Roman" w:eastAsia="宋体" w:cs="Times New Roman"/>
          <w:bCs/>
          <w:sz w:val="24"/>
          <w:szCs w:val="24"/>
        </w:rPr>
        <w:t>危险性分析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_Toc17371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73</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_Toc5928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3.3 主要设备设施危险性分析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_Toc5928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76</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_Toc12418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3.</w:t>
      </w:r>
      <w:r>
        <w:rPr>
          <w:rFonts w:hint="eastAsia" w:ascii="Times New Roman" w:hAnsi="Times New Roman" w:eastAsia="宋体" w:cs="Times New Roman"/>
          <w:bCs/>
          <w:sz w:val="24"/>
          <w:szCs w:val="24"/>
          <w:lang w:val="en-US" w:eastAsia="zh-CN"/>
        </w:rPr>
        <w:t>4</w:t>
      </w:r>
      <w:r>
        <w:rPr>
          <w:rFonts w:hint="eastAsia" w:ascii="Times New Roman" w:hAnsi="Times New Roman" w:eastAsia="宋体" w:cs="Times New Roman"/>
          <w:bCs/>
          <w:sz w:val="24"/>
          <w:szCs w:val="24"/>
        </w:rPr>
        <w:t xml:space="preserve"> 主要危险因素分析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_Toc12418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78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_Toc6245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3.</w:t>
      </w:r>
      <w:r>
        <w:rPr>
          <w:rFonts w:hint="eastAsia" w:ascii="Times New Roman" w:hAnsi="Times New Roman" w:eastAsia="宋体" w:cs="Times New Roman"/>
          <w:bCs/>
          <w:sz w:val="24"/>
          <w:szCs w:val="24"/>
          <w:lang w:val="en-US" w:eastAsia="zh-CN"/>
        </w:rPr>
        <w:t>5</w:t>
      </w:r>
      <w:r>
        <w:rPr>
          <w:rFonts w:hint="eastAsia" w:ascii="Times New Roman" w:hAnsi="Times New Roman" w:eastAsia="宋体" w:cs="Times New Roman"/>
          <w:bCs/>
          <w:sz w:val="24"/>
          <w:szCs w:val="24"/>
        </w:rPr>
        <w:t xml:space="preserve"> 主要有害因素辨识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_Toc6245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85</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_Toc15321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3.</w:t>
      </w:r>
      <w:r>
        <w:rPr>
          <w:rFonts w:hint="eastAsia" w:ascii="Times New Roman" w:hAnsi="Times New Roman" w:eastAsia="宋体" w:cs="Times New Roman"/>
          <w:bCs/>
          <w:sz w:val="24"/>
          <w:szCs w:val="24"/>
          <w:lang w:val="en-US" w:eastAsia="zh-CN"/>
        </w:rPr>
        <w:t>6</w:t>
      </w:r>
      <w:r>
        <w:rPr>
          <w:rFonts w:hint="eastAsia" w:ascii="Times New Roman" w:hAnsi="Times New Roman" w:eastAsia="宋体" w:cs="Times New Roman"/>
          <w:bCs/>
          <w:sz w:val="24"/>
          <w:szCs w:val="24"/>
        </w:rPr>
        <w:t xml:space="preserve"> 自然灾害的影响</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_Toc15321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85</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_Toc6999 </w:instrText>
      </w:r>
      <w:r>
        <w:rPr>
          <w:rFonts w:ascii="Times New Roman" w:hAnsi="Times New Roman" w:eastAsia="宋体" w:cs="Times New Roman"/>
          <w:bCs w:val="0"/>
          <w:sz w:val="24"/>
          <w:szCs w:val="24"/>
        </w:rPr>
        <w:fldChar w:fldCharType="separate"/>
      </w:r>
      <w:r>
        <w:rPr>
          <w:rFonts w:ascii="Times New Roman" w:hAnsi="Times New Roman" w:eastAsia="宋体" w:cs="Times New Roman"/>
          <w:bCs/>
          <w:sz w:val="24"/>
          <w:szCs w:val="24"/>
        </w:rPr>
        <w:t xml:space="preserve">3.7 </w:t>
      </w:r>
      <w:r>
        <w:rPr>
          <w:rFonts w:hint="eastAsia" w:ascii="Times New Roman" w:hAnsi="Times New Roman" w:eastAsia="宋体" w:cs="Times New Roman"/>
          <w:bCs/>
          <w:sz w:val="24"/>
          <w:szCs w:val="24"/>
          <w:lang w:val="en-US" w:eastAsia="zh-CN"/>
        </w:rPr>
        <w:t>人的不安全行为和安全管理缺陷</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_Toc6999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87</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_Toc19905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3.</w:t>
      </w:r>
      <w:r>
        <w:rPr>
          <w:rFonts w:hint="eastAsia" w:ascii="Times New Roman" w:hAnsi="Times New Roman" w:eastAsia="宋体" w:cs="Times New Roman"/>
          <w:bCs/>
          <w:sz w:val="24"/>
          <w:szCs w:val="24"/>
          <w:lang w:val="en-US" w:eastAsia="zh-CN"/>
        </w:rPr>
        <w:t>8</w:t>
      </w:r>
      <w:r>
        <w:rPr>
          <w:rFonts w:hint="eastAsia" w:ascii="Times New Roman" w:hAnsi="Times New Roman" w:eastAsia="宋体" w:cs="Times New Roman"/>
          <w:bCs/>
          <w:sz w:val="24"/>
          <w:szCs w:val="24"/>
        </w:rPr>
        <w:t xml:space="preserve"> 重大危险源辨识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_Toc19905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89</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_Toc30849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3.</w:t>
      </w:r>
      <w:r>
        <w:rPr>
          <w:rFonts w:hint="eastAsia" w:ascii="Times New Roman" w:hAnsi="Times New Roman" w:eastAsia="宋体" w:cs="Times New Roman"/>
          <w:bCs/>
          <w:sz w:val="24"/>
          <w:szCs w:val="24"/>
          <w:lang w:val="en-US" w:eastAsia="zh-CN"/>
        </w:rPr>
        <w:t>9</w:t>
      </w:r>
      <w:r>
        <w:rPr>
          <w:rFonts w:hint="eastAsia" w:ascii="Times New Roman" w:hAnsi="Times New Roman" w:eastAsia="宋体" w:cs="Times New Roman"/>
          <w:bCs/>
          <w:sz w:val="24"/>
          <w:szCs w:val="24"/>
        </w:rPr>
        <w:t xml:space="preserve"> </w:t>
      </w:r>
      <w:r>
        <w:rPr>
          <w:rFonts w:hint="default" w:ascii="Times New Roman" w:hAnsi="Times New Roman" w:eastAsia="宋体" w:cs="Times New Roman"/>
          <w:bCs/>
          <w:sz w:val="24"/>
          <w:szCs w:val="24"/>
          <w:lang w:eastAsia="zh-CN"/>
        </w:rPr>
        <w:t>事故案例分析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_Toc30849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90</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_Toc21555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3.</w:t>
      </w:r>
      <w:r>
        <w:rPr>
          <w:rFonts w:hint="eastAsia" w:ascii="Times New Roman" w:hAnsi="Times New Roman" w:eastAsia="宋体" w:cs="Times New Roman"/>
          <w:bCs/>
          <w:sz w:val="24"/>
          <w:szCs w:val="24"/>
          <w:lang w:val="en-US" w:eastAsia="zh-CN"/>
        </w:rPr>
        <w:t>10</w:t>
      </w:r>
      <w:r>
        <w:rPr>
          <w:rFonts w:hint="eastAsia" w:ascii="Times New Roman" w:hAnsi="Times New Roman" w:eastAsia="宋体" w:cs="Times New Roman"/>
          <w:bCs/>
          <w:sz w:val="24"/>
          <w:szCs w:val="24"/>
        </w:rPr>
        <w:t xml:space="preserve"> 主要危险、有害因素分析结论</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_Toc21555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93</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_Toc1916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sz w:val="24"/>
          <w:szCs w:val="24"/>
        </w:rPr>
        <w:t>4</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评价单元划分及评价方法选择</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_Toc1916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94</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_Toc19447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4.1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评价单元划分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_Toc19447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94</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_Toc3889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4.2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评价方法选择</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_Toc3889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94</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_Toc20595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定性定量安全评价</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_Toc20595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_Toc29962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5.1 生产单元安全检查表</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_Toc29962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_Toc29338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5.</w:t>
      </w:r>
      <w:r>
        <w:rPr>
          <w:rFonts w:hint="default" w:ascii="Times New Roman" w:hAnsi="Times New Roman" w:eastAsia="宋体" w:cs="Times New Roman"/>
          <w:bCs/>
          <w:sz w:val="24"/>
          <w:szCs w:val="24"/>
          <w:lang w:val="en-US" w:eastAsia="zh-CN"/>
        </w:rPr>
        <w:t>2</w:t>
      </w:r>
      <w:r>
        <w:rPr>
          <w:rFonts w:hint="default" w:ascii="Times New Roman" w:hAnsi="Times New Roman" w:eastAsia="宋体" w:cs="Times New Roman"/>
          <w:bCs/>
          <w:sz w:val="24"/>
          <w:szCs w:val="24"/>
        </w:rPr>
        <w:t xml:space="preserve"> 作业条件危险性评价</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_Toc29338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113</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_Toc2716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bCs/>
          <w:sz w:val="24"/>
          <w:szCs w:val="24"/>
        </w:rPr>
        <w:t>5.</w:t>
      </w:r>
      <w:r>
        <w:rPr>
          <w:rFonts w:hint="eastAsia" w:ascii="Times New Roman" w:hAnsi="Times New Roman" w:eastAsia="宋体" w:cs="Times New Roman"/>
          <w:bCs/>
          <w:sz w:val="24"/>
          <w:szCs w:val="24"/>
          <w:lang w:val="en-US" w:eastAsia="zh-CN"/>
        </w:rPr>
        <w:t>3</w:t>
      </w:r>
      <w:r>
        <w:rPr>
          <w:rFonts w:hint="eastAsia" w:ascii="Times New Roman" w:hAnsi="Times New Roman" w:eastAsia="宋体" w:cs="Times New Roman"/>
          <w:bCs/>
          <w:sz w:val="24"/>
          <w:szCs w:val="24"/>
        </w:rPr>
        <w:t xml:space="preserve"> 管理单元安全检查表</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_Toc2716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115</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_Toc22642 </w:instrText>
      </w:r>
      <w:r>
        <w:rPr>
          <w:rFonts w:ascii="Times New Roman" w:hAnsi="Times New Roman" w:eastAsia="宋体" w:cs="Times New Roman"/>
          <w:bCs w:val="0"/>
          <w:sz w:val="24"/>
          <w:szCs w:val="24"/>
        </w:rPr>
        <w:fldChar w:fldCharType="separate"/>
      </w:r>
      <w:r>
        <w:rPr>
          <w:rFonts w:ascii="Times New Roman" w:hAnsi="Times New Roman" w:eastAsia="宋体" w:cs="Times New Roman"/>
          <w:sz w:val="24"/>
          <w:szCs w:val="24"/>
        </w:rPr>
        <w:t>6</w:t>
      </w:r>
      <w:r>
        <w:rPr>
          <w:rFonts w:hint="eastAsia" w:ascii="Times New Roman" w:hAnsi="Times New Roman" w:eastAsia="宋体" w:cs="Times New Roman"/>
          <w:sz w:val="24"/>
          <w:szCs w:val="24"/>
        </w:rPr>
        <w:t xml:space="preserve"> 安全对策措施与管理建议</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_Toc22642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126</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_Toc5517 </w:instrText>
      </w:r>
      <w:r>
        <w:rPr>
          <w:rFonts w:ascii="Times New Roman" w:hAnsi="Times New Roman" w:eastAsia="宋体" w:cs="Times New Roman"/>
          <w:bCs w:val="0"/>
          <w:sz w:val="24"/>
          <w:szCs w:val="24"/>
        </w:rPr>
        <w:fldChar w:fldCharType="separate"/>
      </w:r>
      <w:r>
        <w:rPr>
          <w:rFonts w:ascii="Times New Roman" w:hAnsi="Times New Roman" w:eastAsia="宋体" w:cs="Times New Roman"/>
          <w:bCs/>
          <w:sz w:val="24"/>
          <w:szCs w:val="24"/>
        </w:rPr>
        <w:t>6</w:t>
      </w:r>
      <w:r>
        <w:rPr>
          <w:rFonts w:hint="eastAsia" w:ascii="Times New Roman" w:hAnsi="Times New Roman" w:eastAsia="宋体" w:cs="Times New Roman"/>
          <w:bCs/>
          <w:sz w:val="24"/>
          <w:szCs w:val="24"/>
        </w:rPr>
        <w:t xml:space="preserve">.1 </w:t>
      </w:r>
      <w:r>
        <w:rPr>
          <w:rFonts w:hint="eastAsia" w:ascii="Times New Roman" w:hAnsi="Times New Roman" w:eastAsia="宋体" w:cs="Times New Roman"/>
          <w:bCs/>
          <w:sz w:val="24"/>
          <w:szCs w:val="24"/>
          <w:highlight w:val="none"/>
        </w:rPr>
        <w:t>安全对策措施</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_Toc5517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126</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_Toc29146 </w:instrText>
      </w:r>
      <w:r>
        <w:rPr>
          <w:rFonts w:ascii="Times New Roman" w:hAnsi="Times New Roman" w:eastAsia="宋体" w:cs="Times New Roman"/>
          <w:bCs w:val="0"/>
          <w:sz w:val="24"/>
          <w:szCs w:val="24"/>
        </w:rPr>
        <w:fldChar w:fldCharType="separate"/>
      </w:r>
      <w:r>
        <w:rPr>
          <w:rFonts w:ascii="Times New Roman" w:hAnsi="Times New Roman" w:eastAsia="宋体" w:cs="Times New Roman"/>
          <w:bCs/>
          <w:sz w:val="24"/>
          <w:szCs w:val="24"/>
        </w:rPr>
        <w:t>6</w:t>
      </w:r>
      <w:r>
        <w:rPr>
          <w:rFonts w:hint="eastAsia" w:ascii="Times New Roman" w:hAnsi="Times New Roman" w:eastAsia="宋体" w:cs="Times New Roman"/>
          <w:bCs/>
          <w:sz w:val="24"/>
          <w:szCs w:val="24"/>
        </w:rPr>
        <w:t>.2 安全管理建议</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_Toc29146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126</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_Toc19398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sz w:val="24"/>
          <w:szCs w:val="24"/>
          <w:lang w:val="en-US" w:eastAsia="zh-CN"/>
        </w:rPr>
        <w:t>7</w:t>
      </w:r>
      <w:r>
        <w:rPr>
          <w:rFonts w:hint="eastAsia" w:ascii="Times New Roman" w:hAnsi="Times New Roman" w:eastAsia="宋体" w:cs="Times New Roman"/>
          <w:sz w:val="24"/>
          <w:szCs w:val="24"/>
        </w:rPr>
        <w:t xml:space="preserve"> 隐患整改复查情况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_Toc19398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129</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_Toc13430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val="en-US" w:eastAsia="zh-CN"/>
        </w:rPr>
        <w:t>安全生产条件分析评价</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_Toc13430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132</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_Toc3643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8</w:t>
      </w:r>
      <w:r>
        <w:rPr>
          <w:rFonts w:hint="default" w:ascii="Times New Roman" w:hAnsi="Times New Roman" w:eastAsia="宋体" w:cs="Times New Roman"/>
          <w:bCs/>
          <w:sz w:val="24"/>
          <w:szCs w:val="24"/>
        </w:rPr>
        <w:t xml:space="preserve">.1 </w:t>
      </w:r>
      <w:r>
        <w:rPr>
          <w:rFonts w:hint="default" w:ascii="Times New Roman" w:hAnsi="Times New Roman" w:eastAsia="宋体" w:cs="Times New Roman"/>
          <w:bCs/>
          <w:sz w:val="24"/>
          <w:szCs w:val="24"/>
          <w:lang w:eastAsia="zh-CN"/>
        </w:rPr>
        <w:t>安全生产条件分析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_Toc3643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132</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_Toc8162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8.2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en-US" w:eastAsia="zh-CN"/>
        </w:rPr>
        <w:t>重大安全风险隐患分析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_Toc8162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137</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_Toc16063 </w:instrText>
      </w:r>
      <w:r>
        <w:rPr>
          <w:rFonts w:ascii="Times New Roman" w:hAnsi="Times New Roman" w:eastAsia="宋体" w:cs="Times New Roman"/>
          <w:bCs w:val="0"/>
          <w:sz w:val="24"/>
          <w:szCs w:val="24"/>
        </w:rPr>
        <w:fldChar w:fldCharType="separate"/>
      </w:r>
      <w:r>
        <w:rPr>
          <w:rFonts w:hint="eastAsia" w:ascii="Times New Roman" w:hAnsi="Times New Roman" w:eastAsia="宋体" w:cs="Times New Roman"/>
          <w:sz w:val="24"/>
          <w:szCs w:val="24"/>
          <w:lang w:val="en-US" w:eastAsia="zh-CN"/>
        </w:rPr>
        <w:t>9</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安全现状评价结论</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_Toc16063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140</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_Toc5278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附件1 营业执照复印件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_Toc5278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142</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_Toc12747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附件2 专利证书</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_Toc12747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143</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_Toc7002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w:t>
      </w:r>
      <w:r>
        <w:rPr>
          <w:rFonts w:hint="eastAsia"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lang w:val="en-US" w:eastAsia="zh-CN"/>
        </w:rPr>
        <w:t xml:space="preserve"> 安全管理机构成立</w:t>
      </w:r>
      <w:r>
        <w:rPr>
          <w:rFonts w:hint="eastAsia" w:ascii="Times New Roman" w:hAnsi="Times New Roman" w:eastAsia="宋体" w:cs="Times New Roman"/>
          <w:bCs/>
          <w:sz w:val="24"/>
          <w:szCs w:val="24"/>
          <w:lang w:val="en-US" w:eastAsia="zh-CN"/>
        </w:rPr>
        <w:t>和</w:t>
      </w:r>
      <w:r>
        <w:rPr>
          <w:rFonts w:hint="default" w:ascii="Times New Roman" w:hAnsi="Times New Roman" w:eastAsia="宋体" w:cs="Times New Roman"/>
          <w:bCs/>
          <w:sz w:val="24"/>
          <w:szCs w:val="24"/>
          <w:lang w:val="en-US" w:eastAsia="zh-CN"/>
        </w:rPr>
        <w:t>安全人员配备文件</w:t>
      </w:r>
      <w:r>
        <w:rPr>
          <w:rFonts w:hint="eastAsia" w:ascii="Times New Roman" w:hAnsi="Times New Roman" w:eastAsia="宋体" w:cs="Times New Roman"/>
          <w:bCs/>
          <w:sz w:val="24"/>
          <w:szCs w:val="24"/>
          <w:lang w:val="en-US" w:eastAsia="zh-CN"/>
        </w:rPr>
        <w:t>及注册安全工程师证书</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_Toc7002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153</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_Toc795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w:t>
      </w:r>
      <w:r>
        <w:rPr>
          <w:rFonts w:hint="eastAsia" w:ascii="Times New Roman" w:hAnsi="Times New Roman" w:eastAsia="宋体" w:cs="Times New Roman"/>
          <w:bCs/>
          <w:sz w:val="24"/>
          <w:szCs w:val="24"/>
          <w:lang w:val="en-US" w:eastAsia="zh-CN"/>
        </w:rPr>
        <w:t>4</w:t>
      </w:r>
      <w:r>
        <w:rPr>
          <w:rFonts w:hint="default" w:ascii="Times New Roman" w:hAnsi="Times New Roman" w:eastAsia="宋体" w:cs="Times New Roman"/>
          <w:bCs/>
          <w:sz w:val="24"/>
          <w:szCs w:val="24"/>
          <w:lang w:val="en-US" w:eastAsia="zh-CN"/>
        </w:rPr>
        <w:t xml:space="preserve"> 主要负责人、安全管理人员合格证</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_Toc795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159</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_Toc26496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w:t>
      </w:r>
      <w:r>
        <w:rPr>
          <w:rFonts w:hint="eastAsia" w:ascii="Times New Roman" w:hAnsi="Times New Roman" w:eastAsia="宋体" w:cs="Times New Roman"/>
          <w:bCs/>
          <w:sz w:val="24"/>
          <w:szCs w:val="24"/>
          <w:lang w:val="en-US" w:eastAsia="zh-CN"/>
        </w:rPr>
        <w:t>5</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t>特种作业</w:t>
      </w:r>
      <w:r>
        <w:rPr>
          <w:rFonts w:hint="default" w:ascii="Times New Roman" w:hAnsi="Times New Roman" w:eastAsia="宋体" w:cs="Times New Roman"/>
          <w:bCs/>
          <w:sz w:val="24"/>
          <w:szCs w:val="24"/>
          <w:lang w:val="en-US" w:eastAsia="zh-CN"/>
        </w:rPr>
        <w:t>人员</w:t>
      </w:r>
      <w:r>
        <w:rPr>
          <w:rFonts w:hint="eastAsia" w:ascii="Times New Roman" w:hAnsi="Times New Roman" w:eastAsia="宋体" w:cs="Times New Roman"/>
          <w:bCs/>
          <w:sz w:val="24"/>
          <w:szCs w:val="24"/>
          <w:lang w:val="en-US" w:eastAsia="zh-CN"/>
        </w:rPr>
        <w:t>及特殊工种</w:t>
      </w:r>
      <w:r>
        <w:rPr>
          <w:rFonts w:hint="default" w:ascii="Times New Roman" w:hAnsi="Times New Roman" w:eastAsia="宋体" w:cs="Times New Roman"/>
          <w:bCs/>
          <w:sz w:val="24"/>
          <w:szCs w:val="24"/>
          <w:lang w:val="en-US" w:eastAsia="zh-CN"/>
        </w:rPr>
        <w:t>台账及证书</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_Toc26496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162</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_Toc3210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6</w:t>
      </w:r>
      <w:r>
        <w:rPr>
          <w:rFonts w:hint="default" w:ascii="Times New Roman" w:hAnsi="Times New Roman" w:eastAsia="宋体" w:cs="Times New Roman"/>
          <w:bCs/>
          <w:sz w:val="24"/>
          <w:szCs w:val="24"/>
          <w:lang w:val="en-US" w:eastAsia="zh-CN"/>
        </w:rPr>
        <w:t xml:space="preserve"> 三证台账及部分证书复印件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_Toc3210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166</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_Toc30512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w:t>
      </w:r>
      <w:r>
        <w:rPr>
          <w:rFonts w:hint="eastAsia" w:ascii="Times New Roman" w:hAnsi="Times New Roman" w:eastAsia="宋体" w:cs="Times New Roman"/>
          <w:bCs/>
          <w:sz w:val="24"/>
          <w:szCs w:val="24"/>
          <w:lang w:val="en-US" w:eastAsia="zh-CN"/>
        </w:rPr>
        <w:t>7</w:t>
      </w:r>
      <w:r>
        <w:rPr>
          <w:rFonts w:hint="default" w:ascii="Times New Roman" w:hAnsi="Times New Roman" w:eastAsia="宋体" w:cs="Times New Roman"/>
          <w:bCs/>
          <w:sz w:val="24"/>
          <w:szCs w:val="24"/>
          <w:lang w:val="en-US" w:eastAsia="zh-CN"/>
        </w:rPr>
        <w:t xml:space="preserve"> 单位工伤保险参保证明</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_Toc30512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182</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_Toc30881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8</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安全生产责任保险的有关证明</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_Toc30881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188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_Toc1040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9</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t>劳务派遣协议及人员名单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_Toc1040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192</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_Toc30379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10</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生产安全事故应急预案备案登记表</w:t>
      </w:r>
      <w:r>
        <w:rPr>
          <w:rFonts w:hint="eastAsia" w:ascii="Times New Roman" w:hAnsi="Times New Roman" w:eastAsia="宋体" w:cs="Times New Roman"/>
          <w:bCs/>
          <w:sz w:val="24"/>
          <w:szCs w:val="24"/>
          <w:lang w:val="en-US" w:eastAsia="zh-CN"/>
        </w:rPr>
        <w:t>及封面目录页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_Toc30379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199</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_Toc21400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bidi="ar-SA"/>
        </w:rPr>
        <w:t>附件1</w:t>
      </w:r>
      <w:r>
        <w:rPr>
          <w:rFonts w:hint="eastAsia" w:ascii="Times New Roman" w:hAnsi="Times New Roman" w:eastAsia="宋体" w:cs="Times New Roman"/>
          <w:bCs/>
          <w:sz w:val="24"/>
          <w:szCs w:val="24"/>
          <w:lang w:val="en-US" w:eastAsia="zh-CN" w:bidi="ar-SA"/>
        </w:rPr>
        <w:t>1 应急救援组织成立文件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_Toc21400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207</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_Toc1096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highlight w:val="none"/>
          <w:lang w:val="en-US" w:eastAsia="zh-CN" w:bidi="ar-SA"/>
        </w:rPr>
        <w:t>附件1</w:t>
      </w:r>
      <w:r>
        <w:rPr>
          <w:rFonts w:hint="eastAsia" w:ascii="Times New Roman" w:hAnsi="Times New Roman" w:eastAsia="宋体" w:cs="Times New Roman"/>
          <w:bCs/>
          <w:sz w:val="24"/>
          <w:szCs w:val="24"/>
          <w:highlight w:val="none"/>
          <w:lang w:val="en-US" w:eastAsia="zh-CN" w:bidi="ar-SA"/>
        </w:rPr>
        <w:t xml:space="preserve">2 </w:t>
      </w:r>
      <w:r>
        <w:rPr>
          <w:rFonts w:hint="default" w:ascii="Times New Roman" w:hAnsi="Times New Roman" w:eastAsia="宋体" w:cs="Times New Roman"/>
          <w:bCs/>
          <w:sz w:val="24"/>
          <w:szCs w:val="24"/>
          <w:highlight w:val="none"/>
          <w:lang w:val="en-US" w:eastAsia="zh-CN" w:bidi="ar-SA"/>
        </w:rPr>
        <w:t xml:space="preserve"> </w:t>
      </w:r>
      <w:r>
        <w:rPr>
          <w:rFonts w:hint="eastAsia" w:ascii="Times New Roman" w:hAnsi="Times New Roman" w:eastAsia="宋体" w:cs="Times New Roman"/>
          <w:bCs/>
          <w:sz w:val="24"/>
          <w:szCs w:val="24"/>
          <w:highlight w:val="none"/>
          <w:lang w:val="en-US" w:eastAsia="zh-CN" w:bidi="ar-SA"/>
        </w:rPr>
        <w:t>2023年生产安全事故应急演练计划及应急演练记录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_Toc1096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208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_Toc10948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w:t>
      </w:r>
      <w:r>
        <w:rPr>
          <w:rFonts w:hint="default" w:ascii="Times New Roman" w:hAnsi="Times New Roman" w:eastAsia="宋体" w:cs="Times New Roman"/>
          <w:bCs/>
          <w:sz w:val="24"/>
          <w:szCs w:val="24"/>
          <w:lang w:val="en-US" w:eastAsia="zh-CN"/>
        </w:rPr>
        <w:t>1</w:t>
      </w:r>
      <w:r>
        <w:rPr>
          <w:rFonts w:hint="eastAsia"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eastAsia="zh-CN"/>
        </w:rPr>
        <w:t>应急救援协议</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_Toc10948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230</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_Toc8414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w:t>
      </w:r>
      <w:r>
        <w:rPr>
          <w:rFonts w:hint="default" w:ascii="Times New Roman" w:hAnsi="Times New Roman" w:eastAsia="宋体" w:cs="Times New Roman"/>
          <w:bCs/>
          <w:sz w:val="24"/>
          <w:szCs w:val="24"/>
          <w:lang w:val="en-US" w:eastAsia="zh-CN"/>
        </w:rPr>
        <w:t>1</w:t>
      </w:r>
      <w:r>
        <w:rPr>
          <w:rFonts w:hint="eastAsia" w:ascii="Times New Roman" w:hAnsi="Times New Roman" w:eastAsia="宋体" w:cs="Times New Roman"/>
          <w:bCs/>
          <w:sz w:val="24"/>
          <w:szCs w:val="24"/>
          <w:lang w:val="en-US" w:eastAsia="zh-CN"/>
        </w:rPr>
        <w:t>4</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eastAsia="zh-CN"/>
        </w:rPr>
        <w:t>危险性大的</w:t>
      </w:r>
      <w:r>
        <w:rPr>
          <w:rFonts w:hint="default" w:ascii="Times New Roman" w:hAnsi="Times New Roman" w:eastAsia="宋体" w:cs="Times New Roman"/>
          <w:bCs/>
          <w:sz w:val="24"/>
          <w:szCs w:val="24"/>
          <w:lang w:eastAsia="zh-CN"/>
        </w:rPr>
        <w:t>设备</w:t>
      </w:r>
      <w:r>
        <w:rPr>
          <w:rFonts w:hint="default" w:ascii="Times New Roman" w:hAnsi="Times New Roman" w:eastAsia="宋体" w:cs="Times New Roman"/>
          <w:bCs/>
          <w:sz w:val="24"/>
          <w:szCs w:val="24"/>
          <w:lang w:val="en-US" w:eastAsia="zh-CN"/>
        </w:rPr>
        <w:t>检验检测台账及</w:t>
      </w:r>
      <w:r>
        <w:rPr>
          <w:rFonts w:hint="default" w:ascii="Times New Roman" w:hAnsi="Times New Roman" w:eastAsia="宋体" w:cs="Times New Roman"/>
          <w:bCs/>
          <w:sz w:val="24"/>
          <w:szCs w:val="24"/>
          <w:lang w:eastAsia="zh-CN"/>
        </w:rPr>
        <w:t>检测报告</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_Toc8414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232</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_Toc2129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附件1</w:t>
      </w:r>
      <w:r>
        <w:rPr>
          <w:rFonts w:hint="eastAsia" w:ascii="Times New Roman" w:hAnsi="Times New Roman" w:eastAsia="宋体" w:cs="Times New Roman"/>
          <w:bCs/>
          <w:sz w:val="24"/>
          <w:szCs w:val="24"/>
          <w:lang w:val="en-US" w:eastAsia="zh-CN"/>
        </w:rPr>
        <w:t>5</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eastAsia="zh-CN"/>
        </w:rPr>
        <w:t>压力表、安全阀</w:t>
      </w:r>
      <w:r>
        <w:rPr>
          <w:rFonts w:hint="default" w:ascii="Times New Roman" w:hAnsi="Times New Roman" w:eastAsia="宋体" w:cs="Times New Roman"/>
          <w:bCs/>
          <w:sz w:val="24"/>
          <w:szCs w:val="24"/>
          <w:lang w:val="en-US" w:eastAsia="zh-CN"/>
        </w:rPr>
        <w:t>检验检测台账及部分检测报告</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_Toc2129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319</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_Toc8543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附件1</w:t>
      </w:r>
      <w:r>
        <w:rPr>
          <w:rFonts w:hint="eastAsia" w:ascii="Times New Roman" w:hAnsi="Times New Roman" w:eastAsia="宋体" w:cs="Times New Roman"/>
          <w:bCs/>
          <w:sz w:val="24"/>
          <w:szCs w:val="24"/>
          <w:lang w:val="en-US" w:eastAsia="zh-CN"/>
        </w:rPr>
        <w:t xml:space="preserve">6 </w:t>
      </w:r>
      <w:r>
        <w:rPr>
          <w:rFonts w:hint="default" w:ascii="Times New Roman" w:hAnsi="Times New Roman" w:eastAsia="宋体" w:cs="Times New Roman"/>
          <w:bCs/>
          <w:sz w:val="24"/>
          <w:szCs w:val="24"/>
        </w:rPr>
        <w:t>空气呼吸器、</w:t>
      </w:r>
      <w:r>
        <w:rPr>
          <w:rFonts w:hint="default" w:ascii="Times New Roman" w:hAnsi="Times New Roman" w:eastAsia="宋体" w:cs="Times New Roman"/>
          <w:bCs/>
          <w:sz w:val="24"/>
          <w:szCs w:val="24"/>
          <w:lang w:val="en-US" w:eastAsia="zh-CN"/>
        </w:rPr>
        <w:t>气瓶、</w:t>
      </w:r>
      <w:r>
        <w:rPr>
          <w:rFonts w:hint="default" w:ascii="Times New Roman" w:hAnsi="Times New Roman" w:eastAsia="宋体" w:cs="Times New Roman"/>
          <w:bCs/>
          <w:sz w:val="24"/>
          <w:szCs w:val="24"/>
        </w:rPr>
        <w:t>气体检测报警仪检验检测台账及部分检测报告</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_Toc8543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326</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_Toc8693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附件1</w:t>
      </w:r>
      <w:r>
        <w:rPr>
          <w:rFonts w:hint="eastAsia" w:ascii="Times New Roman" w:hAnsi="Times New Roman" w:eastAsia="宋体" w:cs="Times New Roman"/>
          <w:bCs/>
          <w:sz w:val="24"/>
          <w:szCs w:val="24"/>
          <w:lang w:val="en-US" w:eastAsia="zh-CN"/>
        </w:rPr>
        <w:t>7</w:t>
      </w:r>
      <w:r>
        <w:rPr>
          <w:rFonts w:hint="default" w:ascii="Times New Roman" w:hAnsi="Times New Roman" w:eastAsia="宋体" w:cs="Times New Roman"/>
          <w:bCs/>
          <w:sz w:val="24"/>
          <w:szCs w:val="24"/>
          <w:lang w:val="en-US" w:eastAsia="zh-CN"/>
        </w:rPr>
        <w:t xml:space="preserve"> 绝缘手套、绝缘</w:t>
      </w:r>
      <w:r>
        <w:rPr>
          <w:rFonts w:hint="eastAsia" w:ascii="Times New Roman" w:hAnsi="Times New Roman" w:eastAsia="宋体" w:cs="Times New Roman"/>
          <w:bCs/>
          <w:sz w:val="24"/>
          <w:szCs w:val="24"/>
          <w:lang w:val="en-US" w:eastAsia="zh-CN"/>
        </w:rPr>
        <w:t>鞋</w:t>
      </w:r>
      <w:r>
        <w:rPr>
          <w:rFonts w:hint="default" w:ascii="Times New Roman" w:hAnsi="Times New Roman" w:eastAsia="宋体" w:cs="Times New Roman"/>
          <w:bCs/>
          <w:sz w:val="24"/>
          <w:szCs w:val="24"/>
          <w:lang w:val="en-US" w:eastAsia="zh-CN"/>
        </w:rPr>
        <w:t>检验检测台账及部分检测报告</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_Toc8693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358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_Toc20261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附件1</w:t>
      </w:r>
      <w:r>
        <w:rPr>
          <w:rFonts w:hint="eastAsia" w:ascii="Times New Roman" w:hAnsi="Times New Roman" w:eastAsia="宋体" w:cs="Times New Roman"/>
          <w:bCs/>
          <w:sz w:val="24"/>
          <w:szCs w:val="24"/>
          <w:lang w:val="en-US" w:eastAsia="zh-CN"/>
        </w:rPr>
        <w:t>8 防雷检测报告</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_Toc20261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365</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_Toc17450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附件1</w:t>
      </w:r>
      <w:r>
        <w:rPr>
          <w:rFonts w:hint="eastAsia" w:ascii="Times New Roman" w:hAnsi="Times New Roman" w:eastAsia="宋体" w:cs="Times New Roman"/>
          <w:bCs/>
          <w:sz w:val="24"/>
          <w:szCs w:val="24"/>
          <w:lang w:val="en-US" w:eastAsia="zh-CN"/>
        </w:rPr>
        <w:t>9</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安全生产费用提取计划及使用证明材料</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_Toc17450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371</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_Toc4875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w:t>
      </w:r>
      <w:r>
        <w:rPr>
          <w:rFonts w:hint="eastAsia" w:ascii="Times New Roman" w:hAnsi="Times New Roman" w:eastAsia="宋体" w:cs="Times New Roman"/>
          <w:bCs/>
          <w:sz w:val="24"/>
          <w:szCs w:val="24"/>
          <w:lang w:val="en-US" w:eastAsia="zh-CN"/>
        </w:rPr>
        <w:t>20</w:t>
      </w:r>
      <w:r>
        <w:rPr>
          <w:rFonts w:hint="default" w:ascii="Times New Roman" w:hAnsi="Times New Roman" w:eastAsia="宋体" w:cs="Times New Roman"/>
          <w:bCs/>
          <w:sz w:val="24"/>
          <w:szCs w:val="24"/>
          <w:lang w:val="en-US" w:eastAsia="zh-CN"/>
        </w:rPr>
        <w:t xml:space="preserve"> 安全教育培训计划及相关资料</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_Toc4875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376</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_Toc29065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w:t>
      </w:r>
      <w:r>
        <w:rPr>
          <w:rFonts w:hint="eastAsia" w:ascii="Times New Roman" w:hAnsi="Times New Roman" w:eastAsia="宋体" w:cs="Times New Roman"/>
          <w:bCs/>
          <w:sz w:val="24"/>
          <w:szCs w:val="24"/>
          <w:lang w:val="en-US" w:eastAsia="zh-CN"/>
        </w:rPr>
        <w:t>21</w:t>
      </w:r>
      <w:r>
        <w:rPr>
          <w:rFonts w:hint="default" w:ascii="Times New Roman" w:hAnsi="Times New Roman" w:eastAsia="宋体" w:cs="Times New Roman"/>
          <w:bCs/>
          <w:sz w:val="24"/>
          <w:szCs w:val="24"/>
          <w:lang w:val="en-US" w:eastAsia="zh-CN"/>
        </w:rPr>
        <w:t xml:space="preserve"> 劳动防护用品发放记录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_Toc29065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403</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_Toc13795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bidi="ar-SA"/>
        </w:rPr>
        <w:t>附件2</w:t>
      </w:r>
      <w:r>
        <w:rPr>
          <w:rFonts w:hint="eastAsia" w:ascii="Times New Roman" w:hAnsi="Times New Roman" w:eastAsia="宋体" w:cs="Times New Roman"/>
          <w:bCs/>
          <w:sz w:val="24"/>
          <w:szCs w:val="24"/>
          <w:lang w:val="en-US" w:eastAsia="zh-CN" w:bidi="ar-SA"/>
        </w:rPr>
        <w:t>2</w:t>
      </w:r>
      <w:r>
        <w:rPr>
          <w:rFonts w:hint="default" w:ascii="Times New Roman" w:hAnsi="Times New Roman" w:eastAsia="宋体" w:cs="Times New Roman"/>
          <w:bCs/>
          <w:sz w:val="24"/>
          <w:szCs w:val="24"/>
          <w:lang w:val="en-US" w:eastAsia="zh-CN" w:bidi="ar-SA"/>
        </w:rPr>
        <w:t xml:space="preserve"> </w:t>
      </w:r>
      <w:r>
        <w:rPr>
          <w:rFonts w:hint="eastAsia" w:ascii="Times New Roman" w:hAnsi="Times New Roman" w:eastAsia="宋体" w:cs="Times New Roman"/>
          <w:bCs/>
          <w:sz w:val="24"/>
          <w:szCs w:val="24"/>
          <w:lang w:val="en-US" w:eastAsia="zh-CN" w:bidi="ar-SA"/>
        </w:rPr>
        <w:t>设备租赁合同</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_Toc13795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410</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_Toc17862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w:t>
      </w:r>
      <w:r>
        <w:rPr>
          <w:rFonts w:hint="eastAsia" w:ascii="Times New Roman" w:hAnsi="Times New Roman" w:eastAsia="宋体" w:cs="Times New Roman"/>
          <w:bCs/>
          <w:sz w:val="24"/>
          <w:szCs w:val="24"/>
          <w:lang w:val="en-US" w:eastAsia="zh-CN"/>
        </w:rPr>
        <w:t>23</w:t>
      </w:r>
      <w:r>
        <w:rPr>
          <w:rFonts w:hint="default" w:ascii="Times New Roman" w:hAnsi="Times New Roman" w:eastAsia="宋体" w:cs="Times New Roman"/>
          <w:bCs/>
          <w:sz w:val="24"/>
          <w:szCs w:val="24"/>
          <w:lang w:val="en-US" w:eastAsia="zh-CN"/>
        </w:rPr>
        <w:t xml:space="preserve"> 承包商资质、</w:t>
      </w:r>
      <w:r>
        <w:rPr>
          <w:rFonts w:hint="eastAsia" w:ascii="Times New Roman" w:hAnsi="Times New Roman" w:eastAsia="宋体" w:cs="Times New Roman"/>
          <w:bCs/>
          <w:sz w:val="24"/>
          <w:szCs w:val="24"/>
          <w:lang w:val="en-US" w:eastAsia="zh-CN"/>
        </w:rPr>
        <w:t>车辆使用协议</w:t>
      </w:r>
      <w:r>
        <w:rPr>
          <w:rFonts w:hint="default" w:ascii="Times New Roman" w:hAnsi="Times New Roman" w:eastAsia="宋体" w:cs="Times New Roman"/>
          <w:bCs/>
          <w:sz w:val="24"/>
          <w:szCs w:val="24"/>
          <w:lang w:val="en-US" w:eastAsia="zh-CN"/>
        </w:rPr>
        <w:t>及相关</w:t>
      </w:r>
      <w:r>
        <w:rPr>
          <w:rFonts w:hint="eastAsia" w:ascii="Times New Roman" w:hAnsi="Times New Roman" w:eastAsia="宋体" w:cs="Times New Roman"/>
          <w:bCs/>
          <w:sz w:val="24"/>
          <w:szCs w:val="24"/>
          <w:lang w:val="en-US" w:eastAsia="zh-CN"/>
        </w:rPr>
        <w:t>资料</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_Toc17862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433</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_Toc18934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lang w:val="en-US" w:eastAsia="zh-CN"/>
        </w:rPr>
        <w:t>附件2</w:t>
      </w:r>
      <w:r>
        <w:rPr>
          <w:rFonts w:hint="eastAsia" w:ascii="Times New Roman" w:hAnsi="Times New Roman" w:eastAsia="宋体" w:cs="Times New Roman"/>
          <w:bCs/>
          <w:sz w:val="24"/>
          <w:szCs w:val="24"/>
          <w:lang w:val="en-US" w:eastAsia="zh-CN"/>
        </w:rPr>
        <w:t>4</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t>危险</w:t>
      </w:r>
      <w:r>
        <w:rPr>
          <w:rFonts w:hint="default" w:ascii="Times New Roman" w:hAnsi="Times New Roman" w:eastAsia="宋体" w:cs="Times New Roman"/>
          <w:bCs/>
          <w:sz w:val="24"/>
          <w:szCs w:val="24"/>
          <w:lang w:val="en-US" w:eastAsia="zh-CN"/>
        </w:rPr>
        <w:t>作业票</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_Toc18934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454</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_Toc463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附件2</w:t>
      </w:r>
      <w:r>
        <w:rPr>
          <w:rFonts w:hint="eastAsia" w:ascii="Times New Roman" w:hAnsi="Times New Roman" w:eastAsia="宋体" w:cs="Times New Roman"/>
          <w:bCs/>
          <w:sz w:val="24"/>
          <w:szCs w:val="24"/>
          <w:lang w:val="en-US" w:eastAsia="zh-CN"/>
        </w:rPr>
        <w:t>5</w:t>
      </w:r>
      <w:r>
        <w:rPr>
          <w:rFonts w:hint="default" w:ascii="Times New Roman" w:hAnsi="Times New Roman" w:eastAsia="宋体" w:cs="Times New Roman"/>
          <w:bCs/>
          <w:sz w:val="24"/>
          <w:szCs w:val="24"/>
        </w:rPr>
        <w:t xml:space="preserve"> 安全生产责任制封面及目录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_Toc463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458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_Toc11574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26</w:t>
      </w:r>
      <w:r>
        <w:rPr>
          <w:rFonts w:hint="default" w:ascii="Times New Roman" w:hAnsi="Times New Roman" w:eastAsia="宋体" w:cs="Times New Roman"/>
          <w:bCs/>
          <w:sz w:val="24"/>
          <w:szCs w:val="24"/>
        </w:rPr>
        <w:t xml:space="preserve"> 安全管理制度封面及目录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_Toc11574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460</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_Toc4508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附件2</w:t>
      </w:r>
      <w:r>
        <w:rPr>
          <w:rFonts w:hint="eastAsia" w:ascii="Times New Roman" w:hAnsi="Times New Roman" w:eastAsia="宋体" w:cs="Times New Roman"/>
          <w:bCs/>
          <w:sz w:val="24"/>
          <w:szCs w:val="24"/>
          <w:lang w:val="en-US" w:eastAsia="zh-CN"/>
        </w:rPr>
        <w:t>7</w:t>
      </w:r>
      <w:r>
        <w:rPr>
          <w:rFonts w:hint="default" w:ascii="Times New Roman" w:hAnsi="Times New Roman" w:eastAsia="宋体" w:cs="Times New Roman"/>
          <w:bCs/>
          <w:sz w:val="24"/>
          <w:szCs w:val="24"/>
        </w:rPr>
        <w:t xml:space="preserve"> 操作规程封面及目录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_Toc4508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462</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_Toc21062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w:t>
      </w:r>
      <w:r>
        <w:rPr>
          <w:rFonts w:hint="default"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lang w:val="en-US" w:eastAsia="zh-CN"/>
        </w:rPr>
        <w:t>8</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危险性大的设备设施、</w:t>
      </w:r>
      <w:r>
        <w:rPr>
          <w:rFonts w:hint="eastAsia" w:ascii="Times New Roman" w:hAnsi="Times New Roman" w:eastAsia="宋体" w:cs="Times New Roman"/>
          <w:bCs/>
          <w:sz w:val="24"/>
          <w:szCs w:val="24"/>
          <w:lang w:val="en-US" w:eastAsia="zh-CN"/>
        </w:rPr>
        <w:t>安全阀、压力表、空气呼吸器及气体报警仪等检测检验机构资质证书</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_Toc21062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465</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ascii="Times New Roman" w:hAnsi="Times New Roman" w:eastAsia="宋体" w:cs="Times New Roman"/>
          <w:sz w:val="24"/>
          <w:szCs w:val="24"/>
        </w:rPr>
      </w:pPr>
      <w:r>
        <w:rPr>
          <w:rFonts w:ascii="Times New Roman" w:hAnsi="Times New Roman" w:eastAsia="宋体" w:cs="Times New Roman"/>
          <w:bCs w:val="0"/>
          <w:color w:val="0070C0"/>
          <w:sz w:val="24"/>
          <w:szCs w:val="24"/>
        </w:rPr>
        <w:fldChar w:fldCharType="begin"/>
      </w:r>
      <w:r>
        <w:rPr>
          <w:rFonts w:ascii="Times New Roman" w:hAnsi="Times New Roman" w:eastAsia="宋体" w:cs="Times New Roman"/>
          <w:bCs w:val="0"/>
          <w:sz w:val="24"/>
          <w:szCs w:val="24"/>
        </w:rPr>
        <w:instrText xml:space="preserve"> HYPERLINK \l _Toc8618 </w:instrText>
      </w:r>
      <w:r>
        <w:rPr>
          <w:rFonts w:ascii="Times New Roman" w:hAnsi="Times New Roman" w:eastAsia="宋体" w:cs="Times New Roman"/>
          <w:bCs w:val="0"/>
          <w:sz w:val="24"/>
          <w:szCs w:val="24"/>
        </w:rPr>
        <w:fldChar w:fldCharType="separate"/>
      </w:r>
      <w:r>
        <w:rPr>
          <w:rFonts w:hint="default" w:ascii="Times New Roman" w:hAnsi="Times New Roman" w:eastAsia="宋体" w:cs="Times New Roman"/>
          <w:bCs/>
          <w:sz w:val="24"/>
          <w:szCs w:val="24"/>
        </w:rPr>
        <w:t>附件</w:t>
      </w:r>
      <w:r>
        <w:rPr>
          <w:rFonts w:hint="default"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lang w:val="en-US" w:eastAsia="zh-CN"/>
        </w:rPr>
        <w:t>9</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专家组意见及整改说明</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_Toc8618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478</w:t>
      </w:r>
      <w:r>
        <w:rPr>
          <w:rFonts w:ascii="Times New Roman" w:hAnsi="Times New Roman" w:eastAsia="宋体" w:cs="Times New Roman"/>
          <w:sz w:val="24"/>
          <w:szCs w:val="24"/>
        </w:rPr>
        <w:fldChar w:fldCharType="end"/>
      </w:r>
      <w:r>
        <w:rPr>
          <w:rFonts w:ascii="Times New Roman" w:hAnsi="Times New Roman" w:eastAsia="宋体" w:cs="Times New Roman"/>
          <w:bCs w:val="0"/>
          <w:color w:val="0070C0"/>
          <w:sz w:val="24"/>
          <w:szCs w:val="24"/>
        </w:rPr>
        <w:fldChar w:fldCharType="end"/>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425" w:num="1"/>
          <w:docGrid w:type="linesAndChars" w:linePitch="312" w:charSpace="0"/>
        </w:sectPr>
      </w:pPr>
      <w:r>
        <w:rPr>
          <w:rFonts w:ascii="Times New Roman" w:hAnsi="Times New Roman" w:eastAsia="宋体" w:cs="Times New Roman"/>
          <w:bCs w:val="0"/>
          <w:color w:val="0070C0"/>
          <w:sz w:val="24"/>
          <w:szCs w:val="24"/>
        </w:rPr>
        <w:fldChar w:fldCharType="end"/>
      </w:r>
    </w:p>
    <w:p>
      <w:pPr>
        <w:pStyle w:val="3"/>
        <w:bidi w:val="0"/>
        <w:rPr>
          <w:rFonts w:eastAsia="楷体_GB2312"/>
          <w:b/>
          <w:color w:val="000000" w:themeColor="text1"/>
          <w:sz w:val="36"/>
          <w:szCs w:val="36"/>
          <w14:textFill>
            <w14:solidFill>
              <w14:schemeClr w14:val="tx1"/>
            </w14:solidFill>
          </w14:textFill>
        </w:rPr>
      </w:pPr>
      <w:bookmarkStart w:id="0" w:name="_Toc17388"/>
      <w:r>
        <w:rPr>
          <w:rFonts w:hint="eastAsia" w:eastAsia="楷体_GB2312"/>
          <w:b/>
          <w:color w:val="000000" w:themeColor="text1"/>
          <w:sz w:val="36"/>
          <w:szCs w:val="36"/>
          <w14:textFill>
            <w14:solidFill>
              <w14:schemeClr w14:val="tx1"/>
            </w14:solidFill>
          </w14:textFill>
        </w:rPr>
        <w:t>1</w:t>
      </w:r>
      <w:r>
        <w:rPr>
          <w:rFonts w:eastAsia="楷体_GB2312"/>
          <w:b/>
          <w:color w:val="000000" w:themeColor="text1"/>
          <w:sz w:val="36"/>
          <w:szCs w:val="36"/>
          <w14:textFill>
            <w14:solidFill>
              <w14:schemeClr w14:val="tx1"/>
            </w14:solidFill>
          </w14:textFill>
        </w:rPr>
        <w:t xml:space="preserve"> </w:t>
      </w:r>
      <w:r>
        <w:rPr>
          <w:rFonts w:hint="eastAsia" w:ascii="宋体" w:hAnsi="宋体" w:eastAsia="宋体" w:cs="宋体"/>
          <w:b/>
          <w:color w:val="000000" w:themeColor="text1"/>
          <w:sz w:val="36"/>
          <w:szCs w:val="36"/>
          <w14:textFill>
            <w14:solidFill>
              <w14:schemeClr w14:val="tx1"/>
            </w14:solidFill>
          </w14:textFill>
        </w:rPr>
        <w:t>总则</w:t>
      </w:r>
      <w:bookmarkEnd w:id="0"/>
    </w:p>
    <w:p>
      <w:pPr>
        <w:pStyle w:val="4"/>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1" w:name="_Toc202759398"/>
      <w:bookmarkStart w:id="2" w:name="_Toc10933"/>
      <w:r>
        <w:rPr>
          <w:rFonts w:hint="eastAsia" w:ascii="Times New Roman" w:hAnsi="Times New Roman"/>
          <w:b w:val="0"/>
          <w:bCs/>
          <w:color w:val="000000" w:themeColor="text1"/>
          <w:szCs w:val="32"/>
          <w14:textFill>
            <w14:solidFill>
              <w14:schemeClr w14:val="tx1"/>
            </w14:solidFill>
          </w14:textFill>
        </w:rPr>
        <w:t>1.1</w:t>
      </w:r>
      <w:r>
        <w:rPr>
          <w:rFonts w:ascii="Times New Roman" w:hAnsi="Times New Roman"/>
          <w:b w:val="0"/>
          <w:bCs/>
          <w:color w:val="000000" w:themeColor="text1"/>
          <w:szCs w:val="32"/>
          <w14:textFill>
            <w14:solidFill>
              <w14:schemeClr w14:val="tx1"/>
            </w14:solidFill>
          </w14:textFill>
        </w:rPr>
        <w:t xml:space="preserve"> </w:t>
      </w:r>
      <w:r>
        <w:rPr>
          <w:rFonts w:hint="eastAsia" w:ascii="Times New Roman" w:hAnsi="Times New Roman"/>
          <w:b w:val="0"/>
          <w:bCs/>
          <w:color w:val="000000" w:themeColor="text1"/>
          <w:szCs w:val="32"/>
          <w14:textFill>
            <w14:solidFill>
              <w14:schemeClr w14:val="tx1"/>
            </w14:solidFill>
          </w14:textFill>
        </w:rPr>
        <w:t>评价目的</w:t>
      </w:r>
      <w:bookmarkEnd w:id="1"/>
      <w:bookmarkEnd w:id="2"/>
    </w:p>
    <w:p>
      <w:pPr>
        <w:pStyle w:val="126"/>
        <w:numPr>
          <w:ilvl w:val="0"/>
          <w:numId w:val="3"/>
        </w:numPr>
        <w:adjustRightInd w:val="0"/>
        <w:snapToGrid w:val="0"/>
        <w:spacing w:line="360" w:lineRule="auto"/>
        <w:ind w:left="0" w:firstLine="544"/>
        <w:rPr>
          <w:rFonts w:hint="eastAsia" w:ascii="Times New Roman" w:hAnsi="Times New Roman" w:cs="Times New Roman"/>
          <w:bCs/>
          <w:color w:val="000000" w:themeColor="text1"/>
          <w:spacing w:val="-4"/>
          <w:sz w:val="28"/>
          <w:szCs w:val="28"/>
          <w:lang w:eastAsia="zh-CN"/>
          <w14:textFill>
            <w14:solidFill>
              <w14:schemeClr w14:val="tx1"/>
            </w14:solidFill>
          </w14:textFill>
        </w:rPr>
      </w:pPr>
      <w:r>
        <w:rPr>
          <w:rFonts w:hint="eastAsia" w:ascii="Times New Roman" w:hAnsi="Times New Roman" w:cs="Times New Roman"/>
          <w:bCs/>
          <w:color w:val="000000" w:themeColor="text1"/>
          <w:spacing w:val="-4"/>
          <w:sz w:val="28"/>
          <w:szCs w:val="28"/>
          <w:lang w:eastAsia="zh-CN"/>
          <w14:textFill>
            <w14:solidFill>
              <w14:schemeClr w14:val="tx1"/>
            </w14:solidFill>
          </w14:textFill>
        </w:rPr>
        <w:t>按照《安全生产许可证条例》（国务院令[2004]第397号，2014修订版）、《非煤矿矿山企业安全生产许可证实施办法》（国家安全生产监督管理总局令[2009]第20号，2015修订版）的规定，陆上石油天然气企业必须进行安全现状评价，通过评价做出客观的评价结论，明确被评价单位是否具备陆上石油天然气企业的各项安全生产条件，为</w:t>
      </w:r>
      <w:r>
        <w:rPr>
          <w:rFonts w:hint="eastAsia" w:ascii="Times New Roman" w:hAnsi="Times New Roman" w:cs="Times New Roman"/>
          <w:bCs/>
          <w:color w:val="000000" w:themeColor="text1"/>
          <w:spacing w:val="-4"/>
          <w:sz w:val="28"/>
          <w:szCs w:val="28"/>
          <w:lang w:val="en-US" w:eastAsia="zh-CN"/>
          <w14:textFill>
            <w14:solidFill>
              <w14:schemeClr w14:val="tx1"/>
            </w14:solidFill>
          </w14:textFill>
        </w:rPr>
        <w:t>应急</w:t>
      </w:r>
      <w:r>
        <w:rPr>
          <w:rFonts w:hint="eastAsia" w:ascii="Times New Roman" w:hAnsi="Times New Roman" w:cs="Times New Roman"/>
          <w:bCs/>
          <w:color w:val="000000" w:themeColor="text1"/>
          <w:spacing w:val="-4"/>
          <w:sz w:val="28"/>
          <w:szCs w:val="28"/>
          <w:lang w:eastAsia="zh-CN"/>
          <w14:textFill>
            <w14:solidFill>
              <w14:schemeClr w14:val="tx1"/>
            </w14:solidFill>
          </w14:textFill>
        </w:rPr>
        <w:t>管理部门实施监督管理提供依据。</w:t>
      </w:r>
    </w:p>
    <w:p>
      <w:pPr>
        <w:pStyle w:val="126"/>
        <w:numPr>
          <w:ilvl w:val="0"/>
          <w:numId w:val="3"/>
        </w:numPr>
        <w:adjustRightInd w:val="0"/>
        <w:snapToGrid w:val="0"/>
        <w:spacing w:line="360" w:lineRule="auto"/>
        <w:ind w:left="0" w:firstLine="544"/>
        <w:rPr>
          <w:rFonts w:hint="eastAsia" w:ascii="Times New Roman" w:hAnsi="Times New Roman" w:cs="Times New Roman"/>
          <w:bCs/>
          <w:color w:val="000000" w:themeColor="text1"/>
          <w:spacing w:val="-4"/>
          <w:sz w:val="28"/>
          <w:szCs w:val="28"/>
          <w:lang w:eastAsia="zh-CN"/>
          <w14:textFill>
            <w14:solidFill>
              <w14:schemeClr w14:val="tx1"/>
            </w14:solidFill>
          </w14:textFill>
        </w:rPr>
      </w:pPr>
      <w:r>
        <w:rPr>
          <w:rFonts w:hint="eastAsia" w:ascii="Times New Roman" w:hAnsi="Times New Roman" w:cs="Times New Roman"/>
          <w:bCs/>
          <w:color w:val="000000" w:themeColor="text1"/>
          <w:spacing w:val="-4"/>
          <w:sz w:val="28"/>
          <w:szCs w:val="28"/>
          <w:lang w:eastAsia="zh-CN"/>
          <w14:textFill>
            <w14:solidFill>
              <w14:schemeClr w14:val="tx1"/>
            </w14:solidFill>
          </w14:textFill>
        </w:rPr>
        <w:t>通过对海塔石油科技有限公司井下作业（大修作业、井下复杂情况处理（打捞、堵漏））现有的生产设施、设备的实际运行状况及管理状况的调查、分析，识别作业过程中存在的主要危险、有害因素，对企业在</w:t>
      </w:r>
      <w:r>
        <w:rPr>
          <w:rFonts w:hint="eastAsia" w:ascii="Times New Roman" w:hAnsi="Times New Roman" w:cs="Times New Roman"/>
          <w:bCs/>
          <w:color w:val="000000" w:themeColor="text1"/>
          <w:spacing w:val="-4"/>
          <w:sz w:val="28"/>
          <w:szCs w:val="28"/>
          <w:lang w:val="en-US" w:eastAsia="zh-CN"/>
          <w14:textFill>
            <w14:solidFill>
              <w14:schemeClr w14:val="tx1"/>
            </w14:solidFill>
          </w14:textFill>
        </w:rPr>
        <w:t>现场作业、</w:t>
      </w:r>
      <w:r>
        <w:rPr>
          <w:rFonts w:hint="eastAsia" w:ascii="Times New Roman" w:hAnsi="Times New Roman" w:cs="Times New Roman"/>
          <w:bCs/>
          <w:color w:val="000000" w:themeColor="text1"/>
          <w:spacing w:val="-4"/>
          <w:sz w:val="28"/>
          <w:szCs w:val="28"/>
          <w:lang w:eastAsia="zh-CN"/>
          <w14:textFill>
            <w14:solidFill>
              <w14:schemeClr w14:val="tx1"/>
            </w14:solidFill>
          </w14:textFill>
        </w:rPr>
        <w:t>安全管理方面与标准和法规的符合性进行评价，对不符合国家标准的作法提出整改建议并补充相应的安全对策措施。</w:t>
      </w:r>
    </w:p>
    <w:p>
      <w:pPr>
        <w:pStyle w:val="4"/>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3" w:name="_Toc11645"/>
      <w:r>
        <w:rPr>
          <w:rFonts w:hint="eastAsia" w:ascii="Times New Roman" w:hAnsi="Times New Roman"/>
          <w:b w:val="0"/>
          <w:bCs/>
          <w:color w:val="000000" w:themeColor="text1"/>
          <w:szCs w:val="32"/>
          <w14:textFill>
            <w14:solidFill>
              <w14:schemeClr w14:val="tx1"/>
            </w14:solidFill>
          </w14:textFill>
        </w:rPr>
        <w:t>1.2</w:t>
      </w:r>
      <w:r>
        <w:rPr>
          <w:rFonts w:ascii="Times New Roman" w:hAnsi="Times New Roman"/>
          <w:b w:val="0"/>
          <w:bCs/>
          <w:color w:val="000000" w:themeColor="text1"/>
          <w:szCs w:val="32"/>
          <w14:textFill>
            <w14:solidFill>
              <w14:schemeClr w14:val="tx1"/>
            </w14:solidFill>
          </w14:textFill>
        </w:rPr>
        <w:t xml:space="preserve"> </w:t>
      </w:r>
      <w:r>
        <w:rPr>
          <w:rFonts w:hint="eastAsia" w:ascii="Times New Roman" w:hAnsi="Times New Roman"/>
          <w:b w:val="0"/>
          <w:bCs/>
          <w:color w:val="000000" w:themeColor="text1"/>
          <w:szCs w:val="32"/>
          <w14:textFill>
            <w14:solidFill>
              <w14:schemeClr w14:val="tx1"/>
            </w14:solidFill>
          </w14:textFill>
        </w:rPr>
        <w:t>评价依据</w:t>
      </w:r>
      <w:bookmarkEnd w:id="3"/>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bookmarkStart w:id="4" w:name="_Toc215277128"/>
      <w:bookmarkStart w:id="5" w:name="_Toc215277127"/>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.2.1</w:t>
      </w:r>
      <w:r>
        <w:rPr>
          <w:rFonts w:hint="eastAsia" w:eastAsia="黑体"/>
          <w:b w:val="0"/>
          <w:snapToGrid w:val="0"/>
          <w:color w:val="000000" w:themeColor="text1"/>
          <w:kern w:val="0"/>
          <w:sz w:val="28"/>
          <w:szCs w:val="28"/>
          <w14:textFill>
            <w14:solidFill>
              <w14:schemeClr w14:val="tx1"/>
            </w14:solidFill>
          </w14:textFill>
        </w:rPr>
        <w:t xml:space="preserve"> 法律</w:t>
      </w:r>
    </w:p>
    <w:p>
      <w:pPr>
        <w:pStyle w:val="126"/>
        <w:keepNext w:val="0"/>
        <w:keepLines w:val="0"/>
        <w:pageBreakBefore w:val="0"/>
        <w:widowControl w:val="0"/>
        <w:numPr>
          <w:ilvl w:val="0"/>
          <w:numId w:val="4"/>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安全生产法》（2002年6月29日第九届全国人民代表大会常务委员会第二十八次会议通过，2021年6月10日第十三届全国人民代表大会常务委员会第二十九次会议《关于修改&lt;中华人民共和国安全生产法&gt;的决定》第三次修正。中华人民共和国主席令[2014]第13号，[2021]第88号令修正）</w:t>
      </w:r>
    </w:p>
    <w:p>
      <w:pPr>
        <w:pStyle w:val="126"/>
        <w:keepNext w:val="0"/>
        <w:keepLines w:val="0"/>
        <w:pageBreakBefore w:val="0"/>
        <w:widowControl w:val="0"/>
        <w:numPr>
          <w:ilvl w:val="0"/>
          <w:numId w:val="4"/>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劳动法》（1994年7月5日第八届全国人民代表大会常务委员会第八次会议通过，根据2018年12月29日第十三届全国人民代表大会常务委员会第七次会议《关于修改〈中华人民共和国劳动法〉等七部法律的决定》第二次修正。主席令[2018]第24号修正）</w:t>
      </w:r>
    </w:p>
    <w:p>
      <w:pPr>
        <w:pStyle w:val="126"/>
        <w:keepNext w:val="0"/>
        <w:keepLines w:val="0"/>
        <w:pageBreakBefore w:val="0"/>
        <w:widowControl w:val="0"/>
        <w:numPr>
          <w:ilvl w:val="0"/>
          <w:numId w:val="4"/>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《中华人民共和国突发事件应对法》（主席令[2007]第69号，中华人民共和国第十届全国人民代表大会常务委员会第二十九次会议于2007年8月30日通过，自2007年11月1日起施行。主席令[2007]第69号）</w:t>
      </w:r>
    </w:p>
    <w:p>
      <w:pPr>
        <w:pStyle w:val="126"/>
        <w:keepNext w:val="0"/>
        <w:keepLines w:val="0"/>
        <w:pageBreakBefore w:val="0"/>
        <w:widowControl w:val="0"/>
        <w:numPr>
          <w:ilvl w:val="0"/>
          <w:numId w:val="4"/>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消防法》（1998年4月29日第九届全国人民代表大会常务委员会第二次会议通过，根据2021年4月29日第十三届全国人民代表大会常务委员会第二十八次会议《关于修改〈中华人民共和国道路交通安全法〉等八部法律的决定》第二次修正。主席令[2021]第81号修正）</w:t>
      </w:r>
    </w:p>
    <w:p>
      <w:pPr>
        <w:pStyle w:val="126"/>
        <w:keepNext w:val="0"/>
        <w:keepLines w:val="0"/>
        <w:pageBreakBefore w:val="0"/>
        <w:widowControl w:val="0"/>
        <w:numPr>
          <w:ilvl w:val="0"/>
          <w:numId w:val="4"/>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《中华人民共和国防震减灾法》（第八届全国人民代表大会常务委员会第二十九次会议于1997年12月29日通过，2008年12月27日第十一届全国人民代表大会常务委员会第六次会议修订。主席令[2008]第7号）</w:t>
      </w:r>
    </w:p>
    <w:p>
      <w:pPr>
        <w:pStyle w:val="126"/>
        <w:keepNext w:val="0"/>
        <w:keepLines w:val="0"/>
        <w:pageBreakBefore w:val="0"/>
        <w:widowControl w:val="0"/>
        <w:numPr>
          <w:ilvl w:val="0"/>
          <w:numId w:val="4"/>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《中华人民共和国职业病防治法》（根据2018年12月29日第十三届全国人民代表大会常务委员会第七次会议《关于修改〈中华人民共和国劳动法〉等七部法律的决定》第四次修正。主席令[2018]第52号修正）</w:t>
      </w:r>
    </w:p>
    <w:p>
      <w:pPr>
        <w:pStyle w:val="126"/>
        <w:keepNext w:val="0"/>
        <w:keepLines w:val="0"/>
        <w:pageBreakBefore w:val="0"/>
        <w:widowControl w:val="0"/>
        <w:numPr>
          <w:ilvl w:val="0"/>
          <w:numId w:val="4"/>
        </w:numPr>
        <w:bidi w:val="0"/>
        <w:adjustRightInd w:val="0"/>
        <w:snapToGrid w:val="0"/>
        <w:spacing w:line="360" w:lineRule="auto"/>
        <w:ind w:left="0" w:firstLine="560"/>
        <w:rPr>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《中华人民共和国特种设备安全法》（中华人民共和国第十二届全国人民代表大会常务委员会第三次会议于2013年6月29日通过，自2014年1月1日起施行。主席令[2013]第4号）</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2 行政法规</w:t>
      </w:r>
    </w:p>
    <w:p>
      <w:pPr>
        <w:pStyle w:val="126"/>
        <w:numPr>
          <w:ilvl w:val="0"/>
          <w:numId w:val="5"/>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《安全生产许可证条例》（国务院令[2004]第397号，[2014]第653号修订）</w:t>
      </w:r>
    </w:p>
    <w:p>
      <w:pPr>
        <w:pStyle w:val="126"/>
        <w:numPr>
          <w:ilvl w:val="0"/>
          <w:numId w:val="5"/>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《生产安全事故报告和调查处理条例》（国务院令[2007]第493号）</w:t>
      </w:r>
    </w:p>
    <w:p>
      <w:pPr>
        <w:pStyle w:val="126"/>
        <w:numPr>
          <w:ilvl w:val="0"/>
          <w:numId w:val="5"/>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《特种设备安全监察条例》（国务院令[2009]第549号）</w:t>
      </w:r>
    </w:p>
    <w:p>
      <w:pPr>
        <w:pStyle w:val="126"/>
        <w:numPr>
          <w:ilvl w:val="0"/>
          <w:numId w:val="5"/>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《工伤保险条例》（国务院令[2010]第586号）</w:t>
      </w:r>
    </w:p>
    <w:p>
      <w:pPr>
        <w:pStyle w:val="126"/>
        <w:numPr>
          <w:ilvl w:val="0"/>
          <w:numId w:val="5"/>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《危险化学品安全管理条例》（国务院令[2013]第645号修订）</w:t>
      </w:r>
    </w:p>
    <w:p>
      <w:pPr>
        <w:pStyle w:val="126"/>
        <w:numPr>
          <w:ilvl w:val="0"/>
          <w:numId w:val="5"/>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《生产安全事故应急条例》</w:t>
      </w:r>
      <w:r>
        <w:rPr>
          <w:rFonts w:hint="eastAsia"/>
          <w:color w:val="000000" w:themeColor="text1"/>
          <w:sz w:val="28"/>
          <w:lang w:eastAsia="zh-CN"/>
          <w14:textFill>
            <w14:solidFill>
              <w14:schemeClr w14:val="tx1"/>
            </w14:solidFill>
          </w14:textFill>
        </w:rPr>
        <w:t>（国务院令</w:t>
      </w:r>
      <w:r>
        <w:rPr>
          <w:rFonts w:hint="eastAsia"/>
          <w:color w:val="000000" w:themeColor="text1"/>
          <w:sz w:val="28"/>
          <w14:textFill>
            <w14:solidFill>
              <w14:schemeClr w14:val="tx1"/>
            </w14:solidFill>
          </w14:textFill>
        </w:rPr>
        <w:t>第</w:t>
      </w:r>
      <w:r>
        <w:rPr>
          <w:rFonts w:hint="eastAsia"/>
          <w:color w:val="000000" w:themeColor="text1"/>
          <w:sz w:val="28"/>
          <w:lang w:val="en-US" w:eastAsia="zh-CN"/>
          <w14:textFill>
            <w14:solidFill>
              <w14:schemeClr w14:val="tx1"/>
            </w14:solidFill>
          </w14:textFill>
        </w:rPr>
        <w:t>708</w:t>
      </w:r>
      <w:r>
        <w:rPr>
          <w:rFonts w:hint="eastAsia"/>
          <w:color w:val="000000" w:themeColor="text1"/>
          <w:sz w:val="28"/>
          <w14:textFill>
            <w14:solidFill>
              <w14:schemeClr w14:val="tx1"/>
            </w14:solidFill>
          </w14:textFill>
        </w:rPr>
        <w:t>号</w:t>
      </w:r>
      <w:r>
        <w:rPr>
          <w:rFonts w:hint="eastAsia"/>
          <w:color w:val="000000" w:themeColor="text1"/>
          <w:sz w:val="28"/>
          <w:lang w:eastAsia="zh-CN"/>
          <w14:textFill>
            <w14:solidFill>
              <w14:schemeClr w14:val="tx1"/>
            </w14:solidFill>
          </w14:textFill>
        </w:rPr>
        <w:t>，2018年12月5日国务院第33次常务会议通过）</w:t>
      </w:r>
    </w:p>
    <w:p>
      <w:pPr>
        <w:pStyle w:val="126"/>
        <w:numPr>
          <w:ilvl w:val="0"/>
          <w:numId w:val="5"/>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《特种设备作业人员监督管理办法》（2005年1月10日国家质量监督检验检疫总局令第70号公布，2011</w:t>
      </w:r>
      <w:r>
        <w:rPr>
          <w:rFonts w:hint="eastAsia"/>
          <w:color w:val="000000" w:themeColor="text1"/>
          <w:sz w:val="28"/>
          <w:lang w:val="en-US" w:eastAsia="zh-CN"/>
          <w14:textFill>
            <w14:solidFill>
              <w14:schemeClr w14:val="tx1"/>
            </w14:solidFill>
          </w14:textFill>
        </w:rPr>
        <w:t>年修订</w:t>
      </w:r>
      <w:r>
        <w:rPr>
          <w:rFonts w:hint="eastAsia"/>
          <w:color w:val="000000" w:themeColor="text1"/>
          <w:sz w:val="28"/>
          <w:lang w:eastAsia="zh-CN"/>
          <w14:textFill>
            <w14:solidFill>
              <w14:schemeClr w14:val="tx1"/>
            </w14:solidFill>
          </w14:textFill>
        </w:rPr>
        <w:t>）</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.3 地方性法规</w:t>
      </w:r>
    </w:p>
    <w:p>
      <w:pPr>
        <w:pStyle w:val="126"/>
        <w:numPr>
          <w:ilvl w:val="0"/>
          <w:numId w:val="6"/>
        </w:numPr>
        <w:adjustRightInd w:val="0"/>
        <w:snapToGrid w:val="0"/>
        <w:spacing w:line="360" w:lineRule="auto"/>
        <w:ind w:left="0" w:firstLine="560"/>
        <w:rPr>
          <w:color w:val="000000" w:themeColor="text1"/>
          <w:sz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《山东省安全生产条例》（2021年12月3日山东省第十三届人民代表大会常务委员会第三十二次会议修订）</w:t>
      </w:r>
    </w:p>
    <w:p>
      <w:pPr>
        <w:pStyle w:val="126"/>
        <w:numPr>
          <w:ilvl w:val="0"/>
          <w:numId w:val="6"/>
        </w:numPr>
        <w:adjustRightInd w:val="0"/>
        <w:snapToGrid w:val="0"/>
        <w:spacing w:line="360" w:lineRule="auto"/>
        <w:ind w:left="0" w:firstLine="560"/>
        <w:rPr>
          <w:color w:val="000000" w:themeColor="text1"/>
          <w:sz w:val="28"/>
          <w14:textFill>
            <w14:solidFill>
              <w14:schemeClr w14:val="tx1"/>
            </w14:solidFill>
          </w14:textFill>
        </w:rPr>
      </w:pPr>
      <w:r>
        <w:rPr>
          <w:color w:val="000000" w:themeColor="text1"/>
          <w:sz w:val="28"/>
          <w14:textFill>
            <w14:solidFill>
              <w14:schemeClr w14:val="tx1"/>
            </w14:solidFill>
          </w14:textFill>
        </w:rPr>
        <w:t>《山东省消防条例》（山东省第十一届人大常委会第21次会议修订）</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.4 部门规章</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w:t>
      </w:r>
      <w:r>
        <w:rPr>
          <w:rFonts w:hint="eastAsia"/>
          <w:sz w:val="28"/>
          <w:szCs w:val="28"/>
        </w:rPr>
        <w:t>生</w:t>
      </w:r>
      <w:r>
        <w:rPr>
          <w:rFonts w:hint="eastAsia" w:ascii="Times New Roman" w:hAnsi="Times New Roman" w:cs="Times New Roman"/>
          <w:color w:val="000000" w:themeColor="text1"/>
          <w:sz w:val="28"/>
          <w:szCs w:val="28"/>
          <w14:textFill>
            <w14:solidFill>
              <w14:schemeClr w14:val="tx1"/>
            </w14:solidFill>
          </w14:textFill>
        </w:rPr>
        <w:t>产经营单位安全培训规定》（国家安全监督管理总局令[2006]第3号，第80号修订）</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《生产安全事故罚款处罚规定（试行）》（国家安全生产监督管理总局令[2007]第13号，第42号、第77号修订）</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《安全生产事故隐患排查治理暂行规定》（国家安全生产监督管理总局令[2007]第16号）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《非煤矿矿山企业安全生产许可证实施办法》（国家安全生产监督管理总局令[2009]第20号，第78号修订）</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《特种作业人员安全技术培训考核管理规定》（国家安全生产监督管理总局令[2010]第30号，第80号令修订）</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《危险化学品重大危险源监督管理暂行规定》（国家安全生产监督管理总局令[2011]第40号，第79号修订版）</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highlight w:val="none"/>
          <w14:textFill>
            <w14:solidFill>
              <w14:schemeClr w14:val="tx1"/>
            </w14:solidFill>
          </w14:textFill>
        </w:rPr>
      </w:pPr>
      <w:r>
        <w:rPr>
          <w:rFonts w:hint="eastAsia" w:ascii="Times New Roman" w:hAnsi="Times New Roman" w:cs="Times New Roman"/>
          <w:color w:val="000000" w:themeColor="text1"/>
          <w:sz w:val="28"/>
          <w:szCs w:val="28"/>
          <w:highlight w:val="none"/>
          <w14:textFill>
            <w14:solidFill>
              <w14:schemeClr w14:val="tx1"/>
            </w14:solidFill>
          </w14:textFill>
        </w:rPr>
        <w:t>《企业安全生产费用提取和使用管理办法》（财资[2022]136号）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《安全生产培训管理办法》（国家安全生产监督管理总局令[2012]第44号，第80号修订）</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《防雷减灾管理办法》（中国气象局令[2013]第24号）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《非煤矿山外包工程安全管理暂行办法》（国家安全生产监督管理总局令[2013]第62号，第78号修订）</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《危险化学品目录（2015版）》（安全监管总局、工业和信息化部、公安部、环境保护部、交通运输部、农业部、国家卫生计生委、质检总局、铁路局、民航局公告[2015]第5号</w:t>
      </w:r>
      <w:r>
        <w:rPr>
          <w:rFonts w:hint="eastAsia" w:cs="Times New Roman"/>
          <w:color w:val="000000" w:themeColor="text1"/>
          <w:sz w:val="28"/>
          <w:szCs w:val="28"/>
          <w:lang w:eastAsia="zh-CN"/>
          <w14:textFill>
            <w14:solidFill>
              <w14:schemeClr w14:val="tx1"/>
            </w14:solidFill>
          </w14:textFill>
        </w:rPr>
        <w:t>，应急部公告</w:t>
      </w:r>
      <w:r>
        <w:rPr>
          <w:rFonts w:hint="eastAsia" w:cs="Times New Roman"/>
          <w:color w:val="000000" w:themeColor="text1"/>
          <w:sz w:val="28"/>
          <w:szCs w:val="28"/>
          <w:lang w:val="en-US" w:eastAsia="zh-CN"/>
          <w14:textFill>
            <w14:solidFill>
              <w14:schemeClr w14:val="tx1"/>
            </w14:solidFill>
          </w14:textFill>
        </w:rPr>
        <w:t>[2022]8号修正</w:t>
      </w:r>
      <w:r>
        <w:rPr>
          <w:rFonts w:hint="eastAsia" w:ascii="Times New Roman" w:hAnsi="Times New Roman" w:cs="Times New Roman"/>
          <w:color w:val="000000" w:themeColor="text1"/>
          <w:sz w:val="28"/>
          <w:szCs w:val="28"/>
          <w14:textFill>
            <w14:solidFill>
              <w14:schemeClr w14:val="tx1"/>
            </w14:solidFill>
          </w14:textFill>
        </w:rPr>
        <w:t>）</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《职业病危害因素分类目录》（国卫疾控发[2015]92号）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《国家安全监管总局办公厅关于印发危险化学品目录（2015版）实施指南（试行）的通知》</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2022年修订</w:t>
      </w:r>
      <w:r>
        <w:rPr>
          <w:rFonts w:hint="eastAsia" w:ascii="宋体" w:hAnsi="宋体" w:eastAsia="宋体" w:cs="宋体"/>
          <w:color w:val="000000" w:themeColor="text1"/>
          <w:sz w:val="28"/>
          <w:szCs w:val="28"/>
          <w:lang w:val="en-US" w:eastAsia="zh-CN"/>
          <w14:textFill>
            <w14:solidFill>
              <w14:schemeClr w14:val="tx1"/>
            </w14:solidFill>
          </w14:textFill>
        </w:rPr>
        <w:t>)</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《生产安全事故应急预案管理办法》（国家安全生产监督管理总局令[2016]第88号，应急管理部第2号令修订）</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《安全生产责任保险实施办法》（安监总办[2017]140号）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《注册安全工程师分类管理办法》（安监总人事[2017]118号）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《注册安全工程师职业合格制度规定》（应急[2019]8号）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textAlignment w:val="auto"/>
        <w:rPr>
          <w:color w:val="000000" w:themeColor="text1"/>
          <w:sz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《应急管理部办公厅关于石油天然气企业安全生产许可的复函》（应急厅[2021]244号）</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.5 地方政府规章</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《山东省生产经营单位安全生产主体责任规定》（山东省人民政府令[2018]第311号修订）</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《山东省安全生产风险管控办法》（山东省人民政府令[2020]第331号）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《山东省生产安全事故应急办法》（山东省人民政府令[2021]第341号）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《山东省生产安全事故隐患排查治理办法》（山东省人民政府令[2022]第347号）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《山东省生产安全事故报告和调查处理办法》（山东省人民政府令第342号</w:t>
      </w:r>
      <w:r>
        <w:rPr>
          <w:rFonts w:hint="default" w:ascii="Times New Roman" w:hAnsi="Times New Roman" w:eastAsia="宋体" w:cs="Times New Roman"/>
          <w:color w:val="auto"/>
          <w:sz w:val="28"/>
          <w:lang w:eastAsia="zh-CN"/>
        </w:rPr>
        <w:t>，2022年4月25日，经山东省人民政府令第349号修订</w:t>
      </w:r>
      <w:r>
        <w:rPr>
          <w:rFonts w:hint="eastAsia" w:ascii="Times New Roman" w:hAnsi="Times New Roman" w:eastAsia="宋体"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《硫化氢防护安全管理规定（试行）》（鲁安监发[2008]51号）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《山东省非煤矿矿山企业安全生产许可证实施方案》（鲁安监发[2009]133号）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《关于进一步加强非煤矿山安全生产标准化建设工作的通知》（鲁安监发[2011]146号，2015修订版）</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《关于印发&lt;山东省非煤矿山企业安全生产风险分级监管暂行办法&gt;和&lt;山东省非煤矿山企业安全生产风险分级标准（试行）&gt;的通知》（鲁安监发[2015]151号）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《关于印发山东省生产经营单位全员安全生产责任清单的通知》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鲁安办发[2021]50号</w:t>
      </w:r>
      <w:r>
        <w:rPr>
          <w:rFonts w:hint="eastAsia"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《山东省人民政府办公厅关于印发山东省生产经营单位安全总监制度实施办法（试行）的通知》（鲁政办字[2021]60号）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《关于对钻井、物探、测井、录井、井下作业、油建企业实施安全生产许可的通知》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鲁应急函[2021]86号</w:t>
      </w:r>
      <w:r>
        <w:rPr>
          <w:rFonts w:hint="eastAsia"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w:t>
      </w:r>
      <w:r>
        <w:rPr>
          <w:rFonts w:hint="eastAsia"/>
          <w:sz w:val="28"/>
          <w:szCs w:val="28"/>
          <w:lang w:val="en-US" w:eastAsia="zh-CN"/>
        </w:rPr>
        <w:t>山</w:t>
      </w:r>
      <w:r>
        <w:rPr>
          <w:rFonts w:hint="eastAsia" w:ascii="Times New Roman" w:hAnsi="Times New Roman" w:eastAsia="宋体" w:cs="Times New Roman"/>
          <w:color w:val="auto"/>
          <w:sz w:val="28"/>
          <w:lang w:val="en-US" w:eastAsia="zh-CN"/>
        </w:rPr>
        <w:t>东省企业安全生产“晨会”制度规范（试行）》（鲁安发[2022]4号）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《关于印发《关于规范和加强安全生产安全生产培训考核工作的实施意见》的通知》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鲁应急发[2022]6号</w:t>
      </w:r>
      <w:r>
        <w:rPr>
          <w:rFonts w:hint="eastAsia"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《山东省生产经营单位劳务派遣人员和灵活用工人员安全管理办法》</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鲁应急发</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2022</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7 号</w:t>
      </w:r>
      <w:r>
        <w:rPr>
          <w:rFonts w:hint="eastAsia" w:ascii="Times New Roman" w:hAnsi="Times New Roman" w:eastAsia="宋体"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《重点行业领域重大安全风险隐患清单》（鲁安发[2022]11号）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《关于转发省应急厅〈关于对钻井、物探、测井、录井、钻井作业、油建企业实施安全生产许可的通知〉的通知》（东应急函字</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2021</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49号）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《东营市应急管理局关于进一步规范非煤矿矿山《安全生产许可证》颁发管理有关问题的函》</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东应急函字[2021]50号</w:t>
      </w:r>
      <w:r>
        <w:rPr>
          <w:rFonts w:hint="eastAsia"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关于印发《非煤矿矿山安全生产许可证申请自查要点》的通知（东应急函字[2022]13号）</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.6 国家标准</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sz w:val="28"/>
          <w:szCs w:val="28"/>
        </w:rPr>
        <w:t>图形符号 安全色和安全标志 第1部分：安全标志和安全标记的设计原则</w:t>
      </w:r>
      <w:r>
        <w:rPr>
          <w:rFonts w:hint="eastAsia"/>
          <w:color w:val="000000" w:themeColor="text1"/>
          <w:sz w:val="28"/>
          <w14:textFill>
            <w14:solidFill>
              <w14:schemeClr w14:val="tx1"/>
            </w14:solidFill>
          </w14:textFill>
        </w:rPr>
        <w:t>》</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 2893.1-2013</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《图形符号 安全色和安全标志 第5部分：安全标志使用原则与要求》（</w:t>
      </w:r>
      <w:r>
        <w:rPr>
          <w:rFonts w:hint="eastAsia"/>
          <w:color w:val="000000" w:themeColor="text1"/>
          <w:sz w:val="28"/>
          <w14:textFill>
            <w14:solidFill>
              <w14:schemeClr w14:val="tx1"/>
            </w14:solidFill>
          </w14:textFill>
        </w:rPr>
        <w:t>GB/T 2893.5-2020</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《安全标志及其使用导则》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GB2894-2008</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《企业职工伤亡事故分类》</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GB6441-1986</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sz w:val="28"/>
        </w:rPr>
        <w:t>《危险货物品名表》</w:t>
      </w:r>
      <w:r>
        <w:rPr>
          <w:rFonts w:hint="default"/>
          <w:color w:val="000000" w:themeColor="text1"/>
          <w:sz w:val="28"/>
          <w14:textFill>
            <w14:solidFill>
              <w14:schemeClr w14:val="tx1"/>
            </w14:solidFill>
          </w14:textFill>
        </w:rPr>
        <w:t>（</w:t>
      </w:r>
      <w:r>
        <w:rPr>
          <w:rFonts w:hint="eastAsia"/>
          <w:sz w:val="28"/>
        </w:rPr>
        <w:t>GB12268-2012</w:t>
      </w:r>
      <w:r>
        <w:rPr>
          <w:rFonts w:hint="default"/>
          <w:color w:val="000000" w:themeColor="text1"/>
          <w:sz w:val="28"/>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《石油与石油设施雷电安全规范》</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GB15599-2009</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《危险化学品重大危险源辨识》</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GB18218-20</w:t>
      </w:r>
      <w:r>
        <w:rPr>
          <w:color w:val="000000" w:themeColor="text1"/>
          <w:sz w:val="28"/>
          <w14:textFill>
            <w14:solidFill>
              <w14:schemeClr w14:val="tx1"/>
            </w14:solidFill>
          </w14:textFill>
        </w:rPr>
        <w:t>18</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《个体防护装备配备规范 第1部分：总则》（GB 39800.</w:t>
      </w:r>
      <w:r>
        <w:rPr>
          <w:rFonts w:hint="eastAsia"/>
          <w:color w:val="000000" w:themeColor="text1"/>
          <w:sz w:val="28"/>
          <w:lang w:val="en-US" w:eastAsia="zh-CN"/>
          <w14:textFill>
            <w14:solidFill>
              <w14:schemeClr w14:val="tx1"/>
            </w14:solidFill>
          </w14:textFill>
        </w:rPr>
        <w:t>1</w:t>
      </w:r>
      <w:r>
        <w:rPr>
          <w:rFonts w:hint="eastAsia"/>
          <w:color w:val="000000" w:themeColor="text1"/>
          <w:sz w:val="28"/>
          <w14:textFill>
            <w14:solidFill>
              <w14:schemeClr w14:val="tx1"/>
            </w14:solidFill>
          </w14:textFill>
        </w:rPr>
        <w:t>-2020）</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《个体防护装备配备规范 第2部分：石油、化工、天然气》</w:t>
      </w:r>
      <w:r>
        <w:rPr>
          <w:rFonts w:hint="eastAsia"/>
          <w:color w:val="000000" w:themeColor="text1"/>
          <w:sz w:val="28"/>
          <w:lang w:val="en-US" w:eastAsia="zh-CN"/>
          <w14:textFill>
            <w14:solidFill>
              <w14:schemeClr w14:val="tx1"/>
            </w14:solidFill>
          </w14:textFill>
        </w:rPr>
        <w:t xml:space="preserve">  </w:t>
      </w:r>
      <w:r>
        <w:rPr>
          <w:rFonts w:hint="eastAsia"/>
          <w:color w:val="000000" w:themeColor="text1"/>
          <w:sz w:val="28"/>
          <w14:textFill>
            <w14:solidFill>
              <w14:schemeClr w14:val="tx1"/>
            </w14:solidFill>
          </w14:textFill>
        </w:rPr>
        <w:t>（GB 39800.2-2020）</w:t>
      </w:r>
    </w:p>
    <w:p>
      <w:pPr>
        <w:pStyle w:val="126"/>
        <w:numPr>
          <w:ilvl w:val="0"/>
          <w:numId w:val="9"/>
        </w:numPr>
        <w:adjustRightInd w:val="0"/>
        <w:snapToGrid w:val="0"/>
        <w:spacing w:line="360" w:lineRule="auto"/>
        <w:ind w:left="0" w:firstLine="560"/>
        <w:rPr>
          <w:rFonts w:hint="default"/>
          <w:color w:val="000000" w:themeColor="text1"/>
          <w:sz w:val="28"/>
          <w14:textFill>
            <w14:solidFill>
              <w14:schemeClr w14:val="tx1"/>
            </w14:solidFill>
          </w14:textFill>
        </w:rPr>
      </w:pPr>
      <w:r>
        <w:rPr>
          <w:rFonts w:hint="default"/>
          <w:color w:val="000000" w:themeColor="text1"/>
          <w:sz w:val="28"/>
          <w14:textFill>
            <w14:solidFill>
              <w14:schemeClr w14:val="tx1"/>
            </w14:solidFill>
          </w14:textFill>
        </w:rPr>
        <w:t>《低压配电设计规范》（GB50054-2011）</w:t>
      </w:r>
    </w:p>
    <w:p>
      <w:pPr>
        <w:pStyle w:val="126"/>
        <w:numPr>
          <w:ilvl w:val="0"/>
          <w:numId w:val="9"/>
        </w:numPr>
        <w:adjustRightInd w:val="0"/>
        <w:snapToGrid w:val="0"/>
        <w:spacing w:line="360" w:lineRule="auto"/>
        <w:ind w:left="0" w:firstLine="560"/>
        <w:rPr>
          <w:rFonts w:hint="default"/>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《建筑灭火器配置设计规范》（GB50140-2005）</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val="en-US" w:eastAsia="zh-CN"/>
          <w14:textFill>
            <w14:solidFill>
              <w14:schemeClr w14:val="tx1"/>
            </w14:solidFill>
          </w14:textFill>
        </w:rPr>
        <w:t>《工业企业设计卫生标准》（</w:t>
      </w:r>
      <w:r>
        <w:rPr>
          <w:rFonts w:hint="default"/>
          <w:color w:val="000000" w:themeColor="text1"/>
          <w:sz w:val="28"/>
          <w:lang w:val="en-US" w:eastAsia="zh-CN"/>
          <w14:textFill>
            <w14:solidFill>
              <w14:schemeClr w14:val="tx1"/>
            </w14:solidFill>
          </w14:textFill>
        </w:rPr>
        <w:t>GBZ1-2010</w:t>
      </w:r>
      <w:r>
        <w:rPr>
          <w:rFonts w:hint="eastAsia"/>
          <w:color w:val="000000" w:themeColor="text1"/>
          <w:sz w:val="28"/>
          <w:lang w:val="en-US" w:eastAsia="zh-CN"/>
          <w14:textFill>
            <w14:solidFill>
              <w14:schemeClr w14:val="tx1"/>
            </w14:solidFill>
          </w14:textFill>
        </w:rPr>
        <w:t xml:space="preserve">） </w:t>
      </w:r>
    </w:p>
    <w:p>
      <w:pPr>
        <w:pStyle w:val="126"/>
        <w:numPr>
          <w:ilvl w:val="0"/>
          <w:numId w:val="9"/>
        </w:numPr>
        <w:adjustRightInd w:val="0"/>
        <w:snapToGrid w:val="0"/>
        <w:spacing w:line="360" w:lineRule="auto"/>
        <w:ind w:left="0" w:firstLine="560"/>
        <w:rPr>
          <w:rFonts w:hint="eastAsia"/>
          <w:color w:val="000000" w:themeColor="text1"/>
          <w:sz w:val="28"/>
          <w:lang w:eastAsia="zh-CN"/>
          <w14:textFill>
            <w14:solidFill>
              <w14:schemeClr w14:val="tx1"/>
            </w14:solidFill>
          </w14:textFill>
        </w:rPr>
      </w:pPr>
      <w:r>
        <w:rPr>
          <w:rFonts w:hint="eastAsia"/>
          <w:color w:val="000000" w:themeColor="text1"/>
          <w:sz w:val="28"/>
          <w:lang w:val="en-US" w:eastAsia="zh-CN"/>
          <w14:textFill>
            <w14:solidFill>
              <w14:schemeClr w14:val="tx1"/>
            </w14:solidFill>
          </w14:textFill>
        </w:rPr>
        <w:t>《工作场所职业病危害警示标识》（</w:t>
      </w:r>
      <w:r>
        <w:rPr>
          <w:rFonts w:hint="default"/>
          <w:color w:val="000000" w:themeColor="text1"/>
          <w:sz w:val="28"/>
          <w:lang w:val="en-US" w:eastAsia="zh-CN"/>
          <w14:textFill>
            <w14:solidFill>
              <w14:schemeClr w14:val="tx1"/>
            </w14:solidFill>
          </w14:textFill>
        </w:rPr>
        <w:t>GBZ158-2003</w:t>
      </w:r>
      <w:r>
        <w:rPr>
          <w:rFonts w:hint="eastAsia"/>
          <w:color w:val="000000" w:themeColor="text1"/>
          <w:sz w:val="28"/>
          <w:lang w:val="en-US"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《工作场所有害因素职业接触限值第1部分：化学有害因素》（GBZ2.1-20</w:t>
      </w:r>
      <w:r>
        <w:rPr>
          <w:rFonts w:hint="eastAsia"/>
          <w:color w:val="000000" w:themeColor="text1"/>
          <w:sz w:val="28"/>
          <w:lang w:val="en-US" w:eastAsia="zh-CN"/>
          <w14:textFill>
            <w14:solidFill>
              <w14:schemeClr w14:val="tx1"/>
            </w14:solidFill>
          </w14:textFill>
        </w:rPr>
        <w:t>19</w:t>
      </w:r>
      <w:r>
        <w:rPr>
          <w:rFonts w:hint="eastAsia"/>
          <w:color w:val="000000" w:themeColor="text1"/>
          <w:sz w:val="28"/>
          <w:lang w:eastAsia="zh-CN"/>
          <w14:textFill>
            <w14:solidFill>
              <w14:schemeClr w14:val="tx1"/>
            </w14:solidFill>
          </w14:textFill>
        </w:rPr>
        <w:t>/XG1-2022</w:t>
      </w:r>
      <w:r>
        <w:rPr>
          <w:rFonts w:hint="eastAsia"/>
          <w:color w:val="000000" w:themeColor="text1"/>
          <w:sz w:val="28"/>
          <w:lang w:val="en-US" w:eastAsia="zh-CN"/>
          <w14:textFill>
            <w14:solidFill>
              <w14:schemeClr w14:val="tx1"/>
            </w14:solidFill>
          </w14:textFill>
        </w:rPr>
        <w:t xml:space="preserve"> </w:t>
      </w:r>
      <w:r>
        <w:rPr>
          <w:rFonts w:hint="default"/>
          <w:color w:val="000000" w:themeColor="text1"/>
          <w:sz w:val="28"/>
          <w:lang w:eastAsia="zh-CN"/>
          <w14:textFill>
            <w14:solidFill>
              <w14:schemeClr w14:val="tx1"/>
            </w14:solidFill>
          </w14:textFill>
        </w:rPr>
        <w:t>第1号修改单</w:t>
      </w:r>
      <w:r>
        <w:rPr>
          <w:rFonts w:hint="eastAsia"/>
          <w:color w:val="000000" w:themeColor="text1"/>
          <w:sz w:val="28"/>
          <w:lang w:eastAsia="zh-CN"/>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60"/>
        <w:textAlignment w:val="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《工作场所有害因素职业接触限值第2部分：物理因素》</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GBZ2.2-2007</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《火灾分类》</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GB/T4968-2008</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《弹性元件式一般压力表、压力真空表和真空表检定规程》（JJG 52-2013）</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《生产过程安全卫生要求总则》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GB/T12801-2008</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《生产过程危险和有害因素分类与代码》</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GB/T13861-2022</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《企业安全生产标准化基本规范》</w:t>
      </w:r>
      <w:r>
        <w:rPr>
          <w:rFonts w:hint="eastAsia"/>
          <w:color w:val="000000" w:themeColor="text1"/>
          <w:sz w:val="28"/>
          <w:lang w:eastAsia="zh-CN"/>
          <w14:textFill>
            <w14:solidFill>
              <w14:schemeClr w14:val="tx1"/>
            </w14:solidFill>
          </w14:textFill>
        </w:rPr>
        <w:t>（</w:t>
      </w:r>
      <w:r>
        <w:rPr>
          <w:color w:val="000000" w:themeColor="text1"/>
          <w:sz w:val="28"/>
          <w14:textFill>
            <w14:solidFill>
              <w14:schemeClr w14:val="tx1"/>
            </w14:solidFill>
          </w14:textFill>
        </w:rPr>
        <w:t>GB/T33000-2016</w:t>
      </w:r>
      <w:r>
        <w:rPr>
          <w:rFonts w:hint="eastAsia"/>
          <w:color w:val="000000" w:themeColor="text1"/>
          <w:sz w:val="28"/>
          <w:lang w:eastAsia="zh-CN"/>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60"/>
        <w:jc w:val="left"/>
        <w:textAlignment w:val="auto"/>
        <w:rPr>
          <w:rFonts w:hint="eastAsia"/>
          <w:b w:val="0"/>
          <w:bCs w:val="0"/>
          <w:color w:val="000000" w:themeColor="text1"/>
          <w:sz w:val="28"/>
          <w14:textFill>
            <w14:solidFill>
              <w14:schemeClr w14:val="tx1"/>
            </w14:solidFill>
          </w14:textFill>
        </w:rPr>
      </w:pPr>
      <w:r>
        <w:rPr>
          <w:rFonts w:hint="eastAsia"/>
          <w:b w:val="0"/>
          <w:bCs w:val="0"/>
          <w:color w:val="000000" w:themeColor="text1"/>
          <w:sz w:val="28"/>
          <w:lang w:val="en-US" w:eastAsia="zh-CN"/>
          <w14:textFill>
            <w14:solidFill>
              <w14:schemeClr w14:val="tx1"/>
            </w14:solidFill>
          </w14:textFill>
        </w:rPr>
        <w:t>《生产经营单位生产安全事故应急预案编制导则》（GB/T29639-2020）</w:t>
      </w:r>
    </w:p>
    <w:p>
      <w:pPr>
        <w:pStyle w:val="126"/>
        <w:numPr>
          <w:ilvl w:val="0"/>
          <w:numId w:val="9"/>
        </w:numPr>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《石油天然气工业钻井和采油设备 钻井和修井井架、底座》（GB/T25428-2015）</w:t>
      </w:r>
    </w:p>
    <w:p>
      <w:pPr>
        <w:pStyle w:val="126"/>
        <w:numPr>
          <w:ilvl w:val="0"/>
          <w:numId w:val="9"/>
        </w:numPr>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《石油天然气工业钻机和修井机》（GB/T23505-2017）</w:t>
      </w:r>
    </w:p>
    <w:p>
      <w:pPr>
        <w:pStyle w:val="126"/>
        <w:numPr>
          <w:ilvl w:val="0"/>
          <w:numId w:val="9"/>
        </w:numPr>
        <w:adjustRightInd w:val="0"/>
        <w:snapToGrid w:val="0"/>
        <w:spacing w:line="360" w:lineRule="auto"/>
        <w:ind w:left="0" w:firstLine="560"/>
        <w:rPr>
          <w:rFonts w:hint="eastAsia"/>
          <w:b w:val="0"/>
          <w:bCs w:val="0"/>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《石油天然气工业钻井和修井设备》（GB/T17744-2020）</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1.2.7 行业、地方标准</w:t>
      </w:r>
    </w:p>
    <w:p>
      <w:pPr>
        <w:pStyle w:val="260"/>
        <w:numPr>
          <w:ilvl w:val="0"/>
          <w:numId w:val="10"/>
        </w:numPr>
        <w:adjustRightInd w:val="0"/>
        <w:snapToGrid w:val="0"/>
        <w:spacing w:line="360" w:lineRule="auto"/>
        <w:ind w:left="0" w:firstLine="544"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w:t>
      </w:r>
      <w:r>
        <w:rPr>
          <w:rFonts w:hint="eastAsia"/>
          <w:sz w:val="28"/>
          <w:szCs w:val="28"/>
        </w:rPr>
        <w:t>石</w:t>
      </w:r>
      <w:r>
        <w:rPr>
          <w:rFonts w:hint="eastAsia"/>
          <w:bCs/>
          <w:color w:val="000000" w:themeColor="text1"/>
          <w:spacing w:val="-4"/>
          <w:sz w:val="28"/>
          <w:szCs w:val="28"/>
          <w14:textFill>
            <w14:solidFill>
              <w14:schemeClr w14:val="tx1"/>
            </w14:solidFill>
          </w14:textFill>
        </w:rPr>
        <w:t>油天然气安全规程》</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AQ2012-2007</w:t>
      </w:r>
      <w:r>
        <w:rPr>
          <w:rFonts w:hint="eastAsia"/>
          <w:bCs/>
          <w:color w:val="000000" w:themeColor="text1"/>
          <w:spacing w:val="-4"/>
          <w:sz w:val="28"/>
          <w:szCs w:val="28"/>
          <w:lang w:eastAsia="zh-CN"/>
          <w14:textFill>
            <w14:solidFill>
              <w14:schemeClr w14:val="tx1"/>
            </w14:solidFill>
          </w14:textFill>
        </w:rPr>
        <w:t>）</w:t>
      </w:r>
    </w:p>
    <w:p>
      <w:pPr>
        <w:pStyle w:val="260"/>
        <w:numPr>
          <w:ilvl w:val="0"/>
          <w:numId w:val="10"/>
        </w:numPr>
        <w:adjustRightInd w:val="0"/>
        <w:snapToGrid w:val="0"/>
        <w:spacing w:line="360" w:lineRule="auto"/>
        <w:ind w:left="0" w:firstLine="544" w:firstLineChars="0"/>
        <w:rPr>
          <w:color w:val="000000" w:themeColor="text1"/>
          <w:sz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《石油行业安全生产标准化井下作业实施规范》</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AQ2041-2012</w:t>
      </w:r>
      <w:r>
        <w:rPr>
          <w:rFonts w:hint="eastAsia"/>
          <w:bCs/>
          <w:color w:val="000000" w:themeColor="text1"/>
          <w:spacing w:val="-4"/>
          <w:sz w:val="28"/>
          <w:szCs w:val="28"/>
          <w:lang w:eastAsia="zh-CN"/>
          <w14:textFill>
            <w14:solidFill>
              <w14:schemeClr w14:val="tx1"/>
            </w14:solidFill>
          </w14:textFill>
        </w:rPr>
        <w:t>）</w:t>
      </w:r>
    </w:p>
    <w:p>
      <w:pPr>
        <w:pStyle w:val="126"/>
        <w:numPr>
          <w:ilvl w:val="0"/>
          <w:numId w:val="10"/>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《安全评价通则》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AQ8001-2007</w:t>
      </w:r>
      <w:r>
        <w:rPr>
          <w:rFonts w:hint="eastAsia"/>
          <w:color w:val="000000" w:themeColor="text1"/>
          <w:sz w:val="28"/>
          <w:lang w:eastAsia="zh-CN"/>
          <w14:textFill>
            <w14:solidFill>
              <w14:schemeClr w14:val="tx1"/>
            </w14:solidFill>
          </w14:textFill>
        </w:rPr>
        <w:t>）</w:t>
      </w:r>
    </w:p>
    <w:p>
      <w:pPr>
        <w:pStyle w:val="126"/>
        <w:numPr>
          <w:ilvl w:val="0"/>
          <w:numId w:val="10"/>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生产安全事故应急演练基本规范</w:t>
      </w:r>
      <w:r>
        <w:rPr>
          <w:rFonts w:hint="eastAsia"/>
          <w:color w:val="000000" w:themeColor="text1"/>
          <w:sz w:val="28"/>
          <w14:textFill>
            <w14:solidFill>
              <w14:schemeClr w14:val="tx1"/>
            </w14:solidFill>
          </w14:textFill>
        </w:rPr>
        <w:t>》（AQ</w:t>
      </w:r>
      <w:r>
        <w:rPr>
          <w:rFonts w:hint="eastAsia"/>
          <w:color w:val="000000" w:themeColor="text1"/>
          <w:sz w:val="28"/>
          <w:lang w:val="en-US" w:eastAsia="zh-CN"/>
          <w14:textFill>
            <w14:solidFill>
              <w14:schemeClr w14:val="tx1"/>
            </w14:solidFill>
          </w14:textFill>
        </w:rPr>
        <w:t>/T9007</w:t>
      </w:r>
      <w:r>
        <w:rPr>
          <w:rFonts w:hint="eastAsia"/>
          <w:color w:val="000000" w:themeColor="text1"/>
          <w:sz w:val="28"/>
          <w14:textFill>
            <w14:solidFill>
              <w14:schemeClr w14:val="tx1"/>
            </w14:solidFill>
          </w14:textFill>
        </w:rPr>
        <w:t>-20</w:t>
      </w:r>
      <w:r>
        <w:rPr>
          <w:rFonts w:hint="eastAsia"/>
          <w:color w:val="000000" w:themeColor="text1"/>
          <w:sz w:val="28"/>
          <w:lang w:val="en-US" w:eastAsia="zh-CN"/>
          <w14:textFill>
            <w14:solidFill>
              <w14:schemeClr w14:val="tx1"/>
            </w14:solidFill>
          </w14:textFill>
        </w:rPr>
        <w:t>19</w:t>
      </w:r>
      <w:r>
        <w:rPr>
          <w:rFonts w:hint="eastAsia"/>
          <w:color w:val="000000" w:themeColor="text1"/>
          <w:sz w:val="28"/>
          <w14:textFill>
            <w14:solidFill>
              <w14:schemeClr w14:val="tx1"/>
            </w14:solidFill>
          </w14:textFill>
        </w:rPr>
        <w:t>）</w:t>
      </w:r>
    </w:p>
    <w:p>
      <w:pPr>
        <w:pStyle w:val="126"/>
        <w:numPr>
          <w:ilvl w:val="0"/>
          <w:numId w:val="10"/>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生产安全事故应急演练评估规范</w:t>
      </w:r>
      <w:r>
        <w:rPr>
          <w:rFonts w:hint="eastAsia"/>
          <w:color w:val="000000" w:themeColor="text1"/>
          <w:sz w:val="28"/>
          <w14:textFill>
            <w14:solidFill>
              <w14:schemeClr w14:val="tx1"/>
            </w14:solidFill>
          </w14:textFill>
        </w:rPr>
        <w:t>》（AQ</w:t>
      </w:r>
      <w:r>
        <w:rPr>
          <w:rFonts w:hint="eastAsia"/>
          <w:color w:val="000000" w:themeColor="text1"/>
          <w:sz w:val="28"/>
          <w:lang w:val="en-US" w:eastAsia="zh-CN"/>
          <w14:textFill>
            <w14:solidFill>
              <w14:schemeClr w14:val="tx1"/>
            </w14:solidFill>
          </w14:textFill>
        </w:rPr>
        <w:t>/T9009</w:t>
      </w:r>
      <w:r>
        <w:rPr>
          <w:rFonts w:hint="eastAsia"/>
          <w:color w:val="000000" w:themeColor="text1"/>
          <w:sz w:val="28"/>
          <w14:textFill>
            <w14:solidFill>
              <w14:schemeClr w14:val="tx1"/>
            </w14:solidFill>
          </w14:textFill>
        </w:rPr>
        <w:t>-20</w:t>
      </w:r>
      <w:r>
        <w:rPr>
          <w:rFonts w:hint="eastAsia"/>
          <w:color w:val="000000" w:themeColor="text1"/>
          <w:sz w:val="28"/>
          <w:lang w:val="en-US" w:eastAsia="zh-CN"/>
          <w14:textFill>
            <w14:solidFill>
              <w14:schemeClr w14:val="tx1"/>
            </w14:solidFill>
          </w14:textFill>
        </w:rPr>
        <w:t>15</w:t>
      </w:r>
      <w:r>
        <w:rPr>
          <w:rFonts w:hint="eastAsia"/>
          <w:color w:val="000000" w:themeColor="text1"/>
          <w:sz w:val="28"/>
          <w14:textFill>
            <w14:solidFill>
              <w14:schemeClr w14:val="tx1"/>
            </w14:solidFill>
          </w14:textFill>
        </w:rPr>
        <w:t>）</w:t>
      </w:r>
    </w:p>
    <w:p>
      <w:pPr>
        <w:pStyle w:val="126"/>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560"/>
        <w:jc w:val="both"/>
        <w:textAlignment w:val="auto"/>
        <w:rPr>
          <w:bCs/>
          <w:color w:val="000000" w:themeColor="text1"/>
          <w:spacing w:val="-4"/>
          <w:sz w:val="28"/>
          <w:szCs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生产经营单位生产安全事故应急预案评估指南</w:t>
      </w:r>
      <w:r>
        <w:rPr>
          <w:rFonts w:hint="eastAsia"/>
          <w:color w:val="000000" w:themeColor="text1"/>
          <w:sz w:val="28"/>
          <w14:textFill>
            <w14:solidFill>
              <w14:schemeClr w14:val="tx1"/>
            </w14:solidFill>
          </w14:textFill>
        </w:rPr>
        <w:t>》（AQ</w:t>
      </w:r>
      <w:r>
        <w:rPr>
          <w:rFonts w:hint="eastAsia"/>
          <w:color w:val="000000" w:themeColor="text1"/>
          <w:sz w:val="28"/>
          <w:lang w:val="en-US" w:eastAsia="zh-CN"/>
          <w14:textFill>
            <w14:solidFill>
              <w14:schemeClr w14:val="tx1"/>
            </w14:solidFill>
          </w14:textFill>
        </w:rPr>
        <w:t>/T9011</w:t>
      </w:r>
      <w:r>
        <w:rPr>
          <w:rFonts w:hint="eastAsia"/>
          <w:color w:val="000000" w:themeColor="text1"/>
          <w:sz w:val="28"/>
          <w14:textFill>
            <w14:solidFill>
              <w14:schemeClr w14:val="tx1"/>
            </w14:solidFill>
          </w14:textFill>
        </w:rPr>
        <w:t>-20</w:t>
      </w:r>
      <w:r>
        <w:rPr>
          <w:rFonts w:hint="eastAsia"/>
          <w:color w:val="000000" w:themeColor="text1"/>
          <w:sz w:val="28"/>
          <w:lang w:val="en-US" w:eastAsia="zh-CN"/>
          <w14:textFill>
            <w14:solidFill>
              <w14:schemeClr w14:val="tx1"/>
            </w14:solidFill>
          </w14:textFill>
        </w:rPr>
        <w:t>19</w:t>
      </w:r>
      <w:r>
        <w:rPr>
          <w:rFonts w:hint="eastAsia"/>
          <w:color w:val="000000" w:themeColor="text1"/>
          <w:sz w:val="28"/>
          <w14:textFill>
            <w14:solidFill>
              <w14:schemeClr w14:val="tx1"/>
            </w14:solidFill>
          </w14:textFill>
        </w:rPr>
        <w:t>）</w:t>
      </w:r>
    </w:p>
    <w:p>
      <w:pPr>
        <w:pStyle w:val="126"/>
        <w:numPr>
          <w:ilvl w:val="0"/>
          <w:numId w:val="10"/>
        </w:numPr>
        <w:adjustRightInd w:val="0"/>
        <w:snapToGrid w:val="0"/>
        <w:spacing w:line="360" w:lineRule="auto"/>
        <w:ind w:left="0" w:firstLine="560"/>
        <w:rPr>
          <w:bCs/>
          <w:color w:val="000000" w:themeColor="text1"/>
          <w:spacing w:val="-4"/>
          <w:sz w:val="28"/>
          <w:szCs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bCs/>
          <w:color w:val="000000" w:themeColor="text1"/>
          <w:spacing w:val="-4"/>
          <w:sz w:val="28"/>
          <w:szCs w:val="28"/>
          <w14:textFill>
            <w14:solidFill>
              <w14:schemeClr w14:val="tx1"/>
            </w14:solidFill>
          </w14:textFill>
        </w:rPr>
        <w:t>石油天然气钻井、开发、储运防火防爆安全生产技术规程》</w:t>
      </w:r>
      <w:r>
        <w:rPr>
          <w:rFonts w:hint="eastAsia"/>
          <w:bCs/>
          <w:color w:val="000000" w:themeColor="text1"/>
          <w:spacing w:val="-4"/>
          <w:sz w:val="28"/>
          <w:szCs w:val="28"/>
          <w:lang w:val="en-US"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w:t>
      </w:r>
      <w:r>
        <w:rPr>
          <w:rFonts w:hint="eastAsia"/>
          <w:bCs/>
          <w:color w:val="000000" w:themeColor="text1"/>
          <w:spacing w:val="-4"/>
          <w:sz w:val="28"/>
          <w:szCs w:val="28"/>
          <w:lang w:val="en-US" w:eastAsia="zh-CN"/>
          <w14:textFill>
            <w14:solidFill>
              <w14:schemeClr w14:val="tx1"/>
            </w14:solidFill>
          </w14:textFill>
        </w:rPr>
        <w:t>/T</w:t>
      </w:r>
      <w:r>
        <w:rPr>
          <w:rFonts w:hint="eastAsia"/>
          <w:bCs/>
          <w:color w:val="000000" w:themeColor="text1"/>
          <w:spacing w:val="-4"/>
          <w:sz w:val="28"/>
          <w:szCs w:val="28"/>
          <w14:textFill>
            <w14:solidFill>
              <w14:schemeClr w14:val="tx1"/>
            </w14:solidFill>
          </w14:textFill>
        </w:rPr>
        <w:t>5225-201</w:t>
      </w:r>
      <w:r>
        <w:rPr>
          <w:rFonts w:hint="eastAsia"/>
          <w:bCs/>
          <w:color w:val="000000" w:themeColor="text1"/>
          <w:spacing w:val="-4"/>
          <w:sz w:val="28"/>
          <w:szCs w:val="28"/>
          <w:lang w:val="en-US" w:eastAsia="zh-CN"/>
          <w14:textFill>
            <w14:solidFill>
              <w14:schemeClr w14:val="tx1"/>
            </w14:solidFill>
          </w14:textFill>
        </w:rPr>
        <w:t>9）</w:t>
      </w:r>
    </w:p>
    <w:p>
      <w:pPr>
        <w:pStyle w:val="126"/>
        <w:numPr>
          <w:ilvl w:val="0"/>
          <w:numId w:val="10"/>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《井下作业安全规程》</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 5727-20</w:t>
      </w:r>
      <w:r>
        <w:rPr>
          <w:rFonts w:hint="eastAsia"/>
          <w:bCs/>
          <w:color w:val="000000" w:themeColor="text1"/>
          <w:spacing w:val="-4"/>
          <w:sz w:val="28"/>
          <w:szCs w:val="28"/>
          <w:lang w:val="en-US" w:eastAsia="zh-CN"/>
          <w14:textFill>
            <w14:solidFill>
              <w14:schemeClr w14:val="tx1"/>
            </w14:solidFill>
          </w14:textFill>
        </w:rPr>
        <w:t>20</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560"/>
        <w:jc w:val="both"/>
        <w:textAlignment w:val="auto"/>
        <w:rPr>
          <w:bCs/>
          <w:color w:val="000000" w:themeColor="text1"/>
          <w:spacing w:val="-4"/>
          <w:sz w:val="28"/>
          <w:szCs w:val="28"/>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《石油与天然气井井控安全技术考核管理规则》</w:t>
      </w:r>
      <w:r>
        <w:rPr>
          <w:rFonts w:hint="eastAsia"/>
          <w:color w:val="000000" w:themeColor="text1"/>
          <w:sz w:val="28"/>
          <w14:textFill>
            <w14:solidFill>
              <w14:schemeClr w14:val="tx1"/>
            </w14:solidFill>
          </w14:textFill>
        </w:rPr>
        <w:t>（SY</w:t>
      </w:r>
      <w:r>
        <w:rPr>
          <w:rFonts w:hint="eastAsia"/>
          <w:color w:val="000000" w:themeColor="text1"/>
          <w:sz w:val="28"/>
          <w:lang w:val="en-US" w:eastAsia="zh-CN"/>
          <w14:textFill>
            <w14:solidFill>
              <w14:schemeClr w14:val="tx1"/>
            </w14:solidFill>
          </w14:textFill>
        </w:rPr>
        <w:t>/T</w:t>
      </w:r>
      <w:r>
        <w:rPr>
          <w:rFonts w:hint="eastAsia"/>
          <w:color w:val="000000" w:themeColor="text1"/>
          <w:sz w:val="28"/>
          <w14:textFill>
            <w14:solidFill>
              <w14:schemeClr w14:val="tx1"/>
            </w14:solidFill>
          </w14:textFill>
        </w:rPr>
        <w:t>5742-20</w:t>
      </w:r>
      <w:r>
        <w:rPr>
          <w:rFonts w:hint="eastAsia"/>
          <w:color w:val="000000" w:themeColor="text1"/>
          <w:sz w:val="28"/>
          <w:lang w:val="en-US" w:eastAsia="zh-CN"/>
          <w14:textFill>
            <w14:solidFill>
              <w14:schemeClr w14:val="tx1"/>
            </w14:solidFill>
          </w14:textFill>
        </w:rPr>
        <w:t>19</w:t>
      </w:r>
      <w:r>
        <w:rPr>
          <w:rFonts w:hint="eastAsia"/>
          <w:color w:val="000000" w:themeColor="text1"/>
          <w:sz w:val="28"/>
          <w14:textFill>
            <w14:solidFill>
              <w14:schemeClr w14:val="tx1"/>
            </w14:solidFill>
          </w14:textFill>
        </w:rPr>
        <w:t>）</w:t>
      </w:r>
    </w:p>
    <w:p>
      <w:pPr>
        <w:pStyle w:val="126"/>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56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《石油天然气工业健康、安全与环境管理体系》</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SY/T6276-2014</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56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《硫化氢环境人身防护规范》（SY/T6277-2017）</w:t>
      </w:r>
    </w:p>
    <w:p>
      <w:pPr>
        <w:pStyle w:val="126"/>
        <w:numPr>
          <w:ilvl w:val="0"/>
          <w:numId w:val="10"/>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《石油天然气生产专用安全标志》</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SY/T6355-2017</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544" w:firstLineChars="20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《石油天然气作业场所劳动防护用品配备规范</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（SY/T6524-2017）</w:t>
      </w:r>
    </w:p>
    <w:p>
      <w:pPr>
        <w:pStyle w:val="126"/>
        <w:numPr>
          <w:ilvl w:val="0"/>
          <w:numId w:val="10"/>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硫化氢环境井下作业场所作业安全规范</w:t>
      </w:r>
      <w:r>
        <w:rPr>
          <w:rFonts w:hint="eastAsia"/>
          <w:bCs/>
          <w:color w:val="000000" w:themeColor="text1"/>
          <w:spacing w:val="-4"/>
          <w:sz w:val="28"/>
          <w:szCs w:val="28"/>
          <w:lang w:val="en-US"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w:t>
      </w:r>
      <w:r>
        <w:rPr>
          <w:rFonts w:hint="eastAsia"/>
          <w:bCs/>
          <w:color w:val="000000" w:themeColor="text1"/>
          <w:spacing w:val="-4"/>
          <w:sz w:val="28"/>
          <w:szCs w:val="28"/>
          <w:lang w:val="en-US"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T 6610-2017</w:t>
      </w:r>
      <w:r>
        <w:rPr>
          <w:rFonts w:hint="eastAsia"/>
          <w:bCs/>
          <w:color w:val="000000" w:themeColor="text1"/>
          <w:spacing w:val="-4"/>
          <w:sz w:val="28"/>
          <w:szCs w:val="28"/>
          <w:lang w:val="en-US" w:eastAsia="zh-CN"/>
          <w14:textFill>
            <w14:solidFill>
              <w14:schemeClr w14:val="tx1"/>
            </w14:solidFill>
          </w14:textFill>
        </w:rPr>
        <w:t>）</w:t>
      </w:r>
    </w:p>
    <w:p>
      <w:pPr>
        <w:pStyle w:val="126"/>
        <w:numPr>
          <w:ilvl w:val="0"/>
          <w:numId w:val="10"/>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《井下作业井控技术规程》</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SY/T6690-20</w:t>
      </w:r>
      <w:r>
        <w:rPr>
          <w:bCs/>
          <w:color w:val="000000" w:themeColor="text1"/>
          <w:spacing w:val="-4"/>
          <w:sz w:val="28"/>
          <w:szCs w:val="28"/>
          <w14:textFill>
            <w14:solidFill>
              <w14:schemeClr w14:val="tx1"/>
            </w14:solidFill>
          </w14:textFill>
        </w:rPr>
        <w:t>16</w:t>
      </w:r>
      <w:r>
        <w:rPr>
          <w:rFonts w:hint="eastAsia"/>
          <w:bCs/>
          <w:color w:val="000000" w:themeColor="text1"/>
          <w:spacing w:val="-4"/>
          <w:sz w:val="28"/>
          <w:szCs w:val="28"/>
          <w:lang w:eastAsia="zh-CN"/>
          <w14:textFill>
            <w14:solidFill>
              <w14:schemeClr w14:val="tx1"/>
            </w14:solidFill>
          </w14:textFill>
        </w:rPr>
        <w:t>）</w:t>
      </w:r>
    </w:p>
    <w:p>
      <w:pPr>
        <w:pStyle w:val="126"/>
        <w:numPr>
          <w:ilvl w:val="0"/>
          <w:numId w:val="10"/>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《硫化氢防护安全培训规范》（</w:t>
      </w:r>
      <w:r>
        <w:rPr>
          <w:rFonts w:hint="default"/>
          <w:bCs/>
          <w:color w:val="000000" w:themeColor="text1"/>
          <w:spacing w:val="-4"/>
          <w:sz w:val="28"/>
          <w:szCs w:val="28"/>
          <w:lang w:val="en-US" w:eastAsia="zh-CN"/>
          <w14:textFill>
            <w14:solidFill>
              <w14:schemeClr w14:val="tx1"/>
            </w14:solidFill>
          </w14:textFill>
        </w:rPr>
        <w:t>SY/T7356-2017</w:t>
      </w:r>
      <w:r>
        <w:rPr>
          <w:rFonts w:hint="eastAsia"/>
          <w:bCs/>
          <w:color w:val="000000" w:themeColor="text1"/>
          <w:spacing w:val="-4"/>
          <w:sz w:val="28"/>
          <w:szCs w:val="28"/>
          <w:lang w:val="en-US" w:eastAsia="zh-CN"/>
          <w14:textFill>
            <w14:solidFill>
              <w14:schemeClr w14:val="tx1"/>
            </w14:solidFill>
          </w14:textFill>
        </w:rPr>
        <w:t>）</w:t>
      </w:r>
    </w:p>
    <w:p>
      <w:pPr>
        <w:pStyle w:val="126"/>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544" w:firstLineChars="20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《石油天然气工程项目安全现状评价报告编写规则》（</w:t>
      </w:r>
      <w:r>
        <w:rPr>
          <w:rFonts w:hint="default"/>
          <w:bCs/>
          <w:color w:val="000000" w:themeColor="text1"/>
          <w:spacing w:val="-4"/>
          <w:sz w:val="28"/>
          <w:szCs w:val="28"/>
          <w:lang w:val="en-US" w:eastAsia="zh-CN"/>
          <w14:textFill>
            <w14:solidFill>
              <w14:schemeClr w14:val="tx1"/>
            </w14:solidFill>
          </w14:textFill>
        </w:rPr>
        <w:t>SY/T6778-2010</w:t>
      </w:r>
      <w:r>
        <w:rPr>
          <w:rFonts w:hint="eastAsia"/>
          <w:bCs/>
          <w:color w:val="000000" w:themeColor="text1"/>
          <w:spacing w:val="-4"/>
          <w:sz w:val="28"/>
          <w:szCs w:val="28"/>
          <w:lang w:val="en-US" w:eastAsia="zh-CN"/>
          <w14:textFill>
            <w14:solidFill>
              <w14:schemeClr w14:val="tx1"/>
            </w14:solidFill>
          </w14:textFill>
        </w:rPr>
        <w:t xml:space="preserve">） </w:t>
      </w:r>
    </w:p>
    <w:p>
      <w:pPr>
        <w:pStyle w:val="126"/>
        <w:numPr>
          <w:ilvl w:val="0"/>
          <w:numId w:val="10"/>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《山东省劳动防护用品配备标准》</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DB37/1922-2011</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544"/>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《非煤矿山企业安全生产风险分级管控体系细则》</w:t>
      </w:r>
      <w:r>
        <w:rPr>
          <w:rFonts w:hint="eastAsia"/>
          <w:bCs/>
          <w:color w:val="000000" w:themeColor="text1"/>
          <w:spacing w:val="-4"/>
          <w:sz w:val="28"/>
          <w:szCs w:val="28"/>
          <w:lang w:val="en-US" w:eastAsia="zh-CN"/>
          <w14:textFill>
            <w14:solidFill>
              <w14:schemeClr w14:val="tx1"/>
            </w14:solidFill>
          </w14:textFill>
        </w:rPr>
        <w:t xml:space="preserve">      </w:t>
      </w:r>
      <w:r>
        <w:rPr>
          <w:rFonts w:hint="eastAsia"/>
          <w:bCs/>
          <w:color w:val="000000" w:themeColor="text1"/>
          <w:spacing w:val="-4"/>
          <w:sz w:val="28"/>
          <w:szCs w:val="28"/>
          <w:lang w:eastAsia="zh-CN"/>
          <w14:textFill>
            <w14:solidFill>
              <w14:schemeClr w14:val="tx1"/>
            </w14:solidFill>
          </w14:textFill>
        </w:rPr>
        <w:t>（</w:t>
      </w:r>
      <w:r>
        <w:rPr>
          <w:bCs/>
          <w:color w:val="000000" w:themeColor="text1"/>
          <w:spacing w:val="-4"/>
          <w:sz w:val="28"/>
          <w:szCs w:val="28"/>
          <w14:textFill>
            <w14:solidFill>
              <w14:schemeClr w14:val="tx1"/>
            </w14:solidFill>
          </w14:textFill>
        </w:rPr>
        <w:t>DB37</w:t>
      </w:r>
      <w:r>
        <w:rPr>
          <w:rFonts w:hint="eastAsia"/>
          <w:bCs/>
          <w:color w:val="000000" w:themeColor="text1"/>
          <w:spacing w:val="-4"/>
          <w:sz w:val="28"/>
          <w:szCs w:val="28"/>
          <w14:textFill>
            <w14:solidFill>
              <w14:schemeClr w14:val="tx1"/>
            </w14:solidFill>
          </w14:textFill>
        </w:rPr>
        <w:t>/</w:t>
      </w:r>
      <w:r>
        <w:rPr>
          <w:bCs/>
          <w:color w:val="000000" w:themeColor="text1"/>
          <w:spacing w:val="-4"/>
          <w:sz w:val="28"/>
          <w:szCs w:val="28"/>
          <w14:textFill>
            <w14:solidFill>
              <w14:schemeClr w14:val="tx1"/>
            </w14:solidFill>
          </w14:textFill>
        </w:rPr>
        <w:t>T 2972-2017</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544"/>
        <w:jc w:val="both"/>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《非煤矿山企业生产安全事故隐患排查治理体系细则》</w:t>
      </w:r>
      <w:r>
        <w:rPr>
          <w:rFonts w:hint="eastAsia"/>
          <w:bCs/>
          <w:color w:val="000000" w:themeColor="text1"/>
          <w:spacing w:val="-4"/>
          <w:sz w:val="28"/>
          <w:szCs w:val="28"/>
          <w:lang w:val="en-US" w:eastAsia="zh-CN"/>
          <w14:textFill>
            <w14:solidFill>
              <w14:schemeClr w14:val="tx1"/>
            </w14:solidFill>
          </w14:textFill>
        </w:rPr>
        <w:t xml:space="preserve"> </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DB37/T 3013-2017</w:t>
      </w:r>
      <w:r>
        <w:rPr>
          <w:rFonts w:hint="eastAsia"/>
          <w:bCs/>
          <w:color w:val="000000" w:themeColor="text1"/>
          <w:spacing w:val="-4"/>
          <w:sz w:val="28"/>
          <w:szCs w:val="28"/>
          <w:lang w:eastAsia="zh-CN"/>
          <w14:textFill>
            <w14:solidFill>
              <w14:schemeClr w14:val="tx1"/>
            </w14:solidFill>
          </w14:textFill>
        </w:rPr>
        <w:t>）</w:t>
      </w:r>
    </w:p>
    <w:p>
      <w:pPr>
        <w:pStyle w:val="126"/>
        <w:numPr>
          <w:ilvl w:val="0"/>
          <w:numId w:val="10"/>
        </w:numPr>
        <w:adjustRightInd w:val="0"/>
        <w:snapToGrid w:val="0"/>
        <w:spacing w:line="360" w:lineRule="auto"/>
        <w:ind w:left="0" w:firstLine="544"/>
        <w:rPr>
          <w:bCs/>
          <w:color w:val="000000" w:themeColor="text1"/>
          <w:spacing w:val="-4"/>
          <w:sz w:val="28"/>
          <w:szCs w:val="28"/>
          <w14:textFill>
            <w14:solidFill>
              <w14:schemeClr w14:val="tx1"/>
            </w14:solidFill>
          </w14:textFill>
        </w:rPr>
      </w:pPr>
      <w:r>
        <w:rPr>
          <w:bCs/>
          <w:color w:val="000000" w:themeColor="text1"/>
          <w:spacing w:val="-4"/>
          <w:sz w:val="28"/>
          <w:szCs w:val="28"/>
          <w14:textFill>
            <w14:solidFill>
              <w14:schemeClr w14:val="tx1"/>
            </w14:solidFill>
          </w14:textFill>
        </w:rPr>
        <w:t>《</w:t>
      </w:r>
      <w:r>
        <w:rPr>
          <w:rFonts w:hint="eastAsia"/>
          <w:bCs/>
          <w:color w:val="000000" w:themeColor="text1"/>
          <w:spacing w:val="-4"/>
          <w:sz w:val="28"/>
          <w:szCs w:val="28"/>
          <w:lang w:eastAsia="zh-CN"/>
          <w14:textFill>
            <w14:solidFill>
              <w14:schemeClr w14:val="tx1"/>
            </w14:solidFill>
          </w14:textFill>
        </w:rPr>
        <w:t>安全阀安全技术监察规程</w:t>
      </w:r>
      <w:r>
        <w:rPr>
          <w:bCs/>
          <w:color w:val="000000" w:themeColor="text1"/>
          <w:spacing w:val="-4"/>
          <w:sz w:val="28"/>
          <w:szCs w:val="28"/>
          <w14:textFill>
            <w14:solidFill>
              <w14:schemeClr w14:val="tx1"/>
            </w14:solidFill>
          </w14:textFill>
        </w:rPr>
        <w:t xml:space="preserve">》（TSG </w:t>
      </w:r>
      <w:r>
        <w:rPr>
          <w:rFonts w:hint="eastAsia"/>
          <w:bCs/>
          <w:color w:val="000000" w:themeColor="text1"/>
          <w:spacing w:val="-4"/>
          <w:sz w:val="28"/>
          <w:szCs w:val="28"/>
          <w:lang w:val="en-US" w:eastAsia="zh-CN"/>
          <w14:textFill>
            <w14:solidFill>
              <w14:schemeClr w14:val="tx1"/>
            </w14:solidFill>
          </w14:textFill>
        </w:rPr>
        <w:t>ZF</w:t>
      </w:r>
      <w:r>
        <w:rPr>
          <w:bCs/>
          <w:color w:val="000000" w:themeColor="text1"/>
          <w:spacing w:val="-4"/>
          <w:sz w:val="28"/>
          <w:szCs w:val="28"/>
          <w14:textFill>
            <w14:solidFill>
              <w14:schemeClr w14:val="tx1"/>
            </w14:solidFill>
          </w14:textFill>
        </w:rPr>
        <w:t>001-20</w:t>
      </w:r>
      <w:r>
        <w:rPr>
          <w:rFonts w:hint="eastAsia"/>
          <w:bCs/>
          <w:color w:val="000000" w:themeColor="text1"/>
          <w:spacing w:val="-4"/>
          <w:sz w:val="28"/>
          <w:szCs w:val="28"/>
          <w:lang w:val="en-US" w:eastAsia="zh-CN"/>
          <w14:textFill>
            <w14:solidFill>
              <w14:schemeClr w14:val="tx1"/>
            </w14:solidFill>
          </w14:textFill>
        </w:rPr>
        <w:t>06第1号修改单</w:t>
      </w:r>
      <w:r>
        <w:rPr>
          <w:bCs/>
          <w:color w:val="000000" w:themeColor="text1"/>
          <w:spacing w:val="-4"/>
          <w:sz w:val="28"/>
          <w:szCs w:val="28"/>
          <w14:textFill>
            <w14:solidFill>
              <w14:schemeClr w14:val="tx1"/>
            </w14:solidFill>
          </w14:textFill>
        </w:rPr>
        <w:t>）</w:t>
      </w:r>
    </w:p>
    <w:p>
      <w:pPr>
        <w:pStyle w:val="126"/>
        <w:numPr>
          <w:ilvl w:val="0"/>
          <w:numId w:val="10"/>
        </w:numPr>
        <w:adjustRightInd w:val="0"/>
        <w:snapToGrid w:val="0"/>
        <w:spacing w:line="360" w:lineRule="auto"/>
        <w:ind w:firstLineChars="0"/>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《钻修井井场雷电防护规范》（SY/T7386-2017）</w:t>
      </w:r>
    </w:p>
    <w:p>
      <w:pPr>
        <w:pStyle w:val="126"/>
        <w:numPr>
          <w:ilvl w:val="0"/>
          <w:numId w:val="10"/>
        </w:numPr>
        <w:adjustRightInd w:val="0"/>
        <w:snapToGrid w:val="0"/>
        <w:spacing w:line="360" w:lineRule="auto"/>
        <w:ind w:firstLineChars="0"/>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《钻（修）井井架逃生装置安全规范》（SY/T7028-20</w:t>
      </w:r>
      <w:r>
        <w:rPr>
          <w:rFonts w:hint="eastAsia" w:cs="Times New Roman"/>
          <w:bCs/>
          <w:color w:val="000000" w:themeColor="text1"/>
          <w:spacing w:val="-4"/>
          <w:sz w:val="28"/>
          <w:szCs w:val="28"/>
          <w:lang w:val="en-US" w:eastAsia="zh-CN"/>
          <w14:textFill>
            <w14:solidFill>
              <w14:schemeClr w14:val="tx1"/>
            </w14:solidFill>
          </w14:textFill>
        </w:rPr>
        <w:t>22</w:t>
      </w:r>
      <w:r>
        <w:rPr>
          <w:rFonts w:hint="default" w:ascii="Times New Roman" w:hAnsi="Times New Roman" w:cs="Times New Roman"/>
          <w:bCs/>
          <w:color w:val="000000" w:themeColor="text1"/>
          <w:spacing w:val="-4"/>
          <w:sz w:val="28"/>
          <w:szCs w:val="28"/>
          <w14:textFill>
            <w14:solidFill>
              <w14:schemeClr w14:val="tx1"/>
            </w14:solidFill>
          </w14:textFill>
        </w:rPr>
        <w:t>）</w:t>
      </w:r>
    </w:p>
    <w:p>
      <w:pPr>
        <w:pStyle w:val="126"/>
        <w:numPr>
          <w:ilvl w:val="0"/>
          <w:numId w:val="10"/>
        </w:numPr>
        <w:adjustRightInd w:val="0"/>
        <w:snapToGrid w:val="0"/>
        <w:spacing w:line="360" w:lineRule="auto"/>
        <w:ind w:firstLineChars="0"/>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《井下作业用防喷器》（SY/T7010-2014）</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《石油钻机和修井机井架承载能力检测评定方法及分级规范</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"http://www.jianbiaoku.com/webarbs/book/65390/2934134.shtml" \t "http://www.jianbiaoku.com/webarbs/book/65390/_self"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bCs/>
          <w:color w:val="000000" w:themeColor="text1"/>
          <w:spacing w:val="-4"/>
          <w:sz w:val="28"/>
          <w:szCs w:val="28"/>
          <w14:textFill>
            <w14:solidFill>
              <w14:schemeClr w14:val="tx1"/>
            </w14:solidFill>
          </w14:textFill>
        </w:rPr>
        <w:t>》（SY/T6326-2019</w:t>
      </w:r>
      <w:r>
        <w:rPr>
          <w:rFonts w:hint="default" w:ascii="Times New Roman" w:hAnsi="Times New Roman" w:cs="Times New Roman"/>
          <w:bCs/>
          <w:color w:val="000000" w:themeColor="text1"/>
          <w:spacing w:val="-4"/>
          <w:sz w:val="28"/>
          <w:szCs w:val="28"/>
          <w14:textFill>
            <w14:solidFill>
              <w14:schemeClr w14:val="tx1"/>
            </w14:solidFill>
          </w14:textFill>
        </w:rPr>
        <w:fldChar w:fldCharType="end"/>
      </w:r>
      <w:r>
        <w:rPr>
          <w:rFonts w:hint="default" w:ascii="Times New Roman" w:hAnsi="Times New Roman" w:cs="Times New Roman"/>
          <w:bCs/>
          <w:color w:val="000000" w:themeColor="text1"/>
          <w:spacing w:val="-4"/>
          <w:sz w:val="28"/>
          <w:szCs w:val="28"/>
          <w14:textFill>
            <w14:solidFill>
              <w14:schemeClr w14:val="tx1"/>
            </w14:solidFill>
          </w14:textFill>
        </w:rPr>
        <w:t>）</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《石油钻、修井用吊具安全技术检验规范》（SY/T6605-2018）</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eastAsia" w:cs="Times New Roman"/>
          <w:bCs/>
          <w:color w:val="000000" w:themeColor="text1"/>
          <w:spacing w:val="-4"/>
          <w:sz w:val="28"/>
          <w:szCs w:val="28"/>
          <w:lang w:eastAsia="zh-CN"/>
          <w14:textFill>
            <w14:solidFill>
              <w14:schemeClr w14:val="tx1"/>
            </w14:solidFill>
          </w14:textFill>
        </w:rPr>
        <w:t>《</w:t>
      </w:r>
      <w:r>
        <w:rPr>
          <w:rFonts w:hint="default" w:ascii="Times New Roman" w:hAnsi="Times New Roman" w:cs="Times New Roman"/>
          <w:bCs/>
          <w:color w:val="000000" w:themeColor="text1"/>
          <w:spacing w:val="-4"/>
          <w:sz w:val="28"/>
          <w:szCs w:val="28"/>
          <w14:textFill>
            <w14:solidFill>
              <w14:schemeClr w14:val="tx1"/>
            </w14:solidFill>
          </w14:textFill>
        </w:rPr>
        <w:t>石油天然气工业钻井和采油设备管柱类落物打捞工具</w:t>
      </w:r>
      <w:r>
        <w:rPr>
          <w:rFonts w:hint="eastAsia" w:cs="Times New Roman"/>
          <w:bCs/>
          <w:color w:val="000000" w:themeColor="text1"/>
          <w:spacing w:val="-4"/>
          <w:sz w:val="28"/>
          <w:szCs w:val="28"/>
          <w:lang w:eastAsia="zh-CN"/>
          <w14:textFill>
            <w14:solidFill>
              <w14:schemeClr w14:val="tx1"/>
            </w14:solidFill>
          </w14:textFill>
        </w:rPr>
        <w:t>》（SY/T 5069-2017）</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eastAsia" w:cs="Times New Roman"/>
          <w:bCs/>
          <w:color w:val="000000" w:themeColor="text1"/>
          <w:spacing w:val="-4"/>
          <w:sz w:val="28"/>
          <w:szCs w:val="28"/>
          <w:lang w:eastAsia="zh-CN"/>
          <w14:textFill>
            <w14:solidFill>
              <w14:schemeClr w14:val="tx1"/>
            </w14:solidFill>
          </w14:textFill>
        </w:rPr>
        <w:t>《钻井和修井用打捞工具分类与通用技术条件》（SY/T 5572-2012）</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eastAsia" w:cs="Times New Roman"/>
          <w:bCs/>
          <w:color w:val="000000" w:themeColor="text1"/>
          <w:spacing w:val="-4"/>
          <w:sz w:val="28"/>
          <w:szCs w:val="28"/>
          <w:lang w:eastAsia="zh-CN"/>
          <w14:textFill>
            <w14:solidFill>
              <w14:schemeClr w14:val="tx1"/>
            </w14:solidFill>
          </w14:textFill>
        </w:rPr>
        <w:t>《水平井解卡打捞及冲砂方法》（SY/T 6987-2014）</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eastAsia" w:cs="Times New Roman"/>
          <w:bCs/>
          <w:color w:val="000000" w:themeColor="text1"/>
          <w:spacing w:val="-4"/>
          <w:sz w:val="28"/>
          <w:szCs w:val="28"/>
          <w:lang w:eastAsia="zh-CN"/>
          <w14:textFill>
            <w14:solidFill>
              <w14:schemeClr w14:val="tx1"/>
            </w14:solidFill>
          </w14:textFill>
        </w:rPr>
        <w:t>《钻（修）井井架逃生装置安全规范》（SY/T 7028-2022）</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《防喷器检验、修理和再制造》（SY/T6160-2019）</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《石油天然气工程总图设计规范》（SY/T0048-2016）</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《油气水井大修作业施工设计编写规范》（SY/T6264-2019）</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《石油钻机和修井机使用与维护》（SY/T6117-2016）</w:t>
      </w:r>
    </w:p>
    <w:p>
      <w:pPr>
        <w:pStyle w:val="126"/>
        <w:numPr>
          <w:ilvl w:val="0"/>
          <w:numId w:val="10"/>
        </w:numPr>
        <w:adjustRightInd w:val="0"/>
        <w:snapToGrid w:val="0"/>
        <w:spacing w:line="360" w:lineRule="auto"/>
        <w:ind w:left="0" w:firstLine="544"/>
        <w:rPr>
          <w:rFonts w:hint="default" w:cs="Times New Roman"/>
          <w:smallCaps w:val="0"/>
          <w:color w:val="auto"/>
          <w:sz w:val="28"/>
          <w:lang w:val="en-US" w:eastAsia="zh-CN"/>
        </w:rPr>
      </w:pPr>
      <w:r>
        <w:rPr>
          <w:rFonts w:hint="default" w:ascii="Times New Roman" w:hAnsi="Times New Roman" w:cs="Times New Roman"/>
          <w:bCs/>
          <w:color w:val="000000" w:themeColor="text1"/>
          <w:spacing w:val="-4"/>
          <w:sz w:val="28"/>
          <w:szCs w:val="28"/>
          <w14:textFill>
            <w14:solidFill>
              <w14:schemeClr w14:val="tx1"/>
            </w14:solidFill>
          </w14:textFill>
        </w:rPr>
        <w:t>《石油天然气钻采设备钻井和修井井架、底座的检查、维护、修理与使用》（SY/T6408-2018）</w:t>
      </w:r>
    </w:p>
    <w:p>
      <w:pPr>
        <w:pStyle w:val="126"/>
        <w:numPr>
          <w:ilvl w:val="0"/>
          <w:numId w:val="10"/>
        </w:numPr>
        <w:adjustRightInd w:val="0"/>
        <w:snapToGrid w:val="0"/>
        <w:spacing w:line="360" w:lineRule="auto"/>
        <w:ind w:left="0" w:firstLine="544"/>
        <w:rPr>
          <w:rFonts w:hint="default" w:cs="Times New Roman"/>
          <w:smallCaps w:val="0"/>
          <w:color w:val="auto"/>
          <w:sz w:val="28"/>
          <w:lang w:val="en-US" w:eastAsia="zh-CN"/>
        </w:rPr>
      </w:pPr>
      <w:r>
        <w:rPr>
          <w:rFonts w:hint="eastAsia" w:cs="Times New Roman"/>
          <w:smallCaps w:val="0"/>
          <w:color w:val="auto"/>
          <w:sz w:val="28"/>
          <w:lang w:val="en-US" w:eastAsia="zh-CN"/>
        </w:rPr>
        <w:t>《常规修井作业规程 第4部分：找窜漏、封窜堵漏》（SY/T 5587.4-2019）</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eastAsia" w:cs="Times New Roman"/>
          <w:smallCaps w:val="0"/>
          <w:color w:val="auto"/>
          <w:sz w:val="28"/>
          <w:lang w:val="en-US" w:eastAsia="zh-CN"/>
        </w:rPr>
        <w:t>《常规修井作业规程 第14部分：注塞、钻塞》（SY/T 5587.14-2013）</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《常规修井作业规程</w:t>
      </w:r>
      <w:r>
        <w:rPr>
          <w:rFonts w:hint="eastAsia" w:cs="Times New Roman"/>
          <w:bCs/>
          <w:color w:val="000000" w:themeColor="text1"/>
          <w:spacing w:val="-4"/>
          <w:sz w:val="28"/>
          <w:szCs w:val="28"/>
          <w:lang w:val="en-US" w:eastAsia="zh-CN"/>
          <w14:textFill>
            <w14:solidFill>
              <w14:schemeClr w14:val="tx1"/>
            </w14:solidFill>
          </w14:textFill>
        </w:rPr>
        <w:t xml:space="preserve"> </w:t>
      </w:r>
      <w:r>
        <w:rPr>
          <w:rFonts w:hint="default" w:ascii="Times New Roman" w:hAnsi="Times New Roman" w:cs="Times New Roman"/>
          <w:bCs/>
          <w:color w:val="000000" w:themeColor="text1"/>
          <w:spacing w:val="-4"/>
          <w:sz w:val="28"/>
          <w:szCs w:val="28"/>
          <w14:textFill>
            <w14:solidFill>
              <w14:schemeClr w14:val="tx1"/>
            </w14:solidFill>
          </w14:textFill>
        </w:rPr>
        <w:t>第5部分</w:t>
      </w:r>
      <w:r>
        <w:rPr>
          <w:rFonts w:hint="eastAsia" w:cs="Times New Roman"/>
          <w:bCs/>
          <w:color w:val="000000" w:themeColor="text1"/>
          <w:spacing w:val="-4"/>
          <w:sz w:val="28"/>
          <w:szCs w:val="28"/>
          <w:lang w:eastAsia="zh-CN"/>
          <w14:textFill>
            <w14:solidFill>
              <w14:schemeClr w14:val="tx1"/>
            </w14:solidFill>
          </w14:textFill>
        </w:rPr>
        <w:t>：</w:t>
      </w:r>
      <w:r>
        <w:rPr>
          <w:rFonts w:hint="default" w:ascii="Times New Roman" w:hAnsi="Times New Roman" w:cs="Times New Roman"/>
          <w:bCs/>
          <w:color w:val="000000" w:themeColor="text1"/>
          <w:spacing w:val="-4"/>
          <w:sz w:val="28"/>
          <w:szCs w:val="28"/>
          <w14:textFill>
            <w14:solidFill>
              <w14:schemeClr w14:val="tx1"/>
            </w14:solidFill>
          </w14:textFill>
        </w:rPr>
        <w:t>井下作业井筒准备》（SY/T5587.5-2018）</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 xml:space="preserve">《常规修井作业规程 </w:t>
      </w:r>
      <w:r>
        <w:rPr>
          <w:rFonts w:hint="default" w:ascii="Times New Roman" w:hAnsi="Times New Roman" w:cs="Times New Roman"/>
          <w:color w:val="000000" w:themeColor="text1"/>
          <w:sz w:val="28"/>
          <w:szCs w:val="28"/>
          <w:shd w:val="clear" w:color="auto" w:fill="FFFFFF"/>
          <w14:textFill>
            <w14:solidFill>
              <w14:schemeClr w14:val="tx1"/>
            </w14:solidFill>
          </w14:textFill>
        </w:rPr>
        <w:t>第12部分</w:t>
      </w:r>
      <w:r>
        <w:rPr>
          <w:rFonts w:hint="eastAsia" w:cs="Times New Roman"/>
          <w:color w:val="000000" w:themeColor="text1"/>
          <w:sz w:val="28"/>
          <w:szCs w:val="28"/>
          <w:shd w:val="clear" w:color="auto" w:fill="FFFFFF"/>
          <w:lang w:eastAsia="zh-CN"/>
          <w14:textFill>
            <w14:solidFill>
              <w14:schemeClr w14:val="tx1"/>
            </w14:solidFill>
          </w14:textFill>
        </w:rPr>
        <w:t>：</w:t>
      </w:r>
      <w:r>
        <w:rPr>
          <w:rFonts w:hint="default" w:ascii="Times New Roman" w:hAnsi="Times New Roman" w:cs="Times New Roman"/>
          <w:color w:val="000000" w:themeColor="text1"/>
          <w:sz w:val="28"/>
          <w:szCs w:val="28"/>
          <w:shd w:val="clear" w:color="auto" w:fill="FFFFFF"/>
          <w14:textFill>
            <w14:solidFill>
              <w14:schemeClr w14:val="tx1"/>
            </w14:solidFill>
          </w14:textFill>
        </w:rPr>
        <w:t>解卡打捞</w:t>
      </w:r>
      <w:r>
        <w:rPr>
          <w:rFonts w:hint="default" w:ascii="Times New Roman" w:hAnsi="Times New Roman" w:cs="Times New Roman"/>
          <w:bCs/>
          <w:color w:val="000000" w:themeColor="text1"/>
          <w:spacing w:val="-4"/>
          <w:sz w:val="28"/>
          <w:szCs w:val="28"/>
          <w14:textFill>
            <w14:solidFill>
              <w14:schemeClr w14:val="tx1"/>
            </w14:solidFill>
          </w14:textFill>
        </w:rPr>
        <w:t>》（SY/T5587.12-2018）</w:t>
      </w:r>
    </w:p>
    <w:p>
      <w:pPr>
        <w:pStyle w:val="126"/>
        <w:numPr>
          <w:ilvl w:val="0"/>
          <w:numId w:val="10"/>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《石油天然气钻采设备钻机和修井机涂装规范》（SY/T6919-2020）</w:t>
      </w:r>
    </w:p>
    <w:p>
      <w:pPr>
        <w:pStyle w:val="126"/>
        <w:numPr>
          <w:ilvl w:val="0"/>
          <w:numId w:val="10"/>
        </w:numPr>
        <w:adjustRightInd w:val="0"/>
        <w:snapToGrid w:val="0"/>
        <w:spacing w:line="360" w:lineRule="auto"/>
        <w:ind w:left="0" w:firstLine="544"/>
        <w:rPr>
          <w:bCs/>
          <w:color w:val="000000" w:themeColor="text1"/>
          <w:spacing w:val="-4"/>
          <w:sz w:val="28"/>
          <w:szCs w:val="28"/>
          <w14:textFill>
            <w14:solidFill>
              <w14:schemeClr w14:val="tx1"/>
            </w14:solidFill>
          </w14:textFill>
        </w:rPr>
      </w:pPr>
      <w:r>
        <w:rPr>
          <w:rFonts w:hint="default" w:ascii="Times New Roman" w:hAnsi="Times New Roman" w:cs="Times New Roman"/>
          <w:bCs/>
          <w:color w:val="000000" w:themeColor="text1"/>
          <w:spacing w:val="-4"/>
          <w:sz w:val="28"/>
          <w:szCs w:val="28"/>
          <w14:textFill>
            <w14:solidFill>
              <w14:schemeClr w14:val="tx1"/>
            </w14:solidFill>
          </w14:textFill>
        </w:rPr>
        <w:t>《石油天然气钻采设备 钻修井用安全接头》（SY/T5067-2018）</w:t>
      </w:r>
    </w:p>
    <w:bookmarkEnd w:id="4"/>
    <w:bookmarkEnd w:id="5"/>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bookmarkStart w:id="6" w:name="_Toc215277129"/>
      <w:r>
        <w:rPr>
          <w:rFonts w:hint="eastAsia" w:eastAsia="黑体"/>
          <w:b w:val="0"/>
          <w:snapToGrid w:val="0"/>
          <w:color w:val="000000" w:themeColor="text1"/>
          <w:kern w:val="0"/>
          <w:sz w:val="28"/>
          <w:szCs w:val="28"/>
          <w14:textFill>
            <w14:solidFill>
              <w14:schemeClr w14:val="tx1"/>
            </w14:solidFill>
          </w14:textFill>
        </w:rPr>
        <w:t>1.2.</w:t>
      </w:r>
      <w:r>
        <w:rPr>
          <w:rFonts w:eastAsia="黑体"/>
          <w:b w:val="0"/>
          <w:snapToGrid w:val="0"/>
          <w:color w:val="000000" w:themeColor="text1"/>
          <w:kern w:val="0"/>
          <w:sz w:val="28"/>
          <w:szCs w:val="28"/>
          <w14:textFill>
            <w14:solidFill>
              <w14:schemeClr w14:val="tx1"/>
            </w14:solidFill>
          </w14:textFill>
        </w:rPr>
        <w:t xml:space="preserve">8 </w:t>
      </w:r>
      <w:r>
        <w:rPr>
          <w:rFonts w:hint="eastAsia" w:eastAsia="黑体"/>
          <w:b w:val="0"/>
          <w:snapToGrid w:val="0"/>
          <w:color w:val="000000" w:themeColor="text1"/>
          <w:kern w:val="0"/>
          <w:sz w:val="28"/>
          <w:szCs w:val="28"/>
          <w14:textFill>
            <w14:solidFill>
              <w14:schemeClr w14:val="tx1"/>
            </w14:solidFill>
          </w14:textFill>
        </w:rPr>
        <w:t>工程有关技术文件</w:t>
      </w:r>
      <w:bookmarkEnd w:id="6"/>
    </w:p>
    <w:p>
      <w:pPr>
        <w:pStyle w:val="126"/>
        <w:numPr>
          <w:ilvl w:val="0"/>
          <w:numId w:val="11"/>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eastAsia" w:ascii="Times New Roman" w:hAnsi="Times New Roman" w:cs="Times New Roman"/>
          <w:bCs/>
          <w:color w:val="000000" w:themeColor="text1"/>
          <w:spacing w:val="-4"/>
          <w:sz w:val="28"/>
          <w:szCs w:val="28"/>
          <w:lang w:eastAsia="zh-CN"/>
          <w14:textFill>
            <w14:solidFill>
              <w14:schemeClr w14:val="tx1"/>
            </w14:solidFill>
          </w14:textFill>
        </w:rPr>
        <w:t>海塔石油科技有限公司</w:t>
      </w:r>
      <w:r>
        <w:rPr>
          <w:rFonts w:hint="eastAsia" w:ascii="Times New Roman" w:hAnsi="Times New Roman" w:cs="Times New Roman"/>
          <w:bCs/>
          <w:color w:val="000000" w:themeColor="text1"/>
          <w:spacing w:val="-4"/>
          <w:sz w:val="28"/>
          <w:szCs w:val="28"/>
          <w14:textFill>
            <w14:solidFill>
              <w14:schemeClr w14:val="tx1"/>
            </w14:solidFill>
          </w14:textFill>
        </w:rPr>
        <w:t>井下作业项目安全现状评价技术服务合同。</w:t>
      </w:r>
    </w:p>
    <w:p>
      <w:pPr>
        <w:pStyle w:val="126"/>
        <w:numPr>
          <w:ilvl w:val="0"/>
          <w:numId w:val="11"/>
        </w:numPr>
        <w:adjustRightInd w:val="0"/>
        <w:snapToGrid w:val="0"/>
        <w:spacing w:line="360" w:lineRule="auto"/>
        <w:ind w:left="0" w:firstLine="544"/>
        <w:rPr>
          <w:rFonts w:hint="default" w:ascii="Times New Roman" w:hAnsi="Times New Roman" w:cs="Times New Roman"/>
          <w:bCs/>
          <w:color w:val="000000" w:themeColor="text1"/>
          <w:spacing w:val="-4"/>
          <w:sz w:val="28"/>
          <w:szCs w:val="28"/>
          <w14:textFill>
            <w14:solidFill>
              <w14:schemeClr w14:val="tx1"/>
            </w14:solidFill>
          </w14:textFill>
        </w:rPr>
      </w:pPr>
      <w:r>
        <w:rPr>
          <w:rFonts w:hint="eastAsia" w:ascii="Times New Roman" w:hAnsi="Times New Roman" w:cs="Times New Roman"/>
          <w:bCs/>
          <w:color w:val="000000" w:themeColor="text1"/>
          <w:spacing w:val="-4"/>
          <w:sz w:val="28"/>
          <w:szCs w:val="28"/>
          <w:lang w:eastAsia="zh-CN"/>
          <w14:textFill>
            <w14:solidFill>
              <w14:schemeClr w14:val="tx1"/>
            </w14:solidFill>
          </w14:textFill>
        </w:rPr>
        <w:t>海塔石油科技有限公司</w:t>
      </w:r>
      <w:r>
        <w:rPr>
          <w:rFonts w:hint="eastAsia" w:ascii="Times New Roman" w:hAnsi="Times New Roman" w:cs="Times New Roman"/>
          <w:bCs/>
          <w:color w:val="000000" w:themeColor="text1"/>
          <w:spacing w:val="-4"/>
          <w:sz w:val="28"/>
          <w:szCs w:val="28"/>
          <w14:textFill>
            <w14:solidFill>
              <w14:schemeClr w14:val="tx1"/>
            </w14:solidFill>
          </w14:textFill>
        </w:rPr>
        <w:t>提供的有关文件、资料。</w:t>
      </w:r>
    </w:p>
    <w:p>
      <w:pPr>
        <w:pStyle w:val="126"/>
        <w:numPr>
          <w:ilvl w:val="0"/>
          <w:numId w:val="11"/>
        </w:numPr>
        <w:adjustRightInd w:val="0"/>
        <w:snapToGrid w:val="0"/>
        <w:spacing w:line="360" w:lineRule="auto"/>
        <w:ind w:left="0" w:firstLine="544"/>
        <w:rPr>
          <w:snapToGrid w:val="0"/>
          <w:color w:val="000000" w:themeColor="text1"/>
          <w:kern w:val="0"/>
          <w:sz w:val="28"/>
          <w14:textFill>
            <w14:solidFill>
              <w14:schemeClr w14:val="tx1"/>
            </w14:solidFill>
          </w14:textFill>
        </w:rPr>
      </w:pPr>
      <w:r>
        <w:rPr>
          <w:rFonts w:hint="eastAsia" w:ascii="Times New Roman" w:hAnsi="Times New Roman" w:cs="Times New Roman"/>
          <w:bCs/>
          <w:color w:val="000000" w:themeColor="text1"/>
          <w:spacing w:val="-4"/>
          <w:sz w:val="28"/>
          <w:szCs w:val="28"/>
          <w14:textFill>
            <w14:solidFill>
              <w14:schemeClr w14:val="tx1"/>
            </w14:solidFill>
          </w14:textFill>
        </w:rPr>
        <w:t>其</w:t>
      </w:r>
      <w:r>
        <w:rPr>
          <w:rFonts w:hint="eastAsia"/>
          <w:snapToGrid w:val="0"/>
          <w:color w:val="000000" w:themeColor="text1"/>
          <w:kern w:val="0"/>
          <w:sz w:val="28"/>
          <w14:textFill>
            <w14:solidFill>
              <w14:schemeClr w14:val="tx1"/>
            </w14:solidFill>
          </w14:textFill>
        </w:rPr>
        <w:t>他与该工程安全评价有关的技术资料。</w:t>
      </w:r>
    </w:p>
    <w:p>
      <w:pPr>
        <w:pStyle w:val="4"/>
        <w:adjustRightInd w:val="0"/>
        <w:snapToGrid w:val="0"/>
        <w:spacing w:before="0" w:after="0" w:line="360" w:lineRule="auto"/>
        <w:rPr>
          <w:rFonts w:hint="default" w:ascii="Times New Roman" w:hAnsi="Times New Roman" w:eastAsia="黑体"/>
          <w:b w:val="0"/>
          <w:bCs/>
          <w:color w:val="auto"/>
          <w:szCs w:val="32"/>
          <w:lang w:val="en-US" w:eastAsia="zh-CN"/>
        </w:rPr>
      </w:pPr>
      <w:bookmarkStart w:id="7" w:name="_Toc8685"/>
      <w:bookmarkStart w:id="8" w:name="_Toc202759399"/>
      <w:r>
        <w:rPr>
          <w:rFonts w:hint="eastAsia" w:ascii="Times New Roman" w:hAnsi="Times New Roman"/>
          <w:b w:val="0"/>
          <w:bCs/>
          <w:color w:val="auto"/>
          <w:szCs w:val="32"/>
        </w:rPr>
        <w:t>1.3</w:t>
      </w:r>
      <w:r>
        <w:rPr>
          <w:rFonts w:ascii="Times New Roman" w:hAnsi="Times New Roman"/>
          <w:b w:val="0"/>
          <w:bCs/>
          <w:color w:val="auto"/>
          <w:szCs w:val="32"/>
        </w:rPr>
        <w:t xml:space="preserve"> </w:t>
      </w:r>
      <w:r>
        <w:rPr>
          <w:rFonts w:hint="eastAsia" w:ascii="Times New Roman" w:hAnsi="Times New Roman"/>
          <w:b w:val="0"/>
          <w:bCs/>
          <w:color w:val="auto"/>
          <w:szCs w:val="32"/>
        </w:rPr>
        <w:t>评价范围</w:t>
      </w:r>
      <w:bookmarkEnd w:id="7"/>
      <w:bookmarkEnd w:id="8"/>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bCs/>
          <w:color w:val="auto"/>
          <w:sz w:val="24"/>
          <w:szCs w:val="24"/>
        </w:rPr>
      </w:pPr>
      <w:r>
        <w:rPr>
          <w:rFonts w:hint="eastAsia"/>
          <w:color w:val="auto"/>
          <w:sz w:val="28"/>
          <w:szCs w:val="28"/>
          <w:lang w:val="en-US" w:eastAsia="zh-CN"/>
        </w:rPr>
        <w:t>根据企业石油天然气服务业务情况，并与企业协商确定，</w:t>
      </w:r>
      <w:r>
        <w:rPr>
          <w:rFonts w:hint="eastAsia"/>
          <w:color w:val="auto"/>
          <w:sz w:val="28"/>
          <w:szCs w:val="28"/>
        </w:rPr>
        <w:t>本次评价范围为</w:t>
      </w:r>
      <w:r>
        <w:rPr>
          <w:rFonts w:hint="eastAsia"/>
          <w:color w:val="auto"/>
          <w:sz w:val="28"/>
          <w:szCs w:val="28"/>
          <w:lang w:eastAsia="zh-CN"/>
        </w:rPr>
        <w:t>海塔石油科技有限公司</w:t>
      </w:r>
      <w:r>
        <w:rPr>
          <w:rFonts w:hint="eastAsia"/>
          <w:color w:val="auto"/>
          <w:sz w:val="28"/>
          <w:szCs w:val="28"/>
        </w:rPr>
        <w:t>井下作业</w:t>
      </w:r>
      <w:r>
        <w:rPr>
          <w:rFonts w:hint="eastAsia"/>
          <w:color w:val="auto"/>
          <w:sz w:val="28"/>
          <w:szCs w:val="28"/>
          <w:lang w:eastAsia="zh-CN"/>
        </w:rPr>
        <w:t>（大修作业、井下复杂情况处理）</w:t>
      </w:r>
      <w:r>
        <w:rPr>
          <w:rFonts w:hint="eastAsia"/>
          <w:color w:val="auto"/>
          <w:sz w:val="28"/>
          <w:szCs w:val="28"/>
        </w:rPr>
        <w:t>项目有关的设施、设备的实际运行状况以及安全管理状况，</w:t>
      </w:r>
      <w:r>
        <w:rPr>
          <w:rFonts w:hint="eastAsia" w:cs="宋体"/>
          <w:color w:val="auto"/>
          <w:kern w:val="0"/>
          <w:sz w:val="28"/>
          <w:szCs w:val="28"/>
        </w:rPr>
        <w:t>通过对危险有害因素和企业现有的安全技术设施的分析，确定公司是否具备从事</w:t>
      </w:r>
      <w:r>
        <w:rPr>
          <w:rFonts w:hint="eastAsia"/>
          <w:color w:val="auto"/>
          <w:sz w:val="28"/>
          <w:szCs w:val="28"/>
        </w:rPr>
        <w:t>井下作业（</w:t>
      </w:r>
      <w:r>
        <w:rPr>
          <w:rFonts w:hint="eastAsia"/>
          <w:color w:val="auto"/>
          <w:sz w:val="28"/>
          <w:szCs w:val="28"/>
          <w:lang w:eastAsia="zh-CN"/>
        </w:rPr>
        <w:t>大修作业、井下复杂情况处理</w:t>
      </w:r>
      <w:r>
        <w:rPr>
          <w:rFonts w:hint="eastAsia"/>
          <w:color w:val="auto"/>
          <w:sz w:val="28"/>
          <w:szCs w:val="28"/>
        </w:rPr>
        <w:t>）项目</w:t>
      </w:r>
      <w:r>
        <w:rPr>
          <w:rFonts w:hint="eastAsia" w:cs="宋体"/>
          <w:color w:val="auto"/>
          <w:kern w:val="0"/>
          <w:sz w:val="28"/>
          <w:szCs w:val="28"/>
        </w:rPr>
        <w:t>的各项安全生产条件</w:t>
      </w:r>
      <w:r>
        <w:rPr>
          <w:rFonts w:hint="eastAsia"/>
          <w:color w:val="auto"/>
          <w:sz w:val="28"/>
          <w:szCs w:val="28"/>
        </w:rPr>
        <w:t>。</w:t>
      </w:r>
      <w:r>
        <w:rPr>
          <w:rFonts w:hint="default" w:ascii="Times New Roman" w:hAnsi="Times New Roman" w:cs="Times New Roman"/>
          <w:color w:val="auto"/>
          <w:sz w:val="28"/>
          <w:szCs w:val="28"/>
          <w:lang w:val="en-US" w:eastAsia="zh-CN"/>
        </w:rPr>
        <w:t>具体评价范围如表1-1所示：</w:t>
      </w:r>
    </w:p>
    <w:p>
      <w:pPr>
        <w:pStyle w:val="63"/>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1</w:t>
      </w:r>
      <w:r>
        <w:rPr>
          <w:rFonts w:hint="default" w:ascii="Times New Roman" w:hAnsi="Times New Roman" w:cs="Times New Roman"/>
          <w:b/>
          <w:bCs/>
          <w:color w:val="auto"/>
          <w:sz w:val="24"/>
          <w:szCs w:val="24"/>
        </w:rPr>
        <w:t>-1</w:t>
      </w:r>
      <w:r>
        <w:rPr>
          <w:rFonts w:hint="eastAsia" w:cs="Times New Roman"/>
          <w:b/>
          <w:bCs/>
          <w:color w:val="auto"/>
          <w:sz w:val="24"/>
          <w:szCs w:val="24"/>
          <w:lang w:val="en-US" w:eastAsia="zh-CN"/>
        </w:rPr>
        <w:t xml:space="preserve"> </w:t>
      </w:r>
      <w:r>
        <w:rPr>
          <w:rFonts w:hint="default" w:ascii="Times New Roman" w:hAnsi="Times New Roman" w:cs="Times New Roman"/>
          <w:b/>
          <w:bCs/>
          <w:color w:val="auto"/>
          <w:sz w:val="24"/>
          <w:szCs w:val="24"/>
          <w:lang w:val="en-US" w:eastAsia="zh-CN"/>
        </w:rPr>
        <w:t>评价范围</w:t>
      </w:r>
      <w:r>
        <w:rPr>
          <w:rFonts w:hint="default" w:ascii="Times New Roman" w:hAnsi="Times New Roman" w:cs="Times New Roman"/>
          <w:b/>
          <w:bCs/>
          <w:color w:val="auto"/>
          <w:sz w:val="24"/>
          <w:szCs w:val="24"/>
        </w:rPr>
        <w:t>一览表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凡涉及该公司的环保问题、污水处理、职业卫生评价、办公生活设施、厂外运输、物料输送以及其他厂区、其他项目（石油机械设备工具配件维修销售业务及仓库）等，则应执行国家有关规定和相关标准，不在本评价范围。</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000000" w:themeColor="text1"/>
          <w:sz w:val="28"/>
          <w:szCs w:val="28"/>
          <w:lang w:val="en-US" w:eastAsia="zh-CN"/>
          <w14:textFill>
            <w14:solidFill>
              <w14:schemeClr w14:val="tx1"/>
            </w14:solidFill>
          </w14:textFill>
        </w:rPr>
      </w:pPr>
      <w:bookmarkStart w:id="9" w:name="_Toc202759400"/>
      <w:r>
        <w:rPr>
          <w:rFonts w:hint="eastAsia"/>
          <w:color w:val="000000" w:themeColor="text1"/>
          <w:sz w:val="28"/>
          <w:szCs w:val="28"/>
          <w:lang w:val="en-US" w:eastAsia="zh-CN"/>
          <w14:textFill>
            <w14:solidFill>
              <w14:schemeClr w14:val="tx1"/>
            </w14:solidFill>
          </w14:textFill>
        </w:rPr>
        <w:t>根据《非煤矿矿山企业安全生产许可证实施办法》（国家安全生产监督管理总局令[2009]第20号，2015修订版）、《东营市应急管理局关于进一步规范非煤矿矿山《安全生产许可证》颁发管理有关问题的函》（东应急函字[2021]50号），企业安全生产许可证申请范围为：井下作业（</w:t>
      </w:r>
      <w:r>
        <w:rPr>
          <w:rFonts w:hint="eastAsia"/>
          <w:color w:val="auto"/>
          <w:sz w:val="28"/>
          <w:szCs w:val="28"/>
          <w:lang w:eastAsia="zh-CN"/>
        </w:rPr>
        <w:t>大修作业、井下复杂情况处理（打捞、堵漏）</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lang w:eastAsia="zh-CN"/>
          <w14:textFill>
            <w14:solidFill>
              <w14:schemeClr w14:val="tx1"/>
            </w14:solidFill>
          </w14:textFill>
        </w:rPr>
        <w:t>项目</w:t>
      </w:r>
      <w:r>
        <w:rPr>
          <w:rFonts w:hint="eastAsia"/>
          <w:color w:val="000000" w:themeColor="text1"/>
          <w:sz w:val="28"/>
          <w:szCs w:val="28"/>
          <w:lang w:val="en-US" w:eastAsia="zh-CN"/>
          <w14:textFill>
            <w14:solidFill>
              <w14:schemeClr w14:val="tx1"/>
            </w14:solidFill>
          </w14:textFill>
        </w:rPr>
        <w:t>，本次安全评价范围与企业安全生产许可证申请范围一致。</w:t>
      </w:r>
    </w:p>
    <w:p>
      <w:pPr>
        <w:pStyle w:val="4"/>
        <w:adjustRightInd w:val="0"/>
        <w:snapToGrid w:val="0"/>
        <w:spacing w:before="0" w:after="0" w:line="360" w:lineRule="auto"/>
        <w:rPr>
          <w:rFonts w:ascii="Times New Roman" w:hAnsi="Times New Roman"/>
          <w:b w:val="0"/>
          <w:bCs/>
          <w:color w:val="auto"/>
          <w:szCs w:val="32"/>
        </w:rPr>
      </w:pPr>
      <w:bookmarkStart w:id="10" w:name="_Toc10167"/>
      <w:r>
        <w:rPr>
          <w:rFonts w:hint="eastAsia" w:ascii="Times New Roman" w:hAnsi="Times New Roman"/>
          <w:b w:val="0"/>
          <w:bCs/>
          <w:color w:val="auto"/>
          <w:szCs w:val="32"/>
        </w:rPr>
        <w:t>1.4</w:t>
      </w:r>
      <w:r>
        <w:rPr>
          <w:rFonts w:ascii="Times New Roman" w:hAnsi="Times New Roman"/>
          <w:b w:val="0"/>
          <w:bCs/>
          <w:color w:val="auto"/>
          <w:szCs w:val="32"/>
        </w:rPr>
        <w:t xml:space="preserve"> </w:t>
      </w:r>
      <w:r>
        <w:rPr>
          <w:rFonts w:hint="eastAsia" w:ascii="Times New Roman" w:hAnsi="Times New Roman"/>
          <w:b w:val="0"/>
          <w:bCs/>
          <w:color w:val="auto"/>
          <w:szCs w:val="32"/>
        </w:rPr>
        <w:t>评价程序</w:t>
      </w:r>
      <w:bookmarkEnd w:id="9"/>
      <w:bookmarkEnd w:id="10"/>
    </w:p>
    <w:p>
      <w:pPr>
        <w:adjustRightInd w:val="0"/>
        <w:snapToGrid w:val="0"/>
        <w:spacing w:line="360" w:lineRule="auto"/>
        <w:ind w:firstLine="560" w:firstLineChars="200"/>
        <w:rPr>
          <w:rFonts w:hint="eastAsia" w:ascii="Times New Roman" w:hAnsi="Times New Roman" w:eastAsia="宋体" w:cs="Times New Roman"/>
          <w:color w:val="auto"/>
          <w:sz w:val="28"/>
          <w:szCs w:val="28"/>
        </w:rPr>
      </w:pPr>
      <w:bookmarkStart w:id="11" w:name="_Toc202759401"/>
      <w:r>
        <w:rPr>
          <w:rFonts w:hint="eastAsia" w:ascii="Times New Roman" w:hAnsi="Times New Roman" w:eastAsia="宋体" w:cs="Times New Roman"/>
          <w:color w:val="auto"/>
          <w:sz w:val="28"/>
          <w:szCs w:val="28"/>
        </w:rPr>
        <w:t>安全现状评价工作程序如下：</w:t>
      </w:r>
    </w:p>
    <w:p>
      <w:pPr>
        <w:numPr>
          <w:ilvl w:val="0"/>
          <w:numId w:val="12"/>
        </w:numPr>
        <w:adjustRightInd w:val="0"/>
        <w:snapToGrid w:val="0"/>
        <w:spacing w:line="360" w:lineRule="auto"/>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前期准备阶段：收集有关资料；</w:t>
      </w:r>
    </w:p>
    <w:p>
      <w:pPr>
        <w:numPr>
          <w:ilvl w:val="0"/>
          <w:numId w:val="1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辨识与分析危险、有害因素；</w:t>
      </w:r>
    </w:p>
    <w:p>
      <w:pPr>
        <w:numPr>
          <w:ilvl w:val="0"/>
          <w:numId w:val="1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划分评价单元，选择评价方法；</w:t>
      </w:r>
    </w:p>
    <w:p>
      <w:pPr>
        <w:numPr>
          <w:ilvl w:val="0"/>
          <w:numId w:val="1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实施评价阶段：对作业情况及安全管理情况进行现场检查、调查，运用相应的评价方法进行定性定量评价； </w:t>
      </w:r>
    </w:p>
    <w:p>
      <w:pPr>
        <w:numPr>
          <w:ilvl w:val="0"/>
          <w:numId w:val="1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提出安全对策措施及建议； </w:t>
      </w:r>
    </w:p>
    <w:p>
      <w:pPr>
        <w:numPr>
          <w:ilvl w:val="0"/>
          <w:numId w:val="1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作出评价结论，编制完成安全现状评价报告</w:t>
      </w:r>
      <w:r>
        <w:rPr>
          <w:rFonts w:hint="eastAsia" w:ascii="Times New Roman" w:hAnsi="Times New Roman" w:eastAsia="宋体" w:cs="Times New Roman"/>
          <w:color w:val="auto"/>
          <w:sz w:val="28"/>
          <w:szCs w:val="28"/>
        </w:rPr>
        <w:t>。</w:t>
      </w:r>
    </w:p>
    <w:p>
      <w:pPr>
        <w:adjustRightInd w:val="0"/>
        <w:snapToGrid w:val="0"/>
        <w:spacing w:line="360" w:lineRule="auto"/>
        <w:jc w:val="left"/>
        <w:rPr>
          <w:rFonts w:hint="eastAsia"/>
          <w:color w:val="auto"/>
          <w:sz w:val="28"/>
          <w:szCs w:val="28"/>
        </w:rPr>
      </w:pPr>
      <w:r>
        <w:rPr>
          <w:rFonts w:hint="eastAsia"/>
          <w:color w:val="auto"/>
          <w:sz w:val="28"/>
          <w:szCs w:val="28"/>
        </w:rPr>
        <w:t>具体程序见下图1-1。</w:t>
      </w:r>
    </w:p>
    <w:p>
      <w:pPr>
        <w:pStyle w:val="2"/>
        <w:rPr>
          <w:rFonts w:hint="eastAsia"/>
          <w:color w:val="auto"/>
          <w:sz w:val="28"/>
          <w:szCs w:val="28"/>
        </w:rPr>
      </w:pPr>
    </w:p>
    <w:p>
      <w:pPr>
        <w:pStyle w:val="2"/>
        <w:rPr>
          <w:rFonts w:hint="eastAsia"/>
          <w:color w:val="auto"/>
          <w:sz w:val="28"/>
          <w:szCs w:val="28"/>
        </w:rPr>
      </w:pPr>
    </w:p>
    <w:p>
      <w:pPr>
        <w:pStyle w:val="2"/>
        <w:rPr>
          <w:rFonts w:hint="eastAsia"/>
          <w:color w:val="auto"/>
          <w:sz w:val="28"/>
          <w:szCs w:val="28"/>
        </w:rPr>
      </w:pPr>
    </w:p>
    <w:p>
      <w:pPr>
        <w:pStyle w:val="260"/>
        <w:kinsoku w:val="0"/>
        <w:overflowPunct w:val="0"/>
        <w:spacing w:beforeLines="0" w:afterLines="0" w:line="6678" w:lineRule="exact"/>
        <w:ind w:left="2090" w:leftChars="0" w:firstLine="14" w:firstLineChars="5"/>
        <w:rPr>
          <w:rFonts w:hint="default" w:ascii="Times New Roman" w:hAnsi="Times New Roman" w:eastAsia="Times New Roman"/>
          <w:color w:val="0070C0"/>
          <w:position w:val="-134"/>
          <w:sz w:val="20"/>
          <w:szCs w:val="24"/>
        </w:rPr>
      </w:pPr>
      <w:r>
        <w:rPr>
          <w:sz w:val="28"/>
        </w:rPr>
        <mc:AlternateContent>
          <mc:Choice Requires="wpg">
            <w:drawing>
              <wp:anchor distT="0" distB="0" distL="114300" distR="114300" simplePos="0" relativeHeight="251666432" behindDoc="0" locked="0" layoutInCell="1" allowOverlap="1">
                <wp:simplePos x="0" y="0"/>
                <wp:positionH relativeFrom="column">
                  <wp:posOffset>1499235</wp:posOffset>
                </wp:positionH>
                <wp:positionV relativeFrom="paragraph">
                  <wp:posOffset>145415</wp:posOffset>
                </wp:positionV>
                <wp:extent cx="2478405" cy="5339080"/>
                <wp:effectExtent l="6350" t="6350" r="14605" b="19050"/>
                <wp:wrapNone/>
                <wp:docPr id="250" name="组合 250"/>
                <wp:cNvGraphicFramePr/>
                <a:graphic xmlns:a="http://schemas.openxmlformats.org/drawingml/2006/main">
                  <a:graphicData uri="http://schemas.microsoft.com/office/word/2010/wordprocessingGroup">
                    <wpg:wgp>
                      <wpg:cNvGrpSpPr/>
                      <wpg:grpSpPr>
                        <a:xfrm>
                          <a:off x="0" y="0"/>
                          <a:ext cx="2478405" cy="5339061"/>
                          <a:chOff x="9449" y="384359"/>
                          <a:chExt cx="3903" cy="7868"/>
                        </a:xfrm>
                      </wpg:grpSpPr>
                      <wps:wsp>
                        <wps:cNvPr id="15" name="文本框 15"/>
                        <wps:cNvSpPr txBox="1"/>
                        <wps:spPr>
                          <a:xfrm>
                            <a:off x="9469" y="384359"/>
                            <a:ext cx="3798" cy="624"/>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前期准备</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直接箭头连接符 17"/>
                        <wps:cNvCnPr/>
                        <wps:spPr>
                          <a:xfrm>
                            <a:off x="11324" y="385041"/>
                            <a:ext cx="15" cy="354"/>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26" name="文本框 26"/>
                        <wps:cNvSpPr txBox="1"/>
                        <wps:spPr>
                          <a:xfrm>
                            <a:off x="9449" y="385413"/>
                            <a:ext cx="3798" cy="624"/>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辨识与分析危险、有害因素</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2" name="直接箭头连接符 52"/>
                        <wps:cNvCnPr>
                          <a:stCxn id="26" idx="2"/>
                        </wps:cNvCnPr>
                        <wps:spPr>
                          <a:xfrm>
                            <a:off x="11348" y="386037"/>
                            <a:ext cx="13" cy="363"/>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53" name="文本框 53"/>
                        <wps:cNvSpPr txBox="1"/>
                        <wps:spPr>
                          <a:xfrm>
                            <a:off x="9482" y="386379"/>
                            <a:ext cx="3798" cy="624"/>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lang w:val="en-US" w:eastAsia="zh-CN"/>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划分评价单元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5" name="直接箭头连接符 75"/>
                        <wps:cNvCnPr>
                          <a:stCxn id="53" idx="2"/>
                        </wps:cNvCnPr>
                        <wps:spPr>
                          <a:xfrm>
                            <a:off x="11381" y="387004"/>
                            <a:ext cx="11" cy="351"/>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84" name="文本框 84"/>
                        <wps:cNvSpPr txBox="1"/>
                        <wps:spPr>
                          <a:xfrm>
                            <a:off x="9520" y="387378"/>
                            <a:ext cx="3798" cy="64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选择评价方法</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9" name="直接箭头连接符 89"/>
                        <wps:cNvCnPr>
                          <a:stCxn id="84" idx="2"/>
                        </wps:cNvCnPr>
                        <wps:spPr>
                          <a:xfrm>
                            <a:off x="11419" y="388018"/>
                            <a:ext cx="8" cy="311"/>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90" name="文本框 90"/>
                        <wps:cNvSpPr txBox="1"/>
                        <wps:spPr>
                          <a:xfrm>
                            <a:off x="9514" y="388323"/>
                            <a:ext cx="3798" cy="684"/>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定性、定量评价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1" name="文本框 91"/>
                        <wps:cNvSpPr txBox="1"/>
                        <wps:spPr>
                          <a:xfrm>
                            <a:off x="9514" y="389321"/>
                            <a:ext cx="3798" cy="724"/>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提出安全对策措施建议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4" name="文本框 94"/>
                        <wps:cNvSpPr txBox="1"/>
                        <wps:spPr>
                          <a:xfrm>
                            <a:off x="9544" y="390433"/>
                            <a:ext cx="3798" cy="663"/>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作出评价结论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1" name="文本框 101"/>
                        <wps:cNvSpPr txBox="1"/>
                        <wps:spPr>
                          <a:xfrm>
                            <a:off x="9554" y="391520"/>
                            <a:ext cx="3798" cy="707"/>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编制安全现状评价报告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3" name="直接箭头连接符 103"/>
                        <wps:cNvCnPr>
                          <a:stCxn id="90" idx="2"/>
                          <a:endCxn id="91" idx="0"/>
                        </wps:cNvCnPr>
                        <wps:spPr>
                          <a:xfrm>
                            <a:off x="11413" y="389007"/>
                            <a:ext cx="0" cy="314"/>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04" name="直接箭头连接符 104"/>
                        <wps:cNvCnPr/>
                        <wps:spPr>
                          <a:xfrm flipH="1">
                            <a:off x="11426" y="390057"/>
                            <a:ext cx="5" cy="394"/>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05" name="直接箭头连接符 105"/>
                        <wps:cNvCnPr/>
                        <wps:spPr>
                          <a:xfrm flipH="1">
                            <a:off x="11423" y="391178"/>
                            <a:ext cx="4" cy="337"/>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id="_x0000_s1026" o:spid="_x0000_s1026" o:spt="203" style="position:absolute;left:0pt;margin-left:118.05pt;margin-top:11.45pt;height:420.4pt;width:195.15pt;z-index:251666432;mso-width-relative:page;mso-height-relative:page;" coordorigin="9449,384359" coordsize="3903,7868" o:gfxdata="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">
                <o:lock v:ext="edit" aspectratio="f"/>
                <v:shape id="_x0000_s1026" o:spid="_x0000_s1026" o:spt="202" type="#_x0000_t202" style="position:absolute;left:9469;top:384359;height:624;width:3798;" fillcolor="#FFFFFF [3201]" filled="t" stroked="t" coordsize="21600,21600" o:gfxdata="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d/N668AAAA&#10;2w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textbox>
                    <w:txbxContent>
                      <w:p>
                        <w:pPr>
                          <w:jc w:val="center"/>
                          <w:rPr>
                            <w:rFonts w:hint="eastAsia" w:eastAsia="宋体"/>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前期准备</w:t>
                        </w:r>
                      </w:p>
                    </w:txbxContent>
                  </v:textbox>
                </v:shape>
                <v:shape id="_x0000_s1026" o:spid="_x0000_s1026" o:spt="32" type="#_x0000_t32" style="position:absolute;left:11324;top:385041;height:354;width:15;" filled="f" stroked="t" coordsize="21600,21600" o:gfxdata="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ZXWGugAAANsA&#10;AAAPAAAAAAAAAAEAIAAAACIAAABkcnMvZG93bnJldi54bWxQSwECFAAUAAAACACHTuJAMy8FnjsA&#10;AAA5AAAAEAAAAAAAAAABACAAAAAJAQAAZHJzL3NoYXBleG1sLnhtbFBLBQYAAAAABgAGAFsBAACz&#10;AwAAAAA=&#10;">
                  <v:fill on="f" focussize="0,0"/>
                  <v:stroke weight="0.5pt" color="#000000 [3200]" miterlimit="8" joinstyle="miter" endarrow="open"/>
                  <v:imagedata o:title=""/>
                  <o:lock v:ext="edit" aspectratio="f"/>
                </v:shape>
                <v:shape id="_x0000_s1026" o:spid="_x0000_s1026" o:spt="202" type="#_x0000_t202" style="position:absolute;left:9449;top:385413;height:624;width:3798;" fillcolor="#FFFFFF [3201]" filled="t" stroked="t" coordsize="21600,21600" o:gfxdata="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BY2S/&#10;AAAA2wAAAA8AAAAAAAAAAQAgAAAAIgAAAGRycy9kb3ducmV2LnhtbFBLAQIUABQAAAAIAIdO4kAz&#10;LwWeOwAAADkAAAAQAAAAAAAAAAEAIAAAAA4BAABkcnMvc2hhcGV4bWwueG1sUEsFBgAAAAAGAAYA&#10;WwEAALgDAAAAAA==&#10;">
                  <v:fill on="t" focussize="0,0"/>
                  <v:stroke weight="1pt" color="#000000 [3200]"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辨识与分析危险、有害因素</w:t>
                        </w:r>
                      </w:p>
                      <w:p>
                        <w:pPr>
                          <w:rPr>
                            <w:rFonts w:hint="eastAsia"/>
                            <w:lang w:val="en-US" w:eastAsia="zh-CN"/>
                          </w:rPr>
                        </w:pPr>
                      </w:p>
                    </w:txbxContent>
                  </v:textbox>
                </v:shape>
                <v:shape id="_x0000_s1026" o:spid="_x0000_s1026" o:spt="32" type="#_x0000_t32" style="position:absolute;left:11348;top:386037;height:363;width:13;" filled="f" stroked="t" coordsize="21600,21600" o:gfxdata="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l4b968AAAA&#10;2wAAAA8AAAAAAAAAAQAgAAAAIgAAAGRycy9kb3ducmV2LnhtbFBLAQIUABQAAAAIAIdO4kAzLwWe&#10;OwAAADkAAAAQAAAAAAAAAAEAIAAAAAsBAABkcnMvc2hhcGV4bWwueG1sUEsFBgAAAAAGAAYAWwEA&#10;ALUDAAAAAA==&#10;">
                  <v:fill on="f" focussize="0,0"/>
                  <v:stroke weight="0.5pt" color="#000000 [3200]" miterlimit="8" joinstyle="miter" endarrow="open"/>
                  <v:imagedata o:title=""/>
                  <o:lock v:ext="edit" aspectratio="f"/>
                </v:shape>
                <v:shape id="_x0000_s1026" o:spid="_x0000_s1026" o:spt="202" type="#_x0000_t202" style="position:absolute;left:9482;top:386379;height:624;width:3798;" fillcolor="#FFFFFF [3201]" filled="t" stroked="t" coordsize="21600,21600" o:gfxdata="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Gws4G/&#10;AAAA2wAAAA8AAAAAAAAAAQAgAAAAIgAAAGRycy9kb3ducmV2LnhtbFBLAQIUABQAAAAIAIdO4kAz&#10;LwWeOwAAADkAAAAQAAAAAAAAAAEAIAAAAA4BAABkcnMvc2hhcGV4bWwueG1sUEsFBgAAAAAGAAYA&#10;WwEAALgDAAAAAA==&#10;">
                  <v:fill on="t" focussize="0,0"/>
                  <v:stroke weight="1pt" color="#000000 [3200]" miterlimit="8" joinstyle="miter"/>
                  <v:imagedata o:title=""/>
                  <o:lock v:ext="edit" aspectratio="f"/>
                  <v:textbox>
                    <w:txbxContent>
                      <w:p>
                        <w:pPr>
                          <w:jc w:val="center"/>
                          <w:rPr>
                            <w:rFonts w:hint="eastAsia"/>
                            <w:lang w:val="en-US" w:eastAsia="zh-CN"/>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划分评价单元</w:t>
                        </w:r>
                      </w:p>
                    </w:txbxContent>
                  </v:textbox>
                </v:shape>
                <v:shape id="_x0000_s1026" o:spid="_x0000_s1026" o:spt="32" type="#_x0000_t32" style="position:absolute;left:11381;top:387004;height:351;width:11;" filled="f" stroked="t" coordsize="21600,21600" o:gfxdata="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JKvKvQAA&#10;ANsAAAAPAAAAAAAAAAEAIAAAACIAAABkcnMvZG93bnJldi54bWxQSwECFAAUAAAACACHTuJAMy8F&#10;njsAAAA5AAAAEAAAAAAAAAABACAAAAAMAQAAZHJzL3NoYXBleG1sLnhtbFBLBQYAAAAABgAGAFsB&#10;AAC2AwAAAAA=&#10;">
                  <v:fill on="f" focussize="0,0"/>
                  <v:stroke weight="0.5pt" color="#000000 [3200]" miterlimit="8" joinstyle="miter" endarrow="open"/>
                  <v:imagedata o:title=""/>
                  <o:lock v:ext="edit" aspectratio="f"/>
                </v:shape>
                <v:shape id="_x0000_s1026" o:spid="_x0000_s1026" o:spt="202" type="#_x0000_t202" style="position:absolute;left:9520;top:387378;height:640;width:3798;" fillcolor="#FFFFFF [3201]" filled="t" stroked="t" coordsize="21600,21600" o:gfxdata="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5B7K/&#10;AAAA2wAAAA8AAAAAAAAAAQAgAAAAIgAAAGRycy9kb3ducmV2LnhtbFBLAQIUABQAAAAIAIdO4kAz&#10;LwWeOwAAADkAAAAQAAAAAAAAAAEAIAAAAA4BAABkcnMvc2hhcGV4bWwueG1sUEsFBgAAAAAGAAYA&#10;WwEAALgDAAAAAA==&#10;">
                  <v:fill on="t" focussize="0,0"/>
                  <v:stroke weight="1pt" color="#000000 [3200]"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选择评价方法</w:t>
                        </w:r>
                      </w:p>
                    </w:txbxContent>
                  </v:textbox>
                </v:shape>
                <v:shape id="_x0000_s1026" o:spid="_x0000_s1026" o:spt="32" type="#_x0000_t32" style="position:absolute;left:11419;top:388018;height:311;width:8;" filled="f" stroked="t" coordsize="21600,21600" o:gfxdata="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bzR6LsAAADb&#10;AAAADwAAAAAAAAABACAAAAAiAAAAZHJzL2Rvd25yZXYueG1sUEsBAhQAFAAAAAgAh07iQDMvBZ47&#10;AAAAOQAAABAAAAAAAAAAAQAgAAAACgEAAGRycy9zaGFwZXhtbC54bWxQSwUGAAAAAAYABgBbAQAA&#10;tAMAAAAA&#10;">
                  <v:fill on="f" focussize="0,0"/>
                  <v:stroke weight="0.5pt" color="#000000 [3200]" miterlimit="8" joinstyle="miter" endarrow="open"/>
                  <v:imagedata o:title=""/>
                  <o:lock v:ext="edit" aspectratio="f"/>
                </v:shape>
                <v:shape id="_x0000_s1026" o:spid="_x0000_s1026" o:spt="202" type="#_x0000_t202" style="position:absolute;left:9514;top:388323;height:684;width:3798;" fillcolor="#FFFFFF [3201]" filled="t" stroked="t" coordsize="21600,21600" o:gfxdata="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tuXbLsAAADb&#10;AAAADwAAAAAAAAABACAAAAAiAAAAZHJzL2Rvd25yZXYueG1sUEsBAhQAFAAAAAgAh07iQDMvBZ47&#10;AAAAOQAAABAAAAAAAAAAAQAgAAAACgEAAGRycy9zaGFwZXhtbC54bWxQSwUGAAAAAAYABgBbAQAA&#10;tAMAAAAA&#10;">
                  <v:fill on="t" focussize="0,0"/>
                  <v:stroke weight="1pt" color="#000000 [3200]"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定性、定量评价</w:t>
                        </w:r>
                      </w:p>
                    </w:txbxContent>
                  </v:textbox>
                </v:shape>
                <v:shape id="_x0000_s1026" o:spid="_x0000_s1026" o:spt="202" type="#_x0000_t202" style="position:absolute;left:9514;top:389321;height:724;width:3798;" fillcolor="#FFFFFF [3201]" filled="t" stroked="t" coordsize="21600,21600" o:gfxdata="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VlzL3&#10;wAAAANsAAAAPAAAAAAAAAAEAIAAAACIAAABkcnMvZG93bnJldi54bWxQSwECFAAUAAAACACHTuJA&#10;My8FnjsAAAA5AAAAEAAAAAAAAAABACAAAAAPAQAAZHJzL3NoYXBleG1sLnhtbFBLBQYAAAAABgAG&#10;AFsBAAC5AwAAAAA=&#10;">
                  <v:fill on="t" focussize="0,0"/>
                  <v:stroke weight="1pt" color="#000000 [3200]"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提出安全对策措施建议</w:t>
                        </w:r>
                      </w:p>
                    </w:txbxContent>
                  </v:textbox>
                </v:shape>
                <v:shape id="_x0000_s1026" o:spid="_x0000_s1026" o:spt="202" type="#_x0000_t202" style="position:absolute;left:9544;top:390433;height:663;width:3798;" fillcolor="#FFFFFF [3201]" filled="t" stroked="t" coordsize="21600,21600" o:gfxdata="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CRb74A&#10;AADb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作出评价结论</w:t>
                        </w:r>
                      </w:p>
                    </w:txbxContent>
                  </v:textbox>
                </v:shape>
                <v:shape id="_x0000_s1026" o:spid="_x0000_s1026" o:spt="202" type="#_x0000_t202" style="position:absolute;left:9554;top:391520;height:707;width:3798;" fillcolor="#FFFFFF [3201]" filled="t" stroked="t" coordsize="21600,21600" o:gfxdata="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PFe5q8AAAA&#10;3A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编制安全现状评价报告</w:t>
                        </w:r>
                      </w:p>
                    </w:txbxContent>
                  </v:textbox>
                </v:shape>
                <v:shape id="_x0000_s1026" o:spid="_x0000_s1026" o:spt="32" type="#_x0000_t32" style="position:absolute;left:11413;top:389007;height:314;width:0;" filled="f" stroked="t" coordsize="21600,21600" o:gfxdata="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t+DovQAA&#10;ANwAAAAPAAAAAAAAAAEAIAAAACIAAABkcnMvZG93bnJldi54bWxQSwECFAAUAAAACACHTuJAMy8F&#10;njsAAAA5AAAAEAAAAAAAAAABACAAAAAMAQAAZHJzL3NoYXBleG1sLnhtbFBLBQYAAAAABgAGAFsB&#10;AAC2AwAAAAA=&#10;">
                  <v:fill on="f" focussize="0,0"/>
                  <v:stroke weight="0.5pt" color="#000000 [3200]" miterlimit="8" joinstyle="miter" endarrow="open"/>
                  <v:imagedata o:title=""/>
                  <o:lock v:ext="edit" aspectratio="f"/>
                </v:shape>
                <v:shape id="_x0000_s1026" o:spid="_x0000_s1026" o:spt="32" type="#_x0000_t32" style="position:absolute;left:11426;top:390057;flip:x;height:394;width:5;" filled="f" stroked="t" coordsize="21600,21600" o:gfxdata="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R+d67sAAADc&#10;AAAADwAAAAAAAAABACAAAAAiAAAAZHJzL2Rvd25yZXYueG1sUEsBAhQAFAAAAAgAh07iQDMvBZ47&#10;AAAAOQAAABAAAAAAAAAAAQAgAAAACgEAAGRycy9zaGFwZXhtbC54bWxQSwUGAAAAAAYABgBbAQAA&#10;tAMAAAAA&#10;">
                  <v:fill on="f" focussize="0,0"/>
                  <v:stroke weight="0.5pt" color="#000000 [3200]" miterlimit="8" joinstyle="miter" endarrow="open"/>
                  <v:imagedata o:title=""/>
                  <o:lock v:ext="edit" aspectratio="f"/>
                </v:shape>
                <v:shape id="_x0000_s1026" o:spid="_x0000_s1026" o:spt="32" type="#_x0000_t32" style="position:absolute;left:11423;top:391178;flip:x;height:337;width:4;" filled="f" stroked="t" coordsize="21600,21600" o:gfxdata="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lM4cLsAAADc&#10;AAAADwAAAAAAAAABACAAAAAiAAAAZHJzL2Rvd25yZXYueG1sUEsBAhQAFAAAAAgAh07iQDMvBZ47&#10;AAAAOQAAABAAAAAAAAAAAQAgAAAACgEAAGRycy9zaGFwZXhtbC54bWxQSwUGAAAAAAYABgBbAQAA&#10;tAMAAAAA&#10;">
                  <v:fill on="f" focussize="0,0"/>
                  <v:stroke weight="0.5pt" color="#000000 [3200]" miterlimit="8" joinstyle="miter" endarrow="open"/>
                  <v:imagedata o:title=""/>
                  <o:lock v:ext="edit" aspectratio="f"/>
                </v:shape>
              </v:group>
            </w:pict>
          </mc:Fallback>
        </mc:AlternateConten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jc w:val="center"/>
        <w:textAlignment w:val="auto"/>
        <w:rPr>
          <w:rFonts w:hint="default" w:ascii="Times New Roman" w:hAnsi="Times New Roman" w:cs="Times New Roman"/>
          <w:b/>
          <w:bCs w:val="0"/>
          <w:color w:val="auto"/>
          <w:sz w:val="24"/>
          <w:szCs w:val="28"/>
        </w:rPr>
      </w:pPr>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jc w:val="center"/>
        <w:textAlignment w:val="auto"/>
        <w:rPr>
          <w:rFonts w:hint="eastAsia" w:cs="Times New Roman"/>
          <w:b/>
          <w:bCs w:val="0"/>
          <w:color w:val="auto"/>
          <w:sz w:val="24"/>
          <w:szCs w:val="28"/>
          <w:lang w:val="en-US" w:eastAsia="zh-CN"/>
        </w:rPr>
      </w:pPr>
      <w:r>
        <w:rPr>
          <w:rFonts w:hint="eastAsia" w:cs="Times New Roman"/>
          <w:b/>
          <w:bCs w:val="0"/>
          <w:color w:val="auto"/>
          <w:sz w:val="24"/>
          <w:szCs w:val="28"/>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jc w:val="center"/>
        <w:textAlignment w:val="auto"/>
        <w:rPr>
          <w:rFonts w:hint="default" w:ascii="Times New Roman" w:hAnsi="Times New Roman" w:cs="Times New Roman"/>
          <w:b/>
          <w:bCs w:val="0"/>
          <w:color w:val="auto"/>
          <w:sz w:val="24"/>
          <w:szCs w:val="28"/>
        </w:rPr>
      </w:pPr>
      <w:r>
        <w:rPr>
          <w:rFonts w:hint="eastAsia" w:cs="Times New Roman"/>
          <w:b/>
          <w:bCs w:val="0"/>
          <w:color w:val="auto"/>
          <w:sz w:val="24"/>
          <w:szCs w:val="28"/>
          <w:lang w:val="en-US" w:eastAsia="zh-CN"/>
        </w:rPr>
        <w:t xml:space="preserve"> </w:t>
      </w:r>
      <w:r>
        <w:rPr>
          <w:rFonts w:hint="default" w:ascii="Times New Roman" w:hAnsi="Times New Roman" w:cs="Times New Roman"/>
          <w:b/>
          <w:bCs w:val="0"/>
          <w:color w:val="auto"/>
          <w:sz w:val="24"/>
          <w:szCs w:val="28"/>
        </w:rPr>
        <w:t>图1-1</w:t>
      </w:r>
      <w:r>
        <w:rPr>
          <w:rFonts w:hint="eastAsia" w:cs="Times New Roman"/>
          <w:b/>
          <w:bCs w:val="0"/>
          <w:color w:val="auto"/>
          <w:sz w:val="24"/>
          <w:szCs w:val="28"/>
          <w:lang w:val="en-US" w:eastAsia="zh-CN"/>
        </w:rPr>
        <w:t xml:space="preserve"> </w:t>
      </w:r>
      <w:r>
        <w:rPr>
          <w:rFonts w:hint="default" w:ascii="Times New Roman" w:hAnsi="Times New Roman" w:cs="Times New Roman"/>
          <w:b/>
          <w:bCs w:val="0"/>
          <w:color w:val="auto"/>
          <w:sz w:val="24"/>
          <w:szCs w:val="28"/>
        </w:rPr>
        <w:t>安全现状评价程序</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color w:val="0070C0"/>
          <w:sz w:val="28"/>
          <w:szCs w:val="28"/>
        </w:rPr>
        <w:sectPr>
          <w:headerReference r:id="rId7" w:type="default"/>
          <w:footerReference r:id="rId8" w:type="default"/>
          <w:pgSz w:w="11906" w:h="16838"/>
          <w:pgMar w:top="1440" w:right="1803" w:bottom="1440" w:left="1803" w:header="851" w:footer="992" w:gutter="0"/>
          <w:pgBorders>
            <w:top w:val="none" w:sz="0" w:space="0"/>
            <w:left w:val="none" w:sz="0" w:space="0"/>
            <w:bottom w:val="none" w:sz="0" w:space="0"/>
            <w:right w:val="none" w:sz="0" w:space="0"/>
          </w:pgBorders>
          <w:pgNumType w:fmt="decimal" w:start="1"/>
          <w:cols w:space="425" w:num="1"/>
          <w:docGrid w:type="linesAndChars" w:linePitch="312" w:charSpace="0"/>
        </w:sectPr>
      </w:pPr>
    </w:p>
    <w:bookmarkEnd w:id="11"/>
    <w:p>
      <w:pPr>
        <w:pStyle w:val="3"/>
        <w:keepNext/>
        <w:keepLines w:val="0"/>
        <w:pageBreakBefore w:val="0"/>
        <w:widowControl w:val="0"/>
        <w:kinsoku/>
        <w:wordWrap/>
        <w:overflowPunct/>
        <w:topLinePunct w:val="0"/>
        <w:autoSpaceDE/>
        <w:autoSpaceDN/>
        <w:bidi w:val="0"/>
        <w:adjustRightInd w:val="0"/>
        <w:snapToGrid w:val="0"/>
        <w:spacing w:line="360" w:lineRule="auto"/>
        <w:jc w:val="center"/>
        <w:textAlignment w:val="auto"/>
        <w:rPr>
          <w:rFonts w:eastAsia="楷体_GB2312"/>
          <w:b/>
          <w:color w:val="auto"/>
          <w:sz w:val="36"/>
          <w:szCs w:val="36"/>
        </w:rPr>
      </w:pPr>
      <w:bookmarkStart w:id="12" w:name="_Toc8381"/>
      <w:bookmarkStart w:id="13" w:name="_Toc285310333"/>
      <w:bookmarkStart w:id="14" w:name="_Toc248650007"/>
      <w:bookmarkStart w:id="15" w:name="_Toc276394619"/>
      <w:bookmarkStart w:id="16" w:name="_Toc244964626"/>
      <w:bookmarkStart w:id="17" w:name="_Toc291144363"/>
      <w:r>
        <w:rPr>
          <w:rFonts w:hint="eastAsia" w:eastAsia="楷体_GB2312"/>
          <w:b/>
          <w:color w:val="auto"/>
          <w:sz w:val="36"/>
          <w:szCs w:val="36"/>
        </w:rPr>
        <w:t>2</w:t>
      </w:r>
      <w:r>
        <w:rPr>
          <w:rFonts w:eastAsia="楷体_GB2312"/>
          <w:b/>
          <w:color w:val="auto"/>
          <w:sz w:val="36"/>
          <w:szCs w:val="36"/>
        </w:rPr>
        <w:t xml:space="preserve"> </w:t>
      </w:r>
      <w:r>
        <w:rPr>
          <w:rFonts w:hint="eastAsia" w:ascii="宋体" w:hAnsi="宋体" w:eastAsia="宋体" w:cs="宋体"/>
          <w:b/>
          <w:color w:val="auto"/>
          <w:sz w:val="36"/>
          <w:szCs w:val="36"/>
        </w:rPr>
        <w:t>被评价单位基本情况</w:t>
      </w:r>
      <w:bookmarkEnd w:id="12"/>
      <w:bookmarkEnd w:id="13"/>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b w:val="0"/>
          <w:bCs/>
          <w:color w:val="auto"/>
          <w:szCs w:val="32"/>
        </w:rPr>
      </w:pPr>
      <w:bookmarkStart w:id="18" w:name="_Toc285310334"/>
      <w:bookmarkStart w:id="19" w:name="_Toc15212"/>
      <w:r>
        <w:rPr>
          <w:rFonts w:hint="eastAsia" w:ascii="Times New Roman" w:hAnsi="Times New Roman"/>
          <w:b w:val="0"/>
          <w:bCs/>
          <w:color w:val="auto"/>
          <w:szCs w:val="32"/>
        </w:rPr>
        <w:t>2.1</w:t>
      </w:r>
      <w:bookmarkEnd w:id="18"/>
      <w:r>
        <w:rPr>
          <w:rFonts w:ascii="Times New Roman" w:hAnsi="Times New Roman"/>
          <w:b w:val="0"/>
          <w:bCs/>
          <w:color w:val="auto"/>
          <w:szCs w:val="32"/>
        </w:rPr>
        <w:t xml:space="preserve"> </w:t>
      </w:r>
      <w:r>
        <w:rPr>
          <w:rFonts w:hint="eastAsia" w:ascii="Times New Roman" w:hAnsi="Times New Roman"/>
          <w:b w:val="0"/>
          <w:bCs/>
          <w:color w:val="auto"/>
          <w:szCs w:val="32"/>
        </w:rPr>
        <w:t>企业概况</w:t>
      </w:r>
      <w:bookmarkEnd w:id="19"/>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bookmarkStart w:id="20" w:name="_Toc11080"/>
      <w:r>
        <w:rPr>
          <w:rFonts w:hint="eastAsia"/>
          <w:color w:val="auto"/>
          <w:sz w:val="28"/>
          <w:szCs w:val="28"/>
          <w:lang w:val="en-US" w:eastAsia="zh-CN"/>
        </w:rPr>
        <w:t>涉及企业机密，不予公开。</w:t>
      </w:r>
    </w:p>
    <w:p>
      <w:pPr>
        <w:pStyle w:val="4"/>
        <w:adjustRightInd w:val="0"/>
        <w:snapToGrid w:val="0"/>
        <w:spacing w:before="0" w:after="0" w:line="360" w:lineRule="auto"/>
        <w:rPr>
          <w:rFonts w:ascii="Times New Roman" w:hAnsi="Times New Roman"/>
          <w:b w:val="0"/>
          <w:bCs/>
          <w:color w:val="auto"/>
          <w:szCs w:val="32"/>
        </w:rPr>
      </w:pPr>
      <w:r>
        <w:rPr>
          <w:rFonts w:hint="eastAsia" w:ascii="Times New Roman" w:hAnsi="Times New Roman"/>
          <w:b w:val="0"/>
          <w:bCs/>
          <w:color w:val="auto"/>
          <w:szCs w:val="32"/>
        </w:rPr>
        <w:t>2.</w:t>
      </w:r>
      <w:r>
        <w:rPr>
          <w:rFonts w:ascii="Times New Roman" w:hAnsi="Times New Roman"/>
          <w:b w:val="0"/>
          <w:bCs/>
          <w:color w:val="auto"/>
          <w:szCs w:val="32"/>
        </w:rPr>
        <w:t xml:space="preserve">2 </w:t>
      </w:r>
      <w:r>
        <w:rPr>
          <w:rFonts w:hint="eastAsia" w:ascii="Times New Roman" w:hAnsi="Times New Roman"/>
          <w:b w:val="0"/>
          <w:bCs/>
          <w:color w:val="auto"/>
          <w:szCs w:val="32"/>
        </w:rPr>
        <w:t>机构设置</w:t>
      </w:r>
      <w:bookmarkEnd w:id="20"/>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bookmarkStart w:id="21" w:name="_Toc285310336"/>
      <w:bookmarkStart w:id="22" w:name="_Toc26731"/>
      <w:bookmarkStart w:id="23" w:name="_Toc202759402"/>
      <w:r>
        <w:rPr>
          <w:rFonts w:hint="eastAsia"/>
          <w:color w:val="auto"/>
          <w:sz w:val="28"/>
          <w:szCs w:val="28"/>
          <w:lang w:val="en-US" w:eastAsia="zh-CN"/>
        </w:rPr>
        <w:t>涉及企业机密，不予公开。</w:t>
      </w:r>
    </w:p>
    <w:p>
      <w:pPr>
        <w:pStyle w:val="4"/>
        <w:adjustRightInd w:val="0"/>
        <w:snapToGrid w:val="0"/>
        <w:spacing w:before="0" w:after="0" w:line="360" w:lineRule="auto"/>
        <w:rPr>
          <w:rFonts w:ascii="Times New Roman" w:hAnsi="Times New Roman"/>
          <w:b w:val="0"/>
          <w:bCs/>
          <w:color w:val="auto"/>
          <w:szCs w:val="32"/>
        </w:rPr>
      </w:pPr>
      <w:r>
        <w:rPr>
          <w:rFonts w:hint="eastAsia" w:ascii="Times New Roman" w:hAnsi="Times New Roman"/>
          <w:b w:val="0"/>
          <w:bCs/>
          <w:color w:val="auto"/>
          <w:szCs w:val="32"/>
        </w:rPr>
        <w:t>2.</w:t>
      </w:r>
      <w:r>
        <w:rPr>
          <w:rFonts w:ascii="Times New Roman" w:hAnsi="Times New Roman"/>
          <w:b w:val="0"/>
          <w:bCs/>
          <w:color w:val="auto"/>
          <w:szCs w:val="32"/>
        </w:rPr>
        <w:t xml:space="preserve">3 </w:t>
      </w:r>
      <w:r>
        <w:rPr>
          <w:rFonts w:hint="eastAsia" w:ascii="Times New Roman" w:hAnsi="Times New Roman"/>
          <w:b w:val="0"/>
          <w:bCs/>
          <w:color w:val="auto"/>
          <w:szCs w:val="32"/>
        </w:rPr>
        <w:t>主要装备、设施、作业场所概况</w:t>
      </w:r>
      <w:bookmarkEnd w:id="21"/>
      <w:bookmarkEnd w:id="22"/>
    </w:p>
    <w:p>
      <w:pPr>
        <w:pStyle w:val="5"/>
        <w:pageBreakBefore w:val="0"/>
        <w:widowControl w:val="0"/>
        <w:kinsoku/>
        <w:wordWrap/>
        <w:overflowPunct/>
        <w:topLinePunct w:val="0"/>
        <w:bidi w:val="0"/>
        <w:adjustRightInd w:val="0"/>
        <w:snapToGrid w:val="0"/>
        <w:spacing w:before="0" w:after="0" w:line="360" w:lineRule="auto"/>
        <w:textAlignment w:val="auto"/>
        <w:rPr>
          <w:rFonts w:eastAsia="黑体"/>
          <w:b w:val="0"/>
          <w:snapToGrid w:val="0"/>
          <w:color w:val="auto"/>
          <w:kern w:val="0"/>
          <w:sz w:val="28"/>
          <w:szCs w:val="28"/>
        </w:rPr>
      </w:pPr>
      <w:r>
        <w:rPr>
          <w:rFonts w:hint="eastAsia" w:eastAsia="黑体"/>
          <w:b w:val="0"/>
          <w:snapToGrid w:val="0"/>
          <w:color w:val="auto"/>
          <w:kern w:val="0"/>
          <w:sz w:val="28"/>
          <w:szCs w:val="28"/>
        </w:rPr>
        <w:t>2.</w:t>
      </w:r>
      <w:r>
        <w:rPr>
          <w:rFonts w:eastAsia="黑体"/>
          <w:b w:val="0"/>
          <w:snapToGrid w:val="0"/>
          <w:color w:val="auto"/>
          <w:kern w:val="0"/>
          <w:sz w:val="28"/>
          <w:szCs w:val="28"/>
        </w:rPr>
        <w:t>3</w:t>
      </w:r>
      <w:r>
        <w:rPr>
          <w:rFonts w:hint="eastAsia" w:eastAsia="黑体"/>
          <w:b w:val="0"/>
          <w:snapToGrid w:val="0"/>
          <w:color w:val="auto"/>
          <w:kern w:val="0"/>
          <w:sz w:val="28"/>
          <w:szCs w:val="28"/>
        </w:rPr>
        <w:t>.1</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作业类型</w:t>
      </w:r>
    </w:p>
    <w:p>
      <w:pPr>
        <w:pStyle w:val="15"/>
        <w:keepNext w:val="0"/>
        <w:keepLines w:val="0"/>
        <w:pageBreakBefore w:val="0"/>
        <w:widowControl w:val="0"/>
        <w:kinsoku/>
        <w:wordWrap/>
        <w:overflowPunct/>
        <w:topLinePunct w:val="0"/>
        <w:bidi w:val="0"/>
        <w:adjustRightInd w:val="0"/>
        <w:snapToGrid w:val="0"/>
        <w:spacing w:line="360" w:lineRule="auto"/>
        <w:ind w:firstLine="560"/>
        <w:textAlignment w:val="auto"/>
        <w:rPr>
          <w:rFonts w:hint="eastAsia" w:eastAsia="宋体"/>
          <w:color w:val="0070C0"/>
          <w:sz w:val="28"/>
          <w:szCs w:val="28"/>
          <w:lang w:val="en-US" w:eastAsia="zh-CN"/>
        </w:rPr>
      </w:pPr>
      <w:r>
        <w:rPr>
          <w:rFonts w:hint="eastAsia"/>
          <w:color w:val="auto"/>
          <w:sz w:val="28"/>
          <w:szCs w:val="28"/>
          <w:lang w:eastAsia="zh-CN"/>
        </w:rPr>
        <w:t>海塔石油科技有限公司</w:t>
      </w:r>
      <w:r>
        <w:rPr>
          <w:rFonts w:hint="eastAsia"/>
          <w:color w:val="auto"/>
          <w:sz w:val="28"/>
          <w:szCs w:val="28"/>
        </w:rPr>
        <w:t>井下作业类型主要是</w:t>
      </w:r>
      <w:r>
        <w:rPr>
          <w:rFonts w:hint="eastAsia"/>
          <w:color w:val="auto"/>
          <w:sz w:val="28"/>
          <w:szCs w:val="28"/>
          <w:lang w:eastAsia="zh-CN"/>
        </w:rPr>
        <w:t>大修、井下复杂情况处理（打捞、堵漏）</w:t>
      </w:r>
      <w:r>
        <w:rPr>
          <w:rFonts w:hint="eastAsia"/>
          <w:color w:val="auto"/>
          <w:sz w:val="28"/>
          <w:szCs w:val="28"/>
        </w:rPr>
        <w:t>。</w:t>
      </w:r>
      <w:r>
        <w:rPr>
          <w:rFonts w:hint="eastAsia"/>
          <w:color w:val="auto"/>
          <w:sz w:val="28"/>
          <w:szCs w:val="28"/>
          <w:lang w:val="en-US" w:eastAsia="zh-CN"/>
        </w:rPr>
        <w:t xml:space="preserve"> </w:t>
      </w:r>
    </w:p>
    <w:p>
      <w:pPr>
        <w:pStyle w:val="15"/>
        <w:keepNext w:val="0"/>
        <w:keepLines w:val="0"/>
        <w:pageBreakBefore w:val="0"/>
        <w:widowControl w:val="0"/>
        <w:numPr>
          <w:ilvl w:val="0"/>
          <w:numId w:val="13"/>
        </w:numPr>
        <w:kinsoku/>
        <w:wordWrap/>
        <w:overflowPunct/>
        <w:topLinePunct w:val="0"/>
        <w:bidi w:val="0"/>
        <w:adjustRightInd w:val="0"/>
        <w:snapToGrid w:val="0"/>
        <w:spacing w:line="360" w:lineRule="auto"/>
        <w:ind w:firstLine="562"/>
        <w:textAlignment w:val="auto"/>
        <w:rPr>
          <w:rFonts w:hint="eastAsia"/>
          <w:b/>
          <w:color w:val="auto"/>
          <w:sz w:val="28"/>
          <w:szCs w:val="28"/>
          <w:lang w:eastAsia="zh-CN"/>
        </w:rPr>
      </w:pPr>
      <w:r>
        <w:rPr>
          <w:rFonts w:hint="eastAsia"/>
          <w:b/>
          <w:color w:val="auto"/>
          <w:sz w:val="28"/>
          <w:szCs w:val="28"/>
          <w:lang w:eastAsia="zh-CN"/>
        </w:rPr>
        <w:t>大修</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2"/>
        <w:textAlignment w:val="auto"/>
        <w:rPr>
          <w:rFonts w:hint="default"/>
          <w:b/>
          <w:color w:val="0070C0"/>
          <w:sz w:val="28"/>
          <w:szCs w:val="28"/>
          <w:lang w:val="en-US"/>
        </w:rPr>
      </w:pPr>
      <w:r>
        <w:rPr>
          <w:b/>
          <w:color w:val="auto"/>
          <w:sz w:val="28"/>
          <w:szCs w:val="28"/>
        </w:rPr>
        <w:t>2.</w:t>
      </w:r>
      <w:r>
        <w:rPr>
          <w:rFonts w:hint="eastAsia"/>
          <w:b/>
          <w:color w:val="auto"/>
          <w:sz w:val="28"/>
          <w:szCs w:val="28"/>
          <w:lang w:val="en-US" w:eastAsia="zh-CN"/>
        </w:rPr>
        <w:t>井下复杂情况处理（打捞）</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b/>
          <w:color w:val="auto"/>
          <w:sz w:val="28"/>
          <w:szCs w:val="28"/>
          <w:lang w:val="en-US" w:eastAsia="zh-CN"/>
        </w:rPr>
      </w:pPr>
      <w:r>
        <w:rPr>
          <w:rFonts w:hint="eastAsia"/>
          <w:b/>
          <w:color w:val="auto"/>
          <w:sz w:val="28"/>
          <w:szCs w:val="28"/>
          <w:lang w:val="en-US" w:eastAsia="zh-CN"/>
        </w:rPr>
        <w:t>3.井下复杂情况处理（堵漏）</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auto"/>
          <w:kern w:val="0"/>
          <w:sz w:val="28"/>
          <w:szCs w:val="28"/>
        </w:rPr>
      </w:pPr>
      <w:r>
        <w:rPr>
          <w:rFonts w:hint="eastAsia" w:eastAsia="黑体"/>
          <w:b w:val="0"/>
          <w:snapToGrid w:val="0"/>
          <w:color w:val="auto"/>
          <w:kern w:val="0"/>
          <w:sz w:val="28"/>
          <w:szCs w:val="28"/>
        </w:rPr>
        <w:t>2.</w:t>
      </w:r>
      <w:r>
        <w:rPr>
          <w:rFonts w:eastAsia="黑体"/>
          <w:b w:val="0"/>
          <w:snapToGrid w:val="0"/>
          <w:color w:val="auto"/>
          <w:kern w:val="0"/>
          <w:sz w:val="28"/>
          <w:szCs w:val="28"/>
        </w:rPr>
        <w:t>3</w:t>
      </w:r>
      <w:r>
        <w:rPr>
          <w:rFonts w:hint="eastAsia" w:eastAsia="黑体"/>
          <w:b w:val="0"/>
          <w:snapToGrid w:val="0"/>
          <w:color w:val="auto"/>
          <w:kern w:val="0"/>
          <w:sz w:val="28"/>
          <w:szCs w:val="28"/>
        </w:rPr>
        <w:t>.2</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作业流程</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2"/>
        <w:textAlignment w:val="auto"/>
        <w:rPr>
          <w:b/>
          <w:color w:val="auto"/>
          <w:sz w:val="28"/>
          <w:highlight w:val="none"/>
        </w:rPr>
      </w:pPr>
      <w:r>
        <w:rPr>
          <w:rFonts w:hint="eastAsia"/>
          <w:b/>
          <w:color w:val="auto"/>
          <w:sz w:val="28"/>
          <w:highlight w:val="none"/>
          <w:lang w:val="en-US" w:eastAsia="zh-CN"/>
        </w:rPr>
        <w:t>1</w:t>
      </w:r>
      <w:r>
        <w:rPr>
          <w:b/>
          <w:color w:val="auto"/>
          <w:sz w:val="28"/>
          <w:highlight w:val="none"/>
        </w:rPr>
        <w:t>.</w:t>
      </w:r>
      <w:r>
        <w:rPr>
          <w:rFonts w:hint="eastAsia"/>
          <w:b/>
          <w:color w:val="auto"/>
          <w:sz w:val="28"/>
          <w:highlight w:val="none"/>
          <w:lang w:val="en-US" w:eastAsia="zh-CN"/>
        </w:rPr>
        <w:t>大修</w:t>
      </w:r>
      <w:r>
        <w:rPr>
          <w:rFonts w:hint="eastAsia"/>
          <w:b/>
          <w:color w:val="auto"/>
          <w:sz w:val="28"/>
          <w:highlight w:val="none"/>
        </w:rPr>
        <w:t>作业流程</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ascii="Times New Roman" w:hAnsi="Times New Roman" w:cs="Times New Roman"/>
          <w:sz w:val="28"/>
        </w:rPr>
      </w:pPr>
      <w:r>
        <w:rPr>
          <w:rFonts w:hint="default" w:ascii="Times New Roman" w:hAnsi="Times New Roman" w:cs="Times New Roman"/>
          <w:sz w:val="28"/>
        </w:rPr>
        <w:t>1</w:t>
      </w:r>
      <w:r>
        <w:rPr>
          <w:rFonts w:hint="eastAsia" w:cs="Times New Roman"/>
          <w:sz w:val="28"/>
          <w:lang w:eastAsia="zh-CN"/>
        </w:rPr>
        <w:t>）</w:t>
      </w:r>
      <w:r>
        <w:rPr>
          <w:rFonts w:hint="default" w:ascii="Times New Roman" w:hAnsi="Times New Roman" w:cs="Times New Roman"/>
          <w:sz w:val="28"/>
        </w:rPr>
        <w:t>作业</w:t>
      </w:r>
      <w:r>
        <w:rPr>
          <w:rFonts w:hint="default" w:eastAsia="宋体"/>
          <w:color w:val="auto"/>
          <w:sz w:val="28"/>
        </w:rPr>
        <w:t>流程</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ascii="Times New Roman" w:hAnsi="Times New Roman" w:cs="Times New Roman"/>
          <w:sz w:val="28"/>
        </w:rPr>
        <w:t>（</w:t>
      </w:r>
      <w:r>
        <w:rPr>
          <w:rFonts w:hint="default" w:eastAsia="宋体"/>
          <w:color w:val="auto"/>
          <w:sz w:val="28"/>
        </w:rPr>
        <w:t>1）甲方将待上作业井号分配给</w:t>
      </w:r>
      <w:r>
        <w:rPr>
          <w:rFonts w:hint="eastAsia" w:eastAsia="宋体"/>
          <w:color w:val="auto"/>
          <w:sz w:val="28"/>
          <w:lang w:eastAsia="zh-CN"/>
        </w:rPr>
        <w:t>大修</w:t>
      </w:r>
      <w:r>
        <w:rPr>
          <w:rFonts w:hint="eastAsia" w:eastAsia="宋体"/>
          <w:color w:val="auto"/>
          <w:sz w:val="28"/>
          <w:lang w:val="en-US" w:eastAsia="zh-CN"/>
        </w:rPr>
        <w:t>1</w:t>
      </w:r>
      <w:r>
        <w:rPr>
          <w:rFonts w:hint="default" w:eastAsia="宋体"/>
          <w:color w:val="auto"/>
          <w:sz w:val="28"/>
        </w:rPr>
        <w:t>队，大修</w:t>
      </w:r>
      <w:r>
        <w:rPr>
          <w:rFonts w:hint="eastAsia" w:eastAsia="宋体"/>
          <w:color w:val="auto"/>
          <w:sz w:val="28"/>
          <w:lang w:val="en-US" w:eastAsia="zh-CN"/>
        </w:rPr>
        <w:t>1</w:t>
      </w:r>
      <w:r>
        <w:rPr>
          <w:rFonts w:hint="default" w:eastAsia="宋体"/>
          <w:color w:val="auto"/>
          <w:sz w:val="28"/>
        </w:rPr>
        <w:t>队接收该井号。</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（2）</w:t>
      </w:r>
      <w:r>
        <w:rPr>
          <w:rFonts w:hint="eastAsia" w:eastAsia="宋体"/>
          <w:color w:val="auto"/>
          <w:sz w:val="28"/>
          <w:lang w:eastAsia="zh-CN"/>
        </w:rPr>
        <w:t>大修</w:t>
      </w:r>
      <w:r>
        <w:rPr>
          <w:rFonts w:hint="eastAsia" w:eastAsia="宋体"/>
          <w:color w:val="auto"/>
          <w:sz w:val="28"/>
          <w:lang w:val="en-US" w:eastAsia="zh-CN"/>
        </w:rPr>
        <w:t>1队</w:t>
      </w:r>
      <w:r>
        <w:rPr>
          <w:rFonts w:hint="default" w:eastAsia="宋体"/>
          <w:color w:val="auto"/>
          <w:sz w:val="28"/>
        </w:rPr>
        <w:t>接到井号后，前往该井进行现场勘查该井进井路况，井场条件、井口设备状况等情况，以确定该井是否具备上井作业条件。</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（3）</w:t>
      </w:r>
      <w:r>
        <w:rPr>
          <w:rFonts w:hint="eastAsia" w:eastAsia="宋体"/>
          <w:color w:val="auto"/>
          <w:sz w:val="28"/>
          <w:lang w:eastAsia="zh-CN"/>
        </w:rPr>
        <w:t>大修</w:t>
      </w:r>
      <w:r>
        <w:rPr>
          <w:rFonts w:hint="eastAsia" w:eastAsia="宋体"/>
          <w:color w:val="auto"/>
          <w:sz w:val="28"/>
          <w:lang w:val="en-US" w:eastAsia="zh-CN"/>
        </w:rPr>
        <w:t>1队</w:t>
      </w:r>
      <w:r>
        <w:rPr>
          <w:rFonts w:hint="default" w:eastAsia="宋体"/>
          <w:color w:val="auto"/>
          <w:sz w:val="28"/>
        </w:rPr>
        <w:t>确定该井具备上井作业条件后，技术人员查询该井的井史资料，根据甲方提供的地质设计、工艺设计，</w:t>
      </w:r>
      <w:r>
        <w:rPr>
          <w:rFonts w:hint="eastAsia" w:eastAsia="宋体"/>
          <w:color w:val="auto"/>
          <w:sz w:val="28"/>
          <w:lang w:eastAsia="zh-CN"/>
        </w:rPr>
        <w:t>安全科</w:t>
      </w:r>
      <w:r>
        <w:rPr>
          <w:rFonts w:hint="default" w:eastAsia="宋体"/>
          <w:color w:val="auto"/>
          <w:sz w:val="28"/>
        </w:rPr>
        <w:t>对该井进行安全、环境风险评估，评估通过后，由技术人员编制该井的施工设计、单井应急预案</w:t>
      </w:r>
      <w:r>
        <w:rPr>
          <w:rFonts w:hint="eastAsia"/>
          <w:color w:val="auto"/>
          <w:sz w:val="28"/>
          <w:lang w:eastAsia="zh-CN"/>
        </w:rPr>
        <w:t>等</w:t>
      </w:r>
      <w:r>
        <w:rPr>
          <w:rFonts w:hint="default" w:eastAsia="宋体"/>
          <w:color w:val="auto"/>
          <w:sz w:val="28"/>
        </w:rPr>
        <w:t xml:space="preserve">，并将施工设计报请甲方审批，甲方作业管理部门审批通过后，技术人员对施工人员进行该井技术交底。 </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（4）</w:t>
      </w:r>
      <w:r>
        <w:rPr>
          <w:rFonts w:hint="eastAsia" w:eastAsia="宋体"/>
          <w:color w:val="auto"/>
          <w:sz w:val="28"/>
          <w:lang w:eastAsia="zh-CN"/>
        </w:rPr>
        <w:t>大修</w:t>
      </w:r>
      <w:r>
        <w:rPr>
          <w:rFonts w:hint="eastAsia" w:eastAsia="宋体"/>
          <w:color w:val="auto"/>
          <w:sz w:val="28"/>
          <w:lang w:val="en-US" w:eastAsia="zh-CN"/>
        </w:rPr>
        <w:t>1队</w:t>
      </w:r>
      <w:r>
        <w:rPr>
          <w:rFonts w:hint="default" w:eastAsia="宋体"/>
          <w:color w:val="auto"/>
          <w:sz w:val="28"/>
        </w:rPr>
        <w:t>按照工艺设计和施工设计的要求，着手对施工人员、设备、器材、车辆进行全面细致准备。搬上动力至作业井场，与油水井管理人员对该井设备、器材、环保等情况现场进行交接。接井后按“三标”施工要求布置井场做好开工准备，由甲方及公司作业管理部门进行开工前验收，验收合格后进行施工。</w:t>
      </w:r>
      <w:r>
        <w:rPr>
          <w:rFonts w:hint="eastAsia" w:eastAsia="宋体"/>
          <w:color w:val="auto"/>
          <w:sz w:val="28"/>
          <w:lang w:eastAsia="zh-CN"/>
        </w:rPr>
        <w:t>大修</w:t>
      </w:r>
      <w:r>
        <w:rPr>
          <w:rFonts w:hint="eastAsia" w:eastAsia="宋体"/>
          <w:color w:val="auto"/>
          <w:sz w:val="28"/>
          <w:lang w:val="en-US" w:eastAsia="zh-CN"/>
        </w:rPr>
        <w:t>1队</w:t>
      </w:r>
      <w:r>
        <w:rPr>
          <w:rFonts w:hint="default" w:eastAsia="宋体"/>
          <w:color w:val="auto"/>
          <w:sz w:val="28"/>
        </w:rPr>
        <w:t>按照设计的工艺技术和质量要求进行各道工序的作业施工，各作业环节都有专人对施工的安全质量负责，关键工序施工时，技术人员到现场进行指挥施工，整个作业施工过程接受甲方作业监督人员全程监督。</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（5）完井后，</w:t>
      </w:r>
      <w:r>
        <w:rPr>
          <w:rFonts w:hint="eastAsia" w:eastAsia="宋体"/>
          <w:color w:val="auto"/>
          <w:sz w:val="28"/>
          <w:lang w:eastAsia="zh-CN"/>
        </w:rPr>
        <w:t>大修</w:t>
      </w:r>
      <w:r>
        <w:rPr>
          <w:rFonts w:hint="eastAsia" w:eastAsia="宋体"/>
          <w:color w:val="auto"/>
          <w:sz w:val="28"/>
          <w:lang w:val="en-US" w:eastAsia="zh-CN"/>
        </w:rPr>
        <w:t>1队</w:t>
      </w:r>
      <w:r>
        <w:rPr>
          <w:rFonts w:hint="default" w:eastAsia="宋体"/>
          <w:color w:val="auto"/>
          <w:sz w:val="28"/>
        </w:rPr>
        <w:t>清理作业现场恢复作业井场，由</w:t>
      </w:r>
      <w:r>
        <w:rPr>
          <w:rFonts w:hint="eastAsia" w:eastAsia="宋体"/>
          <w:color w:val="auto"/>
          <w:sz w:val="28"/>
          <w:lang w:eastAsia="zh-CN"/>
        </w:rPr>
        <w:t>大修</w:t>
      </w:r>
      <w:r>
        <w:rPr>
          <w:rFonts w:hint="eastAsia" w:eastAsia="宋体"/>
          <w:color w:val="auto"/>
          <w:sz w:val="28"/>
          <w:lang w:val="en-US" w:eastAsia="zh-CN"/>
        </w:rPr>
        <w:t>1队</w:t>
      </w:r>
      <w:r>
        <w:rPr>
          <w:rFonts w:hint="default" w:eastAsia="宋体"/>
          <w:color w:val="auto"/>
          <w:sz w:val="28"/>
        </w:rPr>
        <w:t>与甲方油水井管理人员对该井设备、器材、环保等情况进行现场交接，双方签字认可，完成交接。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2</w:t>
      </w:r>
      <w:r>
        <w:rPr>
          <w:rFonts w:hint="eastAsia" w:eastAsia="宋体"/>
          <w:color w:val="auto"/>
          <w:sz w:val="28"/>
          <w:lang w:eastAsia="zh-CN"/>
        </w:rPr>
        <w:t>）</w:t>
      </w:r>
      <w:r>
        <w:rPr>
          <w:rFonts w:hint="default" w:eastAsia="宋体"/>
          <w:color w:val="auto"/>
          <w:sz w:val="28"/>
        </w:rPr>
        <w:t>施工流程</w:t>
      </w:r>
    </w:p>
    <w:p>
      <w:pPr>
        <w:pStyle w:val="15"/>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eastAsia="宋体"/>
          <w:color w:val="auto"/>
          <w:sz w:val="28"/>
        </w:rPr>
      </w:pPr>
      <w:r>
        <w:rPr>
          <w:rFonts w:hint="default" w:eastAsia="宋体"/>
          <w:color w:val="auto"/>
          <w:sz w:val="28"/>
        </w:rPr>
        <w:t>（1）上动力</w:t>
      </w:r>
    </w:p>
    <w:p>
      <w:pPr>
        <w:pStyle w:val="15"/>
        <w:adjustRightInd w:val="0"/>
        <w:snapToGrid w:val="0"/>
        <w:spacing w:line="360" w:lineRule="auto"/>
        <w:ind w:firstLine="560"/>
        <w:rPr>
          <w:rFonts w:hint="eastAsia"/>
          <w:color w:val="auto"/>
          <w:sz w:val="28"/>
          <w:highlight w:val="none"/>
        </w:rPr>
      </w:pPr>
      <w:r>
        <w:rPr>
          <w:color w:val="auto"/>
          <w:sz w:val="28"/>
          <w:highlight w:val="none"/>
        </w:rPr>
        <w:t>设备设施搬迁就位，</w:t>
      </w:r>
      <w:r>
        <w:rPr>
          <w:rFonts w:hint="eastAsia"/>
          <w:color w:val="auto"/>
          <w:sz w:val="28"/>
          <w:highlight w:val="none"/>
        </w:rPr>
        <w:t>现场所有物品的摆放，按照开工标准做开工准备。</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（2）</w:t>
      </w:r>
      <w:r>
        <w:rPr>
          <w:rFonts w:hint="eastAsia" w:eastAsia="宋体"/>
          <w:color w:val="auto"/>
          <w:sz w:val="28"/>
          <w:lang w:val="en-US" w:eastAsia="zh-CN"/>
        </w:rPr>
        <w:t>开工验收、洗井、</w:t>
      </w:r>
      <w:r>
        <w:rPr>
          <w:rFonts w:hint="default" w:eastAsia="宋体"/>
          <w:color w:val="auto"/>
          <w:sz w:val="28"/>
        </w:rPr>
        <w:t>装防喷器</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eastAsia="宋体"/>
          <w:color w:val="auto"/>
          <w:sz w:val="28"/>
          <w:lang w:val="en-US" w:eastAsia="zh-CN"/>
        </w:rPr>
      </w:pPr>
      <w:r>
        <w:rPr>
          <w:rFonts w:hint="eastAsia" w:eastAsia="宋体"/>
          <w:color w:val="auto"/>
          <w:sz w:val="28"/>
          <w:lang w:val="en-US" w:eastAsia="zh-CN"/>
        </w:rPr>
        <w:t>按照开工要求工程技术部组织大修1队相关人员进行自查自改，后报监督站验收，合格后按照设计要求进行洗压井，观察无异常</w:t>
      </w:r>
      <w:r>
        <w:rPr>
          <w:rFonts w:hint="eastAsia"/>
          <w:color w:val="auto"/>
          <w:sz w:val="28"/>
          <w:lang w:val="en-US" w:eastAsia="zh-CN"/>
        </w:rPr>
        <w:t>后</w:t>
      </w:r>
      <w:r>
        <w:rPr>
          <w:rFonts w:hint="eastAsia" w:eastAsia="宋体"/>
          <w:color w:val="auto"/>
          <w:sz w:val="28"/>
          <w:lang w:val="en-US" w:eastAsia="zh-CN"/>
        </w:rPr>
        <w:t>，</w:t>
      </w:r>
      <w:r>
        <w:rPr>
          <w:rFonts w:hint="default" w:eastAsia="宋体"/>
          <w:color w:val="auto"/>
          <w:sz w:val="28"/>
        </w:rPr>
        <w:t>井口</w:t>
      </w:r>
      <w:r>
        <w:rPr>
          <w:rFonts w:hint="eastAsia"/>
          <w:color w:val="auto"/>
          <w:sz w:val="28"/>
          <w:lang w:eastAsia="zh-CN"/>
        </w:rPr>
        <w:t>工</w:t>
      </w:r>
      <w:r>
        <w:rPr>
          <w:rFonts w:hint="default" w:eastAsia="宋体"/>
          <w:color w:val="auto"/>
          <w:sz w:val="28"/>
        </w:rPr>
        <w:t>装液压防喷器，</w:t>
      </w:r>
      <w:r>
        <w:rPr>
          <w:rFonts w:hint="eastAsia" w:eastAsia="宋体"/>
          <w:color w:val="auto"/>
          <w:sz w:val="28"/>
          <w:lang w:val="en-US" w:eastAsia="zh-CN"/>
        </w:rPr>
        <w:t>下入</w:t>
      </w:r>
      <w:r>
        <w:rPr>
          <w:rFonts w:hint="eastAsia"/>
          <w:color w:val="auto"/>
          <w:sz w:val="28"/>
          <w:highlight w:val="none"/>
        </w:rPr>
        <w:t>专用试压</w:t>
      </w:r>
      <w:r>
        <w:rPr>
          <w:rFonts w:hint="eastAsia"/>
          <w:color w:val="auto"/>
          <w:sz w:val="28"/>
          <w:highlight w:val="none"/>
          <w:lang w:val="en-US" w:eastAsia="zh-CN"/>
        </w:rPr>
        <w:t>管柱</w:t>
      </w:r>
      <w:r>
        <w:rPr>
          <w:rFonts w:hint="eastAsia"/>
          <w:color w:val="auto"/>
          <w:sz w:val="28"/>
          <w:highlight w:val="none"/>
        </w:rPr>
        <w:t>进行标准试压</w:t>
      </w:r>
      <w:r>
        <w:rPr>
          <w:rFonts w:hint="eastAsia" w:eastAsia="宋体"/>
          <w:color w:val="auto"/>
          <w:sz w:val="28"/>
          <w:lang w:val="en-US" w:eastAsia="zh-CN"/>
        </w:rPr>
        <w:t>，</w:t>
      </w:r>
      <w:r>
        <w:rPr>
          <w:rFonts w:hint="eastAsia"/>
          <w:color w:val="auto"/>
          <w:sz w:val="28"/>
          <w:lang w:val="en-US" w:eastAsia="zh-CN"/>
        </w:rPr>
        <w:t>防喷器、旋塞阀试压压力35Mpa，稳压时间10min；</w:t>
      </w:r>
      <w:r>
        <w:rPr>
          <w:rFonts w:hint="eastAsia" w:eastAsia="宋体"/>
          <w:color w:val="auto"/>
          <w:sz w:val="28"/>
          <w:lang w:val="en-US" w:eastAsia="zh-CN"/>
        </w:rPr>
        <w:t>并把试压视频发到甲方指定的微信群里，接受甲方监督。</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（3）提原井管</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val="en-US" w:eastAsia="zh-CN"/>
        </w:rPr>
        <w:t>司钻</w:t>
      </w:r>
      <w:r>
        <w:rPr>
          <w:rFonts w:hint="default" w:eastAsia="宋体"/>
          <w:color w:val="auto"/>
          <w:sz w:val="28"/>
        </w:rPr>
        <w:t>负责设备操作，井口</w:t>
      </w:r>
      <w:r>
        <w:rPr>
          <w:rFonts w:hint="eastAsia"/>
          <w:color w:val="auto"/>
          <w:sz w:val="28"/>
          <w:lang w:eastAsia="zh-CN"/>
        </w:rPr>
        <w:t>工</w:t>
      </w:r>
      <w:r>
        <w:rPr>
          <w:rFonts w:hint="default" w:eastAsia="宋体"/>
          <w:color w:val="auto"/>
          <w:sz w:val="28"/>
        </w:rPr>
        <w:t>两人负责摘挂吊卡，摘（挂）吊卡到位并确保吊卡月牙朝上后，井口</w:t>
      </w:r>
      <w:r>
        <w:rPr>
          <w:rFonts w:hint="eastAsia"/>
          <w:color w:val="auto"/>
          <w:sz w:val="28"/>
          <w:lang w:eastAsia="zh-CN"/>
        </w:rPr>
        <w:t>工</w:t>
      </w:r>
      <w:r>
        <w:rPr>
          <w:rFonts w:hint="default" w:eastAsia="宋体"/>
          <w:color w:val="auto"/>
          <w:sz w:val="28"/>
        </w:rPr>
        <w:t>负责示意</w:t>
      </w:r>
      <w:r>
        <w:rPr>
          <w:rFonts w:hint="eastAsia"/>
          <w:color w:val="auto"/>
          <w:sz w:val="28"/>
          <w:lang w:eastAsia="zh-CN"/>
        </w:rPr>
        <w:t>司钻</w:t>
      </w:r>
      <w:r>
        <w:rPr>
          <w:rFonts w:hint="default" w:eastAsia="宋体"/>
          <w:color w:val="auto"/>
          <w:sz w:val="28"/>
        </w:rPr>
        <w:t>起（下）钻具，井口</w:t>
      </w:r>
      <w:r>
        <w:rPr>
          <w:rFonts w:hint="eastAsia"/>
          <w:color w:val="auto"/>
          <w:sz w:val="28"/>
          <w:lang w:eastAsia="zh-CN"/>
        </w:rPr>
        <w:t>工</w:t>
      </w:r>
      <w:r>
        <w:rPr>
          <w:rFonts w:hint="default" w:eastAsia="宋体"/>
          <w:color w:val="auto"/>
          <w:sz w:val="28"/>
        </w:rPr>
        <w:t>两人负责合力拉送液压钳，由井口</w:t>
      </w:r>
      <w:r>
        <w:rPr>
          <w:rFonts w:hint="eastAsia"/>
          <w:color w:val="auto"/>
          <w:sz w:val="28"/>
          <w:lang w:eastAsia="zh-CN"/>
        </w:rPr>
        <w:t>工</w:t>
      </w:r>
      <w:r>
        <w:rPr>
          <w:rFonts w:hint="default" w:eastAsia="宋体"/>
          <w:color w:val="auto"/>
          <w:sz w:val="28"/>
        </w:rPr>
        <w:t>负责操作液压钳上（卸）油管，完成后示意</w:t>
      </w:r>
      <w:r>
        <w:rPr>
          <w:rFonts w:hint="eastAsia"/>
          <w:color w:val="auto"/>
          <w:sz w:val="28"/>
          <w:lang w:eastAsia="zh-CN"/>
        </w:rPr>
        <w:t>司钻</w:t>
      </w:r>
      <w:r>
        <w:rPr>
          <w:rFonts w:hint="default" w:eastAsia="宋体"/>
          <w:color w:val="auto"/>
          <w:sz w:val="28"/>
        </w:rPr>
        <w:t>起（下）钻具，</w:t>
      </w:r>
      <w:r>
        <w:rPr>
          <w:rFonts w:hint="eastAsia" w:eastAsia="宋体"/>
          <w:color w:val="auto"/>
          <w:sz w:val="28"/>
          <w:lang w:val="en-US" w:eastAsia="zh-CN"/>
        </w:rPr>
        <w:t>井架工负责立柱摆放，</w:t>
      </w:r>
      <w:r>
        <w:rPr>
          <w:rFonts w:hint="default" w:eastAsia="宋体"/>
          <w:color w:val="auto"/>
          <w:sz w:val="28"/>
        </w:rPr>
        <w:t>完成施工。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（4）复杂打捞</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队长结合相关负责人根据井内落物状态，</w:t>
      </w:r>
      <w:r>
        <w:rPr>
          <w:rFonts w:hint="eastAsia" w:eastAsia="宋体"/>
          <w:color w:val="auto"/>
          <w:sz w:val="28"/>
        </w:rPr>
        <w:t>绘制工具草图</w:t>
      </w:r>
      <w:r>
        <w:rPr>
          <w:rFonts w:hint="default" w:eastAsia="宋体"/>
          <w:color w:val="auto"/>
          <w:sz w:val="28"/>
        </w:rPr>
        <w:t>，选择合适打捞工具，</w:t>
      </w:r>
      <w:r>
        <w:rPr>
          <w:rFonts w:hint="eastAsia" w:eastAsia="宋体"/>
          <w:color w:val="auto"/>
          <w:sz w:val="28"/>
          <w:lang w:val="en-US" w:eastAsia="zh-CN"/>
        </w:rPr>
        <w:t>工具及钻杆丈量计算合格后，</w:t>
      </w:r>
      <w:r>
        <w:rPr>
          <w:rFonts w:hint="default" w:eastAsia="宋体"/>
          <w:color w:val="auto"/>
          <w:sz w:val="28"/>
        </w:rPr>
        <w:t>井口</w:t>
      </w:r>
      <w:r>
        <w:rPr>
          <w:rFonts w:hint="eastAsia" w:eastAsia="宋体"/>
          <w:color w:val="auto"/>
          <w:sz w:val="28"/>
          <w:lang w:eastAsia="zh-CN"/>
        </w:rPr>
        <w:t>工</w:t>
      </w:r>
      <w:r>
        <w:rPr>
          <w:rFonts w:hint="default" w:eastAsia="宋体"/>
          <w:color w:val="auto"/>
          <w:sz w:val="28"/>
        </w:rPr>
        <w:t>连接打捞工具下入，</w:t>
      </w:r>
      <w:r>
        <w:rPr>
          <w:rFonts w:hint="eastAsia" w:eastAsia="宋体"/>
          <w:color w:val="auto"/>
          <w:sz w:val="28"/>
          <w:lang w:val="en-US" w:eastAsia="zh-CN"/>
        </w:rPr>
        <w:t>司钻</w:t>
      </w:r>
      <w:r>
        <w:rPr>
          <w:rFonts w:hint="default" w:eastAsia="宋体"/>
          <w:color w:val="auto"/>
          <w:sz w:val="28"/>
        </w:rPr>
        <w:t>控制下放速度，打捞管柱下至预测落物顶部以上时，减缓管柱下放速度，缓慢下放管柱，观察指重表的变化，当悬重有下降显示时，应立即停止下放管柱，</w:t>
      </w:r>
      <w:r>
        <w:rPr>
          <w:rFonts w:hint="eastAsia" w:eastAsia="宋体"/>
          <w:color w:val="auto"/>
          <w:sz w:val="28"/>
          <w:lang w:val="en-US" w:eastAsia="zh-CN"/>
        </w:rPr>
        <w:t>捞获后</w:t>
      </w:r>
      <w:r>
        <w:rPr>
          <w:rFonts w:hint="eastAsia" w:eastAsia="宋体"/>
          <w:color w:val="auto"/>
          <w:sz w:val="28"/>
        </w:rPr>
        <w:t>起打捞管柱。</w:t>
      </w:r>
      <w:r>
        <w:rPr>
          <w:rFonts w:hint="default" w:eastAsia="宋体"/>
          <w:color w:val="auto"/>
          <w:sz w:val="28"/>
        </w:rPr>
        <w:t>若一次未捞完，应重复打捞</w:t>
      </w:r>
      <w:r>
        <w:rPr>
          <w:rFonts w:hint="eastAsia" w:eastAsia="宋体"/>
          <w:color w:val="auto"/>
          <w:sz w:val="28"/>
        </w:rPr>
        <w:t>、倒扣、解卡、套铣等</w:t>
      </w:r>
      <w:r>
        <w:rPr>
          <w:rFonts w:hint="default" w:eastAsia="宋体"/>
          <w:color w:val="auto"/>
          <w:sz w:val="28"/>
        </w:rPr>
        <w:t>直至捞出全部落物为止。</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（5）解卡、倒扣</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val="en-US" w:eastAsia="zh-CN"/>
        </w:rPr>
        <w:t>司钻</w:t>
      </w:r>
      <w:r>
        <w:rPr>
          <w:rFonts w:hint="default" w:eastAsia="宋体"/>
          <w:color w:val="auto"/>
          <w:sz w:val="28"/>
        </w:rPr>
        <w:t>检查机车离合器、刹车等，确保提升设备完好，井口</w:t>
      </w:r>
      <w:r>
        <w:rPr>
          <w:rFonts w:hint="eastAsia" w:eastAsia="宋体"/>
          <w:color w:val="auto"/>
          <w:sz w:val="28"/>
          <w:lang w:val="en-US" w:eastAsia="zh-CN"/>
        </w:rPr>
        <w:t>井架工</w:t>
      </w:r>
      <w:r>
        <w:rPr>
          <w:rFonts w:hint="default" w:eastAsia="宋体"/>
          <w:color w:val="auto"/>
          <w:sz w:val="28"/>
        </w:rPr>
        <w:t>岗检查天车、游动滑车、拉力表、提升大绳、死绳头、活绳头、井架</w:t>
      </w:r>
      <w:r>
        <w:rPr>
          <w:rFonts w:hint="eastAsia" w:eastAsia="宋体"/>
          <w:color w:val="auto"/>
          <w:sz w:val="28"/>
          <w:lang w:val="en-US" w:eastAsia="zh-CN"/>
        </w:rPr>
        <w:t>等，场地工检查</w:t>
      </w:r>
      <w:r>
        <w:rPr>
          <w:rFonts w:hint="default" w:eastAsia="宋体"/>
          <w:color w:val="auto"/>
          <w:sz w:val="28"/>
        </w:rPr>
        <w:t>绷绳、地锚等部位确保完好。上提管柱至原井管柱悬重，用液压钳正转管柱紧扣10～15圈，慢提管柱</w:t>
      </w:r>
      <w:r>
        <w:rPr>
          <w:rFonts w:hint="eastAsia" w:eastAsia="宋体"/>
          <w:color w:val="auto"/>
          <w:sz w:val="28"/>
          <w:lang w:eastAsia="zh-CN"/>
        </w:rPr>
        <w:t>，</w:t>
      </w:r>
      <w:r>
        <w:rPr>
          <w:rFonts w:hint="eastAsia" w:eastAsia="宋体"/>
          <w:color w:val="auto"/>
          <w:sz w:val="28"/>
          <w:lang w:val="en-US" w:eastAsia="zh-CN"/>
        </w:rPr>
        <w:t>也要根据工具选择进行打捞操作</w:t>
      </w:r>
      <w:r>
        <w:rPr>
          <w:rFonts w:hint="default" w:eastAsia="宋体"/>
          <w:color w:val="auto"/>
          <w:sz w:val="28"/>
        </w:rPr>
        <w:t>，</w:t>
      </w:r>
      <w:r>
        <w:rPr>
          <w:rFonts w:hint="eastAsia" w:eastAsia="宋体"/>
          <w:color w:val="auto"/>
          <w:sz w:val="28"/>
          <w:lang w:val="en-US" w:eastAsia="zh-CN"/>
        </w:rPr>
        <w:t>根据井内管柱负荷、打捞工具所能承受负荷、井内液体密度等综合考虑，计算出上提拉力，在负荷安全范围内上下活动解卡，</w:t>
      </w:r>
      <w:r>
        <w:rPr>
          <w:rFonts w:hint="default" w:eastAsia="宋体"/>
          <w:color w:val="auto"/>
          <w:sz w:val="28"/>
        </w:rPr>
        <w:t>当负荷增加到一定值时，迅速下放管柱卸载。重复上述操作，直至解卡成功，起出井内管柱，若解卡不成功，可进行倒扣起出管柱。</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（6）冲、磨、钻、铣、套施工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eastAsia="宋体"/>
          <w:color w:val="auto"/>
          <w:sz w:val="28"/>
          <w:lang w:val="en-US" w:eastAsia="zh-CN"/>
        </w:rPr>
      </w:pPr>
      <w:r>
        <w:rPr>
          <w:rFonts w:hint="eastAsia" w:eastAsia="宋体"/>
          <w:color w:val="auto"/>
          <w:sz w:val="28"/>
          <w:lang w:val="en-US" w:eastAsia="zh-CN"/>
        </w:rPr>
        <w:t>根据井况需要选择进行冲、磨、钻、铣、套施工。选择的下井工具规格尺寸统一、强度可靠、螺纹完好、各部件灵活好用。司钻负责操作设备，井口工、场地工负责连接水龙头和水龙带，打好吊卡并挂好水龙带保险绳，挂好吊环，司钻上提单根，连接钻具，进行起下钻作业，完成施工。观察泵压、排量、出口情况，司钻负责钻压及悬重变化，处理现场意外情况。</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（7）打铅印</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井口</w:t>
      </w:r>
      <w:r>
        <w:rPr>
          <w:rFonts w:hint="eastAsia"/>
          <w:color w:val="auto"/>
          <w:sz w:val="28"/>
          <w:lang w:eastAsia="zh-CN"/>
        </w:rPr>
        <w:t>工</w:t>
      </w:r>
      <w:r>
        <w:rPr>
          <w:rFonts w:hint="default" w:eastAsia="宋体"/>
          <w:color w:val="auto"/>
          <w:sz w:val="28"/>
        </w:rPr>
        <w:t>将铅模连接在下井第一根油管的底部扶正管柱，缓慢下放，</w:t>
      </w:r>
      <w:r>
        <w:rPr>
          <w:rFonts w:hint="eastAsia" w:eastAsia="宋体"/>
          <w:color w:val="auto"/>
          <w:sz w:val="28"/>
          <w:lang w:val="en-US" w:eastAsia="zh-CN"/>
        </w:rPr>
        <w:t>井架工负责钻杆的挂、摘。</w:t>
      </w:r>
      <w:r>
        <w:rPr>
          <w:rFonts w:hint="default" w:eastAsia="宋体"/>
          <w:color w:val="auto"/>
          <w:sz w:val="28"/>
        </w:rPr>
        <w:t>铅模下至鱼顶1～1.5m左右时停止下放，连接泵车正循环大排量冲洗鱼顶</w:t>
      </w:r>
      <w:r>
        <w:rPr>
          <w:rFonts w:hint="eastAsia" w:eastAsia="宋体"/>
          <w:color w:val="auto"/>
          <w:sz w:val="28"/>
          <w:lang w:val="en-US" w:eastAsia="zh-CN"/>
        </w:rPr>
        <w:t>干净后</w:t>
      </w:r>
      <w:r>
        <w:rPr>
          <w:rFonts w:hint="default" w:eastAsia="宋体"/>
          <w:color w:val="auto"/>
          <w:sz w:val="28"/>
        </w:rPr>
        <w:t>，循环正常后缓慢下放管柱，当铅模下至距鱼顶0.5～1m时，停泵。缓慢下放铅模打印，一般加压20～30kN，不应重复打印，起出井内油管。</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（8）通井</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color w:val="auto"/>
          <w:sz w:val="28"/>
          <w:highlight w:val="none"/>
        </w:rPr>
        <w:t>把通井规连接油管下部，下放</w:t>
      </w:r>
      <w:r>
        <w:rPr>
          <w:rFonts w:hint="eastAsia"/>
          <w:color w:val="auto"/>
          <w:sz w:val="28"/>
          <w:highlight w:val="none"/>
        </w:rPr>
        <w:t>钻杆</w:t>
      </w:r>
      <w:r>
        <w:rPr>
          <w:color w:val="auto"/>
          <w:sz w:val="28"/>
          <w:highlight w:val="none"/>
        </w:rPr>
        <w:t>油管，直到通至设计要求深度。</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（9）验套</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color w:val="auto"/>
          <w:sz w:val="28"/>
          <w:highlight w:val="none"/>
        </w:rPr>
        <w:t>下入验套管柱至设计位置，地面管线试压合格，按设计要求验套，稳压时间30min，无返出量或套压无变化为合格，起出管柱。</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（10）下完井管柱</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color w:val="auto"/>
          <w:sz w:val="28"/>
          <w:highlight w:val="none"/>
        </w:rPr>
      </w:pPr>
      <w:r>
        <w:rPr>
          <w:color w:val="auto"/>
          <w:sz w:val="28"/>
          <w:highlight w:val="none"/>
        </w:rPr>
        <w:t>按设计要求下入完井管柱，直到下到设计要求深度。</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（11）交井</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eastAsia="宋体"/>
          <w:color w:val="auto"/>
          <w:sz w:val="28"/>
          <w:lang w:val="en-US" w:eastAsia="zh-CN"/>
        </w:rPr>
      </w:pPr>
      <w:r>
        <w:rPr>
          <w:rFonts w:hint="default" w:eastAsia="宋体"/>
          <w:color w:val="auto"/>
          <w:sz w:val="28"/>
        </w:rPr>
        <w:t>作业井完井后，作业队</w:t>
      </w:r>
      <w:r>
        <w:rPr>
          <w:rFonts w:hint="eastAsia" w:eastAsia="宋体"/>
          <w:color w:val="auto"/>
          <w:sz w:val="28"/>
          <w:lang w:val="en-US" w:eastAsia="zh-CN"/>
        </w:rPr>
        <w:t>做搬家准备，</w:t>
      </w:r>
      <w:r>
        <w:rPr>
          <w:rFonts w:hint="default" w:eastAsia="宋体"/>
          <w:color w:val="auto"/>
          <w:sz w:val="28"/>
        </w:rPr>
        <w:t>清理作业现场，人员、设备撤离井场</w:t>
      </w:r>
      <w:r>
        <w:rPr>
          <w:rFonts w:hint="eastAsia" w:eastAsia="宋体"/>
          <w:color w:val="auto"/>
          <w:sz w:val="28"/>
          <w:lang w:eastAsia="zh-CN"/>
        </w:rPr>
        <w:t>，</w:t>
      </w:r>
      <w:r>
        <w:rPr>
          <w:rFonts w:hint="default" w:eastAsia="宋体"/>
          <w:color w:val="auto"/>
          <w:sz w:val="28"/>
        </w:rPr>
        <w:t>队长与管理区交井，完成交接，人员、设备撤离井场。</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2"/>
        <w:textAlignment w:val="auto"/>
        <w:rPr>
          <w:b/>
          <w:color w:val="0070C0"/>
          <w:sz w:val="28"/>
          <w:szCs w:val="28"/>
        </w:rPr>
      </w:pPr>
      <w:r>
        <w:rPr>
          <w:rFonts w:hint="eastAsia"/>
          <w:b/>
          <w:color w:val="auto"/>
          <w:sz w:val="28"/>
          <w:szCs w:val="28"/>
          <w:lang w:val="en-US" w:eastAsia="zh-CN"/>
        </w:rPr>
        <w:t>2</w:t>
      </w:r>
      <w:r>
        <w:rPr>
          <w:b/>
          <w:color w:val="auto"/>
          <w:sz w:val="28"/>
          <w:szCs w:val="28"/>
        </w:rPr>
        <w:t>.</w:t>
      </w:r>
      <w:r>
        <w:rPr>
          <w:rFonts w:hint="eastAsia"/>
          <w:b/>
          <w:color w:val="auto"/>
          <w:sz w:val="28"/>
          <w:szCs w:val="28"/>
          <w:lang w:eastAsia="zh-CN"/>
        </w:rPr>
        <w:t>井下复杂情况处理（堵漏）</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default" w:eastAsia="宋体"/>
          <w:color w:val="auto"/>
          <w:sz w:val="28"/>
        </w:rPr>
        <w:t>1）</w:t>
      </w:r>
      <w:r>
        <w:rPr>
          <w:rFonts w:hint="eastAsia" w:eastAsia="宋体"/>
          <w:color w:val="auto"/>
          <w:sz w:val="28"/>
        </w:rPr>
        <w:t>准备工作</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eastAsia="zh-CN"/>
        </w:rPr>
        <w:t>（</w:t>
      </w:r>
      <w:r>
        <w:rPr>
          <w:rFonts w:hint="default" w:eastAsia="宋体"/>
          <w:color w:val="auto"/>
          <w:sz w:val="28"/>
        </w:rPr>
        <w:t>1</w:t>
      </w:r>
      <w:r>
        <w:rPr>
          <w:rFonts w:hint="eastAsia" w:eastAsia="宋体"/>
          <w:color w:val="auto"/>
          <w:sz w:val="28"/>
          <w:lang w:eastAsia="zh-CN"/>
        </w:rPr>
        <w:t>）</w:t>
      </w:r>
      <w:r>
        <w:rPr>
          <w:rFonts w:hint="eastAsia" w:eastAsia="宋体"/>
          <w:color w:val="auto"/>
          <w:sz w:val="28"/>
        </w:rPr>
        <w:t>劳动保护：正确穿戴劳保用品</w:t>
      </w:r>
      <w:r>
        <w:rPr>
          <w:rFonts w:hint="eastAsia" w:eastAsia="宋体"/>
          <w:color w:val="auto"/>
          <w:sz w:val="28"/>
          <w:lang w:eastAsia="zh-CN"/>
        </w:rPr>
        <w:t>，</w:t>
      </w:r>
      <w:r>
        <w:rPr>
          <w:rFonts w:hint="eastAsia" w:eastAsia="宋体"/>
          <w:color w:val="auto"/>
          <w:sz w:val="28"/>
          <w:lang w:val="en-US" w:eastAsia="zh-CN"/>
        </w:rPr>
        <w:t>现场备足防尘口罩、护目镜、冲洗清水等</w:t>
      </w:r>
      <w:r>
        <w:rPr>
          <w:rFonts w:hint="eastAsia" w:eastAsia="宋体"/>
          <w:color w:val="auto"/>
          <w:sz w:val="28"/>
        </w:rPr>
        <w:t>。</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eastAsia="宋体"/>
          <w:color w:val="auto"/>
          <w:sz w:val="28"/>
        </w:rPr>
      </w:pPr>
      <w:r>
        <w:rPr>
          <w:rFonts w:hint="eastAsia" w:eastAsia="宋体"/>
          <w:color w:val="auto"/>
          <w:sz w:val="28"/>
          <w:lang w:eastAsia="zh-CN"/>
        </w:rPr>
        <w:t>（</w:t>
      </w:r>
      <w:r>
        <w:rPr>
          <w:rFonts w:hint="default" w:eastAsia="宋体"/>
          <w:color w:val="auto"/>
          <w:sz w:val="28"/>
        </w:rPr>
        <w:t>2</w:t>
      </w:r>
      <w:r>
        <w:rPr>
          <w:rFonts w:hint="eastAsia" w:eastAsia="宋体"/>
          <w:color w:val="auto"/>
          <w:sz w:val="28"/>
          <w:lang w:eastAsia="zh-CN"/>
        </w:rPr>
        <w:t>）</w:t>
      </w:r>
      <w:r>
        <w:rPr>
          <w:rFonts w:hint="eastAsia" w:eastAsia="宋体"/>
          <w:color w:val="auto"/>
          <w:sz w:val="28"/>
        </w:rPr>
        <w:t>风险识别：做好安全隐患及风险识别并制定消减措施，明确操作人与监护人。</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eastAsia="宋体"/>
          <w:color w:val="auto"/>
          <w:sz w:val="28"/>
          <w:lang w:val="en-US" w:eastAsia="zh-CN"/>
        </w:rPr>
      </w:pPr>
      <w:r>
        <w:rPr>
          <w:rFonts w:hint="eastAsia" w:eastAsia="宋体"/>
          <w:color w:val="auto"/>
          <w:sz w:val="28"/>
          <w:lang w:val="en-US" w:eastAsia="zh-CN"/>
        </w:rPr>
        <w:t>（3）设备、工具准备</w:t>
      </w:r>
      <w:r>
        <w:rPr>
          <w:rFonts w:hint="eastAsia"/>
          <w:color w:val="auto"/>
          <w:sz w:val="28"/>
          <w:lang w:val="en-US" w:eastAsia="zh-CN"/>
        </w:rPr>
        <w:t>：</w:t>
      </w:r>
      <w:r>
        <w:rPr>
          <w:rFonts w:hint="eastAsia" w:eastAsia="宋体"/>
          <w:color w:val="auto"/>
          <w:sz w:val="28"/>
          <w:lang w:val="en-US" w:eastAsia="zh-CN"/>
        </w:rPr>
        <w:t>700型</w:t>
      </w:r>
      <w:r>
        <w:rPr>
          <w:rFonts w:hint="eastAsia"/>
          <w:color w:val="auto"/>
          <w:sz w:val="28"/>
          <w:lang w:val="en-US" w:eastAsia="zh-CN"/>
        </w:rPr>
        <w:t>泵车</w:t>
      </w:r>
      <w:r>
        <w:rPr>
          <w:rFonts w:hint="eastAsia" w:eastAsia="宋体"/>
          <w:color w:val="auto"/>
          <w:sz w:val="28"/>
          <w:lang w:val="en-US" w:eastAsia="zh-CN"/>
        </w:rPr>
        <w:t>1台；</w:t>
      </w:r>
      <w:r>
        <w:rPr>
          <w:rFonts w:hint="eastAsia" w:eastAsia="宋体"/>
          <w:color w:val="auto"/>
          <w:sz w:val="28"/>
        </w:rPr>
        <w:t>活动扳手、管钳、榔头、密度计、钢板尺、封隔器、干水泥、</w:t>
      </w:r>
      <w:r>
        <w:rPr>
          <w:rFonts w:hint="eastAsia"/>
          <w:color w:val="auto"/>
          <w:sz w:val="28"/>
          <w:lang w:eastAsia="zh-CN"/>
        </w:rPr>
        <w:t>堵漏</w:t>
      </w:r>
      <w:r>
        <w:rPr>
          <w:rFonts w:hint="eastAsia" w:eastAsia="宋体"/>
          <w:color w:val="auto"/>
          <w:sz w:val="28"/>
        </w:rPr>
        <w:t>剂、搅拌池等。</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val="en-US" w:eastAsia="zh-CN"/>
        </w:rPr>
        <w:t>2</w:t>
      </w:r>
      <w:r>
        <w:rPr>
          <w:rFonts w:hint="eastAsia" w:ascii="宋体" w:hAnsi="宋体" w:eastAsia="宋体" w:cs="宋体"/>
          <w:color w:val="auto"/>
          <w:sz w:val="28"/>
          <w:lang w:val="en-US" w:eastAsia="zh-CN"/>
        </w:rPr>
        <w:t>）</w:t>
      </w:r>
      <w:r>
        <w:rPr>
          <w:rFonts w:hint="eastAsia" w:eastAsia="宋体"/>
          <w:color w:val="auto"/>
          <w:sz w:val="28"/>
        </w:rPr>
        <w:t>操作前检查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eastAsia="zh-CN"/>
        </w:rPr>
        <w:t>（</w:t>
      </w:r>
      <w:r>
        <w:rPr>
          <w:rFonts w:hint="eastAsia" w:eastAsia="宋体"/>
          <w:color w:val="auto"/>
          <w:sz w:val="28"/>
          <w:lang w:val="en-US" w:eastAsia="zh-CN"/>
        </w:rPr>
        <w:t>1）</w:t>
      </w:r>
      <w:r>
        <w:rPr>
          <w:rFonts w:hint="eastAsia" w:eastAsia="宋体"/>
          <w:color w:val="auto"/>
          <w:sz w:val="28"/>
        </w:rPr>
        <w:t>检查下井工具及管材型号、性能应符合设计要求。</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eastAsia="zh-CN"/>
        </w:rPr>
        <w:t>（</w:t>
      </w:r>
      <w:r>
        <w:rPr>
          <w:rFonts w:hint="eastAsia" w:eastAsia="宋体"/>
          <w:color w:val="auto"/>
          <w:sz w:val="28"/>
          <w:lang w:val="en-US" w:eastAsia="zh-CN"/>
        </w:rPr>
        <w:t>2）</w:t>
      </w:r>
      <w:r>
        <w:rPr>
          <w:rFonts w:hint="eastAsia" w:eastAsia="宋体"/>
          <w:color w:val="auto"/>
          <w:sz w:val="28"/>
        </w:rPr>
        <w:t>检查</w:t>
      </w:r>
      <w:r>
        <w:rPr>
          <w:rFonts w:hint="eastAsia" w:eastAsia="宋体"/>
          <w:color w:val="auto"/>
          <w:sz w:val="28"/>
          <w:lang w:val="en-US" w:eastAsia="zh-CN"/>
        </w:rPr>
        <w:t>堵漏剂型号</w:t>
      </w:r>
      <w:r>
        <w:rPr>
          <w:rFonts w:hint="eastAsia" w:eastAsia="宋体"/>
          <w:color w:val="auto"/>
          <w:sz w:val="28"/>
        </w:rPr>
        <w:t>、用量。</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val="en-US" w:eastAsia="zh-CN"/>
        </w:rPr>
        <w:t>3）</w:t>
      </w:r>
      <w:r>
        <w:rPr>
          <w:rFonts w:hint="eastAsia" w:eastAsia="宋体"/>
          <w:color w:val="auto"/>
          <w:sz w:val="28"/>
        </w:rPr>
        <w:t>封堵施工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eastAsia="zh-CN"/>
        </w:rPr>
        <w:t>（</w:t>
      </w:r>
      <w:r>
        <w:rPr>
          <w:rFonts w:hint="eastAsia" w:eastAsia="宋体"/>
          <w:color w:val="auto"/>
          <w:sz w:val="28"/>
          <w:lang w:val="en-US" w:eastAsia="zh-CN"/>
        </w:rPr>
        <w:t>1）</w:t>
      </w:r>
      <w:r>
        <w:rPr>
          <w:rFonts w:hint="eastAsia" w:eastAsia="宋体"/>
          <w:color w:val="auto"/>
          <w:sz w:val="28"/>
        </w:rPr>
        <w:t>连接施工管线，管线试压至设计最高施工压力的</w:t>
      </w:r>
      <w:r>
        <w:rPr>
          <w:rFonts w:hint="default" w:eastAsia="宋体"/>
          <w:color w:val="auto"/>
          <w:sz w:val="28"/>
        </w:rPr>
        <w:t>1.5</w:t>
      </w:r>
      <w:r>
        <w:rPr>
          <w:rFonts w:hint="eastAsia" w:eastAsia="宋体"/>
          <w:color w:val="auto"/>
          <w:sz w:val="28"/>
        </w:rPr>
        <w:t>倍</w:t>
      </w:r>
      <w:r>
        <w:rPr>
          <w:rFonts w:hint="eastAsia" w:eastAsia="宋体"/>
          <w:color w:val="auto"/>
          <w:sz w:val="28"/>
          <w:lang w:eastAsia="zh-CN"/>
        </w:rPr>
        <w:t>，</w:t>
      </w:r>
      <w:r>
        <w:rPr>
          <w:rFonts w:hint="eastAsia" w:eastAsia="宋体"/>
          <w:color w:val="auto"/>
          <w:sz w:val="28"/>
        </w:rPr>
        <w:t>不刺不漏为合格。</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eastAsia="zh-CN"/>
        </w:rPr>
        <w:t>（</w:t>
      </w:r>
      <w:r>
        <w:rPr>
          <w:rFonts w:hint="eastAsia" w:eastAsia="宋体"/>
          <w:color w:val="auto"/>
          <w:sz w:val="28"/>
          <w:lang w:val="en-US" w:eastAsia="zh-CN"/>
        </w:rPr>
        <w:t>2）</w:t>
      </w:r>
      <w:r>
        <w:rPr>
          <w:rFonts w:hint="eastAsia" w:eastAsia="宋体"/>
          <w:color w:val="auto"/>
          <w:sz w:val="28"/>
        </w:rPr>
        <w:t>洗井：按设计要求完成</w:t>
      </w:r>
      <w:r>
        <w:rPr>
          <w:rFonts w:hint="eastAsia" w:eastAsia="宋体"/>
          <w:color w:val="auto"/>
          <w:sz w:val="28"/>
          <w:lang w:val="en-US" w:eastAsia="zh-CN"/>
        </w:rPr>
        <w:t>封堵前的</w:t>
      </w:r>
      <w:r>
        <w:rPr>
          <w:rFonts w:hint="eastAsia" w:eastAsia="宋体"/>
          <w:color w:val="auto"/>
          <w:sz w:val="28"/>
        </w:rPr>
        <w:t>洗井</w:t>
      </w:r>
      <w:r>
        <w:rPr>
          <w:rFonts w:hint="eastAsia" w:eastAsia="宋体"/>
          <w:color w:val="auto"/>
          <w:sz w:val="28"/>
          <w:lang w:val="en-US" w:eastAsia="zh-CN"/>
        </w:rPr>
        <w:t>降温、试挤、测吸水指数</w:t>
      </w:r>
      <w:r>
        <w:rPr>
          <w:rFonts w:hint="eastAsia" w:eastAsia="宋体"/>
          <w:color w:val="auto"/>
          <w:sz w:val="28"/>
        </w:rPr>
        <w:t>施工。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eastAsia="zh-CN"/>
        </w:rPr>
        <w:t>（</w:t>
      </w:r>
      <w:r>
        <w:rPr>
          <w:rFonts w:hint="eastAsia" w:eastAsia="宋体"/>
          <w:color w:val="auto"/>
          <w:sz w:val="28"/>
          <w:lang w:val="en-US" w:eastAsia="zh-CN"/>
        </w:rPr>
        <w:t>3）</w:t>
      </w:r>
      <w:r>
        <w:rPr>
          <w:rFonts w:hint="eastAsia" w:eastAsia="宋体"/>
          <w:color w:val="auto"/>
          <w:sz w:val="28"/>
        </w:rPr>
        <w:t>配灰浆：</w:t>
      </w:r>
      <w:r>
        <w:rPr>
          <w:rFonts w:hint="eastAsia" w:eastAsia="宋体"/>
          <w:color w:val="auto"/>
          <w:sz w:val="28"/>
          <w:lang w:val="en-US" w:eastAsia="zh-CN"/>
        </w:rPr>
        <w:t>高活性超微级封窜堵漏剂</w:t>
      </w:r>
      <w:r>
        <w:rPr>
          <w:rFonts w:hint="eastAsia" w:eastAsia="宋体"/>
          <w:color w:val="auto"/>
          <w:sz w:val="28"/>
        </w:rPr>
        <w:t>、淡水、配制灰浆密度、配置量应符合设计要求。</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eastAsia="宋体"/>
          <w:color w:val="auto"/>
          <w:sz w:val="28"/>
          <w:lang w:eastAsia="zh-CN"/>
        </w:rPr>
      </w:pPr>
      <w:r>
        <w:rPr>
          <w:rFonts w:hint="eastAsia" w:eastAsia="宋体"/>
          <w:color w:val="auto"/>
          <w:sz w:val="28"/>
          <w:lang w:eastAsia="zh-CN"/>
        </w:rPr>
        <w:t>（</w:t>
      </w:r>
      <w:r>
        <w:rPr>
          <w:rFonts w:hint="eastAsia" w:eastAsia="宋体"/>
          <w:color w:val="auto"/>
          <w:sz w:val="28"/>
          <w:lang w:val="en-US" w:eastAsia="zh-CN"/>
        </w:rPr>
        <w:t>4）</w:t>
      </w:r>
      <w:r>
        <w:rPr>
          <w:rFonts w:hint="eastAsia" w:eastAsia="宋体"/>
          <w:color w:val="auto"/>
          <w:sz w:val="28"/>
        </w:rPr>
        <w:t>挤</w:t>
      </w:r>
      <w:r>
        <w:rPr>
          <w:rFonts w:hint="eastAsia" w:eastAsia="宋体"/>
          <w:color w:val="auto"/>
          <w:sz w:val="28"/>
          <w:lang w:eastAsia="zh-CN"/>
        </w:rPr>
        <w:t>灰浆</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ascii="微软雅黑" w:hAnsi="微软雅黑" w:eastAsia="微软雅黑" w:cs="微软雅黑"/>
          <w:color w:val="auto"/>
          <w:sz w:val="28"/>
        </w:rPr>
        <w:t>①</w:t>
      </w:r>
      <w:r>
        <w:rPr>
          <w:rFonts w:hint="eastAsia" w:eastAsia="宋体"/>
          <w:color w:val="auto"/>
          <w:sz w:val="28"/>
        </w:rPr>
        <w:t>替隔离液：打开套管闸门，正替隔离液用量应符合设计要求。</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ascii="微软雅黑" w:hAnsi="微软雅黑" w:eastAsia="微软雅黑" w:cs="微软雅黑"/>
          <w:color w:val="auto"/>
          <w:sz w:val="28"/>
        </w:rPr>
        <w:t>②</w:t>
      </w:r>
      <w:r>
        <w:rPr>
          <w:rFonts w:hint="eastAsia" w:eastAsia="宋体"/>
          <w:color w:val="auto"/>
          <w:sz w:val="28"/>
        </w:rPr>
        <w:t>替</w:t>
      </w:r>
      <w:r>
        <w:rPr>
          <w:rFonts w:hint="eastAsia" w:eastAsia="宋体"/>
          <w:color w:val="auto"/>
          <w:sz w:val="28"/>
          <w:lang w:eastAsia="zh-CN"/>
        </w:rPr>
        <w:t>灰浆</w:t>
      </w:r>
      <w:r>
        <w:rPr>
          <w:rFonts w:hint="eastAsia" w:eastAsia="宋体"/>
          <w:color w:val="auto"/>
          <w:sz w:val="28"/>
        </w:rPr>
        <w:t>：正替</w:t>
      </w:r>
      <w:r>
        <w:rPr>
          <w:rFonts w:hint="default" w:eastAsia="宋体"/>
          <w:color w:val="auto"/>
          <w:sz w:val="28"/>
        </w:rPr>
        <w:t>80%</w:t>
      </w:r>
      <w:r>
        <w:rPr>
          <w:rFonts w:hint="eastAsia" w:eastAsia="宋体"/>
          <w:color w:val="auto"/>
          <w:sz w:val="28"/>
        </w:rPr>
        <w:t>油管容积的</w:t>
      </w:r>
      <w:r>
        <w:rPr>
          <w:rFonts w:hint="eastAsia" w:eastAsia="宋体"/>
          <w:color w:val="auto"/>
          <w:sz w:val="28"/>
          <w:lang w:eastAsia="zh-CN"/>
        </w:rPr>
        <w:t>灰浆</w:t>
      </w:r>
      <w:r>
        <w:rPr>
          <w:rFonts w:hint="eastAsia" w:eastAsia="宋体"/>
          <w:color w:val="auto"/>
          <w:sz w:val="28"/>
        </w:rPr>
        <w:t>。</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ascii="微软雅黑" w:hAnsi="微软雅黑" w:eastAsia="微软雅黑" w:cs="微软雅黑"/>
          <w:color w:val="auto"/>
          <w:sz w:val="28"/>
        </w:rPr>
        <w:t>③</w:t>
      </w:r>
      <w:r>
        <w:rPr>
          <w:rFonts w:hint="eastAsia" w:eastAsia="宋体"/>
          <w:color w:val="auto"/>
          <w:sz w:val="28"/>
        </w:rPr>
        <w:t>挤</w:t>
      </w:r>
      <w:r>
        <w:rPr>
          <w:rFonts w:hint="eastAsia" w:eastAsia="宋体"/>
          <w:color w:val="auto"/>
          <w:sz w:val="28"/>
          <w:lang w:eastAsia="zh-CN"/>
        </w:rPr>
        <w:t>灰浆</w:t>
      </w:r>
      <w:r>
        <w:rPr>
          <w:rFonts w:hint="eastAsia" w:eastAsia="宋体"/>
          <w:color w:val="auto"/>
          <w:sz w:val="28"/>
        </w:rPr>
        <w:t>：关闭套管闸门正挤入剩余的</w:t>
      </w:r>
      <w:r>
        <w:rPr>
          <w:rFonts w:hint="eastAsia" w:eastAsia="宋体"/>
          <w:color w:val="auto"/>
          <w:sz w:val="28"/>
          <w:lang w:eastAsia="zh-CN"/>
        </w:rPr>
        <w:t>灰浆</w:t>
      </w:r>
      <w:r>
        <w:rPr>
          <w:rFonts w:hint="eastAsia" w:eastAsia="宋体"/>
          <w:color w:val="auto"/>
          <w:sz w:val="28"/>
        </w:rPr>
        <w:t>。</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ascii="微软雅黑" w:hAnsi="微软雅黑" w:eastAsia="微软雅黑" w:cs="微软雅黑"/>
          <w:color w:val="auto"/>
          <w:sz w:val="28"/>
        </w:rPr>
        <w:t>④</w:t>
      </w:r>
      <w:r>
        <w:rPr>
          <w:rFonts w:hint="eastAsia" w:eastAsia="宋体"/>
          <w:color w:val="auto"/>
          <w:sz w:val="28"/>
        </w:rPr>
        <w:t>后隔离液：隔离液用量应符合设计要求。</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ascii="微软雅黑" w:hAnsi="微软雅黑" w:eastAsia="微软雅黑" w:cs="微软雅黑"/>
          <w:color w:val="auto"/>
          <w:sz w:val="28"/>
        </w:rPr>
        <w:t>⑤</w:t>
      </w:r>
      <w:r>
        <w:rPr>
          <w:rFonts w:hint="eastAsia" w:eastAsia="宋体"/>
          <w:color w:val="auto"/>
          <w:sz w:val="28"/>
        </w:rPr>
        <w:t>顶替：按设计要求正挤顶替液，顶替液量应包含后隔离液量，顶替至</w:t>
      </w:r>
      <w:r>
        <w:rPr>
          <w:rFonts w:hint="eastAsia" w:eastAsia="宋体"/>
          <w:color w:val="auto"/>
          <w:sz w:val="28"/>
          <w:lang w:eastAsia="zh-CN"/>
        </w:rPr>
        <w:t>灰浆</w:t>
      </w:r>
      <w:r>
        <w:rPr>
          <w:rFonts w:hint="eastAsia" w:eastAsia="宋体"/>
          <w:color w:val="auto"/>
          <w:sz w:val="28"/>
        </w:rPr>
        <w:t>至注灰管柱尾部。</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ascii="微软雅黑" w:hAnsi="微软雅黑" w:eastAsia="微软雅黑" w:cs="微软雅黑"/>
          <w:color w:val="auto"/>
          <w:sz w:val="28"/>
        </w:rPr>
        <w:t>⑥</w:t>
      </w:r>
      <w:r>
        <w:rPr>
          <w:rFonts w:hint="eastAsia" w:eastAsia="宋体"/>
          <w:color w:val="auto"/>
          <w:sz w:val="28"/>
        </w:rPr>
        <w:t>反洗井：上提管柱至封堵层以上</w:t>
      </w:r>
      <w:r>
        <w:rPr>
          <w:rFonts w:hint="default" w:eastAsia="宋体"/>
          <w:color w:val="auto"/>
          <w:sz w:val="28"/>
        </w:rPr>
        <w:t>50m</w:t>
      </w:r>
      <w:r>
        <w:rPr>
          <w:rFonts w:hint="eastAsia" w:eastAsia="宋体"/>
          <w:color w:val="auto"/>
          <w:sz w:val="28"/>
        </w:rPr>
        <w:t>反洗井，洗出封堵管柱内的</w:t>
      </w:r>
      <w:r>
        <w:rPr>
          <w:rFonts w:hint="eastAsia" w:eastAsia="宋体"/>
          <w:color w:val="auto"/>
          <w:sz w:val="28"/>
          <w:lang w:eastAsia="zh-CN"/>
        </w:rPr>
        <w:t>灰浆</w:t>
      </w:r>
      <w:r>
        <w:rPr>
          <w:rFonts w:hint="eastAsia" w:eastAsia="宋体"/>
          <w:color w:val="auto"/>
          <w:sz w:val="28"/>
        </w:rPr>
        <w:t>，洗至出口不含</w:t>
      </w:r>
      <w:r>
        <w:rPr>
          <w:rFonts w:hint="eastAsia" w:eastAsia="宋体"/>
          <w:color w:val="auto"/>
          <w:sz w:val="28"/>
          <w:lang w:eastAsia="zh-CN"/>
        </w:rPr>
        <w:t>灰浆</w:t>
      </w:r>
      <w:r>
        <w:rPr>
          <w:rFonts w:hint="eastAsia" w:eastAsia="宋体"/>
          <w:color w:val="auto"/>
          <w:sz w:val="28"/>
        </w:rPr>
        <w:t>停泵。</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ascii="微软雅黑" w:hAnsi="微软雅黑" w:eastAsia="微软雅黑" w:cs="微软雅黑"/>
          <w:color w:val="auto"/>
          <w:sz w:val="28"/>
        </w:rPr>
        <w:t>⑦</w:t>
      </w:r>
      <w:r>
        <w:rPr>
          <w:rFonts w:hint="eastAsia" w:eastAsia="宋体"/>
          <w:color w:val="auto"/>
          <w:sz w:val="28"/>
        </w:rPr>
        <w:t>关井候凝：关井候凝</w:t>
      </w:r>
      <w:r>
        <w:rPr>
          <w:rFonts w:hint="default" w:eastAsia="宋体"/>
          <w:color w:val="auto"/>
          <w:sz w:val="28"/>
        </w:rPr>
        <w:t>48h,</w:t>
      </w:r>
      <w:r>
        <w:rPr>
          <w:rFonts w:hint="eastAsia" w:eastAsia="宋体"/>
          <w:color w:val="auto"/>
          <w:sz w:val="28"/>
        </w:rPr>
        <w:t>候凝时井筒内应灌满压井液。</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ascii="微软雅黑" w:hAnsi="微软雅黑" w:eastAsia="微软雅黑" w:cs="微软雅黑"/>
          <w:color w:val="auto"/>
          <w:sz w:val="28"/>
        </w:rPr>
        <w:t>⑧</w:t>
      </w:r>
      <w:r>
        <w:rPr>
          <w:rFonts w:hint="eastAsia" w:eastAsia="宋体"/>
          <w:color w:val="auto"/>
          <w:sz w:val="28"/>
        </w:rPr>
        <w:t>回探试压：下油管探灰面，下放加压</w:t>
      </w:r>
      <w:r>
        <w:rPr>
          <w:rFonts w:hint="default" w:eastAsia="宋体"/>
          <w:color w:val="auto"/>
          <w:sz w:val="28"/>
        </w:rPr>
        <w:t>5</w:t>
      </w:r>
      <w:r>
        <w:rPr>
          <w:rFonts w:hint="eastAsia" w:eastAsia="宋体"/>
          <w:color w:val="auto"/>
          <w:sz w:val="28"/>
        </w:rPr>
        <w:t>～</w:t>
      </w:r>
      <w:r>
        <w:rPr>
          <w:rFonts w:hint="default" w:eastAsia="宋体"/>
          <w:color w:val="auto"/>
          <w:sz w:val="28"/>
        </w:rPr>
        <w:t>15kN</w:t>
      </w:r>
      <w:r>
        <w:rPr>
          <w:rFonts w:hint="eastAsia" w:eastAsia="宋体"/>
          <w:color w:val="auto"/>
          <w:sz w:val="28"/>
        </w:rPr>
        <w:t>，实探</w:t>
      </w:r>
      <w:r>
        <w:rPr>
          <w:rFonts w:hint="default" w:eastAsia="宋体"/>
          <w:color w:val="auto"/>
          <w:sz w:val="28"/>
        </w:rPr>
        <w:t>3</w:t>
      </w:r>
      <w:r>
        <w:rPr>
          <w:rFonts w:hint="eastAsia" w:eastAsia="宋体"/>
          <w:color w:val="auto"/>
          <w:sz w:val="28"/>
        </w:rPr>
        <w:t>次，误差不超过</w:t>
      </w:r>
      <w:r>
        <w:rPr>
          <w:rFonts w:hint="default" w:eastAsia="宋体"/>
          <w:color w:val="auto"/>
          <w:sz w:val="28"/>
        </w:rPr>
        <w:t>0.5m</w:t>
      </w:r>
      <w:r>
        <w:rPr>
          <w:rFonts w:hint="eastAsia" w:eastAsia="宋体"/>
          <w:color w:val="auto"/>
          <w:sz w:val="28"/>
        </w:rPr>
        <w:t>；探至灰面后上提油管</w:t>
      </w:r>
      <w:r>
        <w:rPr>
          <w:rFonts w:hint="default" w:eastAsia="宋体"/>
          <w:color w:val="auto"/>
          <w:sz w:val="28"/>
        </w:rPr>
        <w:t>20m</w:t>
      </w:r>
      <w:r>
        <w:rPr>
          <w:rFonts w:hint="eastAsia" w:eastAsia="宋体"/>
          <w:color w:val="auto"/>
          <w:sz w:val="28"/>
        </w:rPr>
        <w:t>，灰面试压应符合设计要求。</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eastAsia="zh-CN"/>
        </w:rPr>
        <w:t>（</w:t>
      </w:r>
      <w:r>
        <w:rPr>
          <w:rFonts w:hint="eastAsia" w:eastAsia="宋体"/>
          <w:color w:val="auto"/>
          <w:sz w:val="28"/>
          <w:lang w:val="en-US" w:eastAsia="zh-CN"/>
        </w:rPr>
        <w:t>5）</w:t>
      </w:r>
      <w:r>
        <w:rPr>
          <w:rFonts w:hint="eastAsia" w:eastAsia="宋体"/>
          <w:color w:val="auto"/>
          <w:sz w:val="28"/>
        </w:rPr>
        <w:t>钻塞：下入钻具钻塞至设计深度。</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color w:val="auto"/>
          <w:sz w:val="28"/>
        </w:rPr>
      </w:pPr>
      <w:r>
        <w:rPr>
          <w:rFonts w:hint="eastAsia" w:eastAsia="宋体"/>
          <w:color w:val="auto"/>
          <w:sz w:val="28"/>
          <w:lang w:eastAsia="zh-CN"/>
        </w:rPr>
        <w:t>（</w:t>
      </w:r>
      <w:r>
        <w:rPr>
          <w:rFonts w:hint="eastAsia" w:eastAsia="宋体"/>
          <w:color w:val="auto"/>
          <w:sz w:val="28"/>
          <w:lang w:val="en-US" w:eastAsia="zh-CN"/>
        </w:rPr>
        <w:t>6）</w:t>
      </w:r>
      <w:r>
        <w:rPr>
          <w:rFonts w:hint="eastAsia" w:eastAsia="宋体"/>
          <w:color w:val="auto"/>
          <w:sz w:val="28"/>
        </w:rPr>
        <w:t>验窜：下入验窜管柱按设计要求进行验窜。</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b/>
          <w:color w:val="auto"/>
          <w:sz w:val="28"/>
          <w:szCs w:val="28"/>
          <w:lang w:eastAsia="zh-CN"/>
        </w:rPr>
      </w:pPr>
      <w:r>
        <w:rPr>
          <w:rFonts w:hint="eastAsia"/>
          <w:b/>
          <w:color w:val="auto"/>
          <w:sz w:val="28"/>
          <w:szCs w:val="28"/>
          <w:lang w:val="en-US" w:eastAsia="zh-CN"/>
        </w:rPr>
        <w:t>3</w:t>
      </w:r>
      <w:r>
        <w:rPr>
          <w:b/>
          <w:color w:val="auto"/>
          <w:sz w:val="28"/>
          <w:szCs w:val="28"/>
        </w:rPr>
        <w:t>.</w:t>
      </w:r>
      <w:r>
        <w:rPr>
          <w:rFonts w:hint="eastAsia"/>
          <w:b/>
          <w:color w:val="auto"/>
          <w:sz w:val="28"/>
          <w:szCs w:val="28"/>
          <w:lang w:eastAsia="zh-CN"/>
        </w:rPr>
        <w:t>井下复杂情况处理（打捞）</w:t>
      </w:r>
    </w:p>
    <w:p>
      <w:pPr>
        <w:pStyle w:val="28"/>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Ansi="宋体"/>
          <w:sz w:val="28"/>
          <w:szCs w:val="28"/>
        </w:rPr>
      </w:pPr>
      <w:r>
        <w:rPr>
          <w:rFonts w:hint="default" w:ascii="Times New Roman" w:hAnsi="Times New Roman" w:cs="Times New Roman"/>
          <w:color w:val="auto"/>
          <w:sz w:val="28"/>
          <w:szCs w:val="28"/>
        </w:rPr>
        <w:t>1）</w:t>
      </w:r>
      <w:r>
        <w:rPr>
          <w:rFonts w:hint="eastAsia" w:hAnsi="宋体"/>
          <w:sz w:val="28"/>
          <w:szCs w:val="28"/>
        </w:rPr>
        <w:t>准备工作</w:t>
      </w:r>
    </w:p>
    <w:p>
      <w:pPr>
        <w:pStyle w:val="28"/>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Times New Roman" w:cs="宋体"/>
          <w:sz w:val="28"/>
          <w:szCs w:val="28"/>
        </w:rPr>
      </w:pPr>
      <w:r>
        <w:rPr>
          <w:rFonts w:hint="default" w:ascii="Times New Roman" w:hAnsi="Times New Roman" w:eastAsia="Times New Roman" w:cs="宋体"/>
          <w:sz w:val="28"/>
          <w:szCs w:val="28"/>
          <w:lang w:eastAsia="zh-CN"/>
        </w:rPr>
        <w:t>（</w:t>
      </w:r>
      <w:r>
        <w:rPr>
          <w:rFonts w:hint="default" w:ascii="Times New Roman" w:hAnsi="Times New Roman" w:eastAsia="Times New Roman" w:cs="宋体"/>
          <w:sz w:val="28"/>
          <w:szCs w:val="28"/>
        </w:rPr>
        <w:t>1</w:t>
      </w:r>
      <w:r>
        <w:rPr>
          <w:rFonts w:hint="default" w:ascii="Times New Roman" w:hAnsi="Times New Roman" w:eastAsia="Times New Roman" w:cs="宋体"/>
          <w:sz w:val="28"/>
          <w:szCs w:val="28"/>
          <w:lang w:eastAsia="zh-CN"/>
        </w:rPr>
        <w:t>）</w:t>
      </w:r>
      <w:r>
        <w:rPr>
          <w:rFonts w:hint="eastAsia" w:ascii="Times New Roman" w:hAnsi="Times New Roman" w:eastAsia="Times New Roman" w:cs="宋体"/>
          <w:sz w:val="28"/>
          <w:szCs w:val="28"/>
        </w:rPr>
        <w:t>劳动保护：正确穿戴劳保用品。</w:t>
      </w:r>
    </w:p>
    <w:p>
      <w:pPr>
        <w:pStyle w:val="28"/>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Times New Roman" w:cs="宋体"/>
          <w:color w:val="auto"/>
        </w:rPr>
      </w:pPr>
      <w:r>
        <w:rPr>
          <w:rFonts w:hint="default" w:ascii="Times New Roman" w:hAnsi="Times New Roman" w:eastAsia="Times New Roman" w:cs="宋体"/>
          <w:sz w:val="28"/>
          <w:szCs w:val="28"/>
          <w:lang w:eastAsia="zh-CN"/>
        </w:rPr>
        <w:t>（</w:t>
      </w:r>
      <w:r>
        <w:rPr>
          <w:rFonts w:hint="default" w:ascii="Times New Roman" w:hAnsi="Times New Roman" w:eastAsia="Times New Roman" w:cs="宋体"/>
          <w:sz w:val="28"/>
          <w:szCs w:val="28"/>
        </w:rPr>
        <w:t>2</w:t>
      </w:r>
      <w:r>
        <w:rPr>
          <w:rFonts w:hint="default" w:ascii="Times New Roman" w:hAnsi="Times New Roman" w:eastAsia="Times New Roman" w:cs="宋体"/>
          <w:sz w:val="28"/>
          <w:szCs w:val="28"/>
          <w:lang w:eastAsia="zh-CN"/>
        </w:rPr>
        <w:t>）</w:t>
      </w:r>
      <w:r>
        <w:rPr>
          <w:rFonts w:hint="eastAsia" w:ascii="Times New Roman" w:hAnsi="Times New Roman" w:eastAsia="Times New Roman" w:cs="宋体"/>
          <w:sz w:val="28"/>
          <w:szCs w:val="28"/>
          <w:lang w:val="en-US" w:eastAsia="zh-CN"/>
        </w:rPr>
        <w:t>设备、工具准备：700型泵车1台；液压增力器1套、液压锚定器1套、</w:t>
      </w:r>
      <w:r>
        <w:rPr>
          <w:rFonts w:hint="eastAsia" w:ascii="Times New Roman" w:hAnsi="Times New Roman" w:eastAsia="Times New Roman" w:cs="宋体"/>
          <w:sz w:val="28"/>
          <w:szCs w:val="28"/>
        </w:rPr>
        <w:t>管钳、</w:t>
      </w:r>
      <w:r>
        <w:rPr>
          <w:rFonts w:hint="eastAsia" w:ascii="Times New Roman" w:hAnsi="Times New Roman" w:eastAsia="Times New Roman" w:cs="宋体"/>
          <w:sz w:val="28"/>
          <w:szCs w:val="28"/>
          <w:lang w:val="en-US" w:eastAsia="zh-CN"/>
        </w:rPr>
        <w:t>卷尺</w:t>
      </w:r>
      <w:r>
        <w:rPr>
          <w:rFonts w:hint="eastAsia" w:ascii="Times New Roman" w:hAnsi="Times New Roman" w:eastAsia="Times New Roman" w:cs="宋体"/>
          <w:sz w:val="28"/>
          <w:szCs w:val="28"/>
        </w:rPr>
        <w:t>、</w:t>
      </w:r>
      <w:r>
        <w:rPr>
          <w:rFonts w:hint="eastAsia" w:ascii="Times New Roman" w:hAnsi="Times New Roman" w:eastAsia="Times New Roman" w:cs="宋体"/>
          <w:sz w:val="28"/>
          <w:szCs w:val="28"/>
          <w:lang w:val="en-US" w:eastAsia="zh-CN"/>
        </w:rPr>
        <w:t>配套打捞工具</w:t>
      </w:r>
      <w:r>
        <w:rPr>
          <w:rFonts w:hint="eastAsia" w:ascii="Times New Roman" w:hAnsi="Times New Roman" w:eastAsia="Times New Roman" w:cs="宋体"/>
          <w:sz w:val="28"/>
          <w:szCs w:val="28"/>
        </w:rPr>
        <w:t>等。</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lang w:val="en-US" w:eastAsia="zh-CN"/>
        </w:rPr>
      </w:pPr>
      <w:r>
        <w:rPr>
          <w:rFonts w:hint="eastAsia" w:cs="Times New Roman"/>
          <w:color w:val="auto"/>
          <w:lang w:val="en-US" w:eastAsia="zh-CN"/>
        </w:rPr>
        <w:t>2</w:t>
      </w:r>
      <w:r>
        <w:rPr>
          <w:rFonts w:hint="default" w:ascii="Times New Roman" w:hAnsi="Times New Roman" w:cs="Times New Roman"/>
          <w:color w:val="auto"/>
        </w:rPr>
        <w:t>）打捞</w:t>
      </w:r>
      <w:r>
        <w:rPr>
          <w:rFonts w:hint="eastAsia" w:cs="Times New Roman"/>
          <w:color w:val="auto"/>
          <w:lang w:eastAsia="zh-CN"/>
        </w:rPr>
        <w:t>施工</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rPr>
      </w:pPr>
      <w:r>
        <w:rPr>
          <w:rFonts w:hint="eastAsia" w:cs="Times New Roman"/>
          <w:color w:val="auto"/>
          <w:lang w:eastAsia="zh-CN"/>
        </w:rPr>
        <w:t>（</w:t>
      </w:r>
      <w:r>
        <w:rPr>
          <w:rFonts w:hint="eastAsia" w:cs="Times New Roman"/>
          <w:color w:val="auto"/>
          <w:lang w:val="en-US" w:eastAsia="zh-CN"/>
        </w:rPr>
        <w:t>1）技术交底：落实井内待捞鱼顶具体尺寸及待捞管柱的详细组合和卡钻情况，选择合适的打捞工具并</w:t>
      </w:r>
      <w:r>
        <w:rPr>
          <w:rFonts w:hint="default" w:ascii="Times New Roman" w:hAnsi="Times New Roman" w:cs="Times New Roman"/>
          <w:color w:val="auto"/>
        </w:rPr>
        <w:t>绘制工具草图。</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lang w:eastAsia="zh-CN"/>
        </w:rPr>
      </w:pPr>
      <w:r>
        <w:rPr>
          <w:rFonts w:hint="eastAsia" w:cs="Times New Roman"/>
          <w:color w:val="auto"/>
          <w:lang w:val="en-US" w:eastAsia="zh-CN"/>
        </w:rPr>
        <w:t>（2）施工管柱连接：操作工</w:t>
      </w:r>
      <w:r>
        <w:rPr>
          <w:rFonts w:hint="default" w:ascii="Times New Roman" w:hAnsi="Times New Roman" w:cs="Times New Roman"/>
          <w:color w:val="auto"/>
        </w:rPr>
        <w:t>将打捞工具</w:t>
      </w:r>
      <w:r>
        <w:rPr>
          <w:rFonts w:hint="eastAsia" w:cs="Times New Roman"/>
          <w:color w:val="auto"/>
          <w:lang w:eastAsia="zh-CN"/>
        </w:rPr>
        <w:t>、</w:t>
      </w:r>
      <w:r>
        <w:rPr>
          <w:rFonts w:hint="eastAsia" w:cs="Times New Roman"/>
          <w:color w:val="auto"/>
          <w:lang w:val="en-US" w:eastAsia="zh-CN"/>
        </w:rPr>
        <w:t>增力器、锚定器依次连接好并踩紧，丈量记录长度、外径；缓慢</w:t>
      </w:r>
      <w:r>
        <w:rPr>
          <w:rFonts w:hint="default" w:ascii="Times New Roman" w:hAnsi="Times New Roman" w:cs="Times New Roman"/>
          <w:color w:val="auto"/>
        </w:rPr>
        <w:t>下入井内。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rPr>
      </w:pPr>
      <w:r>
        <w:rPr>
          <w:rFonts w:hint="eastAsia" w:cs="Times New Roman"/>
          <w:color w:val="auto"/>
          <w:lang w:eastAsia="zh-CN"/>
        </w:rPr>
        <w:t>（</w:t>
      </w:r>
      <w:r>
        <w:rPr>
          <w:rFonts w:hint="eastAsia" w:cs="Times New Roman"/>
          <w:color w:val="auto"/>
          <w:lang w:val="en-US" w:eastAsia="zh-CN"/>
        </w:rPr>
        <w:t>3）管柱下入：作业队负责将打捞管柱下入至打捞位置，</w:t>
      </w:r>
      <w:r>
        <w:rPr>
          <w:rFonts w:hint="default" w:ascii="Times New Roman" w:hAnsi="Times New Roman" w:cs="Times New Roman"/>
          <w:color w:val="auto"/>
        </w:rPr>
        <w:t>在打捞管柱下至预测落物顶部以上5m时，减缓管柱下放速度。</w:t>
      </w:r>
    </w:p>
    <w:p>
      <w:pPr>
        <w:pStyle w:val="2"/>
        <w:spacing w:line="360" w:lineRule="auto"/>
        <w:ind w:firstLine="560" w:firstLineChars="200"/>
        <w:rPr>
          <w:rFonts w:hint="default" w:ascii="Times New Roman" w:hAnsi="Times New Roman" w:cs="Times New Roman"/>
          <w:color w:val="auto"/>
        </w:rPr>
      </w:pPr>
      <w:r>
        <w:rPr>
          <w:rFonts w:hint="eastAsia" w:cs="Times New Roman"/>
          <w:color w:val="auto"/>
          <w:lang w:eastAsia="zh-CN"/>
        </w:rPr>
        <w:t>（</w:t>
      </w:r>
      <w:r>
        <w:rPr>
          <w:rFonts w:hint="eastAsia" w:cs="Times New Roman"/>
          <w:color w:val="auto"/>
          <w:lang w:val="en-US" w:eastAsia="zh-CN"/>
        </w:rPr>
        <w:t>4）</w:t>
      </w:r>
      <w:r>
        <w:rPr>
          <w:rFonts w:hint="eastAsia" w:eastAsia="宋体" w:cs="Times New Roman"/>
          <w:color w:val="auto"/>
          <w:lang w:val="en-US" w:eastAsia="zh-CN"/>
        </w:rPr>
        <w:t>打压/冲洗鱼顶：操作</w:t>
      </w:r>
      <w:r>
        <w:rPr>
          <w:rFonts w:hint="eastAsia" w:cs="Times New Roman"/>
          <w:color w:val="auto"/>
          <w:lang w:val="en-US" w:eastAsia="zh-CN"/>
        </w:rPr>
        <w:t>工</w:t>
      </w:r>
      <w:r>
        <w:rPr>
          <w:rFonts w:hint="default" w:ascii="Times New Roman" w:hAnsi="Times New Roman" w:cs="Times New Roman"/>
          <w:color w:val="auto"/>
        </w:rPr>
        <w:t>连接</w:t>
      </w:r>
      <w:r>
        <w:rPr>
          <w:rFonts w:hint="eastAsia" w:cs="Times New Roman"/>
          <w:color w:val="auto"/>
          <w:lang w:val="en-US" w:eastAsia="zh-CN"/>
        </w:rPr>
        <w:t>地面试压</w:t>
      </w:r>
      <w:r>
        <w:rPr>
          <w:rFonts w:hint="default" w:ascii="Times New Roman" w:hAnsi="Times New Roman" w:cs="Times New Roman"/>
          <w:color w:val="auto"/>
        </w:rPr>
        <w:t>管线</w:t>
      </w:r>
      <w:r>
        <w:rPr>
          <w:rFonts w:hint="eastAsia" w:cs="Times New Roman"/>
          <w:color w:val="auto"/>
          <w:lang w:val="en-US" w:eastAsia="zh-CN"/>
        </w:rPr>
        <w:t>并试压合格，试压压力大于增力最高压力10MPa</w:t>
      </w:r>
      <w:r>
        <w:rPr>
          <w:rFonts w:hint="default" w:ascii="Times New Roman" w:hAnsi="Times New Roman" w:cs="Times New Roman"/>
          <w:color w:val="auto"/>
        </w:rPr>
        <w:t>，</w:t>
      </w:r>
      <w:r>
        <w:rPr>
          <w:rFonts w:hint="eastAsia" w:cs="Times New Roman"/>
          <w:color w:val="auto"/>
          <w:lang w:val="en-US" w:eastAsia="zh-CN"/>
        </w:rPr>
        <w:t>缓慢</w:t>
      </w:r>
      <w:r>
        <w:rPr>
          <w:rFonts w:hint="default" w:ascii="Times New Roman" w:hAnsi="Times New Roman" w:cs="Times New Roman"/>
          <w:color w:val="auto"/>
        </w:rPr>
        <w:t>下放管柱至落物以上1～2m时开泵</w:t>
      </w:r>
      <w:r>
        <w:rPr>
          <w:rFonts w:hint="eastAsia" w:cs="Times New Roman"/>
          <w:color w:val="auto"/>
          <w:lang w:val="en-US" w:eastAsia="zh-CN"/>
        </w:rPr>
        <w:t>小排量正</w:t>
      </w:r>
      <w:r>
        <w:rPr>
          <w:rFonts w:hint="default" w:ascii="Times New Roman" w:hAnsi="Times New Roman" w:cs="Times New Roman"/>
          <w:color w:val="auto"/>
        </w:rPr>
        <w:t>洗井</w:t>
      </w:r>
      <w:r>
        <w:rPr>
          <w:rFonts w:hint="eastAsia" w:cs="Times New Roman"/>
          <w:color w:val="auto"/>
          <w:lang w:val="en-US" w:eastAsia="zh-CN"/>
        </w:rPr>
        <w:t>或大排量反洗井（根据井况及待捞管柱情况决定）</w:t>
      </w:r>
      <w:r>
        <w:rPr>
          <w:rFonts w:hint="default" w:ascii="Times New Roman" w:hAnsi="Times New Roman" w:cs="Times New Roman"/>
          <w:color w:val="auto"/>
        </w:rPr>
        <w:t>，缓慢下放至落物位置加压10kN，保证鱼顶冲洗干净、彻底。</w:t>
      </w:r>
    </w:p>
    <w:p>
      <w:pPr>
        <w:pStyle w:val="2"/>
        <w:spacing w:line="360" w:lineRule="auto"/>
        <w:ind w:firstLine="560" w:firstLineChars="200"/>
        <w:rPr>
          <w:rFonts w:hint="default" w:ascii="Times New Roman" w:hAnsi="Times New Roman" w:cs="Times New Roman"/>
          <w:color w:val="auto"/>
        </w:rPr>
      </w:pPr>
      <w:r>
        <w:rPr>
          <w:rFonts w:hint="eastAsia" w:cs="Times New Roman"/>
          <w:color w:val="auto"/>
          <w:lang w:eastAsia="zh-CN"/>
        </w:rPr>
        <w:t>（</w:t>
      </w:r>
      <w:r>
        <w:rPr>
          <w:rFonts w:hint="eastAsia" w:cs="Times New Roman"/>
          <w:color w:val="auto"/>
          <w:lang w:val="en-US" w:eastAsia="zh-CN"/>
        </w:rPr>
        <w:t>5）打捞：</w:t>
      </w:r>
      <w:r>
        <w:rPr>
          <w:rFonts w:hint="default" w:ascii="Times New Roman" w:hAnsi="Times New Roman" w:cs="Times New Roman"/>
          <w:color w:val="auto"/>
        </w:rPr>
        <w:t>根据打捞工具的工作原理进行打捞操作（</w:t>
      </w:r>
      <w:r>
        <w:rPr>
          <w:rFonts w:hint="eastAsia" w:cs="Times New Roman"/>
          <w:color w:val="auto"/>
          <w:lang w:val="en-US" w:eastAsia="zh-CN"/>
        </w:rPr>
        <w:t>增力专用捞矛为上提下放式，第一次加压上提为打捞，第二次加压上提为退出</w:t>
      </w:r>
      <w:r>
        <w:rPr>
          <w:rFonts w:hint="default" w:ascii="Times New Roman" w:hAnsi="Times New Roman" w:cs="Times New Roman"/>
          <w:color w:val="auto"/>
        </w:rPr>
        <w:t>）。</w:t>
      </w:r>
    </w:p>
    <w:p>
      <w:pPr>
        <w:pStyle w:val="2"/>
        <w:spacing w:line="360" w:lineRule="auto"/>
        <w:ind w:firstLine="560" w:firstLineChars="200"/>
        <w:rPr>
          <w:rFonts w:hint="default" w:ascii="Times New Roman" w:hAnsi="Times New Roman" w:cs="Times New Roman"/>
          <w:color w:val="auto"/>
        </w:rPr>
      </w:pPr>
      <w:r>
        <w:rPr>
          <w:rFonts w:hint="eastAsia" w:cs="Times New Roman"/>
          <w:color w:val="auto"/>
          <w:lang w:eastAsia="zh-CN"/>
        </w:rPr>
        <w:t>（</w:t>
      </w:r>
      <w:r>
        <w:rPr>
          <w:rFonts w:hint="eastAsia" w:cs="Times New Roman"/>
          <w:color w:val="auto"/>
          <w:lang w:val="en-US" w:eastAsia="zh-CN"/>
        </w:rPr>
        <w:t>6）判断捞获情况：</w:t>
      </w:r>
      <w:r>
        <w:rPr>
          <w:rFonts w:hint="default" w:ascii="Times New Roman" w:hAnsi="Times New Roman" w:cs="Times New Roman"/>
          <w:color w:val="auto"/>
        </w:rPr>
        <w:t>打捞时应试提、试放，观察悬重变化，判断捞获</w:t>
      </w:r>
      <w:r>
        <w:rPr>
          <w:rFonts w:hint="eastAsia" w:cs="Times New Roman"/>
          <w:color w:val="auto"/>
          <w:lang w:eastAsia="zh-CN"/>
        </w:rPr>
        <w:t>解卡</w:t>
      </w:r>
      <w:r>
        <w:rPr>
          <w:rFonts w:hint="default" w:ascii="Times New Roman" w:hAnsi="Times New Roman" w:cs="Times New Roman"/>
          <w:color w:val="auto"/>
        </w:rPr>
        <w:t>情况。</w:t>
      </w:r>
    </w:p>
    <w:p>
      <w:pPr>
        <w:pStyle w:val="2"/>
        <w:spacing w:line="360" w:lineRule="auto"/>
        <w:ind w:firstLine="560" w:firstLineChars="200"/>
        <w:rPr>
          <w:rFonts w:hint="eastAsia" w:cs="Times New Roman"/>
          <w:color w:val="auto"/>
          <w:lang w:val="en-US" w:eastAsia="zh-CN"/>
        </w:rPr>
      </w:pPr>
      <w:r>
        <w:rPr>
          <w:rFonts w:hint="eastAsia" w:cs="Times New Roman"/>
          <w:color w:val="auto"/>
          <w:lang w:eastAsia="zh-CN"/>
        </w:rPr>
        <w:t>（</w:t>
      </w:r>
      <w:r>
        <w:rPr>
          <w:rFonts w:hint="eastAsia" w:cs="Times New Roman"/>
          <w:color w:val="auto"/>
          <w:lang w:val="en-US" w:eastAsia="zh-CN"/>
        </w:rPr>
        <w:t>7）液压增力解卡</w:t>
      </w:r>
      <w:r>
        <w:rPr>
          <w:rFonts w:hint="default" w:ascii="Times New Roman" w:hAnsi="Times New Roman" w:cs="Times New Roman"/>
          <w:color w:val="auto"/>
        </w:rPr>
        <w:t>：</w:t>
      </w:r>
      <w:r>
        <w:rPr>
          <w:rFonts w:hint="eastAsia" w:cs="Times New Roman"/>
          <w:color w:val="auto"/>
          <w:lang w:val="en-US" w:eastAsia="zh-CN"/>
        </w:rPr>
        <w:t>上提超过原打捞悬重100kN-200kN打死刹车，开泵大排量正打压至压力上升，套管不返液，小排量逐级打压增力，5-10-15-20-25MPa，每个点稳压不低于10min，打压过程中压力突降悬重下降说明解卡成功，如25MPa不能解卡可以多次反复打压或增加上提悬重实现解卡。</w:t>
      </w:r>
    </w:p>
    <w:p>
      <w:pPr>
        <w:pStyle w:val="2"/>
        <w:spacing w:line="360" w:lineRule="auto"/>
        <w:ind w:firstLine="560" w:firstLineChars="200"/>
        <w:rPr>
          <w:rFonts w:hint="default" w:ascii="Times New Roman" w:hAnsi="Times New Roman" w:cs="Times New Roman"/>
          <w:color w:val="auto"/>
        </w:rPr>
      </w:pPr>
      <w:r>
        <w:rPr>
          <w:rFonts w:hint="eastAsia" w:cs="Times New Roman"/>
          <w:color w:val="auto"/>
          <w:lang w:eastAsia="zh-CN"/>
        </w:rPr>
        <w:t>（</w:t>
      </w:r>
      <w:r>
        <w:rPr>
          <w:rFonts w:hint="eastAsia" w:cs="Times New Roman"/>
          <w:color w:val="auto"/>
          <w:lang w:val="en-US" w:eastAsia="zh-CN"/>
        </w:rPr>
        <w:t>8）解卡成功上提管柱：增力解卡成功</w:t>
      </w:r>
      <w:r>
        <w:rPr>
          <w:rFonts w:hint="default" w:ascii="Times New Roman" w:hAnsi="Times New Roman" w:cs="Times New Roman"/>
          <w:color w:val="auto"/>
        </w:rPr>
        <w:t>上提起管柱，应平稳操作；</w:t>
      </w:r>
      <w:r>
        <w:rPr>
          <w:rFonts w:hint="eastAsia" w:cs="Times New Roman"/>
          <w:color w:val="auto"/>
          <w:lang w:val="en-US" w:eastAsia="zh-CN"/>
        </w:rPr>
        <w:t>避免下放加压，</w:t>
      </w:r>
      <w:r>
        <w:rPr>
          <w:rFonts w:hint="default" w:ascii="Times New Roman" w:hAnsi="Times New Roman" w:cs="Times New Roman"/>
          <w:color w:val="auto"/>
        </w:rPr>
        <w:t>管柱卸扣时应打好背钳，防止井内管柱转动。</w:t>
      </w:r>
    </w:p>
    <w:p>
      <w:pPr>
        <w:pStyle w:val="2"/>
        <w:spacing w:line="360" w:lineRule="auto"/>
        <w:ind w:firstLine="560" w:firstLineChars="200"/>
        <w:rPr>
          <w:rFonts w:hint="eastAsia" w:cs="Times New Roman"/>
          <w:color w:val="auto"/>
          <w:lang w:val="en-US" w:eastAsia="zh-CN"/>
        </w:rPr>
      </w:pPr>
      <w:r>
        <w:rPr>
          <w:rFonts w:hint="eastAsia" w:cs="Times New Roman"/>
          <w:color w:val="auto"/>
          <w:lang w:val="en-US" w:eastAsia="zh-CN"/>
        </w:rPr>
        <w:t>（9）如无法解卡的需要下放退出增力器管柱，起出检查分析原因，重新制定可行性方案。</w:t>
      </w:r>
    </w:p>
    <w:p>
      <w:pPr>
        <w:pStyle w:val="2"/>
        <w:spacing w:line="360" w:lineRule="auto"/>
        <w:ind w:firstLine="560" w:firstLineChars="200"/>
        <w:rPr>
          <w:rFonts w:hint="eastAsia" w:cs="Times New Roman"/>
          <w:color w:val="auto"/>
          <w:lang w:val="en-US" w:eastAsia="zh-CN"/>
        </w:rPr>
      </w:pPr>
      <w:r>
        <w:rPr>
          <w:rFonts w:hint="eastAsia" w:cs="Times New Roman"/>
          <w:color w:val="auto"/>
          <w:lang w:eastAsia="zh-CN"/>
        </w:rPr>
        <w:t>（</w:t>
      </w:r>
      <w:r>
        <w:rPr>
          <w:rFonts w:hint="eastAsia" w:cs="Times New Roman"/>
          <w:color w:val="auto"/>
          <w:lang w:val="en-US" w:eastAsia="zh-CN"/>
        </w:rPr>
        <w:t>10）地面检查：起出打捞管柱后及时检查打捞工具、增力器、锚定器情况，及时回收保养；如需再次下井需更换增力器密封元件、锚定器锚定、密封元件并试压合格。</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eastAsia" w:ascii="Times New Roman" w:hAnsi="Times New Roman" w:eastAsia="宋体" w:cs="Times New Roman"/>
          <w:b w:val="0"/>
          <w:snapToGrid w:val="0"/>
          <w:kern w:val="0"/>
          <w:sz w:val="28"/>
          <w:szCs w:val="28"/>
          <w:lang w:val="en-US" w:eastAsia="zh-CN"/>
        </w:rPr>
      </w:pPr>
      <w:r>
        <w:rPr>
          <w:rFonts w:hint="eastAsia" w:ascii="Times New Roman" w:hAnsi="Times New Roman" w:eastAsia="宋体" w:cs="Times New Roman"/>
          <w:b w:val="0"/>
          <w:snapToGrid w:val="0"/>
          <w:kern w:val="0"/>
          <w:sz w:val="28"/>
          <w:szCs w:val="28"/>
        </w:rPr>
        <w:t>2.</w:t>
      </w:r>
      <w:r>
        <w:rPr>
          <w:rFonts w:ascii="Times New Roman" w:hAnsi="Times New Roman" w:eastAsia="宋体" w:cs="Times New Roman"/>
          <w:b w:val="0"/>
          <w:snapToGrid w:val="0"/>
          <w:kern w:val="0"/>
          <w:sz w:val="28"/>
          <w:szCs w:val="28"/>
        </w:rPr>
        <w:t>3</w:t>
      </w:r>
      <w:r>
        <w:rPr>
          <w:rFonts w:hint="eastAsia" w:ascii="Times New Roman" w:hAnsi="Times New Roman" w:eastAsia="宋体" w:cs="Times New Roman"/>
          <w:b w:val="0"/>
          <w:snapToGrid w:val="0"/>
          <w:kern w:val="0"/>
          <w:sz w:val="28"/>
          <w:szCs w:val="28"/>
        </w:rPr>
        <w:t>.</w:t>
      </w:r>
      <w:r>
        <w:rPr>
          <w:rFonts w:ascii="Times New Roman" w:hAnsi="Times New Roman" w:eastAsia="宋体" w:cs="Times New Roman"/>
          <w:b w:val="0"/>
          <w:snapToGrid w:val="0"/>
          <w:kern w:val="0"/>
          <w:sz w:val="28"/>
          <w:szCs w:val="28"/>
        </w:rPr>
        <w:t xml:space="preserve">3 </w:t>
      </w:r>
      <w:r>
        <w:rPr>
          <w:rFonts w:hint="eastAsia" w:ascii="黑体" w:hAnsi="黑体" w:eastAsia="黑体" w:cs="黑体"/>
          <w:b w:val="0"/>
          <w:snapToGrid w:val="0"/>
          <w:kern w:val="0"/>
          <w:sz w:val="28"/>
          <w:szCs w:val="28"/>
          <w:lang w:val="en-US" w:eastAsia="zh-CN"/>
        </w:rPr>
        <w:t>基层队伍介绍</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61"/>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560" w:firstLineChars="200"/>
        <w:textAlignment w:val="auto"/>
        <w:rPr>
          <w:rFonts w:hint="default" w:ascii="Times New Roman" w:hAnsi="Times New Roman" w:eastAsia="宋体" w:cs="Times New Roman"/>
          <w:color w:val="auto"/>
          <w:kern w:val="2"/>
          <w:sz w:val="28"/>
          <w:szCs w:val="28"/>
          <w:highlight w:val="none"/>
          <w:lang w:val="en-US" w:eastAsia="zh-CN" w:bidi="ar-SA"/>
        </w:rPr>
      </w:pPr>
      <w:r>
        <w:rPr>
          <w:rFonts w:hint="eastAsia" w:ascii="Times New Roman" w:hAnsi="Times New Roman" w:eastAsia="宋体" w:cs="Times New Roman"/>
          <w:color w:val="auto"/>
          <w:kern w:val="2"/>
          <w:sz w:val="28"/>
          <w:szCs w:val="28"/>
          <w:highlight w:val="none"/>
          <w:lang w:val="en-US" w:eastAsia="zh-CN" w:bidi="ar-SA"/>
        </w:rPr>
        <w:t>综上，海塔石油科技有限公司作业队伍岗位设置情况满足相关作业要求。</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auto"/>
          <w:kern w:val="0"/>
          <w:sz w:val="28"/>
          <w:szCs w:val="28"/>
        </w:rPr>
      </w:pPr>
      <w:r>
        <w:rPr>
          <w:rFonts w:hint="eastAsia" w:eastAsia="黑体"/>
          <w:b w:val="0"/>
          <w:snapToGrid w:val="0"/>
          <w:color w:val="auto"/>
          <w:kern w:val="0"/>
          <w:sz w:val="28"/>
          <w:szCs w:val="28"/>
        </w:rPr>
        <w:t>2.</w:t>
      </w:r>
      <w:r>
        <w:rPr>
          <w:rFonts w:eastAsia="黑体"/>
          <w:b w:val="0"/>
          <w:snapToGrid w:val="0"/>
          <w:color w:val="auto"/>
          <w:kern w:val="0"/>
          <w:sz w:val="28"/>
          <w:szCs w:val="28"/>
        </w:rPr>
        <w:t>3</w:t>
      </w:r>
      <w:r>
        <w:rPr>
          <w:rFonts w:hint="eastAsia" w:eastAsia="黑体"/>
          <w:b w:val="0"/>
          <w:snapToGrid w:val="0"/>
          <w:color w:val="auto"/>
          <w:kern w:val="0"/>
          <w:sz w:val="28"/>
          <w:szCs w:val="28"/>
        </w:rPr>
        <w:t>.</w:t>
      </w:r>
      <w:r>
        <w:rPr>
          <w:rFonts w:hint="eastAsia" w:eastAsia="黑体"/>
          <w:b w:val="0"/>
          <w:snapToGrid w:val="0"/>
          <w:color w:val="auto"/>
          <w:kern w:val="0"/>
          <w:sz w:val="28"/>
          <w:szCs w:val="28"/>
          <w:lang w:val="en-US" w:eastAsia="zh-CN"/>
        </w:rPr>
        <w:t>4</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装备、设施的配备</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5"/>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default" w:eastAsia="黑体"/>
          <w:b w:val="0"/>
          <w:snapToGrid w:val="0"/>
          <w:color w:val="auto"/>
          <w:kern w:val="0"/>
          <w:sz w:val="28"/>
          <w:szCs w:val="28"/>
          <w:lang w:val="en-US" w:eastAsia="zh-CN"/>
        </w:rPr>
      </w:pPr>
      <w:r>
        <w:rPr>
          <w:rFonts w:hint="eastAsia" w:eastAsia="黑体"/>
          <w:b w:val="0"/>
          <w:snapToGrid w:val="0"/>
          <w:color w:val="auto"/>
          <w:kern w:val="0"/>
          <w:sz w:val="28"/>
          <w:szCs w:val="28"/>
        </w:rPr>
        <w:t>2.3.</w:t>
      </w:r>
      <w:r>
        <w:rPr>
          <w:rFonts w:hint="eastAsia" w:eastAsia="黑体"/>
          <w:b w:val="0"/>
          <w:snapToGrid w:val="0"/>
          <w:color w:val="auto"/>
          <w:kern w:val="0"/>
          <w:sz w:val="28"/>
          <w:szCs w:val="28"/>
          <w:lang w:val="en-US" w:eastAsia="zh-CN"/>
        </w:rPr>
        <w:t>5</w:t>
      </w:r>
      <w:r>
        <w:rPr>
          <w:rFonts w:hint="eastAsia" w:eastAsia="黑体"/>
          <w:b w:val="0"/>
          <w:snapToGrid w:val="0"/>
          <w:color w:val="auto"/>
          <w:kern w:val="0"/>
          <w:sz w:val="28"/>
          <w:szCs w:val="28"/>
        </w:rPr>
        <w:t xml:space="preserve"> 作业</w:t>
      </w:r>
      <w:r>
        <w:rPr>
          <w:rFonts w:hint="eastAsia" w:eastAsia="黑体"/>
          <w:b w:val="0"/>
          <w:snapToGrid w:val="0"/>
          <w:color w:val="auto"/>
          <w:kern w:val="0"/>
          <w:sz w:val="28"/>
          <w:szCs w:val="28"/>
          <w:lang w:val="en-US" w:eastAsia="zh-CN"/>
        </w:rPr>
        <w:t>区域及自然条件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宋体" w:hAnsi="宋体" w:eastAsia="宋体" w:cs="宋体"/>
          <w:sz w:val="28"/>
          <w:szCs w:val="28"/>
          <w:highlight w:val="none"/>
          <w:lang w:val="en-US" w:eastAsia="zh-CN"/>
        </w:rPr>
      </w:pPr>
      <w:r>
        <w:rPr>
          <w:rFonts w:hint="eastAsia" w:cs="Times New Roman"/>
          <w:color w:val="auto"/>
          <w:sz w:val="28"/>
          <w:szCs w:val="28"/>
          <w:lang w:eastAsia="zh-CN"/>
        </w:rPr>
        <w:t>海塔石油科技有限公司</w:t>
      </w:r>
      <w:r>
        <w:rPr>
          <w:rFonts w:hint="default" w:ascii="Times New Roman" w:hAnsi="Times New Roman" w:eastAsia="宋体" w:cs="Times New Roman"/>
          <w:color w:val="auto"/>
          <w:sz w:val="28"/>
          <w:szCs w:val="28"/>
          <w:lang w:val="en-US" w:eastAsia="zh-CN"/>
        </w:rPr>
        <w:t>办公地址位于</w:t>
      </w:r>
      <w:r>
        <w:rPr>
          <w:rFonts w:hint="default" w:ascii="Times New Roman" w:hAnsi="Times New Roman" w:eastAsia="宋体" w:cs="Times New Roman"/>
          <w:sz w:val="28"/>
          <w:szCs w:val="28"/>
          <w:lang w:val="en-US" w:eastAsia="zh-CN"/>
        </w:rPr>
        <w:t>山东省东营市经济技术开发区东五路与汾河路交叉路口向东150</w:t>
      </w:r>
      <w:r>
        <w:rPr>
          <w:rFonts w:hint="eastAsia" w:cs="Times New Roman"/>
          <w:sz w:val="28"/>
          <w:szCs w:val="28"/>
          <w:lang w:val="en-US" w:eastAsia="zh-CN"/>
        </w:rPr>
        <w:t>m</w:t>
      </w:r>
      <w:r>
        <w:rPr>
          <w:rFonts w:hint="default" w:ascii="Times New Roman" w:hAnsi="Times New Roman" w:eastAsia="宋体" w:cs="Times New Roman"/>
          <w:sz w:val="28"/>
          <w:szCs w:val="28"/>
          <w:lang w:val="en-US" w:eastAsia="zh-CN"/>
        </w:rPr>
        <w:t>路南。</w:t>
      </w:r>
      <w:r>
        <w:rPr>
          <w:rFonts w:hint="eastAsia"/>
          <w:color w:val="auto"/>
          <w:sz w:val="28"/>
          <w:szCs w:val="28"/>
        </w:rPr>
        <w:t>公司业务主要是</w:t>
      </w:r>
      <w:r>
        <w:rPr>
          <w:rFonts w:hint="eastAsia"/>
          <w:color w:val="auto"/>
          <w:sz w:val="28"/>
          <w:szCs w:val="28"/>
          <w:lang w:val="en-US" w:eastAsia="zh-CN"/>
        </w:rPr>
        <w:t>井下作业：大修作业、井下复杂情况处理（打捞、堵漏）</w:t>
      </w:r>
      <w:r>
        <w:rPr>
          <w:rFonts w:hint="eastAsia"/>
          <w:color w:val="000000" w:themeColor="text1"/>
          <w:sz w:val="28"/>
          <w:szCs w:val="28"/>
          <w:lang w:val="en-US" w:eastAsia="zh-CN"/>
          <w14:textFill>
            <w14:solidFill>
              <w14:schemeClr w14:val="tx1"/>
            </w14:solidFill>
          </w14:textFill>
        </w:rPr>
        <w:t>。该公司服务于冀东油田区域，</w:t>
      </w:r>
      <w:r>
        <w:rPr>
          <w:rFonts w:hint="eastAsia"/>
          <w:color w:val="000000" w:themeColor="text1"/>
          <w:sz w:val="28"/>
          <w:szCs w:val="28"/>
          <w:highlight w:val="none"/>
          <w14:textFill>
            <w14:solidFill>
              <w14:schemeClr w14:val="tx1"/>
            </w14:solidFill>
          </w14:textFill>
        </w:rPr>
        <w:t>作业地点主要</w:t>
      </w:r>
      <w:r>
        <w:rPr>
          <w:rFonts w:hint="eastAsia"/>
          <w:color w:val="000000" w:themeColor="text1"/>
          <w:sz w:val="28"/>
          <w:szCs w:val="28"/>
          <w:highlight w:val="none"/>
          <w:lang w:val="en-US" w:eastAsia="zh-CN"/>
          <w14:textFill>
            <w14:solidFill>
              <w14:schemeClr w14:val="tx1"/>
            </w14:solidFill>
          </w14:textFill>
        </w:rPr>
        <w:t>位于唐山市。</w:t>
      </w:r>
    </w:p>
    <w:p>
      <w:pPr>
        <w:pStyle w:val="1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
          <w:bCs/>
          <w:color w:val="auto"/>
          <w:kern w:val="2"/>
          <w:sz w:val="28"/>
          <w:szCs w:val="28"/>
          <w:lang w:eastAsia="zh-CN" w:bidi="ar-SA"/>
        </w:rPr>
      </w:pPr>
      <w:r>
        <w:rPr>
          <w:rFonts w:hint="eastAsia" w:ascii="宋体" w:hAnsi="宋体" w:eastAsia="宋体" w:cs="宋体"/>
          <w:b/>
          <w:bCs/>
          <w:sz w:val="28"/>
          <w:szCs w:val="28"/>
          <w:lang w:val="en-US" w:eastAsia="zh-CN"/>
        </w:rPr>
        <w:t>1.</w:t>
      </w:r>
      <w:r>
        <w:rPr>
          <w:rFonts w:hint="eastAsia"/>
          <w:b/>
          <w:bCs/>
          <w:sz w:val="28"/>
          <w:szCs w:val="28"/>
          <w:lang w:val="en-US" w:eastAsia="zh-CN"/>
        </w:rPr>
        <w:t>东营市自然气象条件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t>地形地貌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东营市地处华北坳陷区之济阳坳陷东端，地层自老至新有太古界泰山岩群，古生界</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"https://baike.baidu.com/item/%E5%AF%92%E6%AD%A6%E7%B3%BB"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寒武系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、奥陶系、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"https://baike.baidu.com/item/%E7%9F%B3%E7%82%AD%E7%B3%BB"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石炭系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和</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"https://baike.baidu.com/item/%E4%BA%8C%E5%8F%A0%E7%B3%BB"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二叠系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，中生界侏罗系、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"https://baike.baidu.com/item/%E7%99%BD%E5%9E%A9%E7%B3%BB"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白垩系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，新生界第三系、第四系；缺失元古界，古生界上奥陶统、志留系、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"https://baike.baidu.com/item/%E6%B3%A5%E7%9B%86%E7%B3%BB"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泥盆系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、下古炭统及中生界三叠系。凹陷和凸起自北而南主要有：埕子口凸起（东端）、车镇凹陷（东部）、义和庄凸起（东部）、沾化凹陷（东部）、陈家庄凸起、东营凹陷（东半部）、广饶凸起（部分）等。 </w:t>
      </w:r>
      <w:bookmarkStart w:id="24" w:name="ref_[6]_5460484"/>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东营市地势沿黄河走向自西南向东北倾斜。西南部最高高程为28m（大沽高程，下同），东北部最低高程1m，自然比降为1/8000</w:t>
      </w:r>
      <w:r>
        <w:rPr>
          <w:rFonts w:hint="eastAsia"/>
          <w:color w:val="000000" w:themeColor="text1"/>
          <w:sz w:val="28"/>
          <w:szCs w:val="28"/>
          <w:lang w:val="en-US" w:eastAsia="zh-CN"/>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1/12000；西部最高高程为11m，东部最低高程1m，自然比降为1/7000。黄河穿境而过，背河方向近河高、远河低，背河自然比降为1/7000，河滩地高于背河地2</w:t>
      </w:r>
      <w:r>
        <w:rPr>
          <w:rFonts w:hint="eastAsia"/>
          <w:color w:val="000000" w:themeColor="text1"/>
          <w:sz w:val="28"/>
          <w:szCs w:val="28"/>
          <w:lang w:val="en-US" w:eastAsia="zh-CN"/>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4m，形成“地上悬河”。东营市微地貌有5种类型：古河滩高地，占东营市总面积的4.15%，主要分布于黄河决口扇面上游；河滩高地，占东营市总面积的3.58%，主要分布于黄河河道至大堤之间；微斜平地，占东营市总面积的54.54%，是岗、洼过渡地带；浅平洼地，占东营市总面积的10.68%，小清河以南主要分布于古河滩高地之间，小清河以北主要分布于微斜平地之中、缓岗之间和黄河故道低洼处；海滩地，占东营市总面积的27.05%，与海岸线平行呈带状分布。 </w:t>
      </w:r>
      <w:bookmarkEnd w:id="24"/>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bookmarkStart w:id="25" w:name="sub5460484_3_3"/>
      <w:bookmarkEnd w:id="25"/>
      <w:bookmarkStart w:id="26" w:name="3_3"/>
      <w:bookmarkEnd w:id="26"/>
      <w:bookmarkStart w:id="27" w:name="气候"/>
      <w:bookmarkEnd w:id="27"/>
      <w:bookmarkStart w:id="28" w:name="3-3"/>
      <w:bookmarkEnd w:id="28"/>
      <w:r>
        <w:rPr>
          <w:rFonts w:hint="eastAsia"/>
          <w:color w:val="000000" w:themeColor="text1"/>
          <w:sz w:val="28"/>
          <w:szCs w:val="28"/>
          <w:lang w:val="en-US" w:eastAsia="zh-CN"/>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2</w:t>
      </w:r>
      <w:r>
        <w:rPr>
          <w:rFonts w:hint="eastAsia"/>
          <w:color w:val="000000" w:themeColor="text1"/>
          <w:sz w:val="28"/>
          <w:szCs w:val="28"/>
          <w:lang w:val="en-US" w:eastAsia="zh-CN"/>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气候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东营市地处中纬度，背陆面海，受亚欧大陆和西太平洋共同影响，属暖温带大陆性季风气候，基本气候特征为冬寒夏热，四季分明。春季，干旱多风，早春冷暖无常，常有倒春寒出现，晚春回暖迅速，常发生春旱；夏季，炎热多雨，温高湿大，有时受台风侵袭；秋季，气温下降，雨水骤减，天高气爽；冬季，天气干冷，寒风频吹，多刮北风、西北风，雨雪稀少。主要气象灾害有霜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"https://baike.baidu.com/item/%E5%B9%B2%E7%83%AD%E9%A3%8E"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干热风</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、大风、</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"https://baike.baidu.com/item/%E5%86%B0%E9%9B%B9/35334"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冰雹</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干旱、涝灾、风暴潮灾等。境内南北气候差异不明显。多年平均气温12.8℃，无霜期206天。年平均降水量555.9mm，多集中在夏季，占全年降水量的65%，降水量年际变化大，易形成旱、涝灾害。年平均风速3.7m/s，最小频率风向为NNE。</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eastAsia="宋体" w:cs="Times New Roman"/>
          <w:color w:val="000000" w:themeColor="text1"/>
          <w:sz w:val="28"/>
          <w:szCs w:val="28"/>
          <w14:textFill>
            <w14:solidFill>
              <w14:schemeClr w14:val="tx1"/>
            </w14:solidFill>
          </w14:textFill>
        </w:rPr>
      </w:pPr>
      <w:r>
        <w:rPr>
          <w:rFonts w:hint="eastAsia" w:cs="Times New Roman"/>
          <w:color w:val="000000" w:themeColor="text1"/>
          <w:kern w:val="0"/>
          <w:sz w:val="28"/>
          <w:szCs w:val="28"/>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8"/>
          <w:szCs w:val="28"/>
          <w:lang w:val="en-US" w:eastAsia="zh-CN" w:bidi="ar"/>
          <w14:textFill>
            <w14:solidFill>
              <w14:schemeClr w14:val="tx1"/>
            </w14:solidFill>
          </w14:textFill>
        </w:rPr>
        <w:t>3</w:t>
      </w:r>
      <w:r>
        <w:rPr>
          <w:rFonts w:hint="eastAsia" w:cs="Times New Roman"/>
          <w:color w:val="000000" w:themeColor="text1"/>
          <w:kern w:val="0"/>
          <w:sz w:val="28"/>
          <w:szCs w:val="28"/>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8"/>
          <w:szCs w:val="28"/>
          <w:lang w:val="en-US" w:eastAsia="zh-CN" w:bidi="ar"/>
          <w14:textFill>
            <w14:solidFill>
              <w14:schemeClr w14:val="tx1"/>
            </w14:solidFill>
          </w14:textFill>
        </w:rPr>
        <w:t xml:space="preserve">地震烈度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kern w:val="0"/>
          <w:szCs w:val="28"/>
          <w:lang w:val="en-US" w:eastAsia="zh-CN" w:bidi="ar"/>
          <w14:textFill>
            <w14:solidFill>
              <w14:schemeClr w14:val="tx1"/>
            </w14:solidFill>
          </w14:textFill>
        </w:rPr>
      </w:pPr>
      <w:r>
        <w:rPr>
          <w:rFonts w:hint="default"/>
          <w:sz w:val="28"/>
          <w:szCs w:val="28"/>
          <w:lang w:val="en-US" w:eastAsia="zh-CN"/>
        </w:rPr>
        <w:t xml:space="preserve">地震烈度为7度，设计基本地震加度速度值为0.10g，所属的设计抗震分组为第三组。 </w:t>
      </w:r>
    </w:p>
    <w:p>
      <w:pPr>
        <w:pStyle w:val="1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2</w:t>
      </w:r>
      <w:r>
        <w:rPr>
          <w:rFonts w:hint="eastAsia" w:ascii="宋体" w:hAnsi="宋体" w:eastAsia="宋体" w:cs="宋体"/>
          <w:b/>
          <w:bCs/>
          <w:sz w:val="28"/>
          <w:szCs w:val="28"/>
          <w:lang w:val="en-US" w:eastAsia="zh-CN"/>
        </w:rPr>
        <w:t>.</w:t>
      </w:r>
      <w:r>
        <w:rPr>
          <w:rFonts w:hint="eastAsia"/>
          <w:b/>
          <w:bCs/>
          <w:sz w:val="28"/>
          <w:szCs w:val="28"/>
          <w:lang w:val="en-US" w:eastAsia="zh-CN"/>
        </w:rPr>
        <w:t>唐山</w:t>
      </w:r>
      <w:r>
        <w:rPr>
          <w:rFonts w:hint="default"/>
          <w:b/>
          <w:bCs/>
          <w:sz w:val="28"/>
          <w:szCs w:val="28"/>
          <w:lang w:val="en-US" w:eastAsia="zh-CN"/>
        </w:rPr>
        <w:t>市自然气象条件</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eastAsia="宋体" w:cs="Times New Roman"/>
          <w:color w:val="000000" w:themeColor="text1"/>
          <w:kern w:val="0"/>
          <w:sz w:val="28"/>
          <w:szCs w:val="28"/>
          <w14:textFill>
            <w14:solidFill>
              <w14:schemeClr w14:val="tx1"/>
            </w14:solidFill>
          </w14:textFill>
        </w:rPr>
      </w:pP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color w:val="000000" w:themeColor="text1"/>
          <w:kern w:val="0"/>
          <w:sz w:val="28"/>
          <w:szCs w:val="28"/>
          <w14:textFill>
            <w14:solidFill>
              <w14:schemeClr w14:val="tx1"/>
            </w14:solidFill>
          </w14:textFill>
        </w:rPr>
        <w:t>1</w:t>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color w:val="000000" w:themeColor="text1"/>
          <w:kern w:val="0"/>
          <w:sz w:val="28"/>
          <w:szCs w:val="28"/>
          <w14:textFill>
            <w14:solidFill>
              <w14:schemeClr w14:val="tx1"/>
            </w14:solidFill>
          </w14:textFill>
        </w:rPr>
        <w:t>地形地貌</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eastAsia" w:ascii="Times New Roman" w:hAnsi="Times New Roman" w:eastAsia="宋体" w:cs="Times New Roman"/>
          <w:color w:val="000000" w:themeColor="text1"/>
          <w:kern w:val="0"/>
          <w:sz w:val="28"/>
          <w:szCs w:val="28"/>
          <w:lang w:eastAsia="zh-CN"/>
          <w14:textFill>
            <w14:solidFill>
              <w14:schemeClr w14:val="tx1"/>
            </w14:solidFill>
          </w14:textFill>
        </w:rPr>
      </w:pP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唐山市境内地貌可分为燕山山地丘陵区与滦河平原区两大地貌区。唐山市境内地层层序较多，</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"https://baike.baidu.com/item/%E5%A4%AA%E5%8F%A4%E7%95%8C/4139378?fromModule=lemma_inlink"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太古界</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与</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"https://baike.baidu.com/item/%E5%85%83%E5%8F%A4%E7%95%8C/4139511?fromModule=lemma_inlink"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元古界</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主要出露于北部山区；</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"https://baike.baidu.com/item/%E5%AF%92%E6%AD%A6%E7%B3%BB/1082658?fromModule=lemma_inlink"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寒武系</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"https://baike.baidu.com/item/%E5%A5%A5%E9%99%B6%E7%B3%BB/8966475?fromModule=lemma_inlink"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奥陶系</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主要分布于开平向斜两翼；</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"https://baike.baidu.com/item/%E7%9F%B3%E7%82%AD%E7%B3%BB/2898293?fromModule=lemma_inlink"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石炭系</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"https://baike.baidu.com/item/%E4%BA%8C%E8%BF%AD%E7%B3%BB/1758280?fromModule=lemma_inlink"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二迭系</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绝大部分隐伏于南部平原区；少量</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"https://baike.baidu.com/item/%E4%BE%8F%E7%BD%97%E7%B3%BB/4119668?fromModule=lemma_inlink"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侏罗系</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出露于迁安县的莲花院及贯头山一带；</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"https://baike.baidu.com/item/%E7%AC%AC%E4%B8%89%E7%B3%BB/4192175?fromModule=lemma_inlink"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第三系</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见于迁西县城以南的新庄—尹庄一带并深埋于丰南区胥各庄—滦南县长凝一线以南地区；</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"https://baike.baidu.com/item/%E7%AC%AC%E5%9B%9B%E7%B3%BB/4192192?fromModule=lemma_inlink"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第四系</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极为发育，分布面积约占全市总面积的3/5，形成广阔的山前倾斜平原。</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eastAsia" w:ascii="Times New Roman" w:hAnsi="Times New Roman" w:eastAsia="宋体" w:cs="Times New Roman"/>
          <w:color w:val="000000" w:themeColor="text1"/>
          <w:kern w:val="0"/>
          <w:sz w:val="28"/>
          <w:szCs w:val="28"/>
          <w:lang w:eastAsia="zh-CN"/>
          <w14:textFill>
            <w14:solidFill>
              <w14:schemeClr w14:val="tx1"/>
            </w14:solidFill>
          </w14:textFill>
        </w:rPr>
      </w:pP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在大地构造上辖区处于</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"https://baike.baidu.com/item/%E4%B8%AD%E6%9C%9D%E5%87%86%E5%9C%B0%E5%8F%B0/7329443?fromModule=lemma_inlink"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中朝准地台</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燕山裙皱带东段南缘与华北拗陷区黄骅坳陷的交界地带。按地质力学观点，属于</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"https://baike.baidu.com/item/%E7%BA%AC%E5%90%91%E6%9E%84%E9%80%A0%E4%BD%93%E7%B3%BB/6948416?fromModule=lemma_inlink"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纬向构造体系</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"https://baike.baidu.com/item/%E6%96%B0%E5%8D%8E%E5%A4%8F%E6%9E%84%E9%80%A0%E4%BD%93%E7%B3%BB/6697691?fromModule=lemma_inlink"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新华夏构造体系</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、祁吕贺</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"https://baike.baidu.com/item/%E5%B1%B1%E5%AD%97%E5%9E%8B%E6%9E%84%E9%80%A0/3609033?fromModule=lemma_inlink"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山字型构造</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东翼反射弧三者的交汇部位，构造状态颇为复杂。</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"https://baike.baidu.com/item/%E7%87%95%E5%B1%B1%E8%BF%90%E5%8A%A8/3723529?fromModule=lemma_inlink"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燕山运动</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塑造了辖区的主要构造骨架，在经历了</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"https://baike.baidu.com/item/%E5%96%9C%E9%A9%AC%E6%8B%89%E9%9B%85%E8%BF%90%E5%8A%A8/3723644?fromModule=lemma_inlink"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喜马拉雅运动</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强烈的构造分异之后，</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"https://baike.baidu.com/item/%E6%99%9A%E7%AC%AC%E4%B8%89%E7%BA%AA/1196364?fromModule=lemma_inlink"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晚第三纪</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以来，北部继承性上升，南部继承性下降。在南北差异升降的同时，全区发育许多</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"https://baike.baidu.com/item/%E6%96%B0%E7%94%9F%E4%BB%A3/16794?fromModule=lemma_inlink"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新生代</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断裂，在覆盖区绝大部分为高角度正断层。如</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instrText xml:space="preserve"> HYPERLINK "https://baike.baidu.com/item/%E6%97%A9%E7%AC%AC%E4%B8%89%E7%BA%AA/620082?fromModule=lemma_inlink" \t "https://baike.baidu.com/item/_blank" </w:instrTex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早第三纪</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fldChar w:fldCharType="end"/>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活动、晚第三纪开始相对稳定的胡各庄断裂，晚第三纪及第四纪继承性活动的韩家庄南断裂，以及第四纪活动性好的韩家庄—沙河驿断裂、陡河断裂等。</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color w:val="000000" w:themeColor="text1"/>
          <w:kern w:val="0"/>
          <w:sz w:val="28"/>
          <w:szCs w:val="28"/>
          <w14:textFill>
            <w14:solidFill>
              <w14:schemeClr w14:val="tx1"/>
            </w14:solidFill>
          </w14:textFill>
        </w:rPr>
      </w:pP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color w:val="000000" w:themeColor="text1"/>
          <w:kern w:val="0"/>
          <w:sz w:val="28"/>
          <w:szCs w:val="28"/>
          <w14:textFill>
            <w14:solidFill>
              <w14:schemeClr w14:val="tx1"/>
            </w14:solidFill>
          </w14:textFill>
        </w:rPr>
        <w:t>2</w:t>
      </w: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color w:val="000000" w:themeColor="text1"/>
          <w:kern w:val="0"/>
          <w:sz w:val="28"/>
          <w:szCs w:val="28"/>
          <w14:textFill>
            <w14:solidFill>
              <w14:schemeClr w14:val="tx1"/>
            </w14:solidFill>
          </w14:textFill>
        </w:rPr>
        <w:t>气候气象</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eastAsia" w:ascii="Times New Roman" w:hAnsi="Times New Roman" w:eastAsia="宋体" w:cs="Times New Roman"/>
          <w:color w:val="000000" w:themeColor="text1"/>
          <w:kern w:val="0"/>
          <w:sz w:val="28"/>
          <w:szCs w:val="28"/>
          <w:lang w:eastAsia="zh-CN"/>
          <w14:textFill>
            <w14:solidFill>
              <w14:schemeClr w14:val="tx1"/>
            </w14:solidFill>
          </w14:textFill>
        </w:rPr>
      </w:pPr>
      <w:r>
        <w:rPr>
          <w:rFonts w:hint="eastAsia" w:ascii="Times New Roman" w:hAnsi="Times New Roman" w:eastAsia="宋体" w:cs="Times New Roman"/>
          <w:color w:val="000000" w:themeColor="text1"/>
          <w:kern w:val="0"/>
          <w:sz w:val="28"/>
          <w:szCs w:val="28"/>
          <w:lang w:eastAsia="zh-CN"/>
          <w14:textFill>
            <w14:solidFill>
              <w14:schemeClr w14:val="tx1"/>
            </w14:solidFill>
          </w14:textFill>
        </w:rPr>
        <w:t>唐山市气候属暖温带半湿润大陆型季风性气候。春季风多雨少，蒸发量大，空气干燥，多旱。回暖快，一般年份3月下旬闻初雷。夏季高温高湿，雨水集中，多暴雨、冰雹、雷雨、大风等灾害性天气。秋季多晴好天气，气温变化大，降温快，风速小，空气清爽。冬季天气比较寒冷、干燥，降水稀少，盛刮西到西北风。</w:t>
      </w:r>
    </w:p>
    <w:p>
      <w:pPr>
        <w:adjustRightInd w:val="0"/>
        <w:snapToGrid w:val="0"/>
        <w:spacing w:line="360" w:lineRule="auto"/>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eastAsia" w:cs="Times New Roman"/>
          <w:color w:val="000000" w:themeColor="text1"/>
          <w:kern w:val="0"/>
          <w:sz w:val="28"/>
          <w:szCs w:val="28"/>
          <w:lang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3</w:t>
      </w:r>
      <w:r>
        <w:rPr>
          <w:rFonts w:hint="eastAsia" w:cs="Times New Roman"/>
          <w:color w:val="000000" w:themeColor="text1"/>
          <w:kern w:val="0"/>
          <w:sz w:val="28"/>
          <w:szCs w:val="28"/>
          <w:lang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地震烈度</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kern w:val="0"/>
          <w:sz w:val="28"/>
          <w:szCs w:val="28"/>
          <w14:textFill>
            <w14:solidFill>
              <w14:schemeClr w14:val="tx1"/>
            </w14:solidFill>
          </w14:textFill>
        </w:rPr>
        <w:t>地震烈度为</w:t>
      </w:r>
      <w:r>
        <w:rPr>
          <w:rFonts w:hint="eastAsia" w:cs="Times New Roman"/>
          <w:color w:val="000000" w:themeColor="text1"/>
          <w:kern w:val="0"/>
          <w:sz w:val="28"/>
          <w:szCs w:val="28"/>
          <w:lang w:val="en-US" w:eastAsia="zh-CN"/>
          <w14:textFill>
            <w14:solidFill>
              <w14:schemeClr w14:val="tx1"/>
            </w14:solidFill>
          </w14:textFill>
        </w:rPr>
        <w:t>8</w:t>
      </w:r>
      <w:r>
        <w:rPr>
          <w:rFonts w:hint="default" w:ascii="Times New Roman" w:hAnsi="Times New Roman" w:cs="Times New Roman"/>
          <w:color w:val="000000" w:themeColor="text1"/>
          <w:kern w:val="0"/>
          <w:sz w:val="28"/>
          <w:szCs w:val="28"/>
          <w14:textFill>
            <w14:solidFill>
              <w14:schemeClr w14:val="tx1"/>
            </w14:solidFill>
          </w14:textFill>
        </w:rPr>
        <w:t>度，设计基本地震加度速度值为0.</w:t>
      </w:r>
      <w:r>
        <w:rPr>
          <w:rFonts w:hint="eastAsia" w:cs="Times New Roman"/>
          <w:color w:val="000000" w:themeColor="text1"/>
          <w:kern w:val="0"/>
          <w:sz w:val="28"/>
          <w:szCs w:val="28"/>
          <w:lang w:val="en-US" w:eastAsia="zh-CN"/>
          <w14:textFill>
            <w14:solidFill>
              <w14:schemeClr w14:val="tx1"/>
            </w14:solidFill>
          </w14:textFill>
        </w:rPr>
        <w:t>2</w:t>
      </w:r>
      <w:r>
        <w:rPr>
          <w:rFonts w:hint="default" w:ascii="Times New Roman" w:hAnsi="Times New Roman" w:cs="Times New Roman"/>
          <w:color w:val="000000" w:themeColor="text1"/>
          <w:kern w:val="0"/>
          <w:sz w:val="28"/>
          <w:szCs w:val="28"/>
          <w14:textFill>
            <w14:solidFill>
              <w14:schemeClr w14:val="tx1"/>
            </w14:solidFill>
          </w14:textFill>
        </w:rPr>
        <w:t>0g，所属的设计抗震分组为第</w:t>
      </w:r>
      <w:r>
        <w:rPr>
          <w:rFonts w:hint="eastAsia" w:cs="Times New Roman"/>
          <w:color w:val="000000" w:themeColor="text1"/>
          <w:kern w:val="0"/>
          <w:sz w:val="28"/>
          <w:szCs w:val="28"/>
          <w:lang w:eastAsia="zh-CN"/>
          <w14:textFill>
            <w14:solidFill>
              <w14:schemeClr w14:val="tx1"/>
            </w14:solidFill>
          </w14:textFill>
        </w:rPr>
        <w:t>一</w:t>
      </w:r>
      <w:r>
        <w:rPr>
          <w:rFonts w:hint="default" w:ascii="Times New Roman" w:hAnsi="Times New Roman" w:cs="Times New Roman"/>
          <w:color w:val="000000" w:themeColor="text1"/>
          <w:kern w:val="0"/>
          <w:sz w:val="28"/>
          <w:szCs w:val="28"/>
          <w14:textFill>
            <w14:solidFill>
              <w14:schemeClr w14:val="tx1"/>
            </w14:solidFill>
          </w14:textFill>
        </w:rPr>
        <w:t>组。</w:t>
      </w:r>
    </w:p>
    <w:p>
      <w:pPr>
        <w:pStyle w:val="217"/>
        <w:adjustRightInd w:val="0"/>
        <w:snapToGrid w:val="0"/>
        <w:spacing w:after="0" w:line="360" w:lineRule="auto"/>
        <w:ind w:firstLine="560" w:firstLineChars="200"/>
        <w:rPr>
          <w:rFonts w:hint="default"/>
          <w:b/>
          <w:bCs/>
          <w:color w:val="auto"/>
          <w:sz w:val="28"/>
          <w:szCs w:val="28"/>
        </w:rPr>
      </w:pPr>
      <w:r>
        <w:rPr>
          <w:rFonts w:hint="default" w:ascii="Times New Roman" w:hAnsi="Times New Roman" w:cs="Times New Roman"/>
          <w:b/>
          <w:bCs/>
          <w:color w:val="auto"/>
          <w:sz w:val="28"/>
          <w:lang w:val="en-US" w:eastAsia="zh-CN"/>
        </w:rPr>
        <w:t>3</w:t>
      </w:r>
      <w:r>
        <w:rPr>
          <w:rFonts w:hint="eastAsia" w:ascii="宋体" w:hAnsi="宋体" w:eastAsia="宋体" w:cs="宋体"/>
          <w:b/>
          <w:bCs/>
          <w:color w:val="auto"/>
          <w:sz w:val="28"/>
          <w:lang w:eastAsia="zh-CN"/>
        </w:rPr>
        <w:t>.</w:t>
      </w:r>
      <w:r>
        <w:rPr>
          <w:rFonts w:hint="eastAsia"/>
          <w:b/>
          <w:bCs/>
          <w:color w:val="auto"/>
          <w:sz w:val="28"/>
          <w:szCs w:val="28"/>
        </w:rPr>
        <w:t>作业区域井场情况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评价过程中，</w:t>
      </w:r>
      <w:r>
        <w:rPr>
          <w:rFonts w:hint="eastAsia" w:cs="Times New Roman"/>
          <w:sz w:val="28"/>
          <w:szCs w:val="28"/>
          <w:lang w:eastAsia="zh-CN"/>
        </w:rPr>
        <w:t>海塔大修</w:t>
      </w:r>
      <w:r>
        <w:rPr>
          <w:rFonts w:hint="eastAsia" w:cs="Times New Roman"/>
          <w:sz w:val="28"/>
          <w:szCs w:val="28"/>
          <w:lang w:val="en-US" w:eastAsia="zh-CN"/>
        </w:rPr>
        <w:t>1队</w:t>
      </w:r>
      <w:r>
        <w:rPr>
          <w:rFonts w:hint="default" w:ascii="Times New Roman" w:hAnsi="Times New Roman" w:eastAsia="宋体" w:cs="Times New Roman"/>
          <w:sz w:val="28"/>
          <w:szCs w:val="28"/>
          <w:lang w:val="en-US" w:eastAsia="zh-CN"/>
        </w:rPr>
        <w:t>在高73-13井</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高10-11井</w:t>
      </w:r>
      <w:r>
        <w:rPr>
          <w:rFonts w:hint="default" w:ascii="Times New Roman" w:hAnsi="Times New Roman" w:eastAsia="宋体" w:cs="Times New Roman"/>
          <w:sz w:val="28"/>
          <w:szCs w:val="28"/>
        </w:rPr>
        <w:t>进行</w:t>
      </w:r>
      <w:r>
        <w:rPr>
          <w:rFonts w:hint="eastAsia" w:cs="Times New Roman"/>
          <w:sz w:val="28"/>
          <w:szCs w:val="28"/>
          <w:lang w:eastAsia="zh-CN"/>
        </w:rPr>
        <w:t>大修</w:t>
      </w:r>
      <w:r>
        <w:rPr>
          <w:rFonts w:hint="default" w:ascii="Times New Roman" w:hAnsi="Times New Roman" w:eastAsia="宋体" w:cs="Times New Roman"/>
          <w:sz w:val="28"/>
          <w:szCs w:val="28"/>
        </w:rPr>
        <w:t>作业</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val="en-US" w:eastAsia="zh-CN"/>
        </w:rPr>
        <w:t>高73-13井</w:t>
      </w:r>
      <w:r>
        <w:rPr>
          <w:rFonts w:hint="eastAsia" w:cs="Times New Roman"/>
          <w:sz w:val="28"/>
          <w:szCs w:val="28"/>
          <w:lang w:val="en-US" w:eastAsia="zh-CN"/>
        </w:rPr>
        <w:t>位于河北省唐山市滦南县境内，</w:t>
      </w:r>
      <w:r>
        <w:rPr>
          <w:rFonts w:hint="eastAsia" w:ascii="Times New Roman" w:hAnsi="Times New Roman" w:eastAsia="宋体" w:cs="Times New Roman"/>
          <w:sz w:val="28"/>
          <w:szCs w:val="28"/>
          <w:lang w:val="en-US" w:eastAsia="zh-CN"/>
        </w:rPr>
        <w:t>高10-11井</w:t>
      </w:r>
      <w:r>
        <w:rPr>
          <w:rFonts w:hint="eastAsia" w:cs="Times New Roman"/>
          <w:sz w:val="28"/>
          <w:szCs w:val="28"/>
          <w:lang w:val="en-US" w:eastAsia="zh-CN"/>
        </w:rPr>
        <w:t>位于河北省唐山市唐海县高尚堡村西北约2.2公里</w:t>
      </w:r>
      <w:r>
        <w:rPr>
          <w:rFonts w:hint="eastAsia" w:cs="Times New Roman"/>
          <w:sz w:val="28"/>
          <w:szCs w:val="28"/>
          <w:lang w:eastAsia="zh-CN"/>
        </w:rPr>
        <w:t>，</w:t>
      </w:r>
      <w:r>
        <w:rPr>
          <w:rFonts w:hint="default" w:ascii="Times New Roman" w:hAnsi="Times New Roman" w:eastAsia="宋体" w:cs="Times New Roman"/>
          <w:sz w:val="28"/>
          <w:szCs w:val="28"/>
        </w:rPr>
        <w:t>上述两口井道路状况良好</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井场四周设有警戒线，外部人员不能随便进入现场。井场内有值班站房。井场无污染，井口装置、生产设施配套齐全。井场照片如下：</w:t>
      </w:r>
    </w:p>
    <w:tbl>
      <w:tblPr>
        <w:tblStyle w:val="53"/>
        <w:tblW w:w="83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06" w:type="dxa"/>
          </w:tcPr>
          <w:p>
            <w:pPr>
              <w:keepNext w:val="0"/>
              <w:keepLines w:val="0"/>
              <w:suppressLineNumbers w:val="0"/>
              <w:adjustRightInd w:val="0"/>
              <w:snapToGrid w:val="0"/>
              <w:spacing w:before="0" w:beforeAutospacing="0" w:after="0" w:afterAutospacing="0" w:line="360" w:lineRule="auto"/>
              <w:ind w:left="0" w:right="0"/>
              <w:jc w:val="center"/>
              <w:rPr>
                <w:rFonts w:hint="eastAsia" w:eastAsia="宋体"/>
                <w:color w:val="0070C0"/>
                <w:lang w:eastAsia="zh-CN"/>
              </w:rPr>
            </w:pPr>
            <w:bookmarkStart w:id="29" w:name="_Hlk535843140"/>
            <w:bookmarkStart w:id="30" w:name="_Hlk535695075"/>
            <w:r>
              <w:rPr>
                <w:rFonts w:hint="eastAsia" w:eastAsia="宋体"/>
                <w:color w:val="0070C0"/>
                <w:lang w:eastAsia="zh-CN"/>
              </w:rPr>
              <w:drawing>
                <wp:inline distT="0" distB="0" distL="114300" distR="114300">
                  <wp:extent cx="5105400" cy="5958205"/>
                  <wp:effectExtent l="0" t="0" r="0" b="635"/>
                  <wp:docPr id="107" name="图片 107" descr="16587bfbb040eb3e8e643230fe97e1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16587bfbb040eb3e8e643230fe97e15c"/>
                          <pic:cNvPicPr>
                            <a:picLocks noChangeAspect="1"/>
                          </pic:cNvPicPr>
                        </pic:nvPicPr>
                        <pic:blipFill>
                          <a:blip r:embed="rId18"/>
                          <a:stretch>
                            <a:fillRect/>
                          </a:stretch>
                        </pic:blipFill>
                        <pic:spPr>
                          <a:xfrm>
                            <a:off x="0" y="0"/>
                            <a:ext cx="5105400" cy="595820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06" w:type="dxa"/>
          </w:tcPr>
          <w:p>
            <w:pPr>
              <w:keepNext w:val="0"/>
              <w:keepLines w:val="0"/>
              <w:suppressLineNumbers w:val="0"/>
              <w:adjustRightInd w:val="0"/>
              <w:snapToGrid w:val="0"/>
              <w:spacing w:before="0" w:beforeAutospacing="0" w:after="0" w:afterAutospacing="0" w:line="360" w:lineRule="auto"/>
              <w:ind w:left="0" w:right="0"/>
              <w:jc w:val="center"/>
              <w:rPr>
                <w:rFonts w:hint="eastAsia" w:eastAsia="宋体"/>
                <w:color w:val="0070C0"/>
                <w:lang w:eastAsia="zh-CN"/>
              </w:rPr>
            </w:pPr>
            <w:r>
              <w:rPr>
                <w:rFonts w:hint="eastAsia" w:eastAsia="宋体"/>
                <w:color w:val="0070C0"/>
                <w:lang w:eastAsia="zh-CN"/>
              </w:rPr>
              <w:drawing>
                <wp:inline distT="0" distB="0" distL="114300" distR="114300">
                  <wp:extent cx="5105400" cy="5584190"/>
                  <wp:effectExtent l="0" t="0" r="0" b="8890"/>
                  <wp:docPr id="108" name="图片 108" descr="7032e6a7b2feae94030366d77443bb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7032e6a7b2feae94030366d77443bb3b"/>
                          <pic:cNvPicPr>
                            <a:picLocks noChangeAspect="1"/>
                          </pic:cNvPicPr>
                        </pic:nvPicPr>
                        <pic:blipFill>
                          <a:blip r:embed="rId19"/>
                          <a:stretch>
                            <a:fillRect/>
                          </a:stretch>
                        </pic:blipFill>
                        <pic:spPr>
                          <a:xfrm>
                            <a:off x="0" y="0"/>
                            <a:ext cx="5105400" cy="5584190"/>
                          </a:xfrm>
                          <a:prstGeom prst="rect">
                            <a:avLst/>
                          </a:prstGeom>
                        </pic:spPr>
                      </pic:pic>
                    </a:graphicData>
                  </a:graphic>
                </wp:inline>
              </w:drawing>
            </w:r>
          </w:p>
        </w:tc>
      </w:tr>
      <w:bookmarkEnd w:id="2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06" w:type="dxa"/>
          </w:tcPr>
          <w:p>
            <w:pPr>
              <w:keepNext w:val="0"/>
              <w:keepLines w:val="0"/>
              <w:suppressLineNumbers w:val="0"/>
              <w:adjustRightInd w:val="0"/>
              <w:snapToGrid w:val="0"/>
              <w:spacing w:before="0" w:beforeAutospacing="0" w:after="0" w:afterAutospacing="0" w:line="360" w:lineRule="auto"/>
              <w:ind w:left="0" w:right="0"/>
              <w:jc w:val="center"/>
              <w:rPr>
                <w:rFonts w:hint="default"/>
                <w:b/>
                <w:color w:val="0070C0"/>
                <w:sz w:val="24"/>
              </w:rPr>
            </w:pPr>
            <w:r>
              <w:rPr>
                <w:rFonts w:hint="eastAsia"/>
                <w:b/>
                <w:bCs w:val="0"/>
                <w:color w:val="auto"/>
                <w:sz w:val="24"/>
                <w:lang w:val="en-US" w:eastAsia="zh-CN"/>
              </w:rPr>
              <w:t>图2-</w:t>
            </w:r>
            <w:r>
              <w:rPr>
                <w:rFonts w:hint="default"/>
                <w:b/>
                <w:bCs w:val="0"/>
                <w:color w:val="auto"/>
                <w:sz w:val="24"/>
                <w:lang w:val="es-MX" w:eastAsia="zh-CN"/>
              </w:rPr>
              <w:t>2</w:t>
            </w:r>
            <w:r>
              <w:rPr>
                <w:rFonts w:hint="eastAsia"/>
                <w:b/>
                <w:bCs w:val="0"/>
                <w:color w:val="auto"/>
                <w:sz w:val="24"/>
                <w:lang w:val="en-US" w:eastAsia="zh-CN"/>
              </w:rPr>
              <w:t xml:space="preserve"> </w:t>
            </w:r>
            <w:r>
              <w:rPr>
                <w:rFonts w:hint="eastAsia"/>
                <w:b/>
                <w:bCs w:val="0"/>
                <w:color w:val="auto"/>
                <w:sz w:val="24"/>
                <w:lang w:eastAsia="zh-CN"/>
              </w:rPr>
              <w:t>高</w:t>
            </w:r>
            <w:r>
              <w:rPr>
                <w:rFonts w:hint="eastAsia"/>
                <w:b/>
                <w:bCs w:val="0"/>
                <w:color w:val="auto"/>
                <w:sz w:val="24"/>
                <w:lang w:val="en-US" w:eastAsia="zh-CN"/>
              </w:rPr>
              <w:t>73-</w:t>
            </w:r>
            <w:r>
              <w:rPr>
                <w:rFonts w:hint="eastAsia"/>
                <w:b/>
                <w:bCs w:val="0"/>
                <w:color w:val="auto"/>
                <w:sz w:val="24"/>
              </w:rPr>
              <w:t>-</w:t>
            </w:r>
            <w:r>
              <w:rPr>
                <w:rFonts w:hint="eastAsia"/>
                <w:b/>
                <w:bCs w:val="0"/>
                <w:color w:val="auto"/>
                <w:sz w:val="24"/>
                <w:lang w:val="en-US" w:eastAsia="zh-CN"/>
              </w:rPr>
              <w:t>13</w:t>
            </w:r>
            <w:r>
              <w:rPr>
                <w:rFonts w:hint="eastAsia"/>
                <w:b/>
                <w:bCs w:val="0"/>
                <w:color w:val="auto"/>
                <w:sz w:val="24"/>
              </w:rPr>
              <w:t>井作业现场</w:t>
            </w:r>
          </w:p>
        </w:tc>
      </w:tr>
      <w:bookmarkEnd w:id="30"/>
    </w:tbl>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eastAsia" w:ascii="Times New Roman" w:hAnsi="Times New Roman"/>
          <w:b w:val="0"/>
          <w:bCs/>
          <w:color w:val="000000" w:themeColor="text1"/>
          <w:szCs w:val="32"/>
          <w14:textFill>
            <w14:solidFill>
              <w14:schemeClr w14:val="tx1"/>
            </w14:solidFill>
          </w14:textFill>
        </w:rPr>
      </w:pPr>
      <w:bookmarkStart w:id="31" w:name="_Toc25998"/>
      <w:r>
        <w:rPr>
          <w:rFonts w:hint="eastAsia" w:ascii="Times New Roman" w:hAnsi="Times New Roman"/>
          <w:b w:val="0"/>
          <w:bCs/>
          <w:color w:val="000000" w:themeColor="text1"/>
          <w:szCs w:val="32"/>
          <w14:textFill>
            <w14:solidFill>
              <w14:schemeClr w14:val="tx1"/>
            </w14:solidFill>
          </w14:textFill>
        </w:rPr>
        <w:t>2.4 安全生产管理机构的设置和安全生产管理人员的配备</w:t>
      </w:r>
      <w:bookmarkEnd w:id="31"/>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color w:val="000000" w:themeColor="text1"/>
          <w:sz w:val="28"/>
          <w:szCs w:val="28"/>
          <w:lang w:val="en-US" w:eastAsia="zh-CN"/>
          <w14:textFill>
            <w14:solidFill>
              <w14:schemeClr w14:val="tx1"/>
            </w14:solidFill>
          </w14:textFill>
        </w:rPr>
      </w:pPr>
      <w:r>
        <w:rPr>
          <w:rFonts w:hint="eastAsia"/>
          <w:color w:val="000000" w:themeColor="text1"/>
          <w:sz w:val="28"/>
          <w:szCs w:val="28"/>
          <w14:textFill>
            <w14:solidFill>
              <w14:schemeClr w14:val="tx1"/>
            </w14:solidFill>
          </w14:textFill>
        </w:rPr>
        <w:t>综上，该公司安全生产管理机构的设置和专职安全生产管理人员的配备情况符合相关要求。</w:t>
      </w:r>
      <w:r>
        <w:rPr>
          <w:rFonts w:hint="eastAsia"/>
          <w:color w:val="000000" w:themeColor="text1"/>
          <w:sz w:val="28"/>
          <w:szCs w:val="28"/>
          <w:lang w:val="en-US" w:eastAsia="zh-CN"/>
          <w14:textFill>
            <w14:solidFill>
              <w14:schemeClr w14:val="tx1"/>
            </w14:solidFill>
          </w14:textFill>
        </w:rPr>
        <w:t>注册安全工程师证书见报告附件3。</w:t>
      </w:r>
    </w:p>
    <w:p>
      <w:pPr>
        <w:pStyle w:val="4"/>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32" w:name="_Toc116"/>
      <w:r>
        <w:rPr>
          <w:rFonts w:hint="eastAsia" w:ascii="Times New Roman" w:hAnsi="Times New Roman"/>
          <w:b w:val="0"/>
          <w:bCs/>
          <w:color w:val="000000" w:themeColor="text1"/>
          <w:szCs w:val="32"/>
          <w14:textFill>
            <w14:solidFill>
              <w14:schemeClr w14:val="tx1"/>
            </w14:solidFill>
          </w14:textFill>
        </w:rPr>
        <w:t>2.</w:t>
      </w:r>
      <w:r>
        <w:rPr>
          <w:rFonts w:ascii="Times New Roman" w:hAnsi="Times New Roman"/>
          <w:b w:val="0"/>
          <w:bCs/>
          <w:color w:val="000000" w:themeColor="text1"/>
          <w:szCs w:val="32"/>
          <w14:textFill>
            <w14:solidFill>
              <w14:schemeClr w14:val="tx1"/>
            </w14:solidFill>
          </w14:textFill>
        </w:rPr>
        <w:t xml:space="preserve">5 </w:t>
      </w:r>
      <w:r>
        <w:rPr>
          <w:rFonts w:hint="eastAsia" w:ascii="Times New Roman" w:hAnsi="Times New Roman"/>
          <w:b w:val="0"/>
          <w:bCs/>
          <w:color w:val="000000" w:themeColor="text1"/>
          <w:szCs w:val="32"/>
          <w14:textFill>
            <w14:solidFill>
              <w14:schemeClr w14:val="tx1"/>
            </w14:solidFill>
          </w14:textFill>
        </w:rPr>
        <w:t>安全生产规章制度及操作规程</w:t>
      </w:r>
      <w:bookmarkEnd w:id="32"/>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公司自成立以来，建立健全了以安全生产责任制为主要内容的各项安全管理制度，根据本单位施工工艺、设备和岗位特点制定了各岗位安全操作规程，并汇编成册。</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000000" w:themeColor="text1"/>
          <w:kern w:val="0"/>
          <w:sz w:val="28"/>
          <w:szCs w:val="28"/>
          <w:highlight w:val="none"/>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2.</w:t>
      </w:r>
      <w:r>
        <w:rPr>
          <w:rFonts w:eastAsia="黑体"/>
          <w:b w:val="0"/>
          <w:snapToGrid w:val="0"/>
          <w:color w:val="000000" w:themeColor="text1"/>
          <w:kern w:val="0"/>
          <w:sz w:val="28"/>
          <w:szCs w:val="28"/>
          <w14:textFill>
            <w14:solidFill>
              <w14:schemeClr w14:val="tx1"/>
            </w14:solidFill>
          </w14:textFill>
        </w:rPr>
        <w:t>5</w:t>
      </w:r>
      <w:r>
        <w:rPr>
          <w:rFonts w:hint="eastAsia" w:eastAsia="黑体"/>
          <w:b w:val="0"/>
          <w:snapToGrid w:val="0"/>
          <w:color w:val="000000" w:themeColor="text1"/>
          <w:kern w:val="0"/>
          <w:sz w:val="28"/>
          <w:szCs w:val="28"/>
          <w14:textFill>
            <w14:solidFill>
              <w14:schemeClr w14:val="tx1"/>
            </w14:solidFill>
          </w14:textFill>
        </w:rPr>
        <w:t>.</w:t>
      </w:r>
      <w:r>
        <w:rPr>
          <w:rFonts w:eastAsia="黑体"/>
          <w:b w:val="0"/>
          <w:snapToGrid w:val="0"/>
          <w:color w:val="000000" w:themeColor="text1"/>
          <w:kern w:val="0"/>
          <w:sz w:val="28"/>
          <w:szCs w:val="28"/>
          <w14:textFill>
            <w14:solidFill>
              <w14:schemeClr w14:val="tx1"/>
            </w14:solidFill>
          </w14:textFill>
        </w:rPr>
        <w:t xml:space="preserve">1 </w:t>
      </w:r>
      <w:r>
        <w:rPr>
          <w:rFonts w:hint="eastAsia" w:eastAsia="黑体"/>
          <w:b w:val="0"/>
          <w:snapToGrid w:val="0"/>
          <w:color w:val="000000" w:themeColor="text1"/>
          <w:kern w:val="0"/>
          <w:sz w:val="28"/>
          <w:szCs w:val="28"/>
          <w:highlight w:val="none"/>
          <w14:textFill>
            <w14:solidFill>
              <w14:schemeClr w14:val="tx1"/>
            </w14:solidFill>
          </w14:textFill>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安全生产责任制是根据我国的安全生产方针“安全第一，预防为主，综合治理”和安全生产法规建立的各级领导、部门</w:t>
      </w:r>
      <w:r>
        <w:rPr>
          <w:rFonts w:hint="eastAsia"/>
          <w:color w:val="000000" w:themeColor="text1"/>
          <w:sz w:val="28"/>
          <w:szCs w:val="28"/>
          <w:lang w:eastAsia="zh-CN"/>
          <w14:textFill>
            <w14:solidFill>
              <w14:schemeClr w14:val="tx1"/>
            </w14:solidFill>
          </w14:textFill>
        </w:rPr>
        <w:t>员工</w:t>
      </w:r>
      <w:r>
        <w:rPr>
          <w:rFonts w:hint="eastAsia"/>
          <w:color w:val="000000" w:themeColor="text1"/>
          <w:sz w:val="28"/>
          <w:szCs w:val="28"/>
          <w14:textFill>
            <w14:solidFill>
              <w14:schemeClr w14:val="tx1"/>
            </w14:solidFill>
          </w14:textFill>
        </w:rPr>
        <w:t>、岗位操作人员在劳动生产过程中对安全生产层层负责的制度。安全生产责任制是企业岗位责任制的一个组成部分，是企业中最基本的一项安全制度，也是企业安全生产、劳动保护管理制度的核心。该公司已经建立的安全生产责任制主要包括：</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126"/>
        <w:adjustRightInd w:val="0"/>
        <w:snapToGrid w:val="0"/>
        <w:spacing w:line="360" w:lineRule="auto"/>
        <w:ind w:firstLine="560"/>
        <w:rPr>
          <w:rFonts w:hint="eastAsia"/>
          <w:color w:val="0070C0"/>
          <w:sz w:val="28"/>
          <w:szCs w:val="28"/>
        </w:rPr>
      </w:pPr>
      <w:r>
        <w:rPr>
          <w:rFonts w:hint="eastAsia"/>
          <w:color w:val="auto"/>
          <w:sz w:val="28"/>
          <w:szCs w:val="28"/>
        </w:rPr>
        <w:t>该公司已经建立了从</w:t>
      </w:r>
      <w:r>
        <w:rPr>
          <w:rFonts w:hint="eastAsia"/>
          <w:color w:val="auto"/>
          <w:sz w:val="28"/>
          <w:szCs w:val="28"/>
          <w:lang w:val="en-US" w:eastAsia="zh-CN"/>
        </w:rPr>
        <w:t>总</w:t>
      </w:r>
      <w:r>
        <w:rPr>
          <w:rFonts w:hint="eastAsia"/>
          <w:color w:val="auto"/>
          <w:sz w:val="28"/>
          <w:szCs w:val="28"/>
        </w:rPr>
        <w:t>经理到一般员工的</w:t>
      </w:r>
      <w:r>
        <w:rPr>
          <w:rFonts w:hint="eastAsia"/>
          <w:color w:val="auto"/>
          <w:sz w:val="28"/>
          <w:szCs w:val="28"/>
          <w:lang w:eastAsia="zh-CN"/>
        </w:rPr>
        <w:t>全员</w:t>
      </w:r>
      <w:r>
        <w:rPr>
          <w:rFonts w:hint="eastAsia"/>
          <w:color w:val="auto"/>
          <w:sz w:val="28"/>
          <w:szCs w:val="28"/>
        </w:rPr>
        <w:t>安全生产责任制，符</w:t>
      </w:r>
      <w:r>
        <w:rPr>
          <w:rFonts w:hint="eastAsia"/>
          <w:color w:val="000000" w:themeColor="text1"/>
          <w:sz w:val="28"/>
          <w:szCs w:val="28"/>
          <w14:textFill>
            <w14:solidFill>
              <w14:schemeClr w14:val="tx1"/>
            </w14:solidFill>
          </w14:textFill>
        </w:rPr>
        <w:t>合</w:t>
      </w:r>
      <w:r>
        <w:rPr>
          <w:rFonts w:hint="default" w:ascii="Times New Roman" w:hAnsi="Times New Roman" w:cs="Times New Roman"/>
          <w:color w:val="000000" w:themeColor="text1"/>
          <w:sz w:val="28"/>
          <w:szCs w:val="28"/>
          <w:highlight w:val="none"/>
          <w14:textFill>
            <w14:solidFill>
              <w14:schemeClr w14:val="tx1"/>
            </w14:solidFill>
          </w14:textFill>
        </w:rPr>
        <w:t>《中华人民共和国安全生产法》（主席令[20</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21</w:t>
      </w:r>
      <w:r>
        <w:rPr>
          <w:rFonts w:hint="default" w:ascii="Times New Roman" w:hAnsi="Times New Roman" w:cs="Times New Roman"/>
          <w:color w:val="000000" w:themeColor="text1"/>
          <w:sz w:val="28"/>
          <w:szCs w:val="28"/>
          <w:highlight w:val="none"/>
          <w14:textFill>
            <w14:solidFill>
              <w14:schemeClr w14:val="tx1"/>
            </w14:solidFill>
          </w14:textFill>
        </w:rPr>
        <w:t>]第</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88</w:t>
      </w:r>
      <w:r>
        <w:rPr>
          <w:rFonts w:hint="default" w:ascii="Times New Roman" w:hAnsi="Times New Roman" w:cs="Times New Roman"/>
          <w:color w:val="000000" w:themeColor="text1"/>
          <w:sz w:val="28"/>
          <w:szCs w:val="28"/>
          <w:highlight w:val="none"/>
          <w14:textFill>
            <w14:solidFill>
              <w14:schemeClr w14:val="tx1"/>
            </w14:solidFill>
          </w14:textFill>
        </w:rPr>
        <w:t>号）</w:t>
      </w:r>
      <w:r>
        <w:rPr>
          <w:rFonts w:hint="eastAsia" w:cs="Times New Roman"/>
          <w:color w:val="000000" w:themeColor="text1"/>
          <w:sz w:val="28"/>
          <w:szCs w:val="28"/>
          <w:highlight w:val="none"/>
          <w:lang w:val="en-US" w:eastAsia="zh-CN"/>
          <w14:textFill>
            <w14:solidFill>
              <w14:schemeClr w14:val="tx1"/>
            </w14:solidFill>
          </w14:textFill>
        </w:rPr>
        <w:t>第二十二条</w:t>
      </w:r>
      <w:r>
        <w:rPr>
          <w:rFonts w:hint="eastAsia" w:cs="Times New Roman"/>
          <w:color w:val="000000" w:themeColor="text1"/>
          <w:sz w:val="28"/>
          <w:szCs w:val="28"/>
          <w:highlight w:val="none"/>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《山东省安全生产条例》（2021年12月3日山东省第十三届人民代表大会常务委员会第三十二次会议修订）第十六条、</w:t>
      </w:r>
      <w:r>
        <w:rPr>
          <w:rFonts w:hint="eastAsia"/>
          <w:color w:val="000000" w:themeColor="text1"/>
          <w:sz w:val="28"/>
          <w:szCs w:val="28"/>
          <w14:textFill>
            <w14:solidFill>
              <w14:schemeClr w14:val="tx1"/>
            </w14:solidFill>
          </w14:textFill>
        </w:rPr>
        <w:t>《山东省生产经营单位安全生产主体责任规定》（山东省人民政府令[2018]第311号）中第六条</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《关于印发山东省生产经营单位全员安全生产责任清单的通知》《鲁安办发[2021]50号》的要求，</w:t>
      </w:r>
      <w:r>
        <w:rPr>
          <w:rFonts w:hint="eastAsia"/>
          <w:color w:val="000000" w:themeColor="text1"/>
          <w:sz w:val="28"/>
          <w:szCs w:val="28"/>
          <w14:textFill>
            <w14:solidFill>
              <w14:schemeClr w14:val="tx1"/>
            </w14:solidFill>
          </w14:textFill>
        </w:rPr>
        <w:t>建议企业根据相关规范定期进行修订、完善。</w:t>
      </w:r>
    </w:p>
    <w:p>
      <w:pPr>
        <w:pStyle w:val="5"/>
        <w:adjustRightInd w:val="0"/>
        <w:snapToGrid w:val="0"/>
        <w:spacing w:before="0" w:after="0" w:line="360" w:lineRule="auto"/>
        <w:rPr>
          <w:rFonts w:eastAsia="黑体"/>
          <w:b w:val="0"/>
          <w:snapToGrid w:val="0"/>
          <w:color w:val="auto"/>
          <w:kern w:val="0"/>
          <w:sz w:val="28"/>
          <w:szCs w:val="28"/>
          <w:highlight w:val="none"/>
        </w:rPr>
      </w:pPr>
      <w:r>
        <w:rPr>
          <w:rFonts w:hint="eastAsia" w:eastAsia="黑体"/>
          <w:b w:val="0"/>
          <w:snapToGrid w:val="0"/>
          <w:color w:val="auto"/>
          <w:kern w:val="0"/>
          <w:sz w:val="28"/>
          <w:szCs w:val="28"/>
          <w:highlight w:val="none"/>
        </w:rPr>
        <w:t>2.</w:t>
      </w:r>
      <w:r>
        <w:rPr>
          <w:rFonts w:eastAsia="黑体"/>
          <w:b w:val="0"/>
          <w:snapToGrid w:val="0"/>
          <w:color w:val="auto"/>
          <w:kern w:val="0"/>
          <w:sz w:val="28"/>
          <w:szCs w:val="28"/>
          <w:highlight w:val="none"/>
        </w:rPr>
        <w:t>5</w:t>
      </w:r>
      <w:r>
        <w:rPr>
          <w:rFonts w:hint="eastAsia" w:eastAsia="黑体"/>
          <w:b w:val="0"/>
          <w:snapToGrid w:val="0"/>
          <w:color w:val="auto"/>
          <w:kern w:val="0"/>
          <w:sz w:val="28"/>
          <w:szCs w:val="28"/>
          <w:highlight w:val="none"/>
        </w:rPr>
        <w:t>.</w:t>
      </w:r>
      <w:r>
        <w:rPr>
          <w:rFonts w:eastAsia="黑体"/>
          <w:b w:val="0"/>
          <w:snapToGrid w:val="0"/>
          <w:color w:val="auto"/>
          <w:kern w:val="0"/>
          <w:sz w:val="28"/>
          <w:szCs w:val="28"/>
          <w:highlight w:val="none"/>
        </w:rPr>
        <w:t xml:space="preserve">2 </w:t>
      </w:r>
      <w:r>
        <w:rPr>
          <w:rFonts w:hint="eastAsia" w:eastAsia="黑体"/>
          <w:b w:val="0"/>
          <w:snapToGrid w:val="0"/>
          <w:color w:val="auto"/>
          <w:kern w:val="0"/>
          <w:sz w:val="28"/>
          <w:szCs w:val="28"/>
          <w:highlight w:val="none"/>
        </w:rPr>
        <w:t>安全管理制度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公司制定的安全管理制度有：</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126"/>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auto"/>
          <w:sz w:val="28"/>
        </w:rPr>
      </w:pPr>
      <w:r>
        <w:rPr>
          <w:rFonts w:hint="eastAsia"/>
          <w:color w:val="auto"/>
          <w:sz w:val="28"/>
          <w:lang w:eastAsia="zh-CN"/>
        </w:rPr>
        <w:t>海塔石油科技有限公司</w:t>
      </w:r>
      <w:r>
        <w:rPr>
          <w:rFonts w:hint="eastAsia"/>
          <w:color w:val="auto"/>
          <w:sz w:val="28"/>
        </w:rPr>
        <w:t>目前运行的安全管理制度健全，经相关负责人审核签发，安全管理制度涵盖了《非煤矿矿山企业安全生产许可证实施办法》（原国家安全监管总局令第20号，2015年安全监管总局令第78号修正）第六条、《山东省安全生产条例》（2021年12月3日山东省第十三届人民代表大会常务委员会第三十二次会议修订）第十五条、《山东省生产经营单位安全生产主体责任规定》（山东省人民政府令[2018]第311号）第七条等要求的各项制度，且运行情况良好，建议企业定期更新完善现有安全管理制度。</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表2-</w:t>
      </w:r>
      <w:r>
        <w:rPr>
          <w:rFonts w:hint="eastAsia" w:cs="Times New Roman"/>
          <w:b/>
          <w:bCs/>
          <w:sz w:val="24"/>
          <w:szCs w:val="24"/>
          <w:lang w:val="en-US" w:eastAsia="zh-CN"/>
        </w:rPr>
        <w:t>5</w:t>
      </w:r>
      <w:r>
        <w:rPr>
          <w:rFonts w:hint="default" w:ascii="Times New Roman" w:hAnsi="Times New Roman" w:eastAsia="宋体" w:cs="Times New Roman"/>
          <w:b/>
          <w:bCs/>
          <w:sz w:val="24"/>
          <w:szCs w:val="24"/>
          <w:lang w:val="en-US" w:eastAsia="zh-CN"/>
        </w:rPr>
        <w:t xml:space="preserve"> 制度要求对比一览表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rPr>
      </w:pPr>
      <w:r>
        <w:rPr>
          <w:rFonts w:hint="eastAsia"/>
          <w:color w:val="auto"/>
          <w:sz w:val="28"/>
          <w:szCs w:val="28"/>
          <w:lang w:val="en-US" w:eastAsia="zh-CN"/>
        </w:rPr>
        <w:t>涉及企业机密，不予公开。</w:t>
      </w:r>
    </w:p>
    <w:p>
      <w:pPr>
        <w:pStyle w:val="5"/>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eastAsia="黑体"/>
          <w:b w:val="0"/>
          <w:snapToGrid w:val="0"/>
          <w:color w:val="auto"/>
          <w:kern w:val="0"/>
          <w:sz w:val="28"/>
          <w:szCs w:val="28"/>
          <w:highlight w:val="none"/>
        </w:rPr>
      </w:pPr>
      <w:r>
        <w:rPr>
          <w:rFonts w:hint="eastAsia" w:eastAsia="黑体"/>
          <w:b w:val="0"/>
          <w:snapToGrid w:val="0"/>
          <w:color w:val="auto"/>
          <w:kern w:val="0"/>
          <w:sz w:val="28"/>
          <w:szCs w:val="28"/>
          <w:highlight w:val="none"/>
        </w:rPr>
        <w:t>2.</w:t>
      </w:r>
      <w:r>
        <w:rPr>
          <w:rFonts w:eastAsia="黑体"/>
          <w:b w:val="0"/>
          <w:snapToGrid w:val="0"/>
          <w:color w:val="auto"/>
          <w:kern w:val="0"/>
          <w:sz w:val="28"/>
          <w:szCs w:val="28"/>
          <w:highlight w:val="none"/>
        </w:rPr>
        <w:t>5</w:t>
      </w:r>
      <w:r>
        <w:rPr>
          <w:rFonts w:hint="eastAsia" w:eastAsia="黑体"/>
          <w:b w:val="0"/>
          <w:snapToGrid w:val="0"/>
          <w:color w:val="auto"/>
          <w:kern w:val="0"/>
          <w:sz w:val="28"/>
          <w:szCs w:val="28"/>
          <w:highlight w:val="none"/>
        </w:rPr>
        <w:t>.3</w:t>
      </w:r>
      <w:r>
        <w:rPr>
          <w:rFonts w:eastAsia="黑体"/>
          <w:b w:val="0"/>
          <w:snapToGrid w:val="0"/>
          <w:color w:val="auto"/>
          <w:kern w:val="0"/>
          <w:sz w:val="28"/>
          <w:szCs w:val="28"/>
          <w:highlight w:val="none"/>
        </w:rPr>
        <w:t xml:space="preserve"> </w:t>
      </w:r>
      <w:r>
        <w:rPr>
          <w:rFonts w:hint="eastAsia" w:eastAsia="黑体"/>
          <w:b w:val="0"/>
          <w:snapToGrid w:val="0"/>
          <w:color w:val="auto"/>
          <w:kern w:val="0"/>
          <w:sz w:val="28"/>
          <w:szCs w:val="28"/>
          <w:highlight w:val="none"/>
        </w:rPr>
        <w:t>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lang w:val="en-US" w:eastAsia="zh-CN"/>
        </w:rPr>
      </w:pPr>
      <w:r>
        <w:rPr>
          <w:rFonts w:hint="eastAsia"/>
          <w:color w:val="auto"/>
          <w:sz w:val="28"/>
        </w:rPr>
        <w:t>为了规范</w:t>
      </w:r>
      <w:r>
        <w:rPr>
          <w:rFonts w:hint="eastAsia"/>
          <w:color w:val="auto"/>
          <w:sz w:val="28"/>
          <w:lang w:val="en-US" w:eastAsia="zh-CN"/>
        </w:rPr>
        <w:t>大修作业</w:t>
      </w:r>
      <w:r>
        <w:rPr>
          <w:rFonts w:hint="eastAsia"/>
          <w:color w:val="auto"/>
          <w:sz w:val="28"/>
          <w:lang w:eastAsia="zh-CN"/>
        </w:rPr>
        <w:t>、井下复杂情况处理（打捞、堵漏）</w:t>
      </w:r>
      <w:r>
        <w:rPr>
          <w:rFonts w:hint="eastAsia"/>
          <w:color w:val="auto"/>
          <w:sz w:val="28"/>
        </w:rPr>
        <w:t>作业活动</w:t>
      </w:r>
      <w:r>
        <w:rPr>
          <w:rFonts w:hint="eastAsia"/>
          <w:color w:val="auto"/>
          <w:sz w:val="28"/>
          <w:lang w:val="en-US" w:eastAsia="zh-CN"/>
        </w:rPr>
        <w:t>及作业</w:t>
      </w:r>
      <w:r>
        <w:rPr>
          <w:rFonts w:hint="eastAsia"/>
          <w:color w:val="auto"/>
          <w:sz w:val="28"/>
        </w:rPr>
        <w:t>安全管理，降低作业中的风险，避免因作业造成的隐患，杜绝人身伤害和设备损坏事故的发生，</w:t>
      </w:r>
      <w:r>
        <w:rPr>
          <w:rFonts w:hint="eastAsia"/>
          <w:color w:val="auto"/>
          <w:sz w:val="28"/>
          <w:lang w:eastAsia="zh-CN"/>
        </w:rPr>
        <w:t>海塔石油科技有限公司</w:t>
      </w:r>
      <w:r>
        <w:rPr>
          <w:rFonts w:hint="eastAsia"/>
          <w:color w:val="auto"/>
          <w:sz w:val="28"/>
        </w:rPr>
        <w:t>结合公司实际情况编制</w:t>
      </w:r>
      <w:r>
        <w:rPr>
          <w:rFonts w:hint="eastAsia"/>
          <w:color w:val="auto"/>
          <w:sz w:val="28"/>
          <w:lang w:val="en-US" w:eastAsia="zh-CN"/>
        </w:rPr>
        <w:t>了《安全生产操作规程》（2022版）</w:t>
      </w:r>
      <w:r>
        <w:rPr>
          <w:rFonts w:hint="eastAsia"/>
          <w:color w:val="auto"/>
          <w:sz w:val="28"/>
          <w:lang w:eastAsia="zh-CN"/>
        </w:rPr>
        <w:t>，</w:t>
      </w:r>
      <w:r>
        <w:rPr>
          <w:rFonts w:hint="eastAsia"/>
          <w:color w:val="auto"/>
          <w:sz w:val="28"/>
          <w:lang w:val="en-US" w:eastAsia="zh-CN"/>
        </w:rPr>
        <w:t>包括岗位安全操作规程和作业操作规程。</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3"/>
        <w:rPr>
          <w:rFonts w:hint="eastAsia" w:ascii="黑体" w:hAnsi="黑体" w:eastAsia="黑体" w:cs="黑体"/>
          <w:b w:val="0"/>
          <w:bCs w:val="0"/>
          <w:color w:val="auto"/>
          <w:kern w:val="2"/>
          <w:szCs w:val="24"/>
          <w:lang w:val="en-US" w:eastAsia="zh-CN" w:bidi="ar-SA"/>
        </w:rPr>
      </w:pPr>
      <w:r>
        <w:rPr>
          <w:rFonts w:hint="default" w:ascii="Times New Roman" w:hAnsi="Times New Roman" w:eastAsia="黑体" w:cs="Times New Roman"/>
          <w:sz w:val="28"/>
          <w:szCs w:val="28"/>
          <w:lang w:val="en-US" w:eastAsia="zh-CN"/>
        </w:rPr>
        <w:t xml:space="preserve">2.5.3.1 </w:t>
      </w:r>
      <w:r>
        <w:rPr>
          <w:rFonts w:hint="eastAsia" w:eastAsia="黑体" w:cs="Times New Roman"/>
          <w:sz w:val="28"/>
          <w:szCs w:val="28"/>
          <w:lang w:val="en-US" w:eastAsia="zh-CN"/>
        </w:rPr>
        <w:t>岗位安全</w:t>
      </w:r>
      <w:r>
        <w:rPr>
          <w:rFonts w:hint="eastAsia" w:ascii="黑体" w:hAnsi="黑体" w:eastAsia="黑体" w:cs="黑体"/>
          <w:sz w:val="28"/>
          <w:szCs w:val="28"/>
          <w:lang w:val="en-US" w:eastAsia="zh-CN"/>
        </w:rPr>
        <w:t>操作规程</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61"/>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3"/>
        <w:rPr>
          <w:rFonts w:hint="eastAsia" w:ascii="Times New Roman" w:hAnsi="Times New Roman" w:eastAsia="宋体" w:cs="Times New Roman"/>
          <w:b/>
          <w:bCs/>
          <w:color w:val="auto"/>
          <w:kern w:val="2"/>
          <w:sz w:val="28"/>
          <w:szCs w:val="24"/>
          <w:lang w:val="en-US" w:eastAsia="zh-CN" w:bidi="ar-SA"/>
        </w:rPr>
      </w:pPr>
      <w:r>
        <w:rPr>
          <w:rFonts w:hint="eastAsia" w:ascii="Times New Roman" w:hAnsi="Times New Roman" w:eastAsia="黑体" w:cs="Times New Roman"/>
          <w:b w:val="0"/>
          <w:bCs w:val="0"/>
          <w:color w:val="auto"/>
          <w:kern w:val="2"/>
          <w:sz w:val="28"/>
          <w:szCs w:val="28"/>
          <w:lang w:val="en-US" w:eastAsia="zh-CN" w:bidi="ar-SA"/>
        </w:rPr>
        <w:t>2.5.3.2 作业操作规程</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tabs>
          <w:tab w:val="left" w:pos="0"/>
        </w:tabs>
        <w:adjustRightInd w:val="0"/>
        <w:snapToGrid w:val="0"/>
        <w:spacing w:line="360" w:lineRule="auto"/>
        <w:ind w:firstLine="560" w:firstLineChars="200"/>
        <w:rPr>
          <w:color w:val="0070C0"/>
          <w:sz w:val="28"/>
          <w:szCs w:val="28"/>
        </w:rPr>
      </w:pPr>
      <w:r>
        <w:rPr>
          <w:rFonts w:hint="default" w:ascii="Times New Roman" w:hAnsi="Times New Roman" w:cs="Times New Roman"/>
          <w:color w:val="000000" w:themeColor="text1"/>
          <w:sz w:val="28"/>
          <w:szCs w:val="28"/>
          <w14:textFill>
            <w14:solidFill>
              <w14:schemeClr w14:val="tx1"/>
            </w14:solidFill>
          </w14:textFill>
        </w:rPr>
        <w:t>企业制定</w:t>
      </w:r>
      <w:r>
        <w:rPr>
          <w:rFonts w:hint="eastAsia" w:cs="Times New Roman"/>
          <w:color w:val="000000" w:themeColor="text1"/>
          <w:sz w:val="28"/>
          <w:szCs w:val="28"/>
          <w:lang w:val="en-US" w:eastAsia="zh-CN"/>
          <w14:textFill>
            <w14:solidFill>
              <w14:schemeClr w14:val="tx1"/>
            </w14:solidFill>
          </w14:textFill>
        </w:rPr>
        <w:t>的</w:t>
      </w:r>
      <w:r>
        <w:rPr>
          <w:rFonts w:hint="default" w:ascii="Times New Roman" w:hAnsi="Times New Roman" w:cs="Times New Roman"/>
          <w:color w:val="000000" w:themeColor="text1"/>
          <w:sz w:val="28"/>
          <w:szCs w:val="28"/>
          <w14:textFill>
            <w14:solidFill>
              <w14:schemeClr w14:val="tx1"/>
            </w14:solidFill>
          </w14:textFill>
        </w:rPr>
        <w:t>安全操作规程，符合《山东省生产经营单位安全生产主体责任规定》（山东省人民政府令[2018]第311号）中第七条的要求，且现已执行。建议企业应根据企业的实际情况对其不断修订、完善。</w:t>
      </w:r>
    </w:p>
    <w:p>
      <w:pPr>
        <w:pStyle w:val="4"/>
        <w:adjustRightInd w:val="0"/>
        <w:snapToGrid w:val="0"/>
        <w:spacing w:before="0" w:after="0" w:line="360" w:lineRule="auto"/>
        <w:rPr>
          <w:rFonts w:ascii="Times New Roman" w:hAnsi="Times New Roman"/>
          <w:b w:val="0"/>
          <w:bCs/>
          <w:color w:val="auto"/>
          <w:szCs w:val="32"/>
        </w:rPr>
      </w:pPr>
      <w:bookmarkStart w:id="33" w:name="_Toc10503"/>
      <w:r>
        <w:rPr>
          <w:rFonts w:hint="eastAsia" w:ascii="Times New Roman" w:hAnsi="Times New Roman"/>
          <w:b w:val="0"/>
          <w:bCs/>
          <w:color w:val="auto"/>
          <w:szCs w:val="32"/>
        </w:rPr>
        <w:t>2.</w:t>
      </w:r>
      <w:r>
        <w:rPr>
          <w:rFonts w:ascii="Times New Roman" w:hAnsi="Times New Roman"/>
          <w:b w:val="0"/>
          <w:bCs/>
          <w:color w:val="auto"/>
          <w:szCs w:val="32"/>
        </w:rPr>
        <w:t xml:space="preserve">6 </w:t>
      </w:r>
      <w:r>
        <w:rPr>
          <w:rFonts w:hint="eastAsia" w:ascii="Times New Roman" w:hAnsi="Times New Roman"/>
          <w:b w:val="0"/>
          <w:bCs/>
          <w:color w:val="auto"/>
          <w:szCs w:val="32"/>
        </w:rPr>
        <w:t>安全投入情况</w:t>
      </w:r>
      <w:bookmarkEnd w:id="33"/>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eastAsia="宋体"/>
          <w:color w:val="auto"/>
          <w:sz w:val="28"/>
          <w:szCs w:val="28"/>
          <w:lang w:eastAsia="zh-CN"/>
        </w:rPr>
      </w:pPr>
      <w:r>
        <w:rPr>
          <w:rFonts w:hint="eastAsia" w:eastAsia="宋体"/>
          <w:color w:val="auto"/>
          <w:sz w:val="28"/>
          <w:szCs w:val="28"/>
          <w:lang w:eastAsia="zh-CN"/>
        </w:rPr>
        <w:t>公司在安全投入方面，执行《</w:t>
      </w:r>
      <w:r>
        <w:rPr>
          <w:rFonts w:hint="default" w:eastAsia="宋体"/>
          <w:color w:val="auto"/>
          <w:sz w:val="28"/>
          <w:szCs w:val="28"/>
          <w:lang w:eastAsia="zh-CN"/>
        </w:rPr>
        <w:t>企业安全生产费用提取和使用管理办法</w:t>
      </w:r>
      <w:r>
        <w:rPr>
          <w:rFonts w:hint="eastAsia" w:eastAsia="宋体"/>
          <w:color w:val="auto"/>
          <w:sz w:val="28"/>
          <w:szCs w:val="28"/>
          <w:lang w:eastAsia="zh-CN"/>
        </w:rPr>
        <w:t>》（财</w:t>
      </w:r>
      <w:r>
        <w:rPr>
          <w:rFonts w:hint="eastAsia" w:eastAsia="宋体"/>
          <w:color w:val="auto"/>
          <w:sz w:val="28"/>
          <w:szCs w:val="28"/>
          <w:lang w:val="en-US" w:eastAsia="zh-CN"/>
        </w:rPr>
        <w:t>资</w:t>
      </w:r>
      <w:r>
        <w:rPr>
          <w:rFonts w:hint="eastAsia" w:eastAsia="宋体"/>
          <w:color w:val="auto"/>
          <w:sz w:val="28"/>
          <w:szCs w:val="28"/>
          <w:lang w:eastAsia="zh-CN"/>
        </w:rPr>
        <w:t>[20</w:t>
      </w:r>
      <w:r>
        <w:rPr>
          <w:rFonts w:hint="eastAsia" w:eastAsia="宋体"/>
          <w:color w:val="auto"/>
          <w:sz w:val="28"/>
          <w:szCs w:val="28"/>
          <w:lang w:val="en-US" w:eastAsia="zh-CN"/>
        </w:rPr>
        <w:t>22</w:t>
      </w:r>
      <w:r>
        <w:rPr>
          <w:rFonts w:hint="eastAsia" w:eastAsia="宋体"/>
          <w:color w:val="auto"/>
          <w:sz w:val="28"/>
          <w:szCs w:val="28"/>
          <w:lang w:eastAsia="zh-CN"/>
        </w:rPr>
        <w:t>]1</w:t>
      </w:r>
      <w:r>
        <w:rPr>
          <w:rFonts w:hint="eastAsia" w:eastAsia="宋体"/>
          <w:color w:val="auto"/>
          <w:sz w:val="28"/>
          <w:szCs w:val="28"/>
          <w:lang w:val="en-US" w:eastAsia="zh-CN"/>
        </w:rPr>
        <w:t>3</w:t>
      </w:r>
      <w:r>
        <w:rPr>
          <w:rFonts w:hint="eastAsia" w:eastAsia="宋体"/>
          <w:color w:val="auto"/>
          <w:sz w:val="28"/>
          <w:szCs w:val="28"/>
          <w:lang w:eastAsia="zh-CN"/>
        </w:rPr>
        <w:t>6号）</w:t>
      </w:r>
      <w:r>
        <w:rPr>
          <w:rFonts w:hint="eastAsia" w:eastAsia="宋体"/>
          <w:color w:val="auto"/>
          <w:sz w:val="28"/>
          <w:szCs w:val="28"/>
          <w:lang w:val="en-US" w:eastAsia="zh-CN"/>
        </w:rPr>
        <w:t>等</w:t>
      </w:r>
      <w:r>
        <w:rPr>
          <w:rFonts w:hint="eastAsia" w:eastAsia="宋体"/>
          <w:color w:val="auto"/>
          <w:sz w:val="28"/>
          <w:szCs w:val="28"/>
          <w:lang w:eastAsia="zh-CN"/>
        </w:rPr>
        <w:t>有关规定，按比例提取</w:t>
      </w:r>
      <w:r>
        <w:rPr>
          <w:rFonts w:hint="eastAsia" w:eastAsia="宋体"/>
          <w:color w:val="auto"/>
          <w:sz w:val="28"/>
          <w:szCs w:val="28"/>
          <w:lang w:val="en-US" w:eastAsia="zh-CN"/>
        </w:rPr>
        <w:t>安全生产费用</w:t>
      </w:r>
      <w:r>
        <w:rPr>
          <w:rFonts w:hint="eastAsia" w:eastAsia="宋体"/>
          <w:color w:val="auto"/>
          <w:sz w:val="28"/>
          <w:szCs w:val="28"/>
          <w:lang w:eastAsia="zh-CN"/>
        </w:rPr>
        <w:t>，</w:t>
      </w:r>
      <w:r>
        <w:rPr>
          <w:rFonts w:hint="eastAsia" w:eastAsia="宋体"/>
          <w:color w:val="auto"/>
          <w:sz w:val="28"/>
          <w:szCs w:val="28"/>
          <w:lang w:val="en-US" w:eastAsia="zh-CN"/>
        </w:rPr>
        <w:t>开设安全费用使用科目</w:t>
      </w:r>
      <w:r>
        <w:rPr>
          <w:rFonts w:hint="eastAsia" w:eastAsia="宋体"/>
          <w:color w:val="auto"/>
          <w:sz w:val="28"/>
          <w:szCs w:val="28"/>
          <w:lang w:eastAsia="zh-CN"/>
        </w:rPr>
        <w:t>，</w:t>
      </w:r>
      <w:r>
        <w:rPr>
          <w:rFonts w:hint="eastAsia" w:eastAsia="宋体"/>
          <w:color w:val="auto"/>
          <w:sz w:val="28"/>
          <w:szCs w:val="28"/>
          <w:lang w:val="en-US" w:eastAsia="zh-CN"/>
        </w:rPr>
        <w:t>专款专用，</w:t>
      </w:r>
      <w:r>
        <w:rPr>
          <w:rFonts w:hint="eastAsia" w:eastAsia="宋体"/>
          <w:color w:val="auto"/>
          <w:sz w:val="28"/>
          <w:szCs w:val="28"/>
          <w:lang w:eastAsia="zh-CN"/>
        </w:rPr>
        <w:t>确保安全方面的资金投入。</w:t>
      </w:r>
      <w:r>
        <w:rPr>
          <w:rFonts w:hint="eastAsia" w:eastAsia="宋体"/>
          <w:color w:val="auto"/>
          <w:sz w:val="28"/>
          <w:szCs w:val="28"/>
          <w:lang w:val="en-US" w:eastAsia="zh-CN"/>
        </w:rPr>
        <w:t>安全生产费用</w:t>
      </w:r>
      <w:r>
        <w:rPr>
          <w:rFonts w:hint="eastAsia" w:eastAsia="宋体"/>
          <w:color w:val="auto"/>
          <w:sz w:val="28"/>
          <w:szCs w:val="28"/>
          <w:lang w:eastAsia="zh-CN"/>
        </w:rPr>
        <w:t>主要用于完善、改造、维护安全设备、设施，配备应急救援器材、设备和现场作业人员安全防护物品支出，安全生产检查和评价，安全技能培训，安全生产责任保险及其他与安全生产直接相关的支出。</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adjustRightInd w:val="0"/>
        <w:snapToGrid w:val="0"/>
        <w:spacing w:line="360" w:lineRule="auto"/>
        <w:ind w:firstLine="560" w:firstLineChars="200"/>
        <w:rPr>
          <w:color w:val="0070C0"/>
          <w:sz w:val="24"/>
        </w:rPr>
      </w:pPr>
      <w:r>
        <w:rPr>
          <w:rFonts w:hint="default" w:ascii="Times New Roman" w:hAnsi="Times New Roman" w:cs="Times New Roman"/>
          <w:sz w:val="28"/>
        </w:rPr>
        <w:t>按照提取计划，</w:t>
      </w:r>
      <w:r>
        <w:rPr>
          <w:rFonts w:hint="eastAsia"/>
          <w:color w:val="auto"/>
          <w:sz w:val="28"/>
          <w:szCs w:val="28"/>
          <w:lang w:eastAsia="zh-CN"/>
        </w:rPr>
        <w:t>海塔石油科技有限公司</w:t>
      </w:r>
      <w:r>
        <w:rPr>
          <w:rFonts w:hint="default" w:ascii="Times New Roman" w:hAnsi="Times New Roman" w:cs="Times New Roman"/>
          <w:sz w:val="28"/>
        </w:rPr>
        <w:t>202</w:t>
      </w:r>
      <w:r>
        <w:rPr>
          <w:rFonts w:hint="eastAsia" w:cs="Times New Roman"/>
          <w:sz w:val="28"/>
          <w:lang w:val="en-US" w:eastAsia="zh-CN"/>
        </w:rPr>
        <w:t>3</w:t>
      </w:r>
      <w:r>
        <w:rPr>
          <w:rFonts w:hint="default" w:ascii="Times New Roman" w:hAnsi="Times New Roman" w:cs="Times New Roman"/>
          <w:sz w:val="28"/>
        </w:rPr>
        <w:t>年1-</w:t>
      </w:r>
      <w:r>
        <w:rPr>
          <w:rFonts w:hint="eastAsia" w:cs="Times New Roman"/>
          <w:sz w:val="28"/>
          <w:lang w:val="en-US" w:eastAsia="zh-CN"/>
        </w:rPr>
        <w:t>6</w:t>
      </w:r>
      <w:r>
        <w:rPr>
          <w:rFonts w:hint="default" w:ascii="Times New Roman" w:hAnsi="Times New Roman" w:cs="Times New Roman"/>
          <w:sz w:val="28"/>
        </w:rPr>
        <w:t>月份井下作业安全费用主要用于安全生产教育培训、</w:t>
      </w:r>
      <w:r>
        <w:rPr>
          <w:rFonts w:hint="eastAsia" w:cs="Times New Roman"/>
          <w:sz w:val="28"/>
          <w:lang w:eastAsia="zh-CN"/>
        </w:rPr>
        <w:t>安全设备设施购置</w:t>
      </w:r>
      <w:r>
        <w:rPr>
          <w:rFonts w:hint="default" w:ascii="Times New Roman" w:hAnsi="Times New Roman" w:cs="Times New Roman"/>
          <w:sz w:val="28"/>
        </w:rPr>
        <w:t>、</w:t>
      </w:r>
      <w:r>
        <w:rPr>
          <w:rFonts w:hint="eastAsia" w:cs="Times New Roman"/>
          <w:sz w:val="28"/>
          <w:lang w:val="en-US" w:eastAsia="zh-CN"/>
        </w:rPr>
        <w:t>安全生产责任险的购买</w:t>
      </w:r>
      <w:r>
        <w:rPr>
          <w:rFonts w:hint="default" w:ascii="Times New Roman" w:hAnsi="Times New Roman" w:cs="Times New Roman"/>
          <w:sz w:val="28"/>
        </w:rPr>
        <w:t>等方面，符合</w:t>
      </w:r>
      <w:r>
        <w:rPr>
          <w:rFonts w:hint="eastAsia" w:eastAsia="宋体"/>
          <w:color w:val="auto"/>
          <w:sz w:val="28"/>
          <w:szCs w:val="28"/>
          <w:lang w:eastAsia="zh-CN"/>
        </w:rPr>
        <w:t>《</w:t>
      </w:r>
      <w:r>
        <w:rPr>
          <w:rFonts w:hint="default" w:eastAsia="宋体"/>
          <w:color w:val="auto"/>
          <w:sz w:val="28"/>
          <w:szCs w:val="28"/>
          <w:lang w:eastAsia="zh-CN"/>
        </w:rPr>
        <w:t>企业安全生产费用提取和使用管理办法</w:t>
      </w:r>
      <w:r>
        <w:rPr>
          <w:rFonts w:hint="eastAsia" w:eastAsia="宋体"/>
          <w:color w:val="auto"/>
          <w:sz w:val="28"/>
          <w:szCs w:val="28"/>
          <w:lang w:eastAsia="zh-CN"/>
        </w:rPr>
        <w:t>》（财</w:t>
      </w:r>
      <w:r>
        <w:rPr>
          <w:rFonts w:hint="eastAsia" w:eastAsia="宋体"/>
          <w:color w:val="auto"/>
          <w:sz w:val="28"/>
          <w:szCs w:val="28"/>
          <w:lang w:val="en-US" w:eastAsia="zh-CN"/>
        </w:rPr>
        <w:t>资</w:t>
      </w:r>
      <w:r>
        <w:rPr>
          <w:rFonts w:hint="eastAsia" w:eastAsia="宋体"/>
          <w:color w:val="auto"/>
          <w:sz w:val="28"/>
          <w:szCs w:val="28"/>
          <w:lang w:eastAsia="zh-CN"/>
        </w:rPr>
        <w:t>[20</w:t>
      </w:r>
      <w:r>
        <w:rPr>
          <w:rFonts w:hint="eastAsia" w:eastAsia="宋体"/>
          <w:color w:val="auto"/>
          <w:sz w:val="28"/>
          <w:szCs w:val="28"/>
          <w:lang w:val="en-US" w:eastAsia="zh-CN"/>
        </w:rPr>
        <w:t>22</w:t>
      </w:r>
      <w:r>
        <w:rPr>
          <w:rFonts w:hint="eastAsia" w:eastAsia="宋体"/>
          <w:color w:val="auto"/>
          <w:sz w:val="28"/>
          <w:szCs w:val="28"/>
          <w:lang w:eastAsia="zh-CN"/>
        </w:rPr>
        <w:t>]1</w:t>
      </w:r>
      <w:r>
        <w:rPr>
          <w:rFonts w:hint="eastAsia" w:eastAsia="宋体"/>
          <w:color w:val="auto"/>
          <w:sz w:val="28"/>
          <w:szCs w:val="28"/>
          <w:lang w:val="en-US" w:eastAsia="zh-CN"/>
        </w:rPr>
        <w:t>3</w:t>
      </w:r>
      <w:r>
        <w:rPr>
          <w:rFonts w:hint="eastAsia" w:eastAsia="宋体"/>
          <w:color w:val="auto"/>
          <w:sz w:val="28"/>
          <w:szCs w:val="28"/>
          <w:lang w:eastAsia="zh-CN"/>
        </w:rPr>
        <w:t>6号）</w:t>
      </w:r>
      <w:r>
        <w:rPr>
          <w:rFonts w:hint="eastAsia"/>
          <w:color w:val="auto"/>
          <w:sz w:val="28"/>
          <w:szCs w:val="28"/>
          <w:lang w:eastAsia="zh-CN"/>
        </w:rPr>
        <w:t>、</w:t>
      </w:r>
      <w:r>
        <w:rPr>
          <w:rFonts w:hint="default" w:ascii="Times New Roman" w:hAnsi="Times New Roman" w:cs="Times New Roman"/>
          <w:sz w:val="28"/>
        </w:rPr>
        <w:t>《山东省生产经营单位安全生产主体责任规定》（山东省人民政府令[2018]第311号修订）等相关文件要求。</w:t>
      </w:r>
    </w:p>
    <w:p>
      <w:pPr>
        <w:pStyle w:val="4"/>
        <w:adjustRightInd w:val="0"/>
        <w:snapToGrid w:val="0"/>
        <w:spacing w:before="0" w:after="0" w:line="360" w:lineRule="auto"/>
        <w:rPr>
          <w:rFonts w:ascii="Times New Roman" w:hAnsi="Times New Roman"/>
          <w:b w:val="0"/>
          <w:bCs/>
          <w:color w:val="auto"/>
          <w:szCs w:val="32"/>
        </w:rPr>
      </w:pPr>
      <w:bookmarkStart w:id="34" w:name="_Toc29422"/>
      <w:r>
        <w:rPr>
          <w:rFonts w:hint="eastAsia" w:ascii="Times New Roman" w:hAnsi="Times New Roman"/>
          <w:b w:val="0"/>
          <w:bCs/>
          <w:color w:val="auto"/>
          <w:szCs w:val="32"/>
        </w:rPr>
        <w:t>2.</w:t>
      </w:r>
      <w:r>
        <w:rPr>
          <w:rFonts w:ascii="Times New Roman" w:hAnsi="Times New Roman"/>
          <w:b w:val="0"/>
          <w:bCs/>
          <w:color w:val="auto"/>
          <w:szCs w:val="32"/>
        </w:rPr>
        <w:t xml:space="preserve">7 </w:t>
      </w:r>
      <w:r>
        <w:rPr>
          <w:rFonts w:hint="eastAsia" w:ascii="Times New Roman" w:hAnsi="Times New Roman"/>
          <w:b w:val="0"/>
          <w:bCs/>
          <w:color w:val="auto"/>
          <w:szCs w:val="32"/>
        </w:rPr>
        <w:t>安全教育培训及人员持证情况</w:t>
      </w:r>
      <w:bookmarkEnd w:id="34"/>
    </w:p>
    <w:p>
      <w:pPr>
        <w:adjustRightInd w:val="0"/>
        <w:snapToGrid w:val="0"/>
        <w:spacing w:line="360" w:lineRule="auto"/>
        <w:ind w:firstLine="560" w:firstLineChars="200"/>
        <w:rPr>
          <w:rFonts w:hint="eastAsia"/>
          <w:color w:val="auto"/>
          <w:sz w:val="28"/>
        </w:rPr>
      </w:pPr>
      <w:r>
        <w:rPr>
          <w:rFonts w:hint="eastAsia"/>
          <w:color w:val="auto"/>
          <w:sz w:val="28"/>
        </w:rPr>
        <w:t>在安全教育培训方面，公司始终严格执行安全教育培训制度，本着“培训指导于生产，培训服务于生产”的指导思想，坚持“立足实际、突出重点、讲求实效”的工作原则，积极采取各种措施，有效的开展一系列安全教育培训工作。</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 xml:space="preserve">2.7.1 </w:t>
      </w:r>
      <w:r>
        <w:rPr>
          <w:rFonts w:hint="eastAsia" w:eastAsia="黑体"/>
          <w:b w:val="0"/>
          <w:snapToGrid w:val="0"/>
          <w:color w:val="auto"/>
          <w:kern w:val="0"/>
          <w:sz w:val="28"/>
          <w:szCs w:val="28"/>
        </w:rPr>
        <w:t>主要负责人和安全管理人员安全生产知识和管理能力及培训持证情况</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根据《中华人民共和国安全生产法》（主席令[2021]第88号）第二十</w:t>
      </w:r>
      <w:r>
        <w:rPr>
          <w:rFonts w:hint="default" w:ascii="Times New Roman" w:hAnsi="Times New Roman" w:cs="Times New Roman"/>
          <w:color w:val="000000" w:themeColor="text1"/>
          <w:sz w:val="28"/>
          <w:szCs w:val="28"/>
          <w:lang w:eastAsia="zh-CN"/>
          <w14:textFill>
            <w14:solidFill>
              <w14:schemeClr w14:val="tx1"/>
            </w14:solidFill>
          </w14:textFill>
        </w:rPr>
        <w:t>七</w:t>
      </w:r>
      <w:r>
        <w:rPr>
          <w:rFonts w:hint="default" w:ascii="Times New Roman" w:hAnsi="Times New Roman" w:cs="Times New Roman"/>
          <w:color w:val="000000" w:themeColor="text1"/>
          <w:sz w:val="28"/>
          <w:szCs w:val="28"/>
          <w14:textFill>
            <w14:solidFill>
              <w14:schemeClr w14:val="tx1"/>
            </w14:solidFill>
          </w14:textFill>
        </w:rPr>
        <w:t>条：“危险物品的生产、经营、储存、装卸单位以及矿山、金属冶炼、建筑施工、运输单位的主要负责人和安全生产管理人员，应当由主管的负有安全生产监督管理职责的部门对其安全生产知识和管理能力考核合格。危险物品的生产、储存、装卸单位以及矿山、金属冶炼单位应当有注册安全工程师从事安全生产管理工作”。</w:t>
      </w:r>
    </w:p>
    <w:p>
      <w:pPr>
        <w:adjustRightInd w:val="0"/>
        <w:snapToGrid w:val="0"/>
        <w:spacing w:line="360" w:lineRule="auto"/>
        <w:ind w:firstLine="560" w:firstLineChars="200"/>
        <w:rPr>
          <w:rFonts w:hint="eastAsia"/>
          <w:color w:val="0070C0"/>
          <w:sz w:val="28"/>
          <w:szCs w:val="28"/>
        </w:rPr>
      </w:pPr>
      <w:r>
        <w:rPr>
          <w:rFonts w:hint="default" w:ascii="Times New Roman" w:hAnsi="Times New Roman" w:cs="Times New Roman"/>
          <w:color w:val="000000" w:themeColor="text1"/>
          <w:sz w:val="28"/>
          <w:szCs w:val="28"/>
          <w14:textFill>
            <w14:solidFill>
              <w14:schemeClr w14:val="tx1"/>
            </w14:solidFill>
          </w14:textFill>
        </w:rPr>
        <w:t>《生产经营单位安全培训规定》（原国家安监总局令第3号，2015年修订）第二十四条：“煤矿、非煤矿山、危险化学品、烟花爆竹、金属冶炼等生产经营单位主要负责人和安全生产管理人员，自任职之日起6个月内，必须经安全生产监管监察部门对其安全生产知识和管理能力考核合格”。</w:t>
      </w:r>
    </w:p>
    <w:p>
      <w:pPr>
        <w:adjustRightInd w:val="0"/>
        <w:snapToGrid w:val="0"/>
        <w:spacing w:line="360" w:lineRule="auto"/>
        <w:ind w:firstLine="560" w:firstLineChars="200"/>
        <w:rPr>
          <w:rFonts w:hint="default"/>
          <w:color w:val="auto"/>
          <w:sz w:val="28"/>
          <w:szCs w:val="28"/>
          <w:lang w:val="en-US"/>
        </w:rPr>
      </w:pPr>
      <w:r>
        <w:rPr>
          <w:rFonts w:hint="eastAsia"/>
          <w:color w:val="auto"/>
          <w:sz w:val="28"/>
          <w:szCs w:val="28"/>
          <w:lang w:eastAsia="zh-CN"/>
        </w:rPr>
        <w:t>海塔石油科技有限公司</w:t>
      </w:r>
      <w:r>
        <w:rPr>
          <w:rFonts w:hint="eastAsia"/>
          <w:color w:val="auto"/>
          <w:sz w:val="28"/>
          <w:szCs w:val="28"/>
        </w:rPr>
        <w:t>主要负责人、安全管理人员经具有资质的单位培训，并经</w:t>
      </w:r>
      <w:r>
        <w:rPr>
          <w:rFonts w:hint="eastAsia"/>
          <w:color w:val="auto"/>
          <w:sz w:val="28"/>
          <w:szCs w:val="28"/>
          <w:lang w:eastAsia="zh-CN"/>
        </w:rPr>
        <w:t>应急管理部门</w:t>
      </w:r>
      <w:r>
        <w:rPr>
          <w:rFonts w:hint="eastAsia"/>
          <w:color w:val="auto"/>
          <w:sz w:val="28"/>
          <w:szCs w:val="28"/>
        </w:rPr>
        <w:t>考核合格，</w:t>
      </w:r>
      <w:r>
        <w:rPr>
          <w:rFonts w:hint="eastAsia"/>
          <w:color w:val="auto"/>
          <w:sz w:val="28"/>
          <w:szCs w:val="28"/>
          <w:highlight w:val="none"/>
          <w:lang w:val="en-US" w:eastAsia="zh-CN"/>
        </w:rPr>
        <w:t>各作业队队长作为队伍安全负责人，负责队伍生产过程中的安全管理工作，大修1队、技术服务队队长也经应急管理部门考核合格后取得安全管理人员合格证书。</w:t>
      </w:r>
      <w:r>
        <w:rPr>
          <w:rFonts w:hint="eastAsia"/>
          <w:color w:val="auto"/>
          <w:sz w:val="28"/>
          <w:szCs w:val="28"/>
          <w:highlight w:val="none"/>
        </w:rPr>
        <w:t>人员取证情况见下</w:t>
      </w:r>
      <w:r>
        <w:rPr>
          <w:rFonts w:hint="eastAsia"/>
          <w:color w:val="auto"/>
          <w:sz w:val="28"/>
          <w:szCs w:val="28"/>
        </w:rPr>
        <w:t>表</w:t>
      </w:r>
      <w:r>
        <w:rPr>
          <w:rFonts w:hint="eastAsia"/>
          <w:color w:val="auto"/>
          <w:sz w:val="28"/>
          <w:szCs w:val="28"/>
          <w:lang w:eastAsia="zh-CN"/>
        </w:rPr>
        <w:t>，</w:t>
      </w:r>
      <w:r>
        <w:rPr>
          <w:rFonts w:hint="eastAsia"/>
          <w:color w:val="auto"/>
          <w:sz w:val="28"/>
          <w:szCs w:val="28"/>
        </w:rPr>
        <w:t>另外，公司安全管理人员</w:t>
      </w:r>
      <w:r>
        <w:rPr>
          <w:rFonts w:hint="eastAsia"/>
          <w:color w:val="auto"/>
          <w:sz w:val="28"/>
          <w:szCs w:val="28"/>
          <w:lang w:val="en-US" w:eastAsia="zh-CN"/>
        </w:rPr>
        <w:t>张其生</w:t>
      </w:r>
      <w:r>
        <w:rPr>
          <w:rFonts w:hint="eastAsia"/>
          <w:color w:val="auto"/>
          <w:sz w:val="28"/>
          <w:szCs w:val="28"/>
        </w:rPr>
        <w:t>持有注册安全工程师执业资格证书，</w:t>
      </w:r>
      <w:bookmarkStart w:id="35" w:name="_Hlk1845950"/>
      <w:r>
        <w:rPr>
          <w:rFonts w:hint="default" w:ascii="Times New Roman" w:hAnsi="Times New Roman" w:cs="Times New Roman"/>
          <w:color w:val="000000" w:themeColor="text1"/>
          <w:sz w:val="28"/>
          <w:szCs w:val="28"/>
          <w14:textFill>
            <w14:solidFill>
              <w14:schemeClr w14:val="tx1"/>
            </w14:solidFill>
          </w14:textFill>
        </w:rPr>
        <w:t>符合《中华人民共和国安全生产法》（主席令[2021]第88号）第二十</w:t>
      </w:r>
      <w:r>
        <w:rPr>
          <w:rFonts w:hint="default" w:ascii="Times New Roman" w:hAnsi="Times New Roman" w:cs="Times New Roman"/>
          <w:color w:val="000000" w:themeColor="text1"/>
          <w:sz w:val="28"/>
          <w:szCs w:val="28"/>
          <w:lang w:eastAsia="zh-CN"/>
          <w14:textFill>
            <w14:solidFill>
              <w14:schemeClr w14:val="tx1"/>
            </w14:solidFill>
          </w14:textFill>
        </w:rPr>
        <w:t>七</w:t>
      </w:r>
      <w:r>
        <w:rPr>
          <w:rFonts w:hint="default" w:ascii="Times New Roman" w:hAnsi="Times New Roman" w:cs="Times New Roman"/>
          <w:color w:val="000000" w:themeColor="text1"/>
          <w:sz w:val="28"/>
          <w:szCs w:val="28"/>
          <w14:textFill>
            <w14:solidFill>
              <w14:schemeClr w14:val="tx1"/>
            </w14:solidFill>
          </w14:textFill>
        </w:rPr>
        <w:t>条的相关要求</w:t>
      </w:r>
      <w:r>
        <w:rPr>
          <w:rFonts w:hint="eastAsia" w:cs="Times New Roman"/>
          <w:color w:val="000000" w:themeColor="text1"/>
          <w:sz w:val="28"/>
          <w:szCs w:val="28"/>
          <w:lang w:eastAsia="zh-CN"/>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安全合格证件见报告附件4。</w:t>
      </w:r>
    </w:p>
    <w:bookmarkEnd w:id="35"/>
    <w:p>
      <w:pPr>
        <w:adjustRightInd w:val="0"/>
        <w:snapToGrid w:val="0"/>
        <w:spacing w:line="360" w:lineRule="auto"/>
        <w:jc w:val="center"/>
        <w:rPr>
          <w:rFonts w:hint="eastAsia"/>
          <w:b/>
          <w:bCs/>
          <w:color w:val="auto"/>
          <w:sz w:val="24"/>
          <w:szCs w:val="28"/>
        </w:rPr>
        <w:sectPr>
          <w:head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bCs/>
          <w:color w:val="auto"/>
          <w:sz w:val="24"/>
          <w:szCs w:val="28"/>
        </w:rPr>
      </w:pPr>
      <w:r>
        <w:rPr>
          <w:rFonts w:hint="eastAsia"/>
          <w:b/>
          <w:bCs/>
          <w:color w:val="auto"/>
          <w:sz w:val="24"/>
          <w:szCs w:val="28"/>
        </w:rPr>
        <w:t>表</w:t>
      </w:r>
      <w:r>
        <w:rPr>
          <w:b/>
          <w:bCs/>
          <w:color w:val="auto"/>
          <w:sz w:val="24"/>
          <w:szCs w:val="28"/>
        </w:rPr>
        <w:t>2</w:t>
      </w:r>
      <w:r>
        <w:rPr>
          <w:rFonts w:hint="eastAsia"/>
          <w:b/>
          <w:bCs/>
          <w:color w:val="auto"/>
          <w:sz w:val="24"/>
          <w:szCs w:val="28"/>
        </w:rPr>
        <w:t>-</w:t>
      </w:r>
      <w:r>
        <w:rPr>
          <w:rFonts w:hint="eastAsia"/>
          <w:b/>
          <w:bCs/>
          <w:color w:val="auto"/>
          <w:sz w:val="24"/>
          <w:szCs w:val="28"/>
          <w:lang w:val="en-US" w:eastAsia="zh-CN"/>
        </w:rPr>
        <w:t>7</w:t>
      </w:r>
      <w:r>
        <w:rPr>
          <w:b/>
          <w:bCs/>
          <w:color w:val="auto"/>
          <w:sz w:val="24"/>
          <w:szCs w:val="28"/>
        </w:rPr>
        <w:t xml:space="preserve"> </w:t>
      </w:r>
      <w:r>
        <w:rPr>
          <w:rFonts w:hint="eastAsia"/>
          <w:b/>
          <w:bCs/>
          <w:color w:val="auto"/>
          <w:sz w:val="24"/>
          <w:szCs w:val="28"/>
        </w:rPr>
        <w:t>主要负责人、安全管理人员取证情况一览表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auto"/>
          <w:sz w:val="28"/>
          <w:szCs w:val="28"/>
        </w:rPr>
      </w:pPr>
      <w:r>
        <w:rPr>
          <w:rFonts w:hint="eastAsia"/>
          <w:color w:val="auto"/>
          <w:sz w:val="28"/>
          <w:szCs w:val="28"/>
        </w:rPr>
        <w:t>综上，公司主要负责人和安全</w:t>
      </w:r>
      <w:r>
        <w:rPr>
          <w:rFonts w:hint="eastAsia"/>
          <w:color w:val="auto"/>
          <w:sz w:val="28"/>
          <w:szCs w:val="28"/>
          <w:lang w:eastAsia="zh-CN"/>
        </w:rPr>
        <w:t>生产</w:t>
      </w:r>
      <w:r>
        <w:rPr>
          <w:rFonts w:hint="eastAsia"/>
          <w:color w:val="auto"/>
          <w:sz w:val="28"/>
          <w:szCs w:val="28"/>
        </w:rPr>
        <w:t>管理人员安全生产知识和管理能力，培训持证情况符合相关要求。</w:t>
      </w:r>
    </w:p>
    <w:p>
      <w:pPr>
        <w:adjustRightInd w:val="0"/>
        <w:snapToGrid w:val="0"/>
        <w:spacing w:line="360" w:lineRule="auto"/>
        <w:jc w:val="center"/>
        <w:rPr>
          <w:rFonts w:hint="eastAsia"/>
          <w:b/>
          <w:bCs/>
          <w:color w:val="auto"/>
          <w:sz w:val="24"/>
          <w:szCs w:val="28"/>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5"/>
        <w:keepNext w:val="0"/>
        <w:keepLines w:val="0"/>
        <w:adjustRightInd w:val="0"/>
        <w:snapToGrid w:val="0"/>
        <w:spacing w:before="0" w:after="0" w:line="360" w:lineRule="auto"/>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2.7.2 特种作业人员教育培训及持证情况</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eastAsia"/>
          <w:color w:val="auto"/>
          <w:sz w:val="28"/>
          <w:szCs w:val="28"/>
          <w:lang w:val="en-US" w:eastAsia="zh-CN"/>
        </w:rPr>
        <w:t>涉及企业机密，不予公开。</w:t>
      </w:r>
    </w:p>
    <w:p>
      <w:pPr>
        <w:adjustRightInd w:val="0"/>
        <w:snapToGrid w:val="0"/>
        <w:spacing w:beforeLines="5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该企业涉及的特种作业</w:t>
      </w:r>
      <w:r>
        <w:rPr>
          <w:rFonts w:hint="eastAsia" w:cs="Times New Roman"/>
          <w:color w:val="000000" w:themeColor="text1"/>
          <w:sz w:val="28"/>
          <w:szCs w:val="28"/>
          <w:lang w:eastAsia="zh-CN"/>
          <w14:textFill>
            <w14:solidFill>
              <w14:schemeClr w14:val="tx1"/>
            </w14:solidFill>
          </w14:textFill>
        </w:rPr>
        <w:t>及特种设备作业人员均已取得相应的资格证书</w:t>
      </w:r>
      <w:r>
        <w:rPr>
          <w:rFonts w:hint="default" w:ascii="Times New Roman" w:hAnsi="Times New Roman" w:cs="Times New Roman"/>
          <w:color w:val="000000" w:themeColor="text1"/>
          <w:sz w:val="28"/>
          <w:szCs w:val="28"/>
          <w14:textFill>
            <w14:solidFill>
              <w14:schemeClr w14:val="tx1"/>
            </w14:solidFill>
          </w14:textFill>
        </w:rPr>
        <w:t>，证书均在复审有效期内，具有较高的安全知识、专业技术、职业卫生防护和应急救援知识。</w:t>
      </w:r>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2.7.</w:t>
      </w:r>
      <w:r>
        <w:rPr>
          <w:rFonts w:hint="eastAsia" w:eastAsia="黑体"/>
          <w:b w:val="0"/>
          <w:snapToGrid w:val="0"/>
          <w:color w:val="auto"/>
          <w:kern w:val="0"/>
          <w:sz w:val="28"/>
          <w:szCs w:val="28"/>
          <w:lang w:val="en-US" w:eastAsia="zh-CN"/>
        </w:rPr>
        <w:t>3</w:t>
      </w:r>
      <w:r>
        <w:rPr>
          <w:rFonts w:eastAsia="黑体"/>
          <w:b w:val="0"/>
          <w:snapToGrid w:val="0"/>
          <w:color w:val="auto"/>
          <w:kern w:val="0"/>
          <w:sz w:val="28"/>
          <w:szCs w:val="28"/>
        </w:rPr>
        <w:t xml:space="preserve"> </w:t>
      </w:r>
      <w:r>
        <w:rPr>
          <w:rFonts w:hint="eastAsia" w:eastAsia="黑体"/>
          <w:b w:val="0"/>
          <w:snapToGrid w:val="0"/>
          <w:color w:val="auto"/>
          <w:kern w:val="0"/>
          <w:sz w:val="28"/>
          <w:szCs w:val="28"/>
          <w:lang w:val="en-US" w:eastAsia="zh-CN"/>
        </w:rPr>
        <w:t>其他从业人员</w:t>
      </w:r>
      <w:r>
        <w:rPr>
          <w:rFonts w:hint="eastAsia" w:eastAsia="黑体"/>
          <w:b w:val="0"/>
          <w:snapToGrid w:val="0"/>
          <w:color w:val="auto"/>
          <w:kern w:val="0"/>
          <w:sz w:val="28"/>
          <w:szCs w:val="28"/>
        </w:rPr>
        <w:t>教育培训及持证情况</w:t>
      </w:r>
    </w:p>
    <w:p>
      <w:pPr>
        <w:keepNext w:val="0"/>
        <w:keepLines w:val="0"/>
        <w:pageBreakBefore w:val="0"/>
        <w:widowControl w:val="0"/>
        <w:wordWrap/>
        <w:bidi w:val="0"/>
        <w:adjustRightInd w:val="0"/>
        <w:snapToGrid w:val="0"/>
        <w:spacing w:line="360" w:lineRule="auto"/>
        <w:ind w:firstLine="560" w:firstLineChars="200"/>
        <w:rPr>
          <w:rFonts w:hint="eastAsia"/>
          <w:color w:val="000000" w:themeColor="text1"/>
          <w:sz w:val="28"/>
          <w14:textFill>
            <w14:solidFill>
              <w14:schemeClr w14:val="tx1"/>
            </w14:solidFill>
          </w14:textFill>
        </w:rPr>
      </w:pPr>
      <w:r>
        <w:rPr>
          <w:rFonts w:hint="eastAsia"/>
          <w:color w:val="auto"/>
          <w:sz w:val="28"/>
          <w:szCs w:val="28"/>
          <w:lang w:eastAsia="zh-CN"/>
        </w:rPr>
        <w:t>海塔石油科技有限公司</w:t>
      </w:r>
      <w:r>
        <w:rPr>
          <w:rFonts w:hint="eastAsia"/>
          <w:color w:val="000000" w:themeColor="text1"/>
          <w:sz w:val="28"/>
          <w:lang w:val="en-US" w:eastAsia="zh-CN"/>
          <w14:textFill>
            <w14:solidFill>
              <w14:schemeClr w14:val="tx1"/>
            </w14:solidFill>
          </w14:textFill>
        </w:rPr>
        <w:t>生产及安全管理人员，</w:t>
      </w:r>
      <w:r>
        <w:rPr>
          <w:rFonts w:hint="eastAsia"/>
          <w:color w:val="000000" w:themeColor="text1"/>
          <w:sz w:val="28"/>
          <w14:textFill>
            <w14:solidFill>
              <w14:schemeClr w14:val="tx1"/>
            </w14:solidFill>
          </w14:textFill>
        </w:rPr>
        <w:t>一线</w:t>
      </w:r>
      <w:r>
        <w:rPr>
          <w:rFonts w:hint="eastAsia"/>
          <w:color w:val="000000" w:themeColor="text1"/>
          <w:sz w:val="28"/>
          <w:lang w:val="en-US" w:eastAsia="zh-CN"/>
          <w14:textFill>
            <w14:solidFill>
              <w14:schemeClr w14:val="tx1"/>
            </w14:solidFill>
          </w14:textFill>
        </w:rPr>
        <w:t>作业</w:t>
      </w:r>
      <w:r>
        <w:rPr>
          <w:rFonts w:hint="eastAsia"/>
          <w:color w:val="000000" w:themeColor="text1"/>
          <w:sz w:val="28"/>
          <w14:textFill>
            <w14:solidFill>
              <w14:schemeClr w14:val="tx1"/>
            </w14:solidFill>
          </w14:textFill>
        </w:rPr>
        <w:t>人员均持有硫化氢防护培训合格证、井控培训合格证和健康安全环境管理培训证书</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具体持证情况见表</w:t>
      </w:r>
      <w:r>
        <w:rPr>
          <w:rFonts w:hint="eastAsia"/>
          <w:color w:val="000000" w:themeColor="text1"/>
          <w:sz w:val="28"/>
          <w:lang w:val="en-US" w:eastAsia="zh-CN"/>
          <w14:textFill>
            <w14:solidFill>
              <w14:schemeClr w14:val="tx1"/>
            </w14:solidFill>
          </w14:textFill>
        </w:rPr>
        <w:t>2-9</w:t>
      </w:r>
      <w:r>
        <w:rPr>
          <w:rFonts w:hint="eastAsia"/>
          <w:color w:val="000000" w:themeColor="text1"/>
          <w:sz w:val="28"/>
          <w14:textFill>
            <w14:solidFill>
              <w14:schemeClr w14:val="tx1"/>
            </w14:solidFill>
          </w14:textFill>
        </w:rPr>
        <w:t>，证书复印件见</w:t>
      </w:r>
      <w:r>
        <w:rPr>
          <w:rFonts w:hint="eastAsia"/>
          <w:color w:val="000000" w:themeColor="text1"/>
          <w:sz w:val="28"/>
          <w:highlight w:val="none"/>
          <w14:textFill>
            <w14:solidFill>
              <w14:schemeClr w14:val="tx1"/>
            </w14:solidFill>
          </w14:textFill>
        </w:rPr>
        <w:t>附件</w:t>
      </w:r>
      <w:r>
        <w:rPr>
          <w:rFonts w:hint="eastAsia"/>
          <w:color w:val="000000" w:themeColor="text1"/>
          <w:sz w:val="28"/>
          <w:highlight w:val="none"/>
          <w:lang w:val="en-US" w:eastAsia="zh-CN"/>
          <w14:textFill>
            <w14:solidFill>
              <w14:schemeClr w14:val="tx1"/>
            </w14:solidFill>
          </w14:textFill>
        </w:rPr>
        <w:t>6</w:t>
      </w:r>
      <w:r>
        <w:rPr>
          <w:rFonts w:hint="eastAsia"/>
          <w:color w:val="000000" w:themeColor="text1"/>
          <w:sz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lang w:val="en-US" w:eastAsia="zh-CN"/>
        </w:rPr>
      </w:pPr>
      <w:r>
        <w:rPr>
          <w:rFonts w:hint="eastAsia"/>
          <w:b/>
          <w:bCs/>
          <w:color w:val="000000" w:themeColor="text1"/>
          <w:sz w:val="24"/>
          <w:szCs w:val="28"/>
          <w:lang w:val="en-US" w:eastAsia="zh-CN"/>
          <w14:textFill>
            <w14:solidFill>
              <w14:schemeClr w14:val="tx1"/>
            </w14:solidFill>
          </w14:textFill>
        </w:rPr>
        <w:t>表2-9</w:t>
      </w:r>
      <w:r>
        <w:rPr>
          <w:rFonts w:hint="default"/>
          <w:b/>
          <w:bCs/>
          <w:color w:val="000000" w:themeColor="text1"/>
          <w:sz w:val="24"/>
          <w:szCs w:val="28"/>
          <w:lang w:val="es-MX" w:eastAsia="zh-CN"/>
          <w14:textFill>
            <w14:solidFill>
              <w14:schemeClr w14:val="tx1"/>
            </w14:solidFill>
          </w14:textFill>
        </w:rPr>
        <w:t xml:space="preserve"> </w:t>
      </w:r>
      <w:r>
        <w:rPr>
          <w:rFonts w:hint="eastAsia"/>
          <w:b/>
          <w:bCs/>
          <w:color w:val="000000" w:themeColor="text1"/>
          <w:sz w:val="24"/>
          <w:szCs w:val="28"/>
          <w:lang w:val="en-US" w:eastAsia="zh-CN"/>
          <w14:textFill>
            <w14:solidFill>
              <w14:schemeClr w14:val="tx1"/>
            </w14:solidFill>
          </w14:textFill>
        </w:rPr>
        <w:t>人员“三证”情况一览表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lang w:eastAsia="zh-CN"/>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lang w:val="en-US"/>
        </w:rPr>
      </w:pPr>
      <w:r>
        <w:rPr>
          <w:rFonts w:hint="eastAsia"/>
          <w:color w:val="auto"/>
          <w:sz w:val="28"/>
          <w:lang w:eastAsia="zh-CN"/>
        </w:rPr>
        <w:t>另外，为了加强技术服务队对于液压增力技术、高活性超微封窜堵漏剂理解和对操作规程的熟练掌握，海塔石油科技有限公司对技术服务队全体员工进行了相关的教育培训，教育培训记录详见附件</w:t>
      </w:r>
      <w:r>
        <w:rPr>
          <w:rFonts w:hint="eastAsia"/>
          <w:color w:val="auto"/>
          <w:sz w:val="28"/>
          <w:lang w:val="en-US" w:eastAsia="zh-CN"/>
        </w:rPr>
        <w:t>20。</w:t>
      </w:r>
    </w:p>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eastAsia" w:ascii="Times New Roman" w:hAnsi="Times New Roman" w:eastAsia="黑体"/>
          <w:b w:val="0"/>
          <w:bCs/>
          <w:color w:val="auto"/>
          <w:szCs w:val="32"/>
          <w:lang w:val="en-US" w:eastAsia="zh-CN"/>
        </w:rPr>
      </w:pPr>
      <w:bookmarkStart w:id="36" w:name="_Toc31751"/>
      <w:r>
        <w:rPr>
          <w:rFonts w:hint="eastAsia" w:ascii="Times New Roman" w:hAnsi="Times New Roman"/>
          <w:b w:val="0"/>
          <w:bCs/>
          <w:color w:val="auto"/>
          <w:szCs w:val="32"/>
        </w:rPr>
        <w:t>2.</w:t>
      </w:r>
      <w:r>
        <w:rPr>
          <w:rFonts w:ascii="Times New Roman" w:hAnsi="Times New Roman"/>
          <w:b w:val="0"/>
          <w:bCs/>
          <w:color w:val="auto"/>
          <w:szCs w:val="32"/>
        </w:rPr>
        <w:t xml:space="preserve">8 </w:t>
      </w:r>
      <w:r>
        <w:rPr>
          <w:rFonts w:hint="eastAsia" w:ascii="Times New Roman" w:hAnsi="Times New Roman"/>
          <w:b w:val="0"/>
          <w:bCs/>
          <w:color w:val="auto"/>
          <w:szCs w:val="32"/>
        </w:rPr>
        <w:t>人员保险</w:t>
      </w:r>
      <w:r>
        <w:rPr>
          <w:rFonts w:hint="eastAsia" w:ascii="Times New Roman" w:hAnsi="Times New Roman"/>
          <w:b w:val="0"/>
          <w:bCs/>
          <w:color w:val="auto"/>
          <w:szCs w:val="32"/>
          <w:lang w:val="en-US" w:eastAsia="zh-CN"/>
        </w:rPr>
        <w:t>情况</w:t>
      </w:r>
      <w:bookmarkEnd w:id="36"/>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eastAsia="宋体"/>
          <w:color w:val="auto"/>
          <w:sz w:val="28"/>
          <w:lang w:val="en-US" w:eastAsia="zh-CN"/>
        </w:rPr>
      </w:pPr>
      <w:r>
        <w:rPr>
          <w:rFonts w:hint="eastAsia"/>
          <w:color w:val="auto"/>
          <w:sz w:val="28"/>
          <w:lang w:eastAsia="zh-CN"/>
        </w:rPr>
        <w:t>海塔石油科技有限公司</w:t>
      </w:r>
      <w:r>
        <w:rPr>
          <w:rFonts w:hint="eastAsia"/>
          <w:color w:val="auto"/>
          <w:sz w:val="28"/>
          <w:szCs w:val="28"/>
        </w:rPr>
        <w:t>现有员工</w:t>
      </w:r>
      <w:r>
        <w:rPr>
          <w:rFonts w:hint="eastAsia"/>
          <w:color w:val="auto"/>
          <w:sz w:val="28"/>
          <w:szCs w:val="28"/>
          <w:lang w:val="en-US" w:eastAsia="zh-CN"/>
        </w:rPr>
        <w:t>32</w:t>
      </w:r>
      <w:r>
        <w:rPr>
          <w:rFonts w:hint="eastAsia"/>
          <w:color w:val="auto"/>
          <w:sz w:val="28"/>
          <w:szCs w:val="28"/>
        </w:rPr>
        <w:t>人，其中</w:t>
      </w:r>
      <w:r>
        <w:rPr>
          <w:rFonts w:hint="eastAsia"/>
          <w:color w:val="auto"/>
          <w:sz w:val="28"/>
          <w:szCs w:val="28"/>
          <w:lang w:val="en-US" w:eastAsia="zh-CN"/>
        </w:rPr>
        <w:t>30</w:t>
      </w:r>
      <w:r>
        <w:rPr>
          <w:rFonts w:hint="eastAsia"/>
          <w:color w:val="auto"/>
          <w:sz w:val="28"/>
          <w:szCs w:val="28"/>
        </w:rPr>
        <w:t>人</w:t>
      </w:r>
      <w:r>
        <w:rPr>
          <w:rFonts w:hint="eastAsia"/>
          <w:color w:val="auto"/>
          <w:sz w:val="28"/>
        </w:rPr>
        <w:t>在</w:t>
      </w:r>
      <w:r>
        <w:rPr>
          <w:rFonts w:hint="eastAsia"/>
          <w:color w:val="auto"/>
          <w:sz w:val="28"/>
          <w:lang w:eastAsia="zh-CN"/>
        </w:rPr>
        <w:t>海塔石油科技有限公司</w:t>
      </w:r>
      <w:r>
        <w:rPr>
          <w:rFonts w:hint="eastAsia"/>
          <w:color w:val="auto"/>
          <w:sz w:val="28"/>
        </w:rPr>
        <w:t>缴纳社会保险，</w:t>
      </w:r>
      <w:r>
        <w:rPr>
          <w:rFonts w:hint="eastAsia"/>
          <w:color w:val="auto"/>
          <w:sz w:val="28"/>
          <w:szCs w:val="28"/>
          <w:lang w:val="en-US" w:eastAsia="zh-CN"/>
        </w:rPr>
        <w:t>涉及企业机密，不予公开</w:t>
      </w:r>
      <w:r>
        <w:rPr>
          <w:rFonts w:hint="eastAsia"/>
          <w:color w:val="auto"/>
          <w:sz w:val="28"/>
          <w:lang w:val="en-US" w:eastAsia="zh-CN"/>
        </w:rPr>
        <w:t>。</w:t>
      </w:r>
    </w:p>
    <w:p>
      <w:pPr>
        <w:adjustRightInd w:val="0"/>
        <w:snapToGrid w:val="0"/>
        <w:spacing w:line="360" w:lineRule="auto"/>
        <w:ind w:firstLine="560" w:firstLineChars="200"/>
        <w:rPr>
          <w:color w:val="auto"/>
          <w:sz w:val="28"/>
        </w:rPr>
      </w:pPr>
      <w:r>
        <w:rPr>
          <w:rFonts w:hint="eastAsia"/>
          <w:color w:val="auto"/>
          <w:sz w:val="28"/>
        </w:rPr>
        <w:t>公司按照《工伤保险条例》</w:t>
      </w:r>
      <w:r>
        <w:rPr>
          <w:rFonts w:hint="eastAsia"/>
          <w:color w:val="auto"/>
          <w:sz w:val="28"/>
          <w:szCs w:val="28"/>
        </w:rPr>
        <w:t>（</w:t>
      </w:r>
      <w:r>
        <w:rPr>
          <w:color w:val="auto"/>
          <w:sz w:val="28"/>
          <w:szCs w:val="28"/>
        </w:rPr>
        <w:t>国务院令[20</w:t>
      </w:r>
      <w:r>
        <w:rPr>
          <w:rFonts w:hint="eastAsia"/>
          <w:color w:val="auto"/>
          <w:sz w:val="28"/>
          <w:szCs w:val="28"/>
        </w:rPr>
        <w:t>10</w:t>
      </w:r>
      <w:r>
        <w:rPr>
          <w:color w:val="auto"/>
          <w:sz w:val="28"/>
          <w:szCs w:val="28"/>
        </w:rPr>
        <w:t>]第</w:t>
      </w:r>
      <w:r>
        <w:rPr>
          <w:rFonts w:hint="eastAsia"/>
          <w:color w:val="auto"/>
          <w:sz w:val="28"/>
          <w:szCs w:val="28"/>
        </w:rPr>
        <w:t>586号）</w:t>
      </w:r>
      <w:r>
        <w:rPr>
          <w:rFonts w:hint="eastAsia"/>
          <w:color w:val="auto"/>
          <w:sz w:val="28"/>
        </w:rPr>
        <w:t>的有关规定，依法为职工办理了“五险”，按时、足额为职工缴纳工伤保险费。</w:t>
      </w:r>
      <w:r>
        <w:rPr>
          <w:rFonts w:hint="eastAsia"/>
          <w:color w:val="auto"/>
          <w:sz w:val="28"/>
          <w:lang w:val="en-US" w:eastAsia="zh-CN"/>
        </w:rPr>
        <w:t>参保证明</w:t>
      </w:r>
      <w:r>
        <w:rPr>
          <w:rFonts w:hint="eastAsia"/>
          <w:color w:val="auto"/>
          <w:sz w:val="28"/>
        </w:rPr>
        <w:t>详见</w:t>
      </w:r>
      <w:r>
        <w:rPr>
          <w:rFonts w:hint="eastAsia"/>
          <w:color w:val="auto"/>
          <w:sz w:val="28"/>
          <w:lang w:val="en-US" w:eastAsia="zh-CN"/>
        </w:rPr>
        <w:t>报告</w:t>
      </w:r>
      <w:r>
        <w:rPr>
          <w:rFonts w:hint="eastAsia"/>
          <w:color w:val="auto"/>
          <w:sz w:val="28"/>
        </w:rPr>
        <w:t>附件</w:t>
      </w:r>
      <w:r>
        <w:rPr>
          <w:rFonts w:hint="eastAsia"/>
          <w:color w:val="auto"/>
          <w:sz w:val="28"/>
          <w:lang w:val="en-US" w:eastAsia="zh-CN"/>
        </w:rPr>
        <w:t>7</w:t>
      </w:r>
      <w:r>
        <w:rPr>
          <w:rFonts w:hint="eastAsia"/>
          <w:color w:val="auto"/>
          <w:sz w:val="28"/>
        </w:rPr>
        <w:t>。另外，公司于2</w:t>
      </w:r>
      <w:r>
        <w:rPr>
          <w:color w:val="auto"/>
          <w:sz w:val="28"/>
        </w:rPr>
        <w:t>0</w:t>
      </w:r>
      <w:r>
        <w:rPr>
          <w:rFonts w:hint="eastAsia"/>
          <w:color w:val="auto"/>
          <w:sz w:val="28"/>
          <w:lang w:val="en-US" w:eastAsia="zh-CN"/>
        </w:rPr>
        <w:t>23</w:t>
      </w:r>
      <w:r>
        <w:rPr>
          <w:rFonts w:hint="eastAsia"/>
          <w:color w:val="auto"/>
          <w:sz w:val="28"/>
        </w:rPr>
        <w:t>年</w:t>
      </w:r>
      <w:r>
        <w:rPr>
          <w:rFonts w:hint="eastAsia"/>
          <w:color w:val="auto"/>
          <w:sz w:val="28"/>
          <w:lang w:val="en-US" w:eastAsia="zh-CN"/>
        </w:rPr>
        <w:t>2</w:t>
      </w:r>
      <w:r>
        <w:rPr>
          <w:rFonts w:hint="eastAsia"/>
          <w:color w:val="auto"/>
          <w:sz w:val="28"/>
        </w:rPr>
        <w:t>月</w:t>
      </w:r>
      <w:r>
        <w:rPr>
          <w:rFonts w:hint="eastAsia"/>
          <w:color w:val="auto"/>
          <w:sz w:val="28"/>
          <w:lang w:val="en-US" w:eastAsia="zh-CN"/>
        </w:rPr>
        <w:t>28</w:t>
      </w:r>
      <w:r>
        <w:rPr>
          <w:rFonts w:hint="eastAsia"/>
          <w:color w:val="auto"/>
          <w:sz w:val="28"/>
        </w:rPr>
        <w:t>日依法缴纳了安全生产责任险，</w:t>
      </w:r>
      <w:r>
        <w:rPr>
          <w:rFonts w:hint="eastAsia"/>
          <w:color w:val="auto"/>
          <w:sz w:val="28"/>
          <w:lang w:val="en-US" w:eastAsia="zh-CN"/>
        </w:rPr>
        <w:t>投保行业类别：石油天然气开采；</w:t>
      </w:r>
      <w:r>
        <w:rPr>
          <w:rFonts w:hint="eastAsia"/>
          <w:color w:val="auto"/>
          <w:sz w:val="28"/>
          <w:highlight w:val="none"/>
          <w:lang w:val="en-US" w:eastAsia="zh-CN"/>
        </w:rPr>
        <w:t>投保人数：32人；承保区域：海塔石油科技有限公司经营场所和所有施工作业区域</w:t>
      </w:r>
      <w:r>
        <w:rPr>
          <w:rFonts w:hint="eastAsia"/>
          <w:color w:val="auto"/>
          <w:sz w:val="28"/>
          <w:lang w:val="en-US" w:eastAsia="zh-CN"/>
        </w:rPr>
        <w:t>。安全生产责任保险投保保单</w:t>
      </w:r>
      <w:r>
        <w:rPr>
          <w:rFonts w:hint="eastAsia"/>
          <w:color w:val="auto"/>
          <w:sz w:val="28"/>
        </w:rPr>
        <w:t>详见</w:t>
      </w:r>
      <w:r>
        <w:rPr>
          <w:rFonts w:hint="eastAsia"/>
          <w:color w:val="auto"/>
          <w:sz w:val="28"/>
          <w:lang w:val="en-US" w:eastAsia="zh-CN"/>
        </w:rPr>
        <w:t>报告</w:t>
      </w:r>
      <w:r>
        <w:rPr>
          <w:rFonts w:hint="eastAsia"/>
          <w:color w:val="auto"/>
          <w:sz w:val="28"/>
        </w:rPr>
        <w:t>附件</w:t>
      </w:r>
      <w:r>
        <w:rPr>
          <w:rFonts w:hint="eastAsia"/>
          <w:color w:val="auto"/>
          <w:sz w:val="28"/>
          <w:lang w:val="en-US" w:eastAsia="zh-CN"/>
        </w:rPr>
        <w:t>8</w:t>
      </w:r>
      <w:r>
        <w:rPr>
          <w:rFonts w:hint="eastAsia"/>
          <w:color w:val="auto"/>
          <w:sz w:val="28"/>
        </w:rPr>
        <w:t>。</w:t>
      </w:r>
    </w:p>
    <w:p>
      <w:pPr>
        <w:pStyle w:val="4"/>
        <w:adjustRightInd w:val="0"/>
        <w:snapToGrid w:val="0"/>
        <w:spacing w:before="0" w:after="0" w:line="360" w:lineRule="auto"/>
        <w:rPr>
          <w:rFonts w:ascii="Times New Roman" w:hAnsi="Times New Roman"/>
          <w:b w:val="0"/>
          <w:bCs/>
          <w:color w:val="auto"/>
          <w:szCs w:val="32"/>
        </w:rPr>
      </w:pPr>
      <w:bookmarkStart w:id="37" w:name="_Toc22338"/>
      <w:r>
        <w:rPr>
          <w:rFonts w:hint="eastAsia" w:ascii="Times New Roman" w:hAnsi="Times New Roman"/>
          <w:b w:val="0"/>
          <w:bCs/>
          <w:color w:val="auto"/>
          <w:szCs w:val="32"/>
        </w:rPr>
        <w:t>2.</w:t>
      </w:r>
      <w:r>
        <w:rPr>
          <w:rFonts w:ascii="Times New Roman" w:hAnsi="Times New Roman"/>
          <w:b w:val="0"/>
          <w:bCs/>
          <w:color w:val="auto"/>
          <w:szCs w:val="32"/>
        </w:rPr>
        <w:t xml:space="preserve">9 </w:t>
      </w:r>
      <w:r>
        <w:rPr>
          <w:rFonts w:hint="eastAsia" w:ascii="Times New Roman" w:hAnsi="Times New Roman"/>
          <w:b w:val="0"/>
          <w:bCs/>
          <w:color w:val="auto"/>
          <w:szCs w:val="32"/>
        </w:rPr>
        <w:t>职业危害防护及劳保用品发放</w:t>
      </w:r>
      <w:bookmarkEnd w:id="37"/>
    </w:p>
    <w:p>
      <w:pPr>
        <w:adjustRightInd w:val="0"/>
        <w:snapToGrid w:val="0"/>
        <w:spacing w:line="360" w:lineRule="auto"/>
        <w:ind w:firstLine="560" w:firstLineChars="200"/>
        <w:rPr>
          <w:rFonts w:hint="eastAsia"/>
          <w:color w:val="000000" w:themeColor="text1"/>
          <w:sz w:val="28"/>
          <w:lang w:val="en-US" w:eastAsia="zh-CN"/>
          <w14:textFill>
            <w14:solidFill>
              <w14:schemeClr w14:val="tx1"/>
            </w14:solidFill>
          </w14:textFill>
        </w:rPr>
      </w:pPr>
      <w:r>
        <w:rPr>
          <w:rFonts w:hint="eastAsia"/>
          <w:color w:val="000000" w:themeColor="text1"/>
          <w:sz w:val="28"/>
          <w14:textFill>
            <w14:solidFill>
              <w14:schemeClr w14:val="tx1"/>
            </w14:solidFill>
          </w14:textFill>
        </w:rPr>
        <w:t>公司施工作业人员定期进行健康体检。在劳保用品发放方面，按照有关规定的要求，根据岗位特点，按规定向生产工人发放</w:t>
      </w:r>
      <w:r>
        <w:rPr>
          <w:rFonts w:hint="eastAsia"/>
          <w:color w:val="000000" w:themeColor="text1"/>
          <w:sz w:val="28"/>
          <w:lang w:eastAsia="zh-CN"/>
          <w14:textFill>
            <w14:solidFill>
              <w14:schemeClr w14:val="tx1"/>
            </w14:solidFill>
          </w14:textFill>
        </w:rPr>
        <w:t>防静电工作服、</w:t>
      </w:r>
      <w:r>
        <w:rPr>
          <w:rFonts w:hint="eastAsia"/>
          <w:color w:val="000000" w:themeColor="text1"/>
          <w:sz w:val="28"/>
          <w14:textFill>
            <w14:solidFill>
              <w14:schemeClr w14:val="tx1"/>
            </w14:solidFill>
          </w14:textFill>
        </w:rPr>
        <w:t>安全帽、</w:t>
      </w:r>
      <w:r>
        <w:rPr>
          <w:rFonts w:hint="eastAsia"/>
          <w:color w:val="000000" w:themeColor="text1"/>
          <w:sz w:val="28"/>
          <w:lang w:eastAsia="zh-CN"/>
          <w14:textFill>
            <w14:solidFill>
              <w14:schemeClr w14:val="tx1"/>
            </w14:solidFill>
          </w14:textFill>
        </w:rPr>
        <w:t>工作鞋、</w:t>
      </w:r>
      <w:r>
        <w:rPr>
          <w:rFonts w:hint="eastAsia"/>
          <w:color w:val="000000" w:themeColor="text1"/>
          <w:sz w:val="28"/>
          <w14:textFill>
            <w14:solidFill>
              <w14:schemeClr w14:val="tx1"/>
            </w14:solidFill>
          </w14:textFill>
        </w:rPr>
        <w:t>劳保手套等劳保用品，任何人进入</w:t>
      </w:r>
      <w:r>
        <w:rPr>
          <w:rFonts w:hint="eastAsia"/>
          <w:color w:val="000000" w:themeColor="text1"/>
          <w:sz w:val="28"/>
          <w:lang w:eastAsia="zh-CN"/>
          <w14:textFill>
            <w14:solidFill>
              <w14:schemeClr w14:val="tx1"/>
            </w14:solidFill>
          </w14:textFill>
        </w:rPr>
        <w:t>施工作业</w:t>
      </w:r>
      <w:r>
        <w:rPr>
          <w:rFonts w:hint="eastAsia"/>
          <w:color w:val="000000" w:themeColor="text1"/>
          <w:sz w:val="28"/>
          <w14:textFill>
            <w14:solidFill>
              <w14:schemeClr w14:val="tx1"/>
            </w14:solidFill>
          </w14:textFill>
        </w:rPr>
        <w:t>现场必须佩戴安全帽，</w:t>
      </w:r>
      <w:r>
        <w:rPr>
          <w:rFonts w:hint="eastAsia"/>
          <w:color w:val="000000" w:themeColor="text1"/>
          <w:sz w:val="28"/>
          <w:lang w:eastAsia="zh-CN"/>
          <w14:textFill>
            <w14:solidFill>
              <w14:schemeClr w14:val="tx1"/>
            </w14:solidFill>
          </w14:textFill>
        </w:rPr>
        <w:t>操作</w:t>
      </w:r>
      <w:r>
        <w:rPr>
          <w:rFonts w:hint="eastAsia"/>
          <w:color w:val="000000" w:themeColor="text1"/>
          <w:sz w:val="28"/>
          <w14:textFill>
            <w14:solidFill>
              <w14:schemeClr w14:val="tx1"/>
            </w14:solidFill>
          </w14:textFill>
        </w:rPr>
        <w:t>人员必须按规定佩戴好劳保用品方可进行施工</w:t>
      </w:r>
      <w:r>
        <w:rPr>
          <w:rFonts w:hint="eastAsia"/>
          <w:color w:val="000000" w:themeColor="text1"/>
          <w:sz w:val="28"/>
          <w:lang w:eastAsia="zh-CN"/>
          <w14:textFill>
            <w14:solidFill>
              <w14:schemeClr w14:val="tx1"/>
            </w14:solidFill>
          </w14:textFill>
        </w:rPr>
        <w:t>。</w:t>
      </w:r>
      <w:r>
        <w:rPr>
          <w:rFonts w:hint="eastAsia"/>
          <w:color w:val="000000" w:themeColor="text1"/>
          <w:sz w:val="28"/>
          <w:lang w:val="en-US" w:eastAsia="zh-CN"/>
          <w14:textFill>
            <w14:solidFill>
              <w14:schemeClr w14:val="tx1"/>
            </w14:solidFill>
          </w14:textFill>
        </w:rPr>
        <w:t>劳保配备标准见下表。</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000000" w:themeColor="text1"/>
          <w:sz w:val="24"/>
          <w:szCs w:val="22"/>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2"/>
          <w14:textFill>
            <w14:solidFill>
              <w14:schemeClr w14:val="tx1"/>
            </w14:solidFill>
          </w14:textFill>
        </w:rPr>
        <w:t>表2-</w:t>
      </w:r>
      <w:r>
        <w:rPr>
          <w:rFonts w:hint="default" w:ascii="Times New Roman" w:hAnsi="Times New Roman" w:cs="Times New Roman" w:eastAsiaTheme="minorEastAsia"/>
          <w:b/>
          <w:bCs/>
          <w:color w:val="000000" w:themeColor="text1"/>
          <w:sz w:val="24"/>
          <w:szCs w:val="22"/>
          <w:lang w:val="en-US" w:eastAsia="zh-CN"/>
          <w14:textFill>
            <w14:solidFill>
              <w14:schemeClr w14:val="tx1"/>
            </w14:solidFill>
          </w14:textFill>
        </w:rPr>
        <w:t>1</w:t>
      </w:r>
      <w:r>
        <w:rPr>
          <w:rFonts w:hint="eastAsia" w:cs="Times New Roman" w:eastAsiaTheme="minorEastAsia"/>
          <w:b/>
          <w:bCs/>
          <w:color w:val="000000" w:themeColor="text1"/>
          <w:sz w:val="24"/>
          <w:szCs w:val="22"/>
          <w:lang w:val="en-US" w:eastAsia="zh-CN"/>
          <w14:textFill>
            <w14:solidFill>
              <w14:schemeClr w14:val="tx1"/>
            </w14:solidFill>
          </w14:textFill>
        </w:rPr>
        <w:t xml:space="preserve">0 </w:t>
      </w:r>
      <w:r>
        <w:rPr>
          <w:rFonts w:hint="default" w:ascii="Times New Roman" w:hAnsi="Times New Roman" w:cs="Times New Roman" w:eastAsiaTheme="minorEastAsia"/>
          <w:b/>
          <w:bCs/>
          <w:color w:val="000000" w:themeColor="text1"/>
          <w:sz w:val="24"/>
          <w:szCs w:val="22"/>
          <w14:textFill>
            <w14:solidFill>
              <w14:schemeClr w14:val="tx1"/>
            </w14:solidFill>
          </w14:textFill>
        </w:rPr>
        <w:t>劳保用品配备标准</w:t>
      </w:r>
      <w:r>
        <w:rPr>
          <w:rFonts w:hint="eastAsia" w:cs="Times New Roman" w:eastAsiaTheme="minorEastAsia"/>
          <w:b/>
          <w:bCs/>
          <w:color w:val="000000" w:themeColor="text1"/>
          <w:sz w:val="24"/>
          <w:szCs w:val="22"/>
          <w:lang w:eastAsia="zh-CN"/>
          <w14:textFill>
            <w14:solidFill>
              <w14:schemeClr w14:val="tx1"/>
            </w14:solidFill>
          </w14:textFill>
        </w:rPr>
        <w:t>（</w:t>
      </w:r>
      <w:r>
        <w:rPr>
          <w:rFonts w:hint="eastAsia"/>
          <w:b/>
          <w:sz w:val="24"/>
        </w:rPr>
        <w:t>后勤办公室人员</w:t>
      </w:r>
      <w:r>
        <w:rPr>
          <w:rFonts w:hint="eastAsia"/>
          <w:b/>
          <w:sz w:val="24"/>
          <w:lang w:eastAsia="zh-CN"/>
        </w:rPr>
        <w:t>）</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000000" w:themeColor="text1"/>
          <w:sz w:val="24"/>
          <w:szCs w:val="22"/>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2"/>
          <w14:textFill>
            <w14:solidFill>
              <w14:schemeClr w14:val="tx1"/>
            </w14:solidFill>
          </w14:textFill>
        </w:rPr>
        <w:t>表2-</w:t>
      </w:r>
      <w:r>
        <w:rPr>
          <w:rFonts w:hint="default" w:ascii="Times New Roman" w:hAnsi="Times New Roman" w:cs="Times New Roman" w:eastAsiaTheme="minorEastAsia"/>
          <w:b/>
          <w:bCs/>
          <w:color w:val="000000" w:themeColor="text1"/>
          <w:sz w:val="24"/>
          <w:szCs w:val="22"/>
          <w:lang w:val="en-US" w:eastAsia="zh-CN"/>
          <w14:textFill>
            <w14:solidFill>
              <w14:schemeClr w14:val="tx1"/>
            </w14:solidFill>
          </w14:textFill>
        </w:rPr>
        <w:t>1</w:t>
      </w:r>
      <w:r>
        <w:rPr>
          <w:rFonts w:hint="eastAsia" w:cs="Times New Roman" w:eastAsiaTheme="minorEastAsia"/>
          <w:b/>
          <w:bCs/>
          <w:color w:val="000000" w:themeColor="text1"/>
          <w:sz w:val="24"/>
          <w:szCs w:val="22"/>
          <w:lang w:val="en-US" w:eastAsia="zh-CN"/>
          <w14:textFill>
            <w14:solidFill>
              <w14:schemeClr w14:val="tx1"/>
            </w14:solidFill>
          </w14:textFill>
        </w:rPr>
        <w:t xml:space="preserve">1 </w:t>
      </w:r>
      <w:r>
        <w:rPr>
          <w:rFonts w:hint="default" w:ascii="Times New Roman" w:hAnsi="Times New Roman" w:cs="Times New Roman" w:eastAsiaTheme="minorEastAsia"/>
          <w:b/>
          <w:bCs/>
          <w:color w:val="000000" w:themeColor="text1"/>
          <w:sz w:val="24"/>
          <w:szCs w:val="22"/>
          <w14:textFill>
            <w14:solidFill>
              <w14:schemeClr w14:val="tx1"/>
            </w14:solidFill>
          </w14:textFill>
        </w:rPr>
        <w:t>劳保用品配备标准</w:t>
      </w:r>
      <w:r>
        <w:rPr>
          <w:rFonts w:hint="eastAsia" w:cs="Times New Roman" w:eastAsiaTheme="minorEastAsia"/>
          <w:b/>
          <w:bCs/>
          <w:color w:val="000000" w:themeColor="text1"/>
          <w:sz w:val="24"/>
          <w:szCs w:val="22"/>
          <w:lang w:eastAsia="zh-CN"/>
          <w14:textFill>
            <w14:solidFill>
              <w14:schemeClr w14:val="tx1"/>
            </w14:solidFill>
          </w14:textFill>
        </w:rPr>
        <w:t>（</w:t>
      </w:r>
      <w:r>
        <w:rPr>
          <w:rFonts w:hint="eastAsia" w:eastAsiaTheme="minorEastAsia"/>
          <w:b/>
          <w:sz w:val="24"/>
          <w:lang w:eastAsia="zh-CN"/>
        </w:rPr>
        <w:t>基层队</w:t>
      </w:r>
      <w:r>
        <w:rPr>
          <w:rFonts w:hint="eastAsia"/>
          <w:b/>
          <w:sz w:val="24"/>
          <w:lang w:eastAsia="zh-CN"/>
        </w:rPr>
        <w:t>）</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eastAsia="宋体"/>
          <w:color w:val="0070C0"/>
          <w:sz w:val="28"/>
          <w:szCs w:val="28"/>
          <w:lang w:val="en-US" w:eastAsia="zh-CN"/>
        </w:rPr>
      </w:pPr>
      <w:r>
        <w:rPr>
          <w:rFonts w:hint="eastAsia"/>
          <w:color w:val="auto"/>
          <w:sz w:val="28"/>
          <w:szCs w:val="28"/>
        </w:rPr>
        <w:t>从业人员劳动防护用品的配备符合《个体防护装备配备规范 第2部分：石油、化工、天然气》（GB39800.2-2020）</w:t>
      </w:r>
      <w:r>
        <w:rPr>
          <w:rFonts w:hint="eastAsia"/>
          <w:color w:val="auto"/>
          <w:sz w:val="28"/>
          <w:szCs w:val="28"/>
          <w:lang w:eastAsia="zh-CN"/>
        </w:rPr>
        <w:t>、《石油天然气作业场所劳动防护用品配备规范》（SY/T6524-2017）、《山东省劳动防护用品配备标准》（DB37/1922-2011）</w:t>
      </w:r>
      <w:r>
        <w:rPr>
          <w:rFonts w:hint="eastAsia"/>
          <w:color w:val="auto"/>
          <w:sz w:val="28"/>
          <w:szCs w:val="28"/>
        </w:rPr>
        <w:t>的要求，可以满足日常劳保需要。</w:t>
      </w:r>
      <w:r>
        <w:rPr>
          <w:rFonts w:hint="eastAsia"/>
          <w:color w:val="auto"/>
          <w:sz w:val="28"/>
          <w:szCs w:val="28"/>
          <w:lang w:val="en-US" w:eastAsia="zh-CN"/>
        </w:rPr>
        <w:t>劳保发放记录见报告附件21。</w:t>
      </w:r>
    </w:p>
    <w:p>
      <w:pPr>
        <w:pStyle w:val="4"/>
        <w:pageBreakBefore w:val="0"/>
        <w:widowControl w:val="0"/>
        <w:kinsoku/>
        <w:wordWrap/>
        <w:overflowPunct/>
        <w:topLinePunct w:val="0"/>
        <w:bidi w:val="0"/>
        <w:adjustRightInd w:val="0"/>
        <w:snapToGrid w:val="0"/>
        <w:spacing w:before="0" w:after="0" w:line="360" w:lineRule="auto"/>
        <w:textAlignment w:val="auto"/>
        <w:rPr>
          <w:rFonts w:hint="eastAsia" w:ascii="Times New Roman" w:hAnsi="Times New Roman"/>
          <w:b w:val="0"/>
          <w:bCs/>
          <w:color w:val="auto"/>
          <w:szCs w:val="32"/>
          <w:lang w:val="en-US" w:eastAsia="zh-CN"/>
        </w:rPr>
      </w:pPr>
      <w:bookmarkStart w:id="38" w:name="_Toc8494"/>
      <w:r>
        <w:rPr>
          <w:rFonts w:hint="eastAsia" w:ascii="Times New Roman" w:hAnsi="Times New Roman"/>
          <w:b w:val="0"/>
          <w:bCs/>
          <w:color w:val="auto"/>
          <w:szCs w:val="32"/>
          <w:lang w:val="en-US" w:eastAsia="zh-CN"/>
        </w:rPr>
        <w:t>2.10 设备设施检测、检验情况</w:t>
      </w:r>
      <w:bookmarkEnd w:id="38"/>
    </w:p>
    <w:p>
      <w:pPr>
        <w:pStyle w:val="5"/>
        <w:keepNext w:val="0"/>
        <w:keepLines w:val="0"/>
        <w:pageBreakBefore w:val="0"/>
        <w:widowControl w:val="0"/>
        <w:kinsoku/>
        <w:wordWrap/>
        <w:overflowPunct/>
        <w:topLinePunct w:val="0"/>
        <w:bidi w:val="0"/>
        <w:adjustRightInd w:val="0"/>
        <w:snapToGrid w:val="0"/>
        <w:spacing w:before="0" w:after="0" w:line="360" w:lineRule="auto"/>
        <w:textAlignment w:val="auto"/>
        <w:rPr>
          <w:rFonts w:hint="eastAsia"/>
          <w:color w:val="0070C0"/>
          <w:sz w:val="28"/>
          <w:szCs w:val="28"/>
          <w:highlight w:val="yellow"/>
        </w:rPr>
      </w:pPr>
      <w:r>
        <w:rPr>
          <w:rFonts w:hint="default" w:ascii="Times New Roman" w:hAnsi="Times New Roman" w:eastAsia="黑体" w:cs="Times New Roman"/>
          <w:b w:val="0"/>
          <w:snapToGrid w:val="0"/>
          <w:color w:val="000000" w:themeColor="text1"/>
          <w:kern w:val="0"/>
          <w:sz w:val="28"/>
          <w:szCs w:val="28"/>
          <w:highlight w:val="none"/>
          <w14:textFill>
            <w14:solidFill>
              <w14:schemeClr w14:val="tx1"/>
            </w14:solidFill>
          </w14:textFill>
        </w:rPr>
        <w:t>2.1</w:t>
      </w:r>
      <w:r>
        <w:rPr>
          <w:rFonts w:hint="default" w:ascii="Times New Roman" w:hAnsi="Times New Roman" w:eastAsia="黑体" w:cs="Times New Roman"/>
          <w:b w:val="0"/>
          <w:snapToGrid w:val="0"/>
          <w:color w:val="000000" w:themeColor="text1"/>
          <w:kern w:val="0"/>
          <w:sz w:val="28"/>
          <w:szCs w:val="28"/>
          <w:highlight w:val="none"/>
          <w:lang w:val="en-US" w:eastAsia="zh-CN"/>
          <w14:textFill>
            <w14:solidFill>
              <w14:schemeClr w14:val="tx1"/>
            </w14:solidFill>
          </w14:textFill>
        </w:rPr>
        <w:t>0</w:t>
      </w:r>
      <w:r>
        <w:rPr>
          <w:rFonts w:hint="default" w:ascii="Times New Roman" w:hAnsi="Times New Roman" w:eastAsia="黑体" w:cs="Times New Roman"/>
          <w:b w:val="0"/>
          <w:snapToGrid w:val="0"/>
          <w:color w:val="000000" w:themeColor="text1"/>
          <w:kern w:val="0"/>
          <w:sz w:val="28"/>
          <w:szCs w:val="28"/>
          <w:highlight w:val="none"/>
          <w14:textFill>
            <w14:solidFill>
              <w14:schemeClr w14:val="tx1"/>
            </w14:solidFill>
          </w14:textFill>
        </w:rPr>
        <w:t xml:space="preserve">.1 </w:t>
      </w:r>
      <w:r>
        <w:rPr>
          <w:rFonts w:hint="eastAsia" w:eastAsia="黑体" w:cs="Times New Roman"/>
          <w:b w:val="0"/>
          <w:snapToGrid w:val="0"/>
          <w:color w:val="000000" w:themeColor="text1"/>
          <w:kern w:val="0"/>
          <w:sz w:val="28"/>
          <w:szCs w:val="28"/>
          <w:highlight w:val="none"/>
          <w:lang w:eastAsia="zh-CN"/>
          <w14:textFill>
            <w14:solidFill>
              <w14:schemeClr w14:val="tx1"/>
            </w14:solidFill>
          </w14:textFill>
        </w:rPr>
        <w:t>危险性大的</w:t>
      </w:r>
      <w:r>
        <w:rPr>
          <w:rFonts w:hint="default" w:ascii="Times New Roman" w:hAnsi="Times New Roman" w:eastAsia="黑体" w:cs="Times New Roman"/>
          <w:b w:val="0"/>
          <w:snapToGrid w:val="0"/>
          <w:color w:val="000000" w:themeColor="text1"/>
          <w:kern w:val="0"/>
          <w:sz w:val="28"/>
          <w:szCs w:val="28"/>
          <w:highlight w:val="none"/>
          <w:lang w:eastAsia="zh-CN"/>
          <w14:textFill>
            <w14:solidFill>
              <w14:schemeClr w14:val="tx1"/>
            </w14:solidFill>
          </w14:textFill>
        </w:rPr>
        <w:t>设备检测、检验情况</w:t>
      </w:r>
    </w:p>
    <w:p>
      <w:pPr>
        <w:pStyle w:val="61"/>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海塔石油科技有限公司大修1队大修作业的井架底座、防喷器、游车大沟、吊环吊卡等设备，技术服务队使用的高压管汇都属于危险性大的设备设施。</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其检测、检验情况见表2-1</w: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2，检验检测报告详见附件14。</w:t>
      </w:r>
    </w:p>
    <w:p>
      <w:pP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sectPr>
          <w:pgSz w:w="11906" w:h="16838"/>
          <w:pgMar w:top="1440" w:right="1800" w:bottom="1383"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br w:type="page"/>
      </w:r>
    </w:p>
    <w:p>
      <w:pPr>
        <w:pStyle w:val="1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0070C0"/>
          <w:lang w:val="en-US" w:eastAsia="zh-CN"/>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2-1</w:t>
      </w:r>
      <w:r>
        <w:rPr>
          <w:rFonts w:hint="eastAsia" w:cs="Times New Roman"/>
          <w:b/>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eastAsia" w:cs="Times New Roman"/>
          <w:b/>
          <w:bCs/>
          <w:i w:val="0"/>
          <w:iCs w:val="0"/>
          <w:color w:val="000000"/>
          <w:kern w:val="0"/>
          <w:sz w:val="24"/>
          <w:szCs w:val="24"/>
          <w:u w:val="none"/>
          <w:lang w:val="en-US" w:eastAsia="zh-CN" w:bidi="ar"/>
        </w:rPr>
        <w:t>危险性大的</w:t>
      </w:r>
      <w:r>
        <w:rPr>
          <w:rFonts w:hint="default" w:ascii="Times New Roman" w:hAnsi="Times New Roman" w:eastAsia="宋体" w:cs="Times New Roman"/>
          <w:b/>
          <w:bCs/>
          <w:i w:val="0"/>
          <w:iCs w:val="0"/>
          <w:color w:val="000000"/>
          <w:kern w:val="0"/>
          <w:sz w:val="24"/>
          <w:szCs w:val="24"/>
          <w:u w:val="none"/>
          <w:lang w:val="en-US" w:eastAsia="zh-CN" w:bidi="ar"/>
        </w:rPr>
        <w:t>设备</w:t>
      </w:r>
      <w:r>
        <w:rPr>
          <w:rFonts w:hint="eastAsia" w:cs="Times New Roman"/>
          <w:b/>
          <w:bCs/>
          <w:i w:val="0"/>
          <w:iCs w:val="0"/>
          <w:color w:val="000000"/>
          <w:kern w:val="0"/>
          <w:sz w:val="24"/>
          <w:szCs w:val="24"/>
          <w:u w:val="none"/>
          <w:lang w:val="en-US" w:eastAsia="zh-CN" w:bidi="ar"/>
        </w:rPr>
        <w:t>检验检测</w:t>
      </w:r>
      <w:r>
        <w:rPr>
          <w:rFonts w:hint="default" w:ascii="Times New Roman" w:hAnsi="Times New Roman" w:eastAsia="宋体" w:cs="Times New Roman"/>
          <w:b/>
          <w:bCs/>
          <w:i w:val="0"/>
          <w:iCs w:val="0"/>
          <w:color w:val="000000"/>
          <w:kern w:val="0"/>
          <w:sz w:val="24"/>
          <w:szCs w:val="24"/>
          <w:u w:val="none"/>
          <w:lang w:val="en-US" w:eastAsia="zh-CN" w:bidi="ar"/>
        </w:rPr>
        <w:t>台账</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61" w:beforeLines="50" w:after="0" w:line="360" w:lineRule="auto"/>
        <w:ind w:firstLine="560" w:firstLineChars="200"/>
        <w:textAlignment w:val="auto"/>
        <w:outlineLvl w:val="9"/>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海塔石油科技有限公司</w:t>
      </w:r>
      <w:r>
        <w:rPr>
          <w:rFonts w:hint="eastAsia" w:cs="Times New Roman"/>
          <w:color w:val="000000" w:themeColor="text1"/>
          <w:kern w:val="2"/>
          <w:sz w:val="28"/>
          <w:szCs w:val="24"/>
          <w:lang w:val="en-US" w:eastAsia="zh-CN" w:bidi="ar-SA"/>
          <w14:textFill>
            <w14:solidFill>
              <w14:schemeClr w14:val="tx1"/>
            </w14:solidFill>
          </w14:textFill>
        </w:rPr>
        <w:t>对</w: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危险性大的设备进行定期检测，检测结果合格，并均在有效期内</w:t>
      </w:r>
      <w:r>
        <w:rPr>
          <w:rFonts w:hint="eastAsia" w:cs="Times New Roman"/>
          <w:color w:val="000000" w:themeColor="text1"/>
          <w:kern w:val="2"/>
          <w:sz w:val="28"/>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危险性大的设备设施检测情况符合《石油钻机和修井机井架承载能力检测评定方法及分级规范</w: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fldChar w:fldCharType="begin"/>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instrText xml:space="preserve"> HYPERLINK "http://www.jianbiaoku.com/webarbs/book/65390/2934134.shtml" \t "http://www.jianbiaoku.com/webarbs/book/65390/_self" </w:instrTex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fldChar w:fldCharType="separate"/>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》（SY/T6326-2019</w: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fldChar w:fldCharType="end"/>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）、《石油钻、修井用吊具安全技术检验规范》（SY/T6605-2018）等标准规范要求。</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海塔石油科技有限公司</w:t>
      </w:r>
      <w:r>
        <w:rPr>
          <w:rFonts w:hint="eastAsia" w:eastAsia="宋体" w:cs="Times New Roman"/>
          <w:color w:val="000000" w:themeColor="text1"/>
          <w:kern w:val="2"/>
          <w:sz w:val="28"/>
          <w:szCs w:val="24"/>
          <w:lang w:val="en-US" w:eastAsia="zh-CN" w:bidi="ar-SA"/>
          <w14:textFill>
            <w14:solidFill>
              <w14:schemeClr w14:val="tx1"/>
            </w14:solidFill>
          </w14:textFill>
        </w:rPr>
        <w:t>2023年5月8日对井架接地进行了防雷检测，报告编号：唐雷[检]字第TSFL-CFD-20230508073号，检测结果均合格，检测报告详见报告附件18。</w:t>
      </w:r>
    </w:p>
    <w:p>
      <w:pPr>
        <w:pStyle w:val="5"/>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pP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2.1</w:t>
      </w:r>
      <w:r>
        <w:rPr>
          <w:rFonts w:hint="default" w:ascii="Times New Roman" w:hAnsi="Times New Roman" w:eastAsia="黑体" w:cs="Times New Roman"/>
          <w:b w:val="0"/>
          <w:snapToGrid w:val="0"/>
          <w:color w:val="000000" w:themeColor="text1"/>
          <w:kern w:val="0"/>
          <w:sz w:val="28"/>
          <w:szCs w:val="28"/>
          <w:lang w:val="en-US" w:eastAsia="zh-CN"/>
          <w14:textFill>
            <w14:solidFill>
              <w14:schemeClr w14:val="tx1"/>
            </w14:solidFill>
          </w14:textFill>
        </w:rPr>
        <w:t>0</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w:t>
      </w:r>
      <w:r>
        <w:rPr>
          <w:rFonts w:hint="default" w:ascii="Times New Roman" w:hAnsi="Times New Roman" w:eastAsia="黑体" w:cs="Times New Roman"/>
          <w:b w:val="0"/>
          <w:snapToGrid w:val="0"/>
          <w:color w:val="000000" w:themeColor="text1"/>
          <w:kern w:val="0"/>
          <w:sz w:val="28"/>
          <w:szCs w:val="28"/>
          <w:lang w:val="en-US" w:eastAsia="zh-CN"/>
          <w14:textFill>
            <w14:solidFill>
              <w14:schemeClr w14:val="tx1"/>
            </w14:solidFill>
          </w14:textFill>
        </w:rPr>
        <w:t>2</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 xml:space="preserve"> </w:t>
      </w:r>
      <w:r>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t>压力表、安全阀检测、检验情况</w:t>
      </w:r>
    </w:p>
    <w:p>
      <w:pPr>
        <w:pStyle w:val="61"/>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color w:val="auto"/>
          <w:lang w:val="es-MX" w:eastAsia="zh-CN"/>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海塔石油科技有限公司</w:t>
      </w:r>
      <w:r>
        <w:rPr>
          <w:rFonts w:hint="eastAsia" w:ascii="Times New Roman" w:hAnsi="Times New Roman" w:eastAsia="宋体" w:cs="Times New Roman"/>
          <w:b w:val="0"/>
          <w:snapToGrid w:val="0"/>
          <w:color w:val="000000" w:themeColor="text1"/>
          <w:kern w:val="0"/>
          <w:sz w:val="28"/>
          <w:szCs w:val="28"/>
          <w:lang w:val="en-US" w:eastAsia="zh-CN" w:bidi="ar-SA"/>
          <w14:textFill>
            <w14:solidFill>
              <w14:schemeClr w14:val="tx1"/>
            </w14:solidFill>
          </w14:textFill>
        </w:rPr>
        <w:t>的压力表、安全阀根据有关标准、规范要求，定期检验检测，且均在检验有效期内，满足使用要求。检测、检验情况见下表，检测报告见附件15，</w:t>
      </w:r>
      <w:r>
        <w:rPr>
          <w:rFonts w:hint="eastAsia" w:ascii="Times New Roman" w:hAnsi="Times New Roman" w:eastAsia="宋体" w:cs="Times New Roman"/>
          <w:b w:val="0"/>
          <w:snapToGrid w:val="0"/>
          <w:color w:val="auto"/>
          <w:kern w:val="0"/>
          <w:sz w:val="28"/>
          <w:szCs w:val="28"/>
          <w:highlight w:val="none"/>
          <w:lang w:val="en-US" w:eastAsia="zh-CN" w:bidi="ar-SA"/>
        </w:rPr>
        <w:t>各检测机构资质证书见附件28。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8"/>
          <w:szCs w:val="28"/>
          <w:highlight w:val="yellow"/>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表2-1</w:t>
      </w:r>
      <w:r>
        <w:rPr>
          <w:rFonts w:hint="eastAsia"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 xml:space="preserve"> 压力表、安全阀检测、检验情况一览表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pPr>
      <w:r>
        <w:rPr>
          <w:rFonts w:hint="eastAsia"/>
          <w:color w:val="auto"/>
          <w:sz w:val="28"/>
          <w:szCs w:val="28"/>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spacing w:before="161" w:beforeLines="50" w:after="0" w:line="360" w:lineRule="auto"/>
        <w:textAlignment w:val="auto"/>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pP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2.1</w:t>
      </w:r>
      <w:r>
        <w:rPr>
          <w:rFonts w:hint="default" w:ascii="Times New Roman" w:hAnsi="Times New Roman" w:eastAsia="黑体" w:cs="Times New Roman"/>
          <w:b w:val="0"/>
          <w:snapToGrid w:val="0"/>
          <w:color w:val="000000" w:themeColor="text1"/>
          <w:kern w:val="0"/>
          <w:sz w:val="28"/>
          <w:szCs w:val="28"/>
          <w:lang w:val="en-US" w:eastAsia="zh-CN"/>
          <w14:textFill>
            <w14:solidFill>
              <w14:schemeClr w14:val="tx1"/>
            </w14:solidFill>
          </w14:textFill>
        </w:rPr>
        <w:t>0</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w:t>
      </w:r>
      <w:r>
        <w:rPr>
          <w:rFonts w:hint="default" w:ascii="Times New Roman" w:hAnsi="Times New Roman" w:eastAsia="黑体" w:cs="Times New Roman"/>
          <w:b w:val="0"/>
          <w:snapToGrid w:val="0"/>
          <w:color w:val="000000" w:themeColor="text1"/>
          <w:kern w:val="0"/>
          <w:sz w:val="28"/>
          <w:szCs w:val="28"/>
          <w:lang w:val="en-US" w:eastAsia="zh-CN"/>
          <w14:textFill>
            <w14:solidFill>
              <w14:schemeClr w14:val="tx1"/>
            </w14:solidFill>
          </w14:textFill>
        </w:rPr>
        <w:t>3</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 xml:space="preserve"> </w:t>
      </w:r>
      <w:r>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t>空气呼吸器、</w:t>
      </w:r>
      <w:r>
        <w:rPr>
          <w:rFonts w:hint="eastAsia" w:eastAsia="黑体" w:cs="Times New Roman"/>
          <w:b w:val="0"/>
          <w:snapToGrid w:val="0"/>
          <w:color w:val="000000" w:themeColor="text1"/>
          <w:kern w:val="0"/>
          <w:sz w:val="28"/>
          <w:szCs w:val="28"/>
          <w:lang w:val="en-US" w:eastAsia="zh-CN"/>
          <w14:textFill>
            <w14:solidFill>
              <w14:schemeClr w14:val="tx1"/>
            </w14:solidFill>
          </w14:textFill>
        </w:rPr>
        <w:t>气瓶、</w:t>
      </w:r>
      <w:r>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t>气体报警仪检测、检验情况</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表2-1</w:t>
      </w:r>
      <w:r>
        <w:rPr>
          <w:rFonts w:hint="eastAsia"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lang w:val="en-US" w:eastAsia="zh-CN"/>
          <w14:textFill>
            <w14:solidFill>
              <w14:schemeClr w14:val="tx1"/>
            </w14:solidFill>
          </w14:textFill>
        </w:rPr>
        <w:t xml:space="preserve"> </w:t>
      </w:r>
      <w:r>
        <w:rPr>
          <w:rFonts w:hint="eastAsia" w:cs="Times New Roman"/>
          <w:b/>
          <w:bCs/>
          <w:color w:val="000000" w:themeColor="text1"/>
          <w:sz w:val="24"/>
          <w:szCs w:val="24"/>
          <w:lang w:val="en-US" w:eastAsia="zh-CN"/>
          <w14:textFill>
            <w14:solidFill>
              <w14:schemeClr w14:val="tx1"/>
            </w14:solidFill>
          </w14:textFill>
        </w:rPr>
        <w:t>空气呼吸器</w:t>
      </w:r>
      <w:r>
        <w:rPr>
          <w:rFonts w:hint="default" w:ascii="Times New Roman" w:hAnsi="Times New Roman" w:cs="Times New Roman"/>
          <w:b/>
          <w:bCs/>
          <w:color w:val="000000" w:themeColor="text1"/>
          <w:sz w:val="24"/>
          <w:szCs w:val="24"/>
          <w:lang w:val="en-US" w:eastAsia="zh-CN"/>
          <w14:textFill>
            <w14:solidFill>
              <w14:schemeClr w14:val="tx1"/>
            </w14:solidFill>
          </w14:textFill>
        </w:rPr>
        <w:t>、</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气瓶</w:t>
      </w:r>
      <w:r>
        <w:rPr>
          <w:rFonts w:hint="eastAsia" w:cs="Times New Roman"/>
          <w:b/>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cs="Times New Roman"/>
          <w:b/>
          <w:bCs/>
          <w:color w:val="000000" w:themeColor="text1"/>
          <w:sz w:val="24"/>
          <w:szCs w:val="24"/>
          <w:lang w:val="en-US" w:eastAsia="zh-CN"/>
          <w14:textFill>
            <w14:solidFill>
              <w14:schemeClr w14:val="tx1"/>
            </w14:solidFill>
          </w14:textFill>
        </w:rPr>
        <w:t>检验情况一览表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313" w:beforeLines="100" w:after="0" w:line="240" w:lineRule="auto"/>
        <w:jc w:val="center"/>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表2-1</w:t>
      </w:r>
      <w:r>
        <w:rPr>
          <w:rFonts w:hint="eastAsia" w:cs="Times New Roman"/>
          <w:b/>
          <w:bCs/>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气体检测报警仪检测、检验情况一览表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rPr>
      </w:pPr>
      <w:r>
        <w:rPr>
          <w:rFonts w:hint="eastAsia"/>
          <w:color w:val="auto"/>
          <w:sz w:val="28"/>
          <w:szCs w:val="28"/>
          <w:lang w:val="en-US" w:eastAsia="zh-CN"/>
        </w:rPr>
        <w:t>涉及企业机密，不予公开。</w:t>
      </w:r>
    </w:p>
    <w:p>
      <w:pPr>
        <w:rPr>
          <w:rFonts w:hint="eastAsia"/>
        </w:rPr>
      </w:pP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2.10.</w:t>
      </w:r>
      <w:r>
        <w:rPr>
          <w:rFonts w:hint="eastAsia" w:eastAsia="黑体" w:cs="Times New Roman"/>
          <w:b w:val="0"/>
          <w:snapToGrid w:val="0"/>
          <w:color w:val="000000" w:themeColor="text1"/>
          <w:kern w:val="0"/>
          <w:sz w:val="28"/>
          <w:szCs w:val="28"/>
          <w:lang w:val="en-US" w:eastAsia="zh-CN"/>
          <w14:textFill>
            <w14:solidFill>
              <w14:schemeClr w14:val="tx1"/>
            </w14:solidFill>
          </w14:textFill>
        </w:rPr>
        <w:t>4</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 xml:space="preserve"> </w:t>
      </w:r>
      <w:r>
        <w:rPr>
          <w:rFonts w:hint="eastAsia" w:eastAsia="黑体" w:cs="Times New Roman"/>
          <w:b w:val="0"/>
          <w:snapToGrid w:val="0"/>
          <w:color w:val="000000" w:themeColor="text1"/>
          <w:kern w:val="0"/>
          <w:sz w:val="28"/>
          <w:szCs w:val="28"/>
          <w:lang w:eastAsia="zh-CN"/>
          <w14:textFill>
            <w14:solidFill>
              <w14:schemeClr w14:val="tx1"/>
            </w14:solidFill>
          </w14:textFill>
        </w:rPr>
        <w:t>绝缘手套</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检测、检验情况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b/>
          <w:bCs/>
          <w:color w:val="000000" w:themeColor="text1"/>
          <w:sz w:val="24"/>
          <w:lang w:val="en-US"/>
          <w14:textFill>
            <w14:solidFill>
              <w14:schemeClr w14:val="tx1"/>
            </w14:solidFill>
          </w14:textFill>
        </w:rPr>
      </w:pPr>
      <w:r>
        <w:rPr>
          <w:rFonts w:hint="eastAsia" w:cs="Times New Roman"/>
          <w:color w:val="000000" w:themeColor="text1"/>
          <w:kern w:val="2"/>
          <w:sz w:val="28"/>
          <w:szCs w:val="24"/>
          <w:lang w:val="en-US" w:eastAsia="zh-CN" w:bidi="ar-SA"/>
          <w14:textFill>
            <w14:solidFill>
              <w14:schemeClr w14:val="tx1"/>
            </w14:solidFill>
          </w14:textFill>
        </w:rPr>
        <w:t>海塔石油科技有限公司</w:t>
      </w:r>
      <w:r>
        <w:rPr>
          <w:rFonts w:hint="eastAsia" w:cs="Times New Roman"/>
          <w:color w:val="000000" w:themeColor="text1"/>
          <w:sz w:val="28"/>
          <w:szCs w:val="28"/>
          <w:lang w:eastAsia="zh-CN"/>
          <w14:textFill>
            <w14:solidFill>
              <w14:schemeClr w14:val="tx1"/>
            </w14:solidFill>
          </w14:textFill>
        </w:rPr>
        <w:t>为大修</w:t>
      </w:r>
      <w:r>
        <w:rPr>
          <w:rFonts w:hint="eastAsia" w:cs="Times New Roman"/>
          <w:color w:val="000000" w:themeColor="text1"/>
          <w:sz w:val="28"/>
          <w:szCs w:val="28"/>
          <w:lang w:val="en-US" w:eastAsia="zh-CN"/>
          <w14:textFill>
            <w14:solidFill>
              <w14:schemeClr w14:val="tx1"/>
            </w14:solidFill>
          </w14:textFill>
        </w:rPr>
        <w:t>1队</w:t>
      </w:r>
      <w:r>
        <w:rPr>
          <w:rFonts w:hint="eastAsia" w:cs="Times New Roman"/>
          <w:color w:val="000000" w:themeColor="text1"/>
          <w:sz w:val="28"/>
          <w:szCs w:val="28"/>
          <w:lang w:eastAsia="zh-CN"/>
          <w14:textFill>
            <w14:solidFill>
              <w14:schemeClr w14:val="tx1"/>
            </w14:solidFill>
          </w14:textFill>
        </w:rPr>
        <w:t>配备了绝缘手套、</w:t>
      </w:r>
      <w:r>
        <w:rPr>
          <w:rFonts w:hint="eastAsia" w:cs="Times New Roman"/>
          <w:color w:val="000000" w:themeColor="text1"/>
          <w:sz w:val="28"/>
          <w:szCs w:val="28"/>
          <w:lang w:val="en-US" w:eastAsia="zh-CN"/>
          <w14:textFill>
            <w14:solidFill>
              <w14:schemeClr w14:val="tx1"/>
            </w14:solidFill>
          </w14:textFill>
        </w:rPr>
        <w:t>绝缘靴</w:t>
      </w:r>
      <w:r>
        <w:rPr>
          <w:rFonts w:hint="eastAsia" w:cs="Times New Roman"/>
          <w:color w:val="000000" w:themeColor="text1"/>
          <w:sz w:val="28"/>
          <w:szCs w:val="28"/>
          <w:lang w:eastAsia="zh-CN"/>
          <w14:textFill>
            <w14:solidFill>
              <w14:schemeClr w14:val="tx1"/>
            </w14:solidFill>
          </w14:textFill>
        </w:rPr>
        <w:t>，绝缘手套、</w:t>
      </w:r>
      <w:r>
        <w:rPr>
          <w:rFonts w:hint="eastAsia" w:cs="Times New Roman"/>
          <w:color w:val="000000" w:themeColor="text1"/>
          <w:sz w:val="28"/>
          <w:szCs w:val="28"/>
          <w:lang w:val="en-US" w:eastAsia="zh-CN"/>
          <w14:textFill>
            <w14:solidFill>
              <w14:schemeClr w14:val="tx1"/>
            </w14:solidFill>
          </w14:textFill>
        </w:rPr>
        <w:t>绝缘靴</w:t>
      </w:r>
      <w:r>
        <w:rPr>
          <w:rFonts w:hint="eastAsia" w:cs="Times New Roman"/>
          <w:color w:val="000000" w:themeColor="text1"/>
          <w:sz w:val="28"/>
          <w:szCs w:val="28"/>
          <w:lang w:eastAsia="zh-CN"/>
          <w14:textFill>
            <w14:solidFill>
              <w14:schemeClr w14:val="tx1"/>
            </w14:solidFill>
          </w14:textFill>
        </w:rPr>
        <w:t>配备情况能够满足电工巡检的要求。其检验检测情况见</w:t>
      </w:r>
      <w:r>
        <w:rPr>
          <w:rFonts w:hint="eastAsia" w:cs="Times New Roman"/>
          <w:color w:val="000000" w:themeColor="text1"/>
          <w:sz w:val="28"/>
          <w:szCs w:val="28"/>
          <w:lang w:val="en-US" w:eastAsia="zh-CN"/>
          <w14:textFill>
            <w14:solidFill>
              <w14:schemeClr w14:val="tx1"/>
            </w14:solidFill>
          </w14:textFill>
        </w:rPr>
        <w:t>下</w:t>
      </w:r>
      <w:r>
        <w:rPr>
          <w:rFonts w:hint="eastAsia" w:cs="Times New Roman"/>
          <w:color w:val="000000" w:themeColor="text1"/>
          <w:sz w:val="28"/>
          <w:szCs w:val="28"/>
          <w:lang w:eastAsia="zh-CN"/>
          <w14:textFill>
            <w14:solidFill>
              <w14:schemeClr w14:val="tx1"/>
            </w14:solidFill>
          </w14:textFill>
        </w:rPr>
        <w:t>表</w:t>
      </w:r>
      <w:r>
        <w:rPr>
          <w:rFonts w:hint="eastAsia" w:cs="Times New Roman"/>
          <w:color w:val="000000" w:themeColor="text1"/>
          <w:sz w:val="28"/>
          <w:szCs w:val="28"/>
          <w:lang w:val="en-US" w:eastAsia="zh-CN"/>
          <w14:textFill>
            <w14:solidFill>
              <w14:schemeClr w14:val="tx1"/>
            </w14:solidFill>
          </w14:textFill>
        </w:rPr>
        <w:t>。检测报告见报告附件17，</w:t>
      </w:r>
      <w:r>
        <w:rPr>
          <w:rFonts w:hint="eastAsia" w:ascii="Times New Roman" w:hAnsi="Times New Roman" w:eastAsia="宋体" w:cs="Times New Roman"/>
          <w:b w:val="0"/>
          <w:snapToGrid w:val="0"/>
          <w:color w:val="000000" w:themeColor="text1"/>
          <w:kern w:val="0"/>
          <w:sz w:val="28"/>
          <w:szCs w:val="28"/>
          <w:lang w:val="en-US" w:eastAsia="zh-CN" w:bidi="ar-SA"/>
          <w14:textFill>
            <w14:solidFill>
              <w14:schemeClr w14:val="tx1"/>
            </w14:solidFill>
          </w14:textFill>
        </w:rPr>
        <w:t>各检测机构资质证书见附件2</w:t>
      </w:r>
      <w:r>
        <w:rPr>
          <w:rFonts w:hint="eastAsia" w:cs="Times New Roman"/>
          <w:b w:val="0"/>
          <w:snapToGrid w:val="0"/>
          <w:color w:val="000000" w:themeColor="text1"/>
          <w:kern w:val="0"/>
          <w:sz w:val="28"/>
          <w:szCs w:val="28"/>
          <w:lang w:val="en-US" w:eastAsia="zh-CN" w:bidi="ar-SA"/>
          <w14:textFill>
            <w14:solidFill>
              <w14:schemeClr w14:val="tx1"/>
            </w14:solidFill>
          </w14:textFill>
        </w:rPr>
        <w:t>8</w:t>
      </w:r>
      <w:r>
        <w:rPr>
          <w:rFonts w:hint="eastAsia" w:cs="Times New Roman"/>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表2-1</w:t>
      </w:r>
      <w:r>
        <w:rPr>
          <w:rFonts w:hint="eastAsia" w:cs="Times New Roman"/>
          <w:b/>
          <w:bCs/>
          <w:color w:val="000000" w:themeColor="text1"/>
          <w:sz w:val="24"/>
          <w:lang w:val="en-US" w:eastAsia="zh-CN"/>
          <w14:textFill>
            <w14:solidFill>
              <w14:schemeClr w14:val="tx1"/>
            </w14:solidFill>
          </w14:textFill>
        </w:rPr>
        <w:t>6</w:t>
      </w:r>
      <w:r>
        <w:rPr>
          <w:rFonts w:hint="default" w:ascii="Times New Roman" w:hAnsi="Times New Roman" w:cs="Times New Roman"/>
          <w:b/>
          <w:bCs/>
          <w:color w:val="000000" w:themeColor="text1"/>
          <w:sz w:val="24"/>
          <w14:textFill>
            <w14:solidFill>
              <w14:schemeClr w14:val="tx1"/>
            </w14:solidFill>
          </w14:textFill>
        </w:rPr>
        <w:t xml:space="preserve"> </w:t>
      </w:r>
      <w:r>
        <w:rPr>
          <w:rFonts w:hint="eastAsia" w:cs="Times New Roman"/>
          <w:b/>
          <w:bCs/>
          <w:color w:val="000000" w:themeColor="text1"/>
          <w:sz w:val="24"/>
          <w:lang w:eastAsia="zh-CN"/>
          <w14:textFill>
            <w14:solidFill>
              <w14:schemeClr w14:val="tx1"/>
            </w14:solidFill>
          </w14:textFill>
        </w:rPr>
        <w:t>绝缘手套、</w:t>
      </w:r>
      <w:r>
        <w:rPr>
          <w:rFonts w:hint="eastAsia" w:cs="Times New Roman"/>
          <w:b/>
          <w:bCs/>
          <w:color w:val="000000" w:themeColor="text1"/>
          <w:sz w:val="24"/>
          <w:lang w:val="en-US" w:eastAsia="zh-CN"/>
          <w14:textFill>
            <w14:solidFill>
              <w14:schemeClr w14:val="tx1"/>
            </w14:solidFill>
          </w14:textFill>
        </w:rPr>
        <w:t>绝缘鞋</w:t>
      </w:r>
      <w:r>
        <w:rPr>
          <w:rFonts w:hint="default" w:ascii="Times New Roman" w:hAnsi="Times New Roman" w:cs="Times New Roman"/>
          <w:b/>
          <w:bCs/>
          <w:color w:val="000000" w:themeColor="text1"/>
          <w:sz w:val="24"/>
          <w14:textFill>
            <w14:solidFill>
              <w14:schemeClr w14:val="tx1"/>
            </w14:solidFill>
          </w14:textFill>
        </w:rPr>
        <w:t>检测、检验情况一览表</w:t>
      </w:r>
    </w:p>
    <w:p>
      <w:pPr>
        <w:pStyle w:val="61"/>
        <w:rPr>
          <w:rFonts w:hint="eastAsia"/>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61"/>
        <w:rPr>
          <w:rFonts w:hint="eastAsia"/>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adjustRightInd w:val="0"/>
        <w:snapToGrid w:val="0"/>
        <w:spacing w:before="0" w:after="0" w:line="360" w:lineRule="auto"/>
        <w:rPr>
          <w:rFonts w:ascii="Times New Roman" w:hAnsi="Times New Roman"/>
          <w:b w:val="0"/>
          <w:bCs/>
          <w:color w:val="auto"/>
          <w:szCs w:val="32"/>
        </w:rPr>
      </w:pPr>
      <w:bookmarkStart w:id="39" w:name="_Toc13056"/>
      <w:r>
        <w:rPr>
          <w:rFonts w:hint="eastAsia" w:ascii="Times New Roman" w:hAnsi="Times New Roman"/>
          <w:b w:val="0"/>
          <w:bCs/>
          <w:color w:val="auto"/>
          <w:szCs w:val="32"/>
        </w:rPr>
        <w:t>2.</w:t>
      </w:r>
      <w:r>
        <w:rPr>
          <w:rFonts w:ascii="Times New Roman" w:hAnsi="Times New Roman"/>
          <w:b w:val="0"/>
          <w:bCs/>
          <w:color w:val="auto"/>
          <w:szCs w:val="32"/>
        </w:rPr>
        <w:t>1</w:t>
      </w:r>
      <w:r>
        <w:rPr>
          <w:rFonts w:hint="eastAsia" w:ascii="Times New Roman" w:hAnsi="Times New Roman"/>
          <w:b w:val="0"/>
          <w:bCs/>
          <w:color w:val="auto"/>
          <w:szCs w:val="32"/>
          <w:lang w:val="en-US" w:eastAsia="zh-CN"/>
        </w:rPr>
        <w:t>1</w:t>
      </w:r>
      <w:r>
        <w:rPr>
          <w:rFonts w:ascii="Times New Roman" w:hAnsi="Times New Roman"/>
          <w:b w:val="0"/>
          <w:bCs/>
          <w:color w:val="auto"/>
          <w:szCs w:val="32"/>
        </w:rPr>
        <w:t xml:space="preserve"> </w:t>
      </w:r>
      <w:r>
        <w:rPr>
          <w:rFonts w:hint="eastAsia" w:ascii="Times New Roman" w:hAnsi="Times New Roman"/>
          <w:b w:val="0"/>
          <w:bCs/>
          <w:color w:val="auto"/>
          <w:szCs w:val="32"/>
        </w:rPr>
        <w:t>事故应急救援预案及演练</w:t>
      </w:r>
      <w:bookmarkEnd w:id="39"/>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2.1</w:t>
      </w:r>
      <w:r>
        <w:rPr>
          <w:rFonts w:hint="eastAsia" w:eastAsia="黑体"/>
          <w:b w:val="0"/>
          <w:snapToGrid w:val="0"/>
          <w:color w:val="auto"/>
          <w:kern w:val="0"/>
          <w:sz w:val="28"/>
          <w:szCs w:val="28"/>
          <w:lang w:val="en-US" w:eastAsia="zh-CN"/>
        </w:rPr>
        <w:t>1</w:t>
      </w:r>
      <w:r>
        <w:rPr>
          <w:rFonts w:eastAsia="黑体"/>
          <w:b w:val="0"/>
          <w:snapToGrid w:val="0"/>
          <w:color w:val="auto"/>
          <w:kern w:val="0"/>
          <w:sz w:val="28"/>
          <w:szCs w:val="28"/>
        </w:rPr>
        <w:t xml:space="preserve">.1 </w:t>
      </w:r>
      <w:r>
        <w:rPr>
          <w:rFonts w:hint="eastAsia" w:eastAsia="黑体"/>
          <w:b w:val="0"/>
          <w:snapToGrid w:val="0"/>
          <w:color w:val="auto"/>
          <w:kern w:val="0"/>
          <w:sz w:val="28"/>
          <w:szCs w:val="28"/>
        </w:rPr>
        <w:t>事故应急救援预案的编制情况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70C0"/>
          <w:sz w:val="28"/>
        </w:rPr>
      </w:pPr>
      <w:r>
        <w:rPr>
          <w:rFonts w:hint="eastAsia"/>
          <w:color w:val="auto"/>
          <w:sz w:val="28"/>
          <w:szCs w:val="28"/>
        </w:rPr>
        <w:t>为最大程度的预防和控制各类重大安全和环境事故的发生，最大限度的减少各类事故所造成的危害、损失以及社会影响和环境影响，</w:t>
      </w:r>
      <w:r>
        <w:rPr>
          <w:rFonts w:hint="eastAsia"/>
          <w:color w:val="auto"/>
          <w:sz w:val="28"/>
          <w:szCs w:val="28"/>
          <w:lang w:eastAsia="zh-CN"/>
        </w:rPr>
        <w:t>海塔石油科技有限公司</w:t>
      </w:r>
      <w:r>
        <w:rPr>
          <w:rFonts w:hint="eastAsia"/>
          <w:color w:val="auto"/>
          <w:sz w:val="28"/>
          <w:szCs w:val="28"/>
        </w:rPr>
        <w:t>编制了《</w:t>
      </w:r>
      <w:r>
        <w:rPr>
          <w:rFonts w:hint="eastAsia"/>
          <w:color w:val="auto"/>
          <w:sz w:val="28"/>
          <w:szCs w:val="28"/>
          <w:lang w:eastAsia="zh-CN"/>
        </w:rPr>
        <w:t>海塔石油科技有限公司</w:t>
      </w:r>
      <w:r>
        <w:rPr>
          <w:rFonts w:hint="eastAsia"/>
          <w:color w:val="auto"/>
          <w:sz w:val="28"/>
          <w:szCs w:val="28"/>
        </w:rPr>
        <w:t>生产安全事故应急预案》，公司应急预案已于</w:t>
      </w:r>
      <w:r>
        <w:rPr>
          <w:color w:val="auto"/>
          <w:sz w:val="28"/>
          <w:szCs w:val="28"/>
        </w:rPr>
        <w:t>20</w:t>
      </w:r>
      <w:r>
        <w:rPr>
          <w:rFonts w:hint="eastAsia"/>
          <w:color w:val="auto"/>
          <w:sz w:val="28"/>
          <w:szCs w:val="28"/>
          <w:lang w:val="en-US" w:eastAsia="zh-CN"/>
        </w:rPr>
        <w:t>23</w:t>
      </w:r>
      <w:r>
        <w:rPr>
          <w:rFonts w:hint="eastAsia"/>
          <w:color w:val="auto"/>
          <w:sz w:val="28"/>
          <w:szCs w:val="28"/>
        </w:rPr>
        <w:t>年</w:t>
      </w:r>
      <w:r>
        <w:rPr>
          <w:rFonts w:hint="eastAsia"/>
          <w:color w:val="auto"/>
          <w:sz w:val="28"/>
          <w:szCs w:val="28"/>
          <w:lang w:val="en-US" w:eastAsia="zh-CN"/>
        </w:rPr>
        <w:t>4</w:t>
      </w:r>
      <w:r>
        <w:rPr>
          <w:rFonts w:hint="eastAsia"/>
          <w:color w:val="auto"/>
          <w:sz w:val="28"/>
          <w:szCs w:val="28"/>
        </w:rPr>
        <w:t>月</w:t>
      </w:r>
      <w:r>
        <w:rPr>
          <w:rFonts w:hint="eastAsia"/>
          <w:color w:val="auto"/>
          <w:sz w:val="28"/>
          <w:szCs w:val="28"/>
          <w:lang w:val="en-US" w:eastAsia="zh-CN"/>
        </w:rPr>
        <w:t>23</w:t>
      </w:r>
      <w:r>
        <w:rPr>
          <w:rFonts w:hint="eastAsia"/>
          <w:color w:val="auto"/>
          <w:sz w:val="28"/>
          <w:szCs w:val="28"/>
        </w:rPr>
        <w:t>日在</w:t>
      </w:r>
      <w:r>
        <w:rPr>
          <w:rFonts w:hint="eastAsia"/>
          <w:color w:val="auto"/>
          <w:sz w:val="28"/>
          <w:szCs w:val="28"/>
          <w:lang w:eastAsia="zh-CN"/>
        </w:rPr>
        <w:t>东营市</w:t>
      </w:r>
      <w:r>
        <w:rPr>
          <w:rFonts w:hint="eastAsia"/>
          <w:color w:val="auto"/>
          <w:sz w:val="28"/>
          <w:szCs w:val="28"/>
          <w:lang w:val="en-US" w:eastAsia="zh-CN"/>
        </w:rPr>
        <w:t>东营</w:t>
      </w:r>
      <w:r>
        <w:rPr>
          <w:rFonts w:hint="eastAsia"/>
          <w:color w:val="auto"/>
          <w:sz w:val="28"/>
          <w:szCs w:val="28"/>
        </w:rPr>
        <w:t>区应急管理局备案（备案编号：370501-2023-1008），</w:t>
      </w:r>
      <w:r>
        <w:rPr>
          <w:rFonts w:hint="eastAsia"/>
          <w:color w:val="auto"/>
          <w:sz w:val="28"/>
          <w:highlight w:val="none"/>
        </w:rPr>
        <w:t>详见附件</w:t>
      </w:r>
      <w:r>
        <w:rPr>
          <w:rFonts w:hint="eastAsia"/>
          <w:color w:val="auto"/>
          <w:sz w:val="28"/>
          <w:highlight w:val="none"/>
          <w:lang w:val="en-US" w:eastAsia="zh-CN"/>
        </w:rPr>
        <w:t>10</w:t>
      </w:r>
      <w:r>
        <w:rPr>
          <w:rFonts w:hint="eastAsia"/>
          <w:color w:val="auto"/>
          <w:sz w:val="28"/>
        </w:rPr>
        <w:t>。该应急预案包括综合应急预案</w:t>
      </w:r>
      <w:r>
        <w:rPr>
          <w:rFonts w:hint="eastAsia"/>
          <w:color w:val="auto"/>
          <w:sz w:val="28"/>
          <w:lang w:eastAsia="zh-CN"/>
        </w:rPr>
        <w:t>、</w:t>
      </w:r>
      <w:r>
        <w:rPr>
          <w:rFonts w:hint="eastAsia"/>
          <w:color w:val="auto"/>
          <w:sz w:val="28"/>
        </w:rPr>
        <w:t>专项应急预案、现场处置方案</w:t>
      </w:r>
      <w:r>
        <w:rPr>
          <w:rFonts w:hint="eastAsia"/>
          <w:color w:val="auto"/>
          <w:sz w:val="28"/>
          <w:lang w:eastAsia="zh-CN"/>
        </w:rPr>
        <w:t>。</w:t>
      </w:r>
      <w:r>
        <w:rPr>
          <w:rFonts w:hint="eastAsia"/>
          <w:color w:val="auto"/>
          <w:sz w:val="28"/>
        </w:rPr>
        <w:t>专项应急预案包括：</w:t>
      </w:r>
      <w:r>
        <w:rPr>
          <w:rFonts w:hint="eastAsia"/>
          <w:color w:val="auto"/>
          <w:sz w:val="28"/>
          <w:lang w:eastAsia="zh-CN"/>
        </w:rPr>
        <w:t>井喷</w:t>
      </w:r>
      <w:r>
        <w:rPr>
          <w:rFonts w:hint="eastAsia"/>
          <w:color w:val="auto"/>
          <w:sz w:val="28"/>
          <w:lang w:val="en-US" w:eastAsia="zh-CN"/>
        </w:rPr>
        <w:t>事故专项应急预案、火灾专项应急预案；</w:t>
      </w:r>
      <w:r>
        <w:rPr>
          <w:rFonts w:hint="eastAsia"/>
          <w:color w:val="auto"/>
          <w:sz w:val="28"/>
        </w:rPr>
        <w:t>现场处置方案包括：</w:t>
      </w:r>
      <w:r>
        <w:rPr>
          <w:rFonts w:hint="eastAsia" w:ascii="宋体" w:hAnsi="宋体" w:cs="宋体"/>
          <w:sz w:val="28"/>
          <w:szCs w:val="28"/>
        </w:rPr>
        <w:t>中毒窒息现场处置方案</w:t>
      </w:r>
      <w:r>
        <w:rPr>
          <w:rFonts w:hint="eastAsia" w:ascii="宋体" w:hAnsi="宋体" w:cs="宋体"/>
          <w:sz w:val="28"/>
          <w:szCs w:val="28"/>
          <w:lang w:eastAsia="zh-CN"/>
        </w:rPr>
        <w:t>、</w:t>
      </w:r>
      <w:r>
        <w:rPr>
          <w:rFonts w:hint="eastAsia" w:ascii="宋体" w:hAnsi="宋体" w:cs="宋体"/>
          <w:spacing w:val="8"/>
          <w:sz w:val="28"/>
          <w:szCs w:val="28"/>
        </w:rPr>
        <w:t>触电现场处置方案</w:t>
      </w:r>
      <w:r>
        <w:rPr>
          <w:rFonts w:hint="eastAsia" w:ascii="宋体" w:hAnsi="宋体" w:cs="宋体"/>
          <w:spacing w:val="8"/>
          <w:sz w:val="28"/>
          <w:szCs w:val="28"/>
          <w:lang w:eastAsia="zh-CN"/>
        </w:rPr>
        <w:t>、</w:t>
      </w:r>
      <w:r>
        <w:rPr>
          <w:rFonts w:hint="eastAsia" w:ascii="宋体" w:hAnsi="宋体" w:cs="宋体"/>
          <w:sz w:val="28"/>
          <w:szCs w:val="28"/>
        </w:rPr>
        <w:t>井涌</w:t>
      </w:r>
      <w:r>
        <w:rPr>
          <w:rFonts w:hint="eastAsia" w:ascii="宋体" w:hAnsi="宋体" w:cs="宋体"/>
          <w:spacing w:val="8"/>
          <w:sz w:val="28"/>
          <w:szCs w:val="28"/>
        </w:rPr>
        <w:t>现场处置方案</w:t>
      </w:r>
      <w:r>
        <w:rPr>
          <w:rFonts w:hint="eastAsia" w:ascii="宋体" w:hAnsi="宋体" w:cs="宋体"/>
          <w:spacing w:val="8"/>
          <w:sz w:val="28"/>
          <w:szCs w:val="28"/>
          <w:lang w:eastAsia="zh-CN"/>
        </w:rPr>
        <w:t>、</w:t>
      </w:r>
      <w:r>
        <w:rPr>
          <w:rFonts w:hint="eastAsia" w:ascii="宋体" w:hAnsi="宋体" w:cs="宋体"/>
          <w:sz w:val="28"/>
          <w:szCs w:val="28"/>
        </w:rPr>
        <w:t>人身伤害现场处置方案</w:t>
      </w:r>
      <w:r>
        <w:rPr>
          <w:rFonts w:hint="eastAsia"/>
          <w:color w:val="auto"/>
          <w:sz w:val="28"/>
        </w:rPr>
        <w:t>。</w:t>
      </w:r>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2.1</w:t>
      </w:r>
      <w:r>
        <w:rPr>
          <w:rFonts w:hint="eastAsia" w:eastAsia="黑体"/>
          <w:b w:val="0"/>
          <w:snapToGrid w:val="0"/>
          <w:color w:val="auto"/>
          <w:kern w:val="0"/>
          <w:sz w:val="28"/>
          <w:szCs w:val="28"/>
          <w:lang w:val="en-US" w:eastAsia="zh-CN"/>
        </w:rPr>
        <w:t>1</w:t>
      </w:r>
      <w:r>
        <w:rPr>
          <w:rFonts w:eastAsia="黑体"/>
          <w:b w:val="0"/>
          <w:snapToGrid w:val="0"/>
          <w:color w:val="auto"/>
          <w:kern w:val="0"/>
          <w:sz w:val="28"/>
          <w:szCs w:val="28"/>
        </w:rPr>
        <w:t xml:space="preserve">.2 </w:t>
      </w:r>
      <w:r>
        <w:rPr>
          <w:rFonts w:hint="eastAsia" w:eastAsia="黑体"/>
          <w:b w:val="0"/>
          <w:snapToGrid w:val="0"/>
          <w:color w:val="auto"/>
          <w:kern w:val="0"/>
          <w:sz w:val="28"/>
          <w:szCs w:val="28"/>
        </w:rPr>
        <w:t>事故应急救援组织的建立和人员的配备情况</w:t>
      </w:r>
    </w:p>
    <w:p>
      <w:pPr>
        <w:adjustRightInd w:val="0"/>
        <w:snapToGrid w:val="0"/>
        <w:spacing w:line="360" w:lineRule="auto"/>
        <w:ind w:firstLine="560" w:firstLineChars="200"/>
        <w:rPr>
          <w:rFonts w:hint="default" w:eastAsia="宋体"/>
          <w:color w:val="auto"/>
          <w:sz w:val="28"/>
          <w:szCs w:val="28"/>
          <w:lang w:val="en-US" w:eastAsia="zh-CN"/>
        </w:rPr>
      </w:pPr>
      <w:r>
        <w:rPr>
          <w:rFonts w:hint="eastAsia"/>
          <w:color w:val="auto"/>
          <w:sz w:val="28"/>
          <w:szCs w:val="28"/>
          <w:lang w:eastAsia="zh-CN"/>
        </w:rPr>
        <w:t>海塔石油科技有限公司</w:t>
      </w:r>
      <w:r>
        <w:rPr>
          <w:rFonts w:hint="eastAsia"/>
          <w:color w:val="auto"/>
          <w:sz w:val="28"/>
          <w:szCs w:val="28"/>
        </w:rPr>
        <w:t>成立了由总经理</w:t>
      </w:r>
      <w:r>
        <w:rPr>
          <w:rFonts w:hint="eastAsia"/>
          <w:color w:val="auto"/>
          <w:sz w:val="28"/>
          <w:szCs w:val="28"/>
          <w:lang w:val="en-US" w:eastAsia="zh-CN"/>
        </w:rPr>
        <w:t>商延兵</w:t>
      </w:r>
      <w:r>
        <w:rPr>
          <w:rFonts w:hint="eastAsia"/>
          <w:color w:val="auto"/>
          <w:sz w:val="28"/>
          <w:szCs w:val="28"/>
        </w:rPr>
        <w:t>任总指挥的应急领导机构，成员包括</w:t>
      </w:r>
      <w:r>
        <w:rPr>
          <w:rFonts w:hint="eastAsia"/>
          <w:color w:val="auto"/>
          <w:sz w:val="28"/>
          <w:szCs w:val="28"/>
          <w:lang w:eastAsia="zh-CN"/>
        </w:rPr>
        <w:t>综合管理部</w:t>
      </w:r>
      <w:r>
        <w:rPr>
          <w:rFonts w:hint="eastAsia"/>
          <w:color w:val="auto"/>
          <w:sz w:val="28"/>
          <w:szCs w:val="28"/>
        </w:rPr>
        <w:t>、</w:t>
      </w:r>
      <w:r>
        <w:rPr>
          <w:rFonts w:hint="eastAsia"/>
          <w:color w:val="auto"/>
          <w:sz w:val="28"/>
          <w:szCs w:val="28"/>
          <w:lang w:eastAsia="zh-CN"/>
        </w:rPr>
        <w:t>工程技术部、</w:t>
      </w:r>
      <w:r>
        <w:rPr>
          <w:rFonts w:hint="eastAsia"/>
          <w:color w:val="auto"/>
          <w:sz w:val="28"/>
          <w:szCs w:val="28"/>
          <w:lang w:val="en-US" w:eastAsia="zh-CN"/>
        </w:rPr>
        <w:t>安全科</w:t>
      </w:r>
      <w:r>
        <w:rPr>
          <w:rFonts w:hint="eastAsia"/>
          <w:color w:val="auto"/>
          <w:sz w:val="28"/>
          <w:szCs w:val="28"/>
        </w:rPr>
        <w:t>及各作业队等部门主要负责人，确保发生重大事故时，以应急领导机构为核心，负责公司应急求援工作的组织和指挥。事故应急救援预案规定了演练计划，能满足该生产设施应急救援要求。</w:t>
      </w:r>
      <w:r>
        <w:rPr>
          <w:rFonts w:hint="eastAsia"/>
          <w:color w:val="auto"/>
          <w:sz w:val="28"/>
          <w:szCs w:val="28"/>
          <w:lang w:val="en-US" w:eastAsia="zh-CN"/>
        </w:rPr>
        <w:t>事故应急救援组织成立文件见报告附件11。</w:t>
      </w:r>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2.1</w:t>
      </w:r>
      <w:r>
        <w:rPr>
          <w:rFonts w:hint="eastAsia" w:eastAsia="黑体"/>
          <w:b w:val="0"/>
          <w:snapToGrid w:val="0"/>
          <w:color w:val="auto"/>
          <w:kern w:val="0"/>
          <w:sz w:val="28"/>
          <w:szCs w:val="28"/>
          <w:lang w:val="en-US" w:eastAsia="zh-CN"/>
        </w:rPr>
        <w:t>1</w:t>
      </w:r>
      <w:r>
        <w:rPr>
          <w:rFonts w:eastAsia="黑体"/>
          <w:b w:val="0"/>
          <w:snapToGrid w:val="0"/>
          <w:color w:val="auto"/>
          <w:kern w:val="0"/>
          <w:sz w:val="28"/>
          <w:szCs w:val="28"/>
        </w:rPr>
        <w:t xml:space="preserve">.3 </w:t>
      </w:r>
      <w:r>
        <w:rPr>
          <w:rFonts w:hint="eastAsia" w:eastAsia="黑体"/>
          <w:b w:val="0"/>
          <w:snapToGrid w:val="0"/>
          <w:color w:val="auto"/>
          <w:kern w:val="0"/>
          <w:sz w:val="28"/>
          <w:szCs w:val="28"/>
        </w:rPr>
        <w:t>事故应急救援预案的演练情况</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sz w:val="28"/>
          <w:szCs w:val="28"/>
          <w:lang w:val="en-US" w:eastAsia="zh-CN"/>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宋体" w:hAnsi="宋体" w:eastAsia="宋体" w:cs="宋体"/>
          <w:b w:val="0"/>
          <w:snapToGrid w:val="0"/>
          <w:color w:val="auto"/>
          <w:kern w:val="0"/>
          <w:sz w:val="28"/>
          <w:szCs w:val="28"/>
          <w:lang w:val="en-US" w:eastAsia="zh-CN"/>
        </w:rPr>
      </w:pPr>
      <w:r>
        <w:rPr>
          <w:rFonts w:hint="eastAsia"/>
          <w:sz w:val="28"/>
          <w:szCs w:val="28"/>
          <w:lang w:val="en-US" w:eastAsia="zh-CN"/>
        </w:rPr>
        <w:t>综上，根据海塔石油科技有限公司2023年应急演练计划及演练记录情况，每半年对所有的现场处置方案演练一次，每半年至少组织1次综合或者专项应急预案演练。整改后符合《山东省生产安全事故应急办法》（省政府341号令）第十三条：“高危和人员密集单位应当每半年至少组织1次综合或者专项应急预案演练，每2年对所有专项应急预案至少组织1次演练，每半年对所有现场处置方案至少组织1次演练”的要求。</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auto"/>
          <w:kern w:val="0"/>
          <w:sz w:val="28"/>
          <w:szCs w:val="28"/>
        </w:rPr>
      </w:pPr>
      <w:r>
        <w:rPr>
          <w:rFonts w:eastAsia="黑体"/>
          <w:b w:val="0"/>
          <w:snapToGrid w:val="0"/>
          <w:color w:val="auto"/>
          <w:kern w:val="0"/>
          <w:sz w:val="28"/>
          <w:szCs w:val="28"/>
        </w:rPr>
        <w:t>2.1</w:t>
      </w:r>
      <w:r>
        <w:rPr>
          <w:rFonts w:hint="eastAsia" w:eastAsia="黑体"/>
          <w:b w:val="0"/>
          <w:snapToGrid w:val="0"/>
          <w:color w:val="auto"/>
          <w:kern w:val="0"/>
          <w:sz w:val="28"/>
          <w:szCs w:val="28"/>
          <w:lang w:val="en-US" w:eastAsia="zh-CN"/>
        </w:rPr>
        <w:t>1</w:t>
      </w:r>
      <w:r>
        <w:rPr>
          <w:rFonts w:eastAsia="黑体"/>
          <w:b w:val="0"/>
          <w:snapToGrid w:val="0"/>
          <w:color w:val="auto"/>
          <w:kern w:val="0"/>
          <w:sz w:val="28"/>
          <w:szCs w:val="28"/>
        </w:rPr>
        <w:t xml:space="preserve">.4 </w:t>
      </w:r>
      <w:r>
        <w:rPr>
          <w:rFonts w:hint="eastAsia" w:eastAsia="黑体"/>
          <w:b w:val="0"/>
          <w:snapToGrid w:val="0"/>
          <w:color w:val="auto"/>
          <w:kern w:val="0"/>
          <w:sz w:val="28"/>
          <w:szCs w:val="28"/>
        </w:rPr>
        <w:t>事故应急救援器材、设备的配备情况</w:t>
      </w:r>
    </w:p>
    <w:p>
      <w:pPr>
        <w:adjustRightInd w:val="0"/>
        <w:snapToGrid w:val="0"/>
        <w:spacing w:line="360" w:lineRule="auto"/>
        <w:ind w:firstLine="560" w:firstLineChars="200"/>
        <w:rPr>
          <w:rFonts w:hint="eastAsia" w:eastAsia="宋体"/>
          <w:color w:val="0070C0"/>
          <w:sz w:val="28"/>
          <w:szCs w:val="28"/>
          <w:lang w:eastAsia="zh-CN"/>
        </w:rPr>
      </w:pPr>
      <w:r>
        <w:rPr>
          <w:rFonts w:hint="eastAsia"/>
          <w:color w:val="auto"/>
          <w:sz w:val="28"/>
          <w:szCs w:val="28"/>
          <w:lang w:eastAsia="zh-CN"/>
        </w:rPr>
        <w:t>海塔石油科技有限公司</w:t>
      </w:r>
      <w:r>
        <w:rPr>
          <w:rFonts w:hint="eastAsia"/>
          <w:color w:val="auto"/>
          <w:sz w:val="28"/>
          <w:szCs w:val="28"/>
        </w:rPr>
        <w:t>按照各岗位存在的危险、有害因素配备了相应的劳动防护用品及应急救援器材，其相关应急救援器材配备情况见下表</w:t>
      </w:r>
      <w:r>
        <w:rPr>
          <w:rFonts w:hint="eastAsia"/>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highlight w:val="yellow"/>
          <w:lang w:eastAsia="zh-CN"/>
        </w:rPr>
      </w:pPr>
      <w:r>
        <w:rPr>
          <w:rFonts w:hint="default" w:ascii="Times New Roman" w:hAnsi="Times New Roman" w:eastAsia="宋体" w:cs="Times New Roman"/>
          <w:b/>
          <w:bCs/>
          <w:color w:val="auto"/>
          <w:sz w:val="24"/>
          <w:szCs w:val="24"/>
          <w:highlight w:val="none"/>
        </w:rPr>
        <w:t>表2-</w:t>
      </w:r>
      <w:r>
        <w:rPr>
          <w:rFonts w:hint="eastAsia" w:cs="Times New Roman"/>
          <w:b/>
          <w:bCs/>
          <w:color w:val="auto"/>
          <w:sz w:val="24"/>
          <w:szCs w:val="24"/>
          <w:highlight w:val="none"/>
          <w:lang w:val="en-US" w:eastAsia="zh-CN"/>
        </w:rPr>
        <w:t>19</w:t>
      </w:r>
      <w:r>
        <w:rPr>
          <w:rFonts w:hint="default" w:ascii="Times New Roman" w:hAnsi="Times New Roman" w:eastAsia="宋体"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rPr>
        <w:t>应急</w:t>
      </w:r>
      <w:r>
        <w:rPr>
          <w:rFonts w:hint="eastAsia" w:cs="Times New Roman"/>
          <w:b/>
          <w:bCs/>
          <w:color w:val="auto"/>
          <w:sz w:val="24"/>
          <w:szCs w:val="24"/>
          <w:highlight w:val="none"/>
          <w:lang w:eastAsia="zh-CN"/>
        </w:rPr>
        <w:t>、</w:t>
      </w:r>
      <w:r>
        <w:rPr>
          <w:rFonts w:hint="eastAsia" w:cs="Times New Roman"/>
          <w:b/>
          <w:bCs/>
          <w:color w:val="auto"/>
          <w:sz w:val="24"/>
          <w:szCs w:val="24"/>
          <w:highlight w:val="none"/>
          <w:lang w:val="en-US" w:eastAsia="zh-CN"/>
        </w:rPr>
        <w:t>消防</w:t>
      </w:r>
      <w:r>
        <w:rPr>
          <w:rFonts w:hint="default" w:ascii="Times New Roman" w:hAnsi="Times New Roman" w:eastAsia="宋体" w:cs="Times New Roman"/>
          <w:b/>
          <w:bCs/>
          <w:color w:val="auto"/>
          <w:sz w:val="24"/>
          <w:szCs w:val="24"/>
          <w:highlight w:val="none"/>
        </w:rPr>
        <w:t>器材配备情况一览表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宋体" w:hAnsi="宋体" w:eastAsia="宋体" w:cs="宋体"/>
          <w:sz w:val="28"/>
          <w:szCs w:val="28"/>
        </w:rPr>
      </w:pPr>
      <w:r>
        <w:rPr>
          <w:rFonts w:hint="eastAsia"/>
          <w:color w:val="auto"/>
          <w:sz w:val="28"/>
          <w:szCs w:val="28"/>
          <w:lang w:val="en-US" w:eastAsia="zh-CN"/>
        </w:rPr>
        <w:t>涉及企业机密，不予公开。</w:t>
      </w:r>
    </w:p>
    <w:p>
      <w:pPr>
        <w:pStyle w:val="61"/>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公司应急器材的配备能够满足事故应急救援的要求，企业制定了应急救援管理制度、</w:t>
      </w: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生产安全事故报告、调查及处理管理制度、应急预案管理制度</w:t>
      </w:r>
      <w:r>
        <w:rPr>
          <w:rFonts w:hint="eastAsia" w:ascii="宋体" w:hAnsi="宋体" w:eastAsia="宋体" w:cs="宋体"/>
          <w:sz w:val="28"/>
          <w:szCs w:val="28"/>
        </w:rPr>
        <w:t>，并定期组织相关人员对同类企业的安全事故进行学习，总结经验，不断提高企业人员技术及应急能力。</w:t>
      </w:r>
    </w:p>
    <w:p>
      <w:pPr>
        <w:keepNext w:val="0"/>
        <w:keepLines w:val="0"/>
        <w:pageBreakBefore w:val="0"/>
        <w:widowControl/>
        <w:suppressLineNumbers w:val="0"/>
        <w:kinsoku/>
        <w:wordWrap/>
        <w:overflowPunct/>
        <w:topLinePunct w:val="0"/>
        <w:autoSpaceDE/>
        <w:autoSpaceDN/>
        <w:bidi w:val="0"/>
        <w:adjustRightInd w:val="0"/>
        <w:snapToGrid w:val="0"/>
        <w:spacing w:line="360" w:lineRule="auto"/>
        <w:jc w:val="left"/>
        <w:textAlignment w:val="auto"/>
        <w:outlineLvl w:val="2"/>
        <w:rPr>
          <w:rFonts w:ascii="Times New Roman" w:hAnsi="Times New Roman" w:eastAsia="黑体" w:cs="Times New Roman"/>
          <w:b w:val="0"/>
          <w:bCs/>
          <w:snapToGrid w:val="0"/>
          <w:color w:val="auto"/>
          <w:kern w:val="0"/>
          <w:sz w:val="28"/>
          <w:szCs w:val="28"/>
          <w:lang w:val="en-US" w:eastAsia="zh-CN" w:bidi="ar-SA"/>
        </w:rPr>
      </w:pPr>
      <w:r>
        <w:rPr>
          <w:rFonts w:ascii="Times New Roman" w:hAnsi="Times New Roman" w:eastAsia="黑体" w:cs="Times New Roman"/>
          <w:b w:val="0"/>
          <w:bCs/>
          <w:snapToGrid w:val="0"/>
          <w:color w:val="auto"/>
          <w:kern w:val="0"/>
          <w:sz w:val="28"/>
          <w:szCs w:val="28"/>
          <w:lang w:val="en-US" w:eastAsia="zh-CN" w:bidi="ar-SA"/>
        </w:rPr>
        <w:t xml:space="preserve">2.11.5 其他应急救援力量 </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bookmarkStart w:id="40" w:name="_Toc26487"/>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hAnsi="黑体" w:eastAsia="黑体" w:cs="黑体"/>
          <w:b w:val="0"/>
          <w:bCs/>
          <w:color w:val="auto"/>
          <w:szCs w:val="32"/>
          <w:highlight w:val="none"/>
          <w:lang w:val="en-US" w:eastAsia="zh-CN"/>
        </w:rPr>
      </w:pPr>
      <w:r>
        <w:rPr>
          <w:rFonts w:hint="default" w:ascii="Times New Roman" w:hAnsi="Times New Roman" w:eastAsia="黑体" w:cs="Times New Roman"/>
          <w:color w:val="auto"/>
          <w:sz w:val="32"/>
          <w:szCs w:val="32"/>
          <w:highlight w:val="none"/>
        </w:rPr>
        <w:t>2.1</w:t>
      </w:r>
      <w:r>
        <w:rPr>
          <w:rFonts w:hint="default" w:ascii="Times New Roman" w:hAnsi="Times New Roman" w:eastAsia="黑体" w:cs="Times New Roman"/>
          <w:color w:val="auto"/>
          <w:sz w:val="32"/>
          <w:szCs w:val="32"/>
          <w:highlight w:val="none"/>
          <w:lang w:val="en-US" w:eastAsia="zh-CN"/>
        </w:rPr>
        <w:t>2 承</w:t>
      </w:r>
      <w:r>
        <w:rPr>
          <w:rFonts w:hint="eastAsia" w:ascii="黑体" w:hAnsi="黑体" w:eastAsia="黑体" w:cs="黑体"/>
          <w:color w:val="auto"/>
          <w:sz w:val="32"/>
          <w:szCs w:val="32"/>
          <w:highlight w:val="none"/>
          <w:lang w:val="en-US" w:eastAsia="zh-CN"/>
        </w:rPr>
        <w:t>包商管理</w:t>
      </w:r>
      <w:bookmarkEnd w:id="40"/>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cs="Times New Roman"/>
          <w:sz w:val="28"/>
          <w:szCs w:val="28"/>
          <w:highlight w:val="none"/>
          <w:lang w:val="en-US" w:eastAsia="zh-CN"/>
        </w:rPr>
      </w:pPr>
      <w:r>
        <w:rPr>
          <w:rFonts w:hint="eastAsia" w:cs="Times New Roman"/>
          <w:sz w:val="28"/>
          <w:szCs w:val="28"/>
          <w:lang w:val="en-US" w:eastAsia="zh-CN"/>
        </w:rPr>
        <w:t>公司</w:t>
      </w:r>
      <w:r>
        <w:rPr>
          <w:rFonts w:hint="default" w:ascii="Times New Roman" w:hAnsi="Times New Roman" w:cs="Times New Roman"/>
          <w:sz w:val="28"/>
          <w:szCs w:val="28"/>
          <w:lang w:val="en-US" w:eastAsia="zh-CN"/>
        </w:rPr>
        <w:t>建立有《承包商管理</w:t>
      </w:r>
      <w:r>
        <w:rPr>
          <w:rFonts w:hint="eastAsia" w:cs="Times New Roman"/>
          <w:sz w:val="28"/>
          <w:szCs w:val="28"/>
          <w:lang w:val="en-US" w:eastAsia="zh-CN"/>
        </w:rPr>
        <w:t>制度</w:t>
      </w:r>
      <w:r>
        <w:rPr>
          <w:rFonts w:hint="default" w:ascii="Times New Roman" w:hAnsi="Times New Roman" w:cs="Times New Roman"/>
          <w:sz w:val="28"/>
          <w:szCs w:val="28"/>
          <w:lang w:val="en-US" w:eastAsia="zh-CN"/>
        </w:rPr>
        <w:t>》，对承包商资质进行审核，组织开展承包商培训学习，对承包商的现场施工进行监督管理。</w:t>
      </w:r>
      <w:r>
        <w:rPr>
          <w:rFonts w:hint="default" w:ascii="Times New Roman" w:hAnsi="Times New Roman" w:cs="Times New Roman"/>
          <w:sz w:val="28"/>
          <w:szCs w:val="28"/>
          <w:highlight w:val="none"/>
          <w:lang w:val="en-US" w:eastAsia="zh-CN"/>
        </w:rPr>
        <w:t>承包商资质、</w:t>
      </w:r>
      <w:r>
        <w:rPr>
          <w:rFonts w:hint="eastAsia" w:cs="Times New Roman"/>
          <w:sz w:val="28"/>
          <w:szCs w:val="28"/>
          <w:highlight w:val="none"/>
          <w:lang w:val="en-US" w:eastAsia="zh-CN"/>
        </w:rPr>
        <w:t>车辆使用协议</w:t>
      </w:r>
      <w:r>
        <w:rPr>
          <w:rFonts w:hint="default" w:ascii="Times New Roman" w:hAnsi="Times New Roman" w:cs="Times New Roman"/>
          <w:sz w:val="28"/>
          <w:szCs w:val="28"/>
          <w:highlight w:val="none"/>
          <w:lang w:val="en-US" w:eastAsia="zh-CN"/>
        </w:rPr>
        <w:t>及相关</w:t>
      </w:r>
      <w:r>
        <w:rPr>
          <w:rFonts w:hint="eastAsia" w:cs="Times New Roman"/>
          <w:sz w:val="28"/>
          <w:szCs w:val="28"/>
          <w:highlight w:val="none"/>
          <w:lang w:val="en-US" w:eastAsia="zh-CN"/>
        </w:rPr>
        <w:t>资料</w:t>
      </w:r>
      <w:r>
        <w:rPr>
          <w:rFonts w:hint="default" w:ascii="Times New Roman" w:hAnsi="Times New Roman" w:cs="Times New Roman"/>
          <w:sz w:val="28"/>
          <w:szCs w:val="28"/>
          <w:highlight w:val="none"/>
          <w:lang w:val="en-US" w:eastAsia="zh-CN"/>
        </w:rPr>
        <w:t>见报告附件2</w:t>
      </w:r>
      <w:r>
        <w:rPr>
          <w:rFonts w:hint="eastAsia" w:cs="Times New Roman"/>
          <w:sz w:val="28"/>
          <w:szCs w:val="28"/>
          <w:highlight w:val="none"/>
          <w:lang w:val="en-US" w:eastAsia="zh-CN"/>
        </w:rPr>
        <w:t>3</w:t>
      </w:r>
      <w:r>
        <w:rPr>
          <w:rFonts w:hint="default" w:ascii="Times New Roman" w:hAnsi="Times New Roman" w:cs="Times New Roman"/>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outlineLvl w:val="1"/>
        <w:rPr>
          <w:rFonts w:hint="default" w:ascii="Times New Roman" w:hAnsi="Times New Roman" w:eastAsia="黑体" w:cs="Times New Roman"/>
          <w:b w:val="0"/>
          <w:bCs w:val="0"/>
          <w:sz w:val="32"/>
          <w:szCs w:val="32"/>
          <w:highlight w:val="none"/>
          <w:lang w:val="en-US" w:eastAsia="zh-CN"/>
        </w:rPr>
      </w:pPr>
      <w:bookmarkStart w:id="41" w:name="_Toc5811"/>
      <w:bookmarkStart w:id="42" w:name="_Toc8763"/>
      <w:bookmarkStart w:id="43" w:name="_Toc8782"/>
      <w:r>
        <w:rPr>
          <w:rFonts w:hint="default" w:ascii="Times New Roman" w:hAnsi="Times New Roman" w:eastAsia="黑体" w:cs="Times New Roman"/>
          <w:b w:val="0"/>
          <w:bCs w:val="0"/>
          <w:sz w:val="32"/>
          <w:szCs w:val="32"/>
          <w:highlight w:val="none"/>
          <w:lang w:val="en-US" w:eastAsia="zh-CN"/>
        </w:rPr>
        <w:t>2.1</w:t>
      </w:r>
      <w:r>
        <w:rPr>
          <w:rFonts w:hint="eastAsia" w:eastAsia="黑体" w:cs="Times New Roman"/>
          <w:b w:val="0"/>
          <w:bCs w:val="0"/>
          <w:sz w:val="32"/>
          <w:szCs w:val="32"/>
          <w:highlight w:val="none"/>
          <w:lang w:val="en-US" w:eastAsia="zh-CN"/>
        </w:rPr>
        <w:t>3</w:t>
      </w:r>
      <w:r>
        <w:rPr>
          <w:rFonts w:hint="default" w:ascii="Times New Roman" w:hAnsi="Times New Roman" w:eastAsia="黑体" w:cs="Times New Roman"/>
          <w:b w:val="0"/>
          <w:bCs w:val="0"/>
          <w:sz w:val="32"/>
          <w:szCs w:val="32"/>
          <w:highlight w:val="none"/>
          <w:lang w:val="en-US" w:eastAsia="zh-CN"/>
        </w:rPr>
        <w:t xml:space="preserve"> 变更安全管理</w:t>
      </w:r>
      <w:bookmarkEnd w:id="41"/>
      <w:bookmarkEnd w:id="42"/>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val="0"/>
          <w:bCs w:val="0"/>
          <w:sz w:val="28"/>
          <w:szCs w:val="28"/>
          <w:lang w:val="en-US" w:eastAsia="zh-CN"/>
        </w:rPr>
      </w:pPr>
      <w:r>
        <w:rPr>
          <w:rFonts w:hint="eastAsia"/>
          <w:sz w:val="28"/>
          <w:szCs w:val="28"/>
          <w:lang w:eastAsia="zh-CN"/>
        </w:rPr>
        <w:t>海塔石油科技有限公司</w:t>
      </w:r>
      <w:r>
        <w:rPr>
          <w:rFonts w:hint="default" w:ascii="Times New Roman" w:hAnsi="Times New Roman" w:cs="Times New Roman"/>
          <w:b w:val="0"/>
          <w:bCs w:val="0"/>
          <w:sz w:val="28"/>
          <w:szCs w:val="28"/>
          <w:lang w:val="en-US" w:eastAsia="zh-CN"/>
        </w:rPr>
        <w:t>制定了《变更管理制度》，该制度规定了生产过程中工艺技术、设备设施、管理</w:t>
      </w:r>
      <w:r>
        <w:rPr>
          <w:rFonts w:hint="eastAsia" w:cs="Times New Roman"/>
          <w:b w:val="0"/>
          <w:bCs w:val="0"/>
          <w:sz w:val="28"/>
          <w:szCs w:val="28"/>
          <w:lang w:val="en-US" w:eastAsia="zh-CN"/>
        </w:rPr>
        <w:t>、其他变更的</w:t>
      </w:r>
      <w:r>
        <w:rPr>
          <w:rFonts w:hint="default" w:ascii="Times New Roman" w:hAnsi="Times New Roman" w:cs="Times New Roman"/>
          <w:b w:val="0"/>
          <w:bCs w:val="0"/>
          <w:sz w:val="28"/>
          <w:szCs w:val="28"/>
          <w:lang w:val="en-US" w:eastAsia="zh-CN"/>
        </w:rPr>
        <w:t>变更类型，明确了变更申请、变更实施、变更</w:t>
      </w:r>
      <w:r>
        <w:rPr>
          <w:rFonts w:hint="eastAsia" w:cs="Times New Roman"/>
          <w:b w:val="0"/>
          <w:bCs w:val="0"/>
          <w:sz w:val="28"/>
          <w:szCs w:val="28"/>
          <w:lang w:val="en-US" w:eastAsia="zh-CN"/>
        </w:rPr>
        <w:t>验收</w:t>
      </w:r>
      <w:r>
        <w:rPr>
          <w:rFonts w:hint="default" w:ascii="Times New Roman" w:hAnsi="Times New Roman" w:cs="Times New Roman"/>
          <w:b w:val="0"/>
          <w:bCs w:val="0"/>
          <w:sz w:val="28"/>
          <w:szCs w:val="28"/>
          <w:lang w:val="en-US" w:eastAsia="zh-CN"/>
        </w:rPr>
        <w:t>等变更程序。本次评价期间，发现企业未根据《变更管理制度》针对生产过程中的相关变更履行变更程序，建议企业在以后的安全生产管理过程中严格执行《变更管理制度》，并保存相关变更记录和资料。</w:t>
      </w:r>
    </w:p>
    <w:p>
      <w:pPr>
        <w:pStyle w:val="4"/>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bCs w:val="0"/>
          <w:kern w:val="2"/>
          <w:sz w:val="32"/>
          <w:szCs w:val="32"/>
          <w:highlight w:val="none"/>
          <w:lang w:val="en-US" w:eastAsia="zh-CN" w:bidi="ar-SA"/>
        </w:rPr>
      </w:pPr>
      <w:bookmarkStart w:id="44" w:name="_Toc26532"/>
      <w:r>
        <w:rPr>
          <w:rFonts w:hint="default" w:ascii="Times New Roman" w:hAnsi="Times New Roman" w:eastAsia="黑体" w:cs="Times New Roman"/>
          <w:b w:val="0"/>
          <w:bCs w:val="0"/>
          <w:kern w:val="2"/>
          <w:sz w:val="32"/>
          <w:szCs w:val="32"/>
          <w:highlight w:val="none"/>
          <w:lang w:val="en-US" w:eastAsia="zh-CN" w:bidi="ar-SA"/>
        </w:rPr>
        <w:t>2.1</w:t>
      </w:r>
      <w:r>
        <w:rPr>
          <w:rFonts w:hint="eastAsia" w:ascii="Times New Roman" w:hAnsi="Times New Roman" w:cs="Times New Roman"/>
          <w:b w:val="0"/>
          <w:bCs w:val="0"/>
          <w:kern w:val="2"/>
          <w:sz w:val="32"/>
          <w:szCs w:val="32"/>
          <w:highlight w:val="none"/>
          <w:lang w:val="en-US" w:eastAsia="zh-CN" w:bidi="ar-SA"/>
        </w:rPr>
        <w:t>4</w:t>
      </w:r>
      <w:r>
        <w:rPr>
          <w:rFonts w:hint="default" w:ascii="Times New Roman" w:hAnsi="Times New Roman" w:eastAsia="黑体" w:cs="Times New Roman"/>
          <w:b w:val="0"/>
          <w:bCs w:val="0"/>
          <w:kern w:val="2"/>
          <w:sz w:val="32"/>
          <w:szCs w:val="32"/>
          <w:highlight w:val="none"/>
          <w:lang w:val="en-US" w:eastAsia="zh-CN" w:bidi="ar-SA"/>
        </w:rPr>
        <w:t xml:space="preserve"> 危险作业安全管理</w:t>
      </w:r>
      <w:bookmarkEnd w:id="43"/>
      <w:bookmarkEnd w:id="44"/>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15"/>
        <w:adjustRightInd w:val="0"/>
        <w:snapToGrid w:val="0"/>
        <w:spacing w:line="360" w:lineRule="auto"/>
        <w:ind w:firstLine="566"/>
        <w:rPr>
          <w:rFonts w:hint="default"/>
          <w:color w:val="FF0000"/>
          <w:sz w:val="28"/>
          <w:szCs w:val="28"/>
          <w:lang w:val="en-US" w:eastAsia="zh-CN"/>
        </w:rPr>
      </w:pPr>
      <w:r>
        <w:rPr>
          <w:rFonts w:hint="eastAsia"/>
          <w:color w:val="auto"/>
          <w:sz w:val="28"/>
          <w:szCs w:val="28"/>
          <w:lang w:val="en-US" w:eastAsia="zh-CN"/>
        </w:rPr>
        <w:t>险作业</w:t>
      </w:r>
      <w:r>
        <w:rPr>
          <w:rFonts w:hint="eastAsia" w:ascii="Times New Roman" w:hAnsi="Times New Roman" w:cs="Times New Roman"/>
          <w:color w:val="000000" w:themeColor="text1"/>
          <w:sz w:val="28"/>
          <w:szCs w:val="28"/>
          <w:lang w:eastAsia="zh-CN"/>
          <w14:textFill>
            <w14:solidFill>
              <w14:schemeClr w14:val="tx1"/>
            </w14:solidFill>
          </w14:textFill>
        </w:rPr>
        <w:t>许可</w:t>
      </w:r>
      <w:r>
        <w:rPr>
          <w:rFonts w:hint="eastAsia"/>
          <w:color w:val="auto"/>
          <w:sz w:val="28"/>
          <w:szCs w:val="28"/>
          <w:lang w:val="en-US" w:eastAsia="zh-CN"/>
        </w:rPr>
        <w:t>票见报告</w:t>
      </w:r>
      <w:r>
        <w:rPr>
          <w:rFonts w:hint="eastAsia"/>
          <w:color w:val="auto"/>
          <w:sz w:val="28"/>
          <w:szCs w:val="28"/>
          <w:highlight w:val="none"/>
          <w:lang w:val="en-US" w:eastAsia="zh-CN"/>
        </w:rPr>
        <w:t>附件24。</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outlineLvl w:val="1"/>
        <w:rPr>
          <w:rFonts w:hint="default" w:ascii="Times New Roman" w:hAnsi="Times New Roman" w:eastAsia="黑体" w:cs="Times New Roman"/>
          <w:b w:val="0"/>
          <w:bCs w:val="0"/>
          <w:sz w:val="32"/>
          <w:szCs w:val="32"/>
          <w:lang w:val="en-US" w:eastAsia="zh-CN"/>
        </w:rPr>
      </w:pPr>
      <w:bookmarkStart w:id="45" w:name="_Toc31681"/>
      <w:r>
        <w:rPr>
          <w:rFonts w:hint="default" w:ascii="Times New Roman" w:hAnsi="Times New Roman" w:eastAsia="黑体" w:cs="Times New Roman"/>
          <w:b w:val="0"/>
          <w:bCs w:val="0"/>
          <w:sz w:val="32"/>
          <w:szCs w:val="32"/>
          <w:lang w:val="en-US" w:eastAsia="zh-CN"/>
        </w:rPr>
        <w:t xml:space="preserve">2.15 </w:t>
      </w:r>
      <w:r>
        <w:rPr>
          <w:rFonts w:hint="eastAsia" w:eastAsia="黑体" w:cs="Times New Roman"/>
          <w:b w:val="0"/>
          <w:bCs w:val="0"/>
          <w:sz w:val="32"/>
          <w:szCs w:val="32"/>
          <w:lang w:val="en-US" w:eastAsia="zh-CN"/>
        </w:rPr>
        <w:t>井控管理</w:t>
      </w:r>
      <w:bookmarkEnd w:id="45"/>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bookmarkStart w:id="46" w:name="_Toc529"/>
      <w:bookmarkStart w:id="47" w:name="_Toc30981"/>
      <w:r>
        <w:rPr>
          <w:rFonts w:hint="eastAsia"/>
          <w:color w:val="auto"/>
          <w:sz w:val="28"/>
          <w:szCs w:val="28"/>
          <w:lang w:val="en-US" w:eastAsia="zh-CN"/>
        </w:rPr>
        <w:t>涉及企业机密，不予公开。</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outlineLvl w:val="1"/>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2.1</w:t>
      </w:r>
      <w:r>
        <w:rPr>
          <w:rFonts w:hint="eastAsia" w:eastAsia="黑体" w:cs="Times New Roman"/>
          <w:b w:val="0"/>
          <w:bCs w:val="0"/>
          <w:sz w:val="32"/>
          <w:szCs w:val="32"/>
          <w:lang w:val="en-US" w:eastAsia="zh-CN"/>
        </w:rPr>
        <w:t>6</w:t>
      </w:r>
      <w:r>
        <w:rPr>
          <w:rFonts w:hint="default" w:ascii="Times New Roman" w:hAnsi="Times New Roman" w:eastAsia="黑体" w:cs="Times New Roman"/>
          <w:b w:val="0"/>
          <w:bCs w:val="0"/>
          <w:sz w:val="32"/>
          <w:szCs w:val="32"/>
          <w:lang w:val="en-US" w:eastAsia="zh-CN"/>
        </w:rPr>
        <w:t xml:space="preserve"> </w:t>
      </w:r>
      <w:r>
        <w:rPr>
          <w:rFonts w:hint="eastAsia" w:eastAsia="黑体" w:cs="Times New Roman"/>
          <w:b w:val="0"/>
          <w:bCs w:val="0"/>
          <w:sz w:val="32"/>
          <w:szCs w:val="32"/>
          <w:lang w:val="en-US" w:eastAsia="zh-CN"/>
        </w:rPr>
        <w:t>交叉作业安全管理</w:t>
      </w:r>
      <w:bookmarkEnd w:id="46"/>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bookmarkStart w:id="48" w:name="_Toc6170"/>
      <w:r>
        <w:rPr>
          <w:rFonts w:hint="eastAsia"/>
          <w:color w:val="auto"/>
          <w:sz w:val="28"/>
          <w:szCs w:val="28"/>
          <w:lang w:val="en-US" w:eastAsia="zh-CN"/>
        </w:rPr>
        <w:t>涉及企业机密，不予公开。</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outlineLvl w:val="1"/>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2.1</w:t>
      </w:r>
      <w:r>
        <w:rPr>
          <w:rFonts w:hint="eastAsia" w:eastAsia="黑体" w:cs="Times New Roman"/>
          <w:b w:val="0"/>
          <w:bCs w:val="0"/>
          <w:sz w:val="32"/>
          <w:szCs w:val="32"/>
          <w:lang w:val="en-US" w:eastAsia="zh-CN"/>
        </w:rPr>
        <w:t>7</w:t>
      </w:r>
      <w:r>
        <w:rPr>
          <w:rFonts w:hint="default" w:ascii="Times New Roman" w:hAnsi="Times New Roman" w:eastAsia="黑体" w:cs="Times New Roman"/>
          <w:b w:val="0"/>
          <w:bCs w:val="0"/>
          <w:sz w:val="32"/>
          <w:szCs w:val="32"/>
          <w:lang w:val="en-US" w:eastAsia="zh-CN"/>
        </w:rPr>
        <w:t xml:space="preserve"> 生产安全事故管理</w:t>
      </w:r>
      <w:bookmarkEnd w:id="47"/>
      <w:bookmarkEnd w:id="48"/>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宋体" w:hAnsi="宋体" w:eastAsia="宋体" w:cs="宋体"/>
          <w:smallCaps w:val="0"/>
          <w:color w:val="auto"/>
          <w:sz w:val="28"/>
          <w:szCs w:val="28"/>
          <w:lang w:val="en-US" w:eastAsia="zh-CN"/>
        </w:rPr>
      </w:pPr>
      <w:r>
        <w:rPr>
          <w:rFonts w:hint="eastAsia"/>
          <w:color w:val="auto"/>
          <w:sz w:val="28"/>
          <w:szCs w:val="28"/>
          <w:lang w:val="en-US" w:eastAsia="zh-CN"/>
        </w:rPr>
        <w:t>涉及企业机密，不予公开。</w:t>
      </w:r>
    </w:p>
    <w:p>
      <w:pPr>
        <w:pStyle w:val="4"/>
        <w:adjustRightInd w:val="0"/>
        <w:snapToGrid w:val="0"/>
        <w:spacing w:before="0" w:after="0" w:line="360" w:lineRule="auto"/>
        <w:rPr>
          <w:rFonts w:ascii="Times New Roman" w:hAnsi="Times New Roman"/>
          <w:b w:val="0"/>
          <w:bCs/>
          <w:color w:val="auto"/>
          <w:szCs w:val="32"/>
        </w:rPr>
      </w:pPr>
      <w:bookmarkStart w:id="49" w:name="_Toc18497"/>
      <w:r>
        <w:rPr>
          <w:rFonts w:ascii="Times New Roman" w:hAnsi="Times New Roman"/>
          <w:b w:val="0"/>
          <w:bCs/>
          <w:color w:val="auto"/>
          <w:szCs w:val="32"/>
        </w:rPr>
        <w:t>2.1</w:t>
      </w:r>
      <w:r>
        <w:rPr>
          <w:rFonts w:hint="eastAsia" w:ascii="Times New Roman" w:hAnsi="Times New Roman"/>
          <w:b w:val="0"/>
          <w:bCs/>
          <w:color w:val="auto"/>
          <w:szCs w:val="32"/>
          <w:lang w:val="en-US" w:eastAsia="zh-CN"/>
        </w:rPr>
        <w:t xml:space="preserve">8 </w:t>
      </w:r>
      <w:r>
        <w:rPr>
          <w:rFonts w:hint="eastAsia" w:ascii="Times New Roman" w:hAnsi="Times New Roman"/>
          <w:b w:val="0"/>
          <w:bCs/>
          <w:color w:val="auto"/>
          <w:szCs w:val="32"/>
        </w:rPr>
        <w:t>安全生产标准化及双重预防体系的建设、运行情况</w:t>
      </w:r>
      <w:bookmarkEnd w:id="49"/>
    </w:p>
    <w:p>
      <w:pPr>
        <w:adjustRightInd w:val="0"/>
        <w:snapToGrid w:val="0"/>
        <w:spacing w:line="360" w:lineRule="auto"/>
        <w:ind w:firstLine="560" w:firstLineChars="200"/>
        <w:rPr>
          <w:rFonts w:hint="default"/>
          <w:b/>
          <w:color w:val="0070C0"/>
          <w:sz w:val="28"/>
          <w:szCs w:val="28"/>
          <w:lang w:val="en-US"/>
        </w:rPr>
      </w:pPr>
      <w:r>
        <w:rPr>
          <w:rFonts w:hint="eastAsia"/>
          <w:color w:val="auto"/>
          <w:sz w:val="28"/>
          <w:szCs w:val="28"/>
          <w:lang w:val="en-US" w:eastAsia="zh-CN"/>
        </w:rPr>
        <w:t>目前</w:t>
      </w:r>
      <w:r>
        <w:rPr>
          <w:rFonts w:hint="eastAsia"/>
          <w:color w:val="auto"/>
          <w:sz w:val="28"/>
          <w:szCs w:val="28"/>
          <w:lang w:eastAsia="zh-CN"/>
        </w:rPr>
        <w:t>海塔石油科技有限公司建立了安全生产管理制度，全员安全生产责任制及操作规程，并且建立有隐患排查治理制度开展隐患排查治理，制定了教育培训计划等，已开展安全生产标准化建设工作，但仍需完善，</w:t>
      </w:r>
      <w:r>
        <w:rPr>
          <w:rFonts w:hint="eastAsia" w:eastAsia="宋体"/>
          <w:color w:val="auto"/>
          <w:sz w:val="28"/>
          <w:szCs w:val="28"/>
          <w:lang w:val="en-US" w:eastAsia="zh-CN"/>
        </w:rPr>
        <w:t>建议取得安全生产许可证之后，按照《中华人民共和国安全生产法》、《企业安全生产标</w:t>
      </w:r>
      <w:r>
        <w:rPr>
          <w:rFonts w:hint="eastAsia"/>
          <w:color w:val="auto"/>
          <w:sz w:val="28"/>
          <w:szCs w:val="28"/>
          <w:lang w:val="en-US" w:eastAsia="zh-CN"/>
        </w:rPr>
        <w:t>准化建设定级办法》（应急〔2021〕83号）、《关于实施〈企业安全生产标准化建设定级办法〉的通知》（鲁应急发〔2022〕5号）、《东营市应急管理局〈关于开展企业安全生产标准化定级工作〉的通知》（东应急发〔2022〕22号）、《石油行业安全生产标准化 井下作业实施规范》（AQ2041-2012）等文件和标准要求，有序开展安全生产标准化建设和定级工作，不断提升企业安全管理水平。</w:t>
      </w:r>
    </w:p>
    <w:p>
      <w:pPr>
        <w:adjustRightInd w:val="0"/>
        <w:snapToGrid w:val="0"/>
        <w:spacing w:line="360" w:lineRule="auto"/>
        <w:ind w:firstLine="560" w:firstLineChars="200"/>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海塔石油科技有限公司</w:t>
      </w:r>
      <w:r>
        <w:rPr>
          <w:rFonts w:hint="default" w:ascii="Times New Roman" w:hAnsi="Times New Roman" w:eastAsia="宋体" w:cs="Times New Roman"/>
          <w:color w:val="auto"/>
          <w:sz w:val="28"/>
          <w:szCs w:val="28"/>
          <w:lang w:val="en-US" w:eastAsia="zh-CN"/>
        </w:rPr>
        <w:t>公司自</w:t>
      </w:r>
      <w:r>
        <w:rPr>
          <w:rFonts w:hint="eastAsia" w:ascii="Times New Roman" w:hAnsi="Times New Roman" w:eastAsia="宋体" w:cs="Times New Roman"/>
          <w:color w:val="auto"/>
          <w:sz w:val="28"/>
          <w:szCs w:val="28"/>
          <w:lang w:val="en-US" w:eastAsia="zh-CN"/>
        </w:rPr>
        <w:t>2022</w:t>
      </w:r>
      <w:r>
        <w:rPr>
          <w:rFonts w:hint="default" w:ascii="Times New Roman" w:hAnsi="Times New Roman" w:eastAsia="宋体" w:cs="Times New Roman"/>
          <w:color w:val="auto"/>
          <w:sz w:val="28"/>
          <w:szCs w:val="28"/>
          <w:lang w:val="en-US" w:eastAsia="zh-CN"/>
        </w:rPr>
        <w:t>年</w:t>
      </w:r>
      <w:r>
        <w:rPr>
          <w:rFonts w:hint="eastAsia" w:ascii="Times New Roman" w:hAnsi="Times New Roman" w:eastAsia="宋体" w:cs="Times New Roman"/>
          <w:color w:val="auto"/>
          <w:sz w:val="28"/>
          <w:szCs w:val="28"/>
          <w:lang w:val="en-US" w:eastAsia="zh-CN"/>
        </w:rPr>
        <w:t>8</w:t>
      </w:r>
      <w:r>
        <w:rPr>
          <w:rFonts w:hint="default" w:ascii="Times New Roman" w:hAnsi="Times New Roman" w:eastAsia="宋体" w:cs="Times New Roman"/>
          <w:color w:val="auto"/>
          <w:sz w:val="28"/>
          <w:szCs w:val="28"/>
          <w:lang w:val="en-US" w:eastAsia="zh-CN"/>
        </w:rPr>
        <w:t>月开始积极部署推进双体系建设工作，</w:t>
      </w:r>
      <w:r>
        <w:rPr>
          <w:rFonts w:hint="eastAsia" w:ascii="Times New Roman" w:hAnsi="Times New Roman" w:eastAsia="宋体" w:cs="Times New Roman"/>
          <w:color w:val="auto"/>
          <w:sz w:val="28"/>
          <w:szCs w:val="28"/>
          <w:lang w:val="en-US" w:eastAsia="zh-CN"/>
        </w:rPr>
        <w:t>成立以公司主要负责人为组长的“两个体系建设”工作领导小组，领导小组下设“两个体系建设”工作小组。</w:t>
      </w:r>
      <w:r>
        <w:rPr>
          <w:rFonts w:hint="default" w:ascii="Times New Roman" w:hAnsi="Times New Roman" w:eastAsia="宋体" w:cs="Times New Roman"/>
          <w:color w:val="auto"/>
          <w:sz w:val="28"/>
          <w:szCs w:val="28"/>
          <w:lang w:val="en-US" w:eastAsia="zh-CN"/>
        </w:rPr>
        <w:t>明确相应的管控职责，确保双体系建设工作的落实编制了“双体系”建设实施方案，明确了双体系建设工作的具体实施步骤和要求</w:t>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并</w:t>
      </w:r>
      <w:r>
        <w:rPr>
          <w:rFonts w:hint="eastAsia" w:ascii="Times New Roman" w:hAnsi="Times New Roman" w:eastAsia="宋体" w:cs="Times New Roman"/>
          <w:color w:val="auto"/>
          <w:sz w:val="28"/>
          <w:szCs w:val="28"/>
          <w:lang w:val="en-US" w:eastAsia="zh-CN"/>
        </w:rPr>
        <w:t>在2023</w:t>
      </w:r>
      <w:r>
        <w:rPr>
          <w:rFonts w:hint="default" w:ascii="Times New Roman" w:hAnsi="Times New Roman" w:eastAsia="宋体" w:cs="Times New Roman"/>
          <w:color w:val="auto"/>
          <w:sz w:val="28"/>
          <w:szCs w:val="28"/>
          <w:lang w:val="en-US" w:eastAsia="zh-CN"/>
        </w:rPr>
        <w:t>年不断补充完善公司双体系建设制度及实施指南，通过分层级、分时段举办专题培训班，组织各单位负责人、管理人员及全体职工，对风险分级管控体系知识进行培训。</w:t>
      </w:r>
    </w:p>
    <w:p>
      <w:pPr>
        <w:widowControl/>
        <w:jc w:val="left"/>
        <w:rPr>
          <w:color w:val="0070C0"/>
          <w:sz w:val="28"/>
          <w:szCs w:val="28"/>
        </w:rPr>
      </w:pPr>
      <w:r>
        <w:rPr>
          <w:color w:val="0070C0"/>
          <w:sz w:val="28"/>
          <w:szCs w:val="28"/>
        </w:rPr>
        <w:br w:type="page"/>
      </w:r>
    </w:p>
    <w:p>
      <w:pPr>
        <w:keepNext/>
        <w:adjustRightInd w:val="0"/>
        <w:snapToGrid w:val="0"/>
        <w:spacing w:line="360" w:lineRule="auto"/>
        <w:jc w:val="center"/>
        <w:outlineLvl w:val="0"/>
        <w:rPr>
          <w:rFonts w:eastAsia="楷体_GB2312"/>
          <w:b/>
          <w:color w:val="000000" w:themeColor="text1"/>
          <w:sz w:val="36"/>
          <w:szCs w:val="36"/>
          <w14:textFill>
            <w14:solidFill>
              <w14:schemeClr w14:val="tx1"/>
            </w14:solidFill>
          </w14:textFill>
        </w:rPr>
      </w:pPr>
      <w:bookmarkStart w:id="50" w:name="_Toc22899"/>
      <w:bookmarkStart w:id="51" w:name="_Toc447782514"/>
      <w:r>
        <w:rPr>
          <w:rFonts w:hint="eastAsia" w:eastAsia="楷体_GB2312"/>
          <w:b/>
          <w:color w:val="000000" w:themeColor="text1"/>
          <w:sz w:val="36"/>
          <w:szCs w:val="36"/>
          <w14:textFill>
            <w14:solidFill>
              <w14:schemeClr w14:val="tx1"/>
            </w14:solidFill>
          </w14:textFill>
        </w:rPr>
        <w:t xml:space="preserve">3 </w:t>
      </w:r>
      <w:r>
        <w:rPr>
          <w:rFonts w:hint="eastAsia" w:ascii="宋体" w:hAnsi="宋体" w:eastAsia="宋体" w:cs="宋体"/>
          <w:b/>
          <w:color w:val="000000" w:themeColor="text1"/>
          <w:sz w:val="36"/>
          <w:szCs w:val="36"/>
          <w14:textFill>
            <w14:solidFill>
              <w14:schemeClr w14:val="tx1"/>
            </w14:solidFill>
          </w14:textFill>
        </w:rPr>
        <w:t>主要危险、有害因素分析</w:t>
      </w:r>
      <w:bookmarkEnd w:id="50"/>
      <w:bookmarkEnd w:id="51"/>
    </w:p>
    <w:p>
      <w:pPr>
        <w:pStyle w:val="4"/>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52" w:name="_Toc276394620"/>
      <w:bookmarkStart w:id="53" w:name="_Toc6042"/>
      <w:bookmarkStart w:id="54" w:name="_Toc447782515"/>
      <w:bookmarkStart w:id="55" w:name="_Toc248650008"/>
      <w:bookmarkStart w:id="56" w:name="_Toc291144364"/>
      <w:r>
        <w:rPr>
          <w:rFonts w:hint="eastAsia" w:ascii="Times New Roman" w:hAnsi="Times New Roman"/>
          <w:b w:val="0"/>
          <w:bCs/>
          <w:color w:val="000000" w:themeColor="text1"/>
          <w:szCs w:val="32"/>
          <w14:textFill>
            <w14:solidFill>
              <w14:schemeClr w14:val="tx1"/>
            </w14:solidFill>
          </w14:textFill>
        </w:rPr>
        <w:t>3.1 主要危险有害物质分析</w:t>
      </w:r>
      <w:bookmarkEnd w:id="52"/>
      <w:bookmarkEnd w:id="53"/>
      <w:bookmarkEnd w:id="54"/>
      <w:bookmarkEnd w:id="55"/>
      <w:bookmarkEnd w:id="56"/>
    </w:p>
    <w:p>
      <w:pPr>
        <w:adjustRightInd w:val="0"/>
        <w:snapToGrid w:val="0"/>
        <w:spacing w:line="360" w:lineRule="auto"/>
        <w:ind w:firstLine="560" w:firstLineChars="200"/>
        <w:rPr>
          <w:rFonts w:hint="eastAsia"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海塔石油科技有限公司大修作业、井下复杂情况处理（打捞、堵漏）</w:t>
      </w:r>
      <w:r>
        <w:rPr>
          <w:rFonts w:hint="eastAsia"/>
          <w:color w:val="000000" w:themeColor="text1"/>
          <w:sz w:val="28"/>
          <w:szCs w:val="28"/>
          <w14:textFill>
            <w14:solidFill>
              <w14:schemeClr w14:val="tx1"/>
            </w14:solidFill>
          </w14:textFill>
        </w:rPr>
        <w:t>作业过程中涉及的主要危险、有害物质有</w:t>
      </w:r>
      <w:r>
        <w:rPr>
          <w:rFonts w:hint="eastAsia"/>
          <w:color w:val="000000" w:themeColor="text1"/>
          <w:sz w:val="28"/>
          <w:szCs w:val="28"/>
          <w:highlight w:val="none"/>
          <w14:textFill>
            <w14:solidFill>
              <w14:schemeClr w14:val="tx1"/>
            </w14:solidFill>
          </w14:textFill>
        </w:rPr>
        <w:t>原油</w:t>
      </w:r>
      <w:r>
        <w:rPr>
          <w:rFonts w:hint="eastAsia"/>
          <w:color w:val="000000" w:themeColor="text1"/>
          <w:sz w:val="28"/>
          <w:szCs w:val="28"/>
          <w14:textFill>
            <w14:solidFill>
              <w14:schemeClr w14:val="tx1"/>
            </w14:solidFill>
          </w14:textFill>
        </w:rPr>
        <w:t>、天然气、硫化氢、柴油、</w:t>
      </w:r>
      <w:r>
        <w:rPr>
          <w:rFonts w:hint="eastAsia"/>
          <w:color w:val="000000" w:themeColor="text1"/>
          <w:sz w:val="28"/>
          <w:szCs w:val="28"/>
          <w:lang w:eastAsia="zh-CN"/>
          <w14:textFill>
            <w14:solidFill>
              <w14:schemeClr w14:val="tx1"/>
            </w14:solidFill>
          </w14:textFill>
        </w:rPr>
        <w:t>化学助剂（封堵剂）</w:t>
      </w:r>
      <w:r>
        <w:rPr>
          <w:rFonts w:hint="eastAsia"/>
          <w:color w:val="000000" w:themeColor="text1"/>
          <w:sz w:val="28"/>
          <w:szCs w:val="28"/>
          <w14:textFill>
            <w14:solidFill>
              <w14:schemeClr w14:val="tx1"/>
            </w14:solidFill>
          </w14:textFill>
        </w:rPr>
        <w:t>等。</w:t>
      </w:r>
      <w:r>
        <w:rPr>
          <w:rFonts w:hint="eastAsia"/>
          <w:color w:val="000000" w:themeColor="text1"/>
          <w:sz w:val="28"/>
          <w:szCs w:val="28"/>
          <w:lang w:eastAsia="zh-CN"/>
          <w14:textFill>
            <w14:solidFill>
              <w14:schemeClr w14:val="tx1"/>
            </w14:solidFill>
          </w14:textFill>
        </w:rPr>
        <w:t>大修作业、井下复杂情况处理（打捞、堵漏）施工过程中涉及原油、天然气和硫化氢；修井机使用柴油作为动力燃料；另外堵漏施工需要使用化学助剂（化学堵剂）等。</w:t>
      </w:r>
    </w:p>
    <w:p>
      <w:pPr>
        <w:adjustRightInd w:val="0"/>
        <w:snapToGrid w:val="0"/>
        <w:spacing w:line="360" w:lineRule="auto"/>
        <w:ind w:firstLine="560" w:firstLineChars="200"/>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企业涉及的危险有害物质的辨识情况如下表所示：</w:t>
      </w:r>
    </w:p>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b/>
          <w:sz w:val="24"/>
        </w:rPr>
      </w:pPr>
      <w:r>
        <w:rPr>
          <w:b/>
          <w:sz w:val="24"/>
        </w:rPr>
        <w:t>表</w:t>
      </w:r>
      <w:r>
        <w:rPr>
          <w:rFonts w:ascii="Times New Roman" w:eastAsia="Times New Roman"/>
          <w:b/>
          <w:sz w:val="24"/>
        </w:rPr>
        <w:t xml:space="preserve">3-1 </w:t>
      </w:r>
      <w:r>
        <w:rPr>
          <w:b/>
          <w:sz w:val="24"/>
        </w:rPr>
        <w:t>危险物质辨识情况一览表</w:t>
      </w:r>
    </w:p>
    <w:tbl>
      <w:tblPr>
        <w:tblStyle w:val="52"/>
        <w:tblW w:w="5106" w:type="pct"/>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547"/>
        <w:gridCol w:w="1678"/>
        <w:gridCol w:w="2088"/>
        <w:gridCol w:w="420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cantSplit/>
          <w:trHeight w:val="669" w:hRule="atLeast"/>
          <w:tblHeader/>
          <w:jc w:val="center"/>
        </w:trPr>
        <w:tc>
          <w:tcPr>
            <w:tcW w:w="321" w:type="pct"/>
            <w:tcBorders>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985" w:type="pct"/>
            <w:tcBorders>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类别</w:t>
            </w:r>
          </w:p>
        </w:tc>
        <w:tc>
          <w:tcPr>
            <w:tcW w:w="1226" w:type="pct"/>
            <w:tcBorders>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该项目所涉及的物质</w:t>
            </w:r>
          </w:p>
        </w:tc>
        <w:tc>
          <w:tcPr>
            <w:tcW w:w="2466" w:type="pct"/>
            <w:tcBorders>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辨识依据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9"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原油、天然气、硫化氢、</w:t>
            </w:r>
            <w:r>
              <w:rPr>
                <w:rFonts w:hint="eastAsia" w:ascii="Times New Roman" w:hAnsi="Times New Roman" w:eastAsia="宋体" w:cs="Times New Roman"/>
                <w:sz w:val="21"/>
                <w:szCs w:val="21"/>
                <w:lang w:val="en-US" w:eastAsia="zh-CN"/>
              </w:rPr>
              <w:t>柴油</w:t>
            </w:r>
          </w:p>
        </w:tc>
        <w:tc>
          <w:tcPr>
            <w:tcW w:w="2466" w:type="pct"/>
            <w:vMerge w:val="restar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《危险化学品名录（2015 版）》</w:t>
            </w:r>
            <w:r>
              <w:rPr>
                <w:rFonts w:hint="eastAsia" w:cs="Times New Roman"/>
                <w:sz w:val="21"/>
                <w:szCs w:val="21"/>
                <w:lang w:eastAsia="zh-CN"/>
              </w:rPr>
              <w:t>（应急部公告</w:t>
            </w:r>
            <w:r>
              <w:rPr>
                <w:rFonts w:hint="eastAsia" w:cs="Times New Roman"/>
                <w:sz w:val="21"/>
                <w:szCs w:val="21"/>
                <w:lang w:val="en-US" w:eastAsia="zh-CN"/>
              </w:rPr>
              <w:t>[2022]8号修正</w:t>
            </w:r>
            <w:r>
              <w:rPr>
                <w:rFonts w:hint="eastAsia" w:cs="Times New Roman"/>
                <w:sz w:val="21"/>
                <w:szCs w:val="21"/>
                <w:lang w:eastAsia="zh-CN"/>
              </w:rPr>
              <w:t>）</w:t>
            </w:r>
            <w:r>
              <w:rPr>
                <w:rFonts w:hint="default" w:ascii="Times New Roman" w:hAnsi="Times New Roman" w:eastAsia="宋体" w:cs="Times New Roman"/>
                <w:sz w:val="21"/>
                <w:szCs w:val="21"/>
              </w:rPr>
              <w:t>、《国家安全监管总局办公厅关于印发危险化学品目录（2015 版）实施指南（试行）的通知》（</w:t>
            </w:r>
            <w:r>
              <w:rPr>
                <w:rFonts w:hint="eastAsia" w:cs="Times New Roman"/>
                <w:sz w:val="21"/>
                <w:szCs w:val="21"/>
                <w:lang w:val="en-US" w:eastAsia="zh-CN"/>
              </w:rPr>
              <w:t>2022年修订</w:t>
            </w:r>
            <w:r>
              <w:rPr>
                <w:rFonts w:hint="default" w:ascii="Times New Roman" w:hAnsi="Times New Roman" w:eastAsia="宋体" w:cs="Times New Roman"/>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剧毒化学品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466" w:type="pct"/>
            <w:vMerge w:val="continue"/>
            <w:tcBorders>
              <w:top w:val="nil"/>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高毒物品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硫化氢</w:t>
            </w:r>
          </w:p>
        </w:tc>
        <w:tc>
          <w:tcPr>
            <w:tcW w:w="2466"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《高毒物品目录》（卫法监发[2003]142 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757"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易制毒化学品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466"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《易制毒化学品管理条例》（国务院令第</w:t>
            </w:r>
          </w:p>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445 号，国务院令第 653 号、第 666 号、第703 号修订）、《国务院办公厅关于同意将α-苯乙酰乙酸甲酯等 6 种物质列入易制毒化学品品种目录的函》（国办函[2021]58 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易制爆化学品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466"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《易制爆危险化学品名录》（2017 年版）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40"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易爆炸重点危险化学品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466"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《关于加强易爆炸重点危险化学品安全生产管理工作的通知》（鲁安监发[2010]62 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9"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重点监管危险化学品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原油、天然气、硫化氢</w:t>
            </w:r>
          </w:p>
        </w:tc>
        <w:tc>
          <w:tcPr>
            <w:tcW w:w="2466"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《重点监管的危险化学品名录》（2013 完整版）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7"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监控化学品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466"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《各类监控化学品名录》（工业和信息化部令第 52 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8"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特别管控危险化学品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466"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应急管理部、工业和信息化部、公安部、交通运输部公告 2020 年 第 3 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8" w:hRule="atLeast"/>
          <w:jc w:val="center"/>
        </w:trPr>
        <w:tc>
          <w:tcPr>
            <w:tcW w:w="321"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w:t>
            </w:r>
          </w:p>
        </w:tc>
        <w:tc>
          <w:tcPr>
            <w:tcW w:w="985"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eastAsia"/>
              </w:rPr>
              <w:t>禁止的化学品</w:t>
            </w:r>
          </w:p>
        </w:tc>
        <w:tc>
          <w:tcPr>
            <w:tcW w:w="1226"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不涉及</w:t>
            </w:r>
          </w:p>
        </w:tc>
        <w:tc>
          <w:tcPr>
            <w:tcW w:w="2466"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山东省应急管理厅关于印发《山东省禁止危险化学品目录（第一批）》的通知鲁应急发〔2019〕37号</w:t>
            </w:r>
            <w:r>
              <w:rPr>
                <w:rFonts w:hint="eastAsia" w:cs="Times New Roman"/>
                <w:sz w:val="21"/>
                <w:szCs w:val="21"/>
                <w:lang w:eastAsia="zh-CN"/>
              </w:rPr>
              <w:t>、</w:t>
            </w:r>
            <w:r>
              <w:rPr>
                <w:rFonts w:hint="default" w:ascii="Times New Roman" w:hAnsi="Times New Roman" w:eastAsia="宋体" w:cs="Times New Roman"/>
                <w:sz w:val="21"/>
                <w:szCs w:val="21"/>
              </w:rPr>
              <w:t>关于印发《山东省禁止危险化学品目录</w:t>
            </w:r>
            <w:r>
              <w:rPr>
                <w:rFonts w:hint="eastAsia" w:cs="Times New Roman"/>
                <w:sz w:val="21"/>
                <w:szCs w:val="21"/>
                <w:lang w:eastAsia="zh-CN"/>
              </w:rPr>
              <w:t>（</w:t>
            </w:r>
            <w:r>
              <w:rPr>
                <w:rFonts w:hint="default" w:ascii="Times New Roman" w:hAnsi="Times New Roman" w:eastAsia="宋体" w:cs="Times New Roman"/>
                <w:sz w:val="21"/>
                <w:szCs w:val="21"/>
              </w:rPr>
              <w:t>第二批</w:t>
            </w:r>
            <w:r>
              <w:rPr>
                <w:rFonts w:hint="eastAsia" w:cs="Times New Roman"/>
                <w:sz w:val="21"/>
                <w:szCs w:val="21"/>
                <w:lang w:eastAsia="zh-CN"/>
              </w:rPr>
              <w:t>）</w:t>
            </w:r>
            <w:r>
              <w:rPr>
                <w:rFonts w:hint="default" w:ascii="Times New Roman" w:hAnsi="Times New Roman" w:eastAsia="宋体" w:cs="Times New Roman"/>
                <w:sz w:val="21"/>
                <w:szCs w:val="21"/>
              </w:rPr>
              <w:t>》的通知鲁应急字[2022]61号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8" w:hRule="atLeast"/>
          <w:jc w:val="center"/>
        </w:trPr>
        <w:tc>
          <w:tcPr>
            <w:tcW w:w="321" w:type="pct"/>
            <w:tcBorders>
              <w:top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w:t>
            </w:r>
          </w:p>
        </w:tc>
        <w:tc>
          <w:tcPr>
            <w:tcW w:w="985" w:type="pct"/>
            <w:tcBorders>
              <w:top w:val="single" w:color="000000" w:sz="6" w:space="0"/>
              <w:left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忌水化学品</w:t>
            </w:r>
          </w:p>
        </w:tc>
        <w:tc>
          <w:tcPr>
            <w:tcW w:w="1226" w:type="pct"/>
            <w:tcBorders>
              <w:top w:val="single" w:color="000000" w:sz="6" w:space="0"/>
              <w:left w:val="single" w:color="000000" w:sz="6" w:space="0"/>
              <w:right w:val="single" w:color="000000" w:sz="6" w:space="0"/>
            </w:tcBorders>
            <w:vAlign w:val="center"/>
          </w:tcPr>
          <w:p>
            <w:pPr>
              <w:keepNext w:val="0"/>
              <w:keepLines w:val="0"/>
              <w:suppressLineNumbers w:val="0"/>
              <w:bidi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不涉及</w:t>
            </w:r>
          </w:p>
        </w:tc>
        <w:tc>
          <w:tcPr>
            <w:tcW w:w="2466" w:type="pct"/>
            <w:tcBorders>
              <w:top w:val="single" w:color="000000" w:sz="6" w:space="0"/>
              <w:left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关于认真做好夏季汛期全省危险化学品安全生产工作的通知鲁应急字〔2020〕46号</w:t>
            </w: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left="0" w:right="0" w:firstLine="0"/>
        <w:jc w:val="center"/>
        <w:textAlignment w:val="auto"/>
        <w:rPr>
          <w:b/>
          <w:sz w:val="24"/>
        </w:rPr>
      </w:pPr>
      <w:r>
        <w:rPr>
          <w:b/>
          <w:sz w:val="24"/>
        </w:rPr>
        <w:t>表</w:t>
      </w:r>
      <w:r>
        <w:rPr>
          <w:rFonts w:ascii="Times New Roman" w:eastAsia="Times New Roman"/>
          <w:b/>
          <w:sz w:val="24"/>
        </w:rPr>
        <w:t xml:space="preserve">3-2 </w:t>
      </w:r>
      <w:r>
        <w:rPr>
          <w:b/>
          <w:sz w:val="24"/>
        </w:rPr>
        <w:t>主要化学品危险特性情况一览表</w:t>
      </w:r>
    </w:p>
    <w:tbl>
      <w:tblPr>
        <w:tblStyle w:val="52"/>
        <w:tblW w:w="5015"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696"/>
        <w:gridCol w:w="1168"/>
        <w:gridCol w:w="3583"/>
        <w:gridCol w:w="1745"/>
        <w:gridCol w:w="116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0" w:hRule="atLeast"/>
          <w:tblHeader/>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物质名称</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危险性类别</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主要危险特性</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原油</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（1）闪点＜23℃和初沸点≤35℃： 易燃液体，类别 1</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（2）闪点＜23℃和初沸点＞35℃：</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易燃液体，类别 2</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（3）23℃≤闪点≤60℃：</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易燃液体，类别 3</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易燃、有毒</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柴油</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易燃液体，类别3；</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皮肤腐蚀/刺激，类别2；</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严重眼睛损伤/眼睛刺激性，类别2；特异性靶器官系统毒性一次性接触，类别2；特异性靶器官系统毒性反复接触，类别2；急性水生毒性，类别3</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易燃液体</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天然气</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易燃气体，类别 1</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加压气体</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易燃、易爆</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硫化氢</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易燃气体，类别 1</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加压气体</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急性毒性-吸入，类别 2*</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危害水生环境-急性危害，类别 1</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易燃、易爆、有毒</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000000" w:themeColor="text1"/>
          <w:kern w:val="0"/>
          <w:sz w:val="28"/>
          <w:szCs w:val="28"/>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 xml:space="preserve">3.1.1 </w:t>
      </w:r>
      <w:r>
        <w:rPr>
          <w:rFonts w:eastAsia="黑体"/>
          <w:bCs/>
          <w:snapToGrid w:val="0"/>
          <w:color w:val="000000" w:themeColor="text1"/>
          <w:kern w:val="0"/>
          <w:sz w:val="28"/>
          <w:szCs w:val="28"/>
          <w14:textFill>
            <w14:solidFill>
              <w14:schemeClr w14:val="tx1"/>
            </w14:solidFill>
          </w14:textFill>
        </w:rPr>
        <w:t>原油</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原油是由各种烃类组成的一种复杂混合物，含有少量硫、氮、氧有机物及微量金属。外观是一种流动和半流动的粘稠液体，颜色大部分是暗色的（从褐色至深黑色），具有一定的火灾危险性。</w:t>
      </w:r>
    </w:p>
    <w:p>
      <w:pPr>
        <w:adjustRightInd w:val="0"/>
        <w:snapToGrid w:val="0"/>
        <w:spacing w:line="360" w:lineRule="auto"/>
        <w:ind w:firstLine="560" w:firstLineChars="200"/>
        <w:rPr>
          <w:rFonts w:hint="eastAsia"/>
          <w:b/>
          <w:bCs/>
          <w:color w:val="000000" w:themeColor="text1"/>
          <w:sz w:val="24"/>
          <w:szCs w:val="24"/>
          <w14:textFill>
            <w14:solidFill>
              <w14:schemeClr w14:val="tx1"/>
            </w14:solidFill>
          </w14:textFill>
        </w:rPr>
      </w:pPr>
      <w:r>
        <w:rPr>
          <w:rFonts w:hint="eastAsia"/>
          <w:color w:val="000000" w:themeColor="text1"/>
          <w:sz w:val="28"/>
          <w:szCs w:val="28"/>
          <w14:textFill>
            <w14:solidFill>
              <w14:schemeClr w14:val="tx1"/>
            </w14:solidFill>
          </w14:textFill>
        </w:rPr>
        <w:t>原油的主要危险有害特性见下表。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center"/>
        <w:textAlignment w:val="auto"/>
        <w:rPr>
          <w:b w:val="0"/>
          <w:bCs w:val="0"/>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表3-</w:t>
      </w:r>
      <w:r>
        <w:rPr>
          <w:rFonts w:hint="eastAsia"/>
          <w:b/>
          <w:bCs/>
          <w:color w:val="000000" w:themeColor="text1"/>
          <w:sz w:val="24"/>
          <w:szCs w:val="24"/>
          <w:lang w:val="en-US" w:eastAsia="zh-CN"/>
          <w14:textFill>
            <w14:solidFill>
              <w14:schemeClr w14:val="tx1"/>
            </w14:solidFill>
          </w14:textFill>
        </w:rPr>
        <w:t>3</w:t>
      </w:r>
      <w:r>
        <w:rPr>
          <w:rFonts w:hint="eastAsia"/>
          <w:b/>
          <w:bCs/>
          <w:color w:val="000000" w:themeColor="text1"/>
          <w:sz w:val="24"/>
          <w:szCs w:val="24"/>
          <w14:textFill>
            <w14:solidFill>
              <w14:schemeClr w14:val="tx1"/>
            </w14:solidFill>
          </w14:textFill>
        </w:rPr>
        <w:t xml:space="preserve"> 原油主要危险有害特性一览表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426"/>
        <w:gridCol w:w="707"/>
        <w:gridCol w:w="709"/>
        <w:gridCol w:w="569"/>
        <w:gridCol w:w="566"/>
        <w:gridCol w:w="1273"/>
        <w:gridCol w:w="4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原油</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CAS</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8002-05-9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危险货物编号</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UN编号</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外观性状</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红色、红棕色或黑色有绿色荧光的稠厚性油状液体。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主要用途</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可分离出多种有机原料，如汽油，苯、煤油、沥青等。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溶解性</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不溶于水，溶于多数有机溶剂。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6</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燃烧热（kJ/mol</w:t>
            </w:r>
            <w:r>
              <w:rPr>
                <w:rFonts w:hint="default"/>
                <w:color w:val="000000" w:themeColor="text1"/>
                <w:szCs w:val="21"/>
                <w14:textFill>
                  <w14:solidFill>
                    <w14:schemeClr w14:val="tx1"/>
                  </w14:solidFill>
                </w14:textFill>
              </w:rPr>
              <w:t>）</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自常温至500℃以上</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饱和蒸气压（kPa）</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0.78～0.97</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临界温度（℃）</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rFonts w:hint="eastAsia"/>
                <w:color w:val="000000" w:themeColor="text1"/>
                <w:szCs w:val="21"/>
                <w14:textFill>
                  <w14:solidFill>
                    <w14:schemeClr w14:val="tx1"/>
                  </w14:solidFill>
                </w14:textFill>
              </w:rPr>
              <w:t>）</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可燃</w:t>
            </w:r>
          </w:p>
        </w:tc>
        <w:tc>
          <w:tcPr>
            <w:tcW w:w="1842" w:type="dxa"/>
            <w:gridSpan w:val="3"/>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危险特性</w:t>
            </w:r>
          </w:p>
        </w:tc>
        <w:tc>
          <w:tcPr>
            <w:tcW w:w="2885"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其蒸气与空气形成爆炸性混合物，遇明火、高热能引起燃烧爆炸。与氧化剂能发生强烈反应，若遇高热，容器内压增大，有开裂和爆炸的危险。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20</w:t>
            </w:r>
            <w:r>
              <w:rPr>
                <w:rFonts w:hint="eastAsia" w:ascii="宋体" w:hAnsi="宋体" w:eastAsia="宋体" w:cs="宋体"/>
                <w:color w:val="000000" w:themeColor="text1"/>
                <w:szCs w:val="21"/>
                <w:lang w:val="en-US"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100</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350</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1.1</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8.7</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燃烧（分解）产物</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w:t>
            </w:r>
          </w:p>
        </w:tc>
        <w:tc>
          <w:tcPr>
            <w:tcW w:w="113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color w:val="000000" w:themeColor="text1"/>
                <w:szCs w:val="21"/>
                <w14:textFill>
                  <w14:solidFill>
                    <w14:schemeClr w14:val="tx1"/>
                  </w14:solidFill>
                </w14:textFill>
              </w:rPr>
            </w:pPr>
            <w:r>
              <w:rPr>
                <w:rFonts w:hint="default" w:cs="宋体"/>
                <w:color w:val="000000" w:themeColor="text1"/>
                <w:szCs w:val="21"/>
                <w14:textFill>
                  <w14:solidFill>
                    <w14:schemeClr w14:val="tx1"/>
                  </w14:solidFill>
                </w14:textFill>
              </w:rPr>
              <w:t>灭火方法</w:t>
            </w:r>
          </w:p>
        </w:tc>
        <w:tc>
          <w:tcPr>
            <w:tcW w:w="359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不能出现</w:t>
            </w:r>
          </w:p>
        </w:tc>
        <w:tc>
          <w:tcPr>
            <w:tcW w:w="2411"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禁忌物</w:t>
            </w:r>
          </w:p>
        </w:tc>
        <w:tc>
          <w:tcPr>
            <w:tcW w:w="231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危险性类别</w:t>
            </w:r>
          </w:p>
        </w:tc>
        <w:tc>
          <w:tcPr>
            <w:tcW w:w="184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该产品属于易燃液体，类别3</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危险货物包装标志</w:t>
            </w:r>
          </w:p>
        </w:tc>
        <w:tc>
          <w:tcPr>
            <w:tcW w:w="56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7</w:t>
            </w:r>
          </w:p>
        </w:tc>
        <w:tc>
          <w:tcPr>
            <w:tcW w:w="12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包装类别</w:t>
            </w:r>
          </w:p>
        </w:tc>
        <w:tc>
          <w:tcPr>
            <w:tcW w:w="47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储运注意事项：</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存于阴凉、通风仓间内。远寓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接触限值</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LD</w:t>
            </w:r>
            <w:r>
              <w:rPr>
                <w:rFonts w:hint="eastAsia"/>
                <w:color w:val="000000" w:themeColor="text1"/>
                <w:szCs w:val="21"/>
                <w:vertAlign w:val="subscript"/>
                <w14:textFill>
                  <w14:solidFill>
                    <w14:schemeClr w14:val="tx1"/>
                  </w14:solidFill>
                </w14:textFill>
              </w:rPr>
              <w:t>50</w:t>
            </w:r>
            <w:r>
              <w:rPr>
                <w:rFonts w:hint="eastAsia"/>
                <w:color w:val="000000" w:themeColor="text1"/>
                <w:szCs w:val="21"/>
                <w14:textFill>
                  <w14:solidFill>
                    <w14:schemeClr w14:val="tx1"/>
                  </w14:solidFill>
                </w14:textFill>
              </w:rPr>
              <w:t>：500～5000mg/kg（哺乳动物吸入）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原油蒸气可引起眼及上呼吸道刺激症状，如浓度过高，几分钟即可引起呼吸困难、紫绀等缺氧症状。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侵入途径</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 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脱去污染的衣着，用肥皂水及清水彻底冲洗。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眼睛接触</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立即提起眼睑，用流动清水冲洗。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迅速脱离现场至空气新鲜处。注意保暖，呼吸困难时给输氧。呼吸停止时，立即进行人工呼吸。就医。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食入</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误服者给充分漱口、饮水，就医。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工程控制</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呼吸系统防护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高浓度环境中，应该佩带防毒口罩。必要时建议佩带自给式呼吸器。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防护服</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穿相应的防护服。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手防护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其它</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工作现场严禁吸烟。工作后，淋浴更衣。注意个人清洁卫生。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泄漏处置</w:t>
            </w:r>
          </w:p>
        </w:tc>
        <w:tc>
          <w:tcPr>
            <w:tcW w:w="7920" w:type="dxa"/>
            <w:gridSpan w:val="9"/>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000000" w:themeColor="text1"/>
          <w:kern w:val="0"/>
          <w:sz w:val="28"/>
          <w:szCs w:val="28"/>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3.1.2 天然气</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天然气的成分主要为低分子量的烷烃（如甲烷、乙烷）组成的混合物，不含硫化氢，其他成分含量低。根据《石油天然气工程设计防火规范》（GB50183-2004），一般天然气的火灾危险性类别为甲</w:t>
      </w:r>
      <w:r>
        <w:rPr>
          <w:rFonts w:hint="eastAsia"/>
          <w:color w:val="000000" w:themeColor="text1"/>
          <w:sz w:val="28"/>
          <w:szCs w:val="28"/>
          <w:vertAlign w:val="subscript"/>
          <w14:textFill>
            <w14:solidFill>
              <w14:schemeClr w14:val="tx1"/>
            </w14:solidFill>
          </w14:textFill>
        </w:rPr>
        <w:t>B</w:t>
      </w:r>
      <w:r>
        <w:rPr>
          <w:rFonts w:hint="eastAsia"/>
          <w:color w:val="000000" w:themeColor="text1"/>
          <w:sz w:val="28"/>
          <w:szCs w:val="28"/>
          <w14:textFill>
            <w14:solidFill>
              <w14:schemeClr w14:val="tx1"/>
            </w14:solidFill>
          </w14:textFill>
        </w:rPr>
        <w:t>类，属易燃、易爆性物质。其爆炸极限范围较宽，一旦泄漏，很容易与空气形成爆炸性气体混合物，遇火源极易发生燃爆。</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天然气中甲烷含量可达80%以上，甲烷的主要危险有害特性见下表。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center"/>
        <w:textAlignment w:val="auto"/>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表3-</w:t>
      </w:r>
      <w:r>
        <w:rPr>
          <w:rFonts w:hint="eastAsia"/>
          <w:b/>
          <w:bCs/>
          <w:color w:val="000000" w:themeColor="text1"/>
          <w:sz w:val="24"/>
          <w:szCs w:val="24"/>
          <w:lang w:val="en-US" w:eastAsia="zh-CN"/>
          <w14:textFill>
            <w14:solidFill>
              <w14:schemeClr w14:val="tx1"/>
            </w14:solidFill>
          </w14:textFill>
        </w:rPr>
        <w:t>4</w:t>
      </w:r>
      <w:r>
        <w:rPr>
          <w:rFonts w:hint="eastAsia"/>
          <w:b/>
          <w:bCs/>
          <w:color w:val="000000" w:themeColor="text1"/>
          <w:sz w:val="24"/>
          <w:szCs w:val="24"/>
          <w14:textFill>
            <w14:solidFill>
              <w14:schemeClr w14:val="tx1"/>
            </w14:solidFill>
          </w14:textFill>
        </w:rPr>
        <w:t xml:space="preserve"> 甲烷主要危险有害特性一览表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284"/>
        <w:gridCol w:w="567"/>
        <w:gridCol w:w="1134"/>
        <w:gridCol w:w="9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甲烷</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74-82-8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CH</w:t>
            </w:r>
            <w:r>
              <w:rPr>
                <w:rFonts w:hint="eastAsia"/>
                <w:color w:val="000000" w:themeColor="text1"/>
                <w:szCs w:val="21"/>
                <w:vertAlign w:val="subscript"/>
                <w14:textFill>
                  <w14:solidFill>
                    <w14:schemeClr w14:val="tx1"/>
                  </w14:solidFill>
                </w14:textFill>
              </w:rPr>
              <w:t>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21007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外观性状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无色无臭气体。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主要用途</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用作燃料和用于炭黑、氢、乙炔、甲醛等的制造。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溶解性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微溶于水，溶于乙醇、乙醚。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-182.5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燃烧热（kJ/mol</w:t>
            </w:r>
            <w:r>
              <w:rPr>
                <w:rFonts w:hint="default"/>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-161.5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53.32/-168.8℃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0.42/-164℃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rFonts w:hint="eastAsia"/>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4.59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与空气混合能形成爆炸性混合物，遇明火、高热能引起燃烧爆炸。与氟、氯等能发生剧烈的化学反应。若遇高热，容器内压增大，有开裂和爆炸的危险。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-188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538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5.3</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color w:val="000000" w:themeColor="text1"/>
                <w:szCs w:val="21"/>
                <w14:textFill>
                  <w14:solidFill>
                    <w14:schemeClr w14:val="tx1"/>
                  </w14:solidFill>
                </w14:textFill>
              </w:rPr>
            </w:pPr>
            <w:r>
              <w:rPr>
                <w:rFonts w:hint="default" w:cs="宋体"/>
                <w:color w:val="000000" w:themeColor="text1"/>
                <w:szCs w:val="21"/>
                <w14:textFill>
                  <w14:solidFill>
                    <w14:schemeClr w14:val="tx1"/>
                  </w14:solidFill>
                </w14:textFill>
              </w:rPr>
              <w:t>灭火方法</w:t>
            </w:r>
          </w:p>
        </w:tc>
        <w:tc>
          <w:tcPr>
            <w:tcW w:w="3595"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切断气源。若不能立即切断气源，则不允许熄灭正在燃烧的气体。喷水冷却容器，可能的话将容器从火场移至空旷处。雾状水、泡沫、二氧化碳。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不能出现</w:t>
            </w:r>
          </w:p>
        </w:tc>
        <w:tc>
          <w:tcPr>
            <w:tcW w:w="212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禁忌物</w:t>
            </w:r>
          </w:p>
        </w:tc>
        <w:tc>
          <w:tcPr>
            <w:tcW w:w="260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强氧化剂、氟、氯。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该产品属于易燃气体，类别1</w:t>
            </w:r>
          </w:p>
        </w:tc>
        <w:tc>
          <w:tcPr>
            <w:tcW w:w="212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危险货物包装标志</w:t>
            </w:r>
          </w:p>
        </w:tc>
        <w:tc>
          <w:tcPr>
            <w:tcW w:w="56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4</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包装类别</w:t>
            </w:r>
          </w:p>
        </w:tc>
        <w:tc>
          <w:tcPr>
            <w:tcW w:w="90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储运注意事项：</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接触限值</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苏联MAC：300mg/m</w:t>
            </w:r>
            <w:r>
              <w:rPr>
                <w:rFonts w:hint="eastAsia"/>
                <w:color w:val="000000" w:themeColor="text1"/>
                <w:szCs w:val="21"/>
                <w:vertAlign w:val="superscript"/>
                <w14:textFill>
                  <w14:solidFill>
                    <w14:schemeClr w14:val="tx1"/>
                  </w14:solidFill>
                </w14:textFill>
              </w:rPr>
              <w:t>3</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美国TWA：ACGIH窒息性气体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空气中甲烷浓度过高，能使人窒息。当空气中甲烷达25～30％时，可引起头痛、头晕、乏力、注意力不集中、呼吸和心跳加速、精细动作障碍等，甚至因缺氧而窒息、昏迷。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侵入途径</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若有冻伤，就医治疗。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迅速脱离现场至空气新鲜处。注意保暖，呼吸困难时给输氧。呼吸及心跳停止者立即进行人工呼吸和心脏按压术。就医。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食入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工程控制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呼吸系统防护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高浓度环境中，佩带供气式呼吸器。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一般不需特殊防护，高浓度接触时可戴安全防护眼镜。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防护服</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穿工作服。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手防护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一般不需特殊防护，高浓度接触时可戴防护手套。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其它</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工作现场严禁吸烟。避免长期反复接触。进入罐或其它高浓度区作业，须有人监护。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泄漏处置</w:t>
            </w:r>
          </w:p>
        </w:tc>
        <w:tc>
          <w:tcPr>
            <w:tcW w:w="7921"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000000" w:themeColor="text1"/>
          <w:kern w:val="0"/>
          <w:sz w:val="28"/>
          <w:szCs w:val="28"/>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3.1.3 硫化氢</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硫化氢（H</w:t>
      </w:r>
      <w:r>
        <w:rPr>
          <w:rFonts w:hint="eastAsia"/>
          <w:color w:val="000000" w:themeColor="text1"/>
          <w:sz w:val="28"/>
          <w:szCs w:val="28"/>
          <w:vertAlign w:val="subscript"/>
          <w14:textFill>
            <w14:solidFill>
              <w14:schemeClr w14:val="tx1"/>
            </w14:solidFill>
          </w14:textFill>
        </w:rPr>
        <w:t>2</w:t>
      </w:r>
      <w:r>
        <w:rPr>
          <w:rFonts w:hint="eastAsia"/>
          <w:color w:val="000000" w:themeColor="text1"/>
          <w:sz w:val="28"/>
          <w:szCs w:val="28"/>
          <w14:textFill>
            <w14:solidFill>
              <w14:schemeClr w14:val="tx1"/>
            </w14:solidFill>
          </w14:textFill>
        </w:rPr>
        <w:t>S）是硫的氢化物中最简单的一种。常温时硫化氢是一种无色有臭鸡蛋气味的剧毒气体，应在通风处进行使用必须采取防护措施。</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center"/>
        <w:textAlignment w:val="auto"/>
        <w:rPr>
          <w:color w:val="000000" w:themeColor="text1"/>
          <w:sz w:val="28"/>
          <w:szCs w:val="28"/>
          <w14:textFill>
            <w14:solidFill>
              <w14:schemeClr w14:val="tx1"/>
            </w14:solidFill>
          </w14:textFill>
        </w:rPr>
      </w:pPr>
      <w:r>
        <w:rPr>
          <w:rFonts w:hint="eastAsia"/>
          <w:b/>
          <w:bCs/>
          <w:color w:val="000000" w:themeColor="text1"/>
          <w:sz w:val="24"/>
          <w:szCs w:val="24"/>
          <w14:textFill>
            <w14:solidFill>
              <w14:schemeClr w14:val="tx1"/>
            </w14:solidFill>
          </w14:textFill>
        </w:rPr>
        <w:t>表3-</w:t>
      </w:r>
      <w:r>
        <w:rPr>
          <w:rFonts w:hint="eastAsia"/>
          <w:b/>
          <w:bCs/>
          <w:color w:val="000000" w:themeColor="text1"/>
          <w:sz w:val="24"/>
          <w:szCs w:val="24"/>
          <w:lang w:val="en-US" w:eastAsia="zh-CN"/>
          <w14:textFill>
            <w14:solidFill>
              <w14:schemeClr w14:val="tx1"/>
            </w14:solidFill>
          </w14:textFill>
        </w:rPr>
        <w:t>5</w:t>
      </w:r>
      <w:r>
        <w:rPr>
          <w:rFonts w:hint="eastAsia"/>
          <w:b/>
          <w:bCs/>
          <w:color w:val="000000" w:themeColor="text1"/>
          <w:sz w:val="24"/>
          <w:szCs w:val="24"/>
          <w14:textFill>
            <w14:solidFill>
              <w14:schemeClr w14:val="tx1"/>
            </w14:solidFill>
          </w14:textFill>
        </w:rPr>
        <w:t xml:space="preserve"> 硫化氢主要危险有害特性一览表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142"/>
        <w:gridCol w:w="851"/>
        <w:gridCol w:w="1134"/>
        <w:gridCol w:w="7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硫化氢</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7783-06-4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2</w:t>
            </w:r>
            <w:r>
              <w:rPr>
                <w:rFonts w:hint="default"/>
                <w:color w:val="000000" w:themeColor="text1"/>
                <w:szCs w:val="21"/>
                <w14:textFill>
                  <w14:solidFill>
                    <w14:schemeClr w14:val="tx1"/>
                  </w14:solidFill>
                </w14:textFill>
              </w:rPr>
              <w:t>S</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21006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34.08</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外观性状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无色、有恶臭的气体。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主要用途</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用于化学分析如鉴定金属离子。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溶解性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燃烧热（kJ/mol</w:t>
            </w:r>
            <w:r>
              <w:rPr>
                <w:rFonts w:hint="default"/>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2026.5（25.5℃）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100.4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1.19</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rFonts w:hint="eastAsia"/>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9.01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无意义</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260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4.0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46.0</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color w:val="000000" w:themeColor="text1"/>
                <w:szCs w:val="21"/>
                <w14:textFill>
                  <w14:solidFill>
                    <w14:schemeClr w14:val="tx1"/>
                  </w14:solidFill>
                </w14:textFill>
              </w:rPr>
            </w:pPr>
            <w:r>
              <w:rPr>
                <w:rFonts w:hint="default" w:cs="宋体"/>
                <w:color w:val="000000" w:themeColor="text1"/>
                <w:szCs w:val="21"/>
                <w14:textFill>
                  <w14:solidFill>
                    <w14:schemeClr w14:val="tx1"/>
                  </w14:solidFill>
                </w14:textFill>
              </w:rPr>
              <w:t>灭火方法</w:t>
            </w:r>
          </w:p>
        </w:tc>
        <w:tc>
          <w:tcPr>
            <w:tcW w:w="3595"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不能出现</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强氧化剂、碱类。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该产品属于易燃</w:t>
            </w:r>
            <w:r>
              <w:rPr>
                <w:rFonts w:hint="eastAsia"/>
                <w:color w:val="000000" w:themeColor="text1"/>
                <w:szCs w:val="21"/>
                <w14:textFill>
                  <w14:solidFill>
                    <w14:schemeClr w14:val="tx1"/>
                  </w14:solidFill>
                </w14:textFill>
              </w:rPr>
              <w:t>气</w:t>
            </w:r>
            <w:r>
              <w:rPr>
                <w:rFonts w:hint="default"/>
                <w:color w:val="000000" w:themeColor="text1"/>
                <w:szCs w:val="21"/>
                <w14:textFill>
                  <w14:solidFill>
                    <w14:schemeClr w14:val="tx1"/>
                  </w14:solidFill>
                </w14:textFill>
              </w:rPr>
              <w:t>体，类别</w:t>
            </w:r>
            <w:r>
              <w:rPr>
                <w:rFonts w:hint="eastAsia"/>
                <w:color w:val="000000" w:themeColor="text1"/>
                <w:szCs w:val="21"/>
                <w14:textFill>
                  <w14:solidFill>
                    <w14:schemeClr w14:val="tx1"/>
                  </w14:solidFill>
                </w14:textFill>
              </w:rPr>
              <w:t>1</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包装类别</w:t>
            </w:r>
          </w:p>
        </w:tc>
        <w:tc>
          <w:tcPr>
            <w:tcW w:w="75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储运注意事项：</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储存注意事项：</w:t>
            </w:r>
            <w:r>
              <w:rPr>
                <w:rFonts w:hint="eastAsia"/>
                <w:color w:val="000000" w:themeColor="text1"/>
                <w:szCs w:val="21"/>
                <w14:textFill>
                  <w14:solidFill>
                    <w14:schemeClr w14:val="tx1"/>
                  </w14:solidFill>
                </w14:textFill>
              </w:rPr>
              <w:tab/>
            </w:r>
            <w:r>
              <w:rPr>
                <w:rFonts w:hint="eastAsia"/>
                <w:color w:val="000000" w:themeColor="text1"/>
                <w:szCs w:val="21"/>
                <w14:textFill>
                  <w14:solidFill>
                    <w14:schemeClr w14:val="tx1"/>
                  </w14:solidFill>
                </w14:textFill>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运输注意事项：</w:t>
            </w:r>
            <w:r>
              <w:rPr>
                <w:rFonts w:hint="eastAsia"/>
                <w:color w:val="000000" w:themeColor="text1"/>
                <w:szCs w:val="21"/>
                <w14:textFill>
                  <w14:solidFill>
                    <w14:schemeClr w14:val="tx1"/>
                  </w14:solidFill>
                </w14:textFill>
              </w:rPr>
              <w:tab/>
            </w:r>
            <w:r>
              <w:rPr>
                <w:rFonts w:hint="eastAsia"/>
                <w:color w:val="000000" w:themeColor="text1"/>
                <w:szCs w:val="21"/>
                <w14:textFill>
                  <w14:solidFill>
                    <w14:schemeClr w14:val="tx1"/>
                  </w14:solidFill>
                </w14:textFill>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接触限值</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中国MAC（mg/m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）：10</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中国TLV（mg/m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）：15（10ppm）</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前苏联MAC（mg/m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）：10</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TLVTN：OSHA 20ppm，28mg/m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[上限值]; ACGIH 10ppm，14mg/m</w:t>
            </w:r>
            <w:r>
              <w:rPr>
                <w:rFonts w:hint="eastAsia"/>
                <w:color w:val="000000" w:themeColor="text1"/>
                <w:szCs w:val="21"/>
                <w:vertAlign w:val="superscript"/>
                <w14:textFill>
                  <w14:solidFill>
                    <w14:schemeClr w14:val="tx1"/>
                  </w14:solidFill>
                </w14:textFill>
              </w:rPr>
              <w:t>3</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TLVWN：ACGIH 15ppm，21mg/m</w:t>
            </w:r>
            <w:r>
              <w:rPr>
                <w:rFonts w:hint="eastAsia"/>
                <w:color w:val="000000" w:themeColor="text1"/>
                <w:szCs w:val="2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LC50：618 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本品是强烈的神经毒物，对粘膜有强烈刺激作用。 急性中毒：短期内吸入高浓度硫化氢后出现流泪、眼痛、眼内异物感、畏光、视物模糊、流涕、咽喉部灼热感、咳嗽、胸闷、头痛、头晕、乏力、意识模糊等。部分患者可有心肌损害。重者可出现脑水肿、肺水肿。极高浓度（1000mg/m3 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侵入途径</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立即提起眼睑，用大量流动清水或生理盐水彻底冲洗至少15分钟。就医。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食入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工程控制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呼吸系统防护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空气中浓度超标时，佩戴过滤式防毒面具（半面罩）。紧急事态抢救或撤离时，建议佩戴氧气呼吸器或空气呼吸器。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防护服</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手防护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戴防化学品手套。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其它</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工作现场禁止吸烟、进食和饮水。工作完毕，淋浴更衣。及时换洗工作服。作业人员应学会自救互救。进入罐、限制性空间或其它高浓度区作业，须有人监护。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泄漏处置</w:t>
            </w:r>
          </w:p>
        </w:tc>
        <w:tc>
          <w:tcPr>
            <w:tcW w:w="7921"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000000" w:themeColor="text1"/>
          <w:kern w:val="0"/>
          <w:sz w:val="28"/>
          <w:szCs w:val="28"/>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3.1.4 柴油</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轻质石油产品，复杂烃类（碳原子数约10</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22）混合物。为柴油机燃料。主要由原油蒸馏、催化裂化、热裂化、加氢裂化、石油焦化等过程生产的柴油馏分调配而成；也可由页岩油加工和煤液化制取。分为轻柴油（沸点范围约180</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370℃）和重柴油（沸点范围约350</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410℃）两大类。</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center"/>
        <w:textAlignment w:val="auto"/>
        <w:rPr>
          <w:b w:val="0"/>
          <w:bCs/>
          <w:color w:val="000000" w:themeColor="text1"/>
          <w:sz w:val="24"/>
          <w:szCs w:val="28"/>
          <w14:textFill>
            <w14:solidFill>
              <w14:schemeClr w14:val="tx1"/>
            </w14:solidFill>
          </w14:textFill>
        </w:rPr>
      </w:pPr>
      <w:r>
        <w:rPr>
          <w:rFonts w:hint="eastAsia"/>
          <w:b/>
          <w:bCs w:val="0"/>
          <w:color w:val="000000" w:themeColor="text1"/>
          <w:sz w:val="24"/>
          <w:szCs w:val="28"/>
          <w14:textFill>
            <w14:solidFill>
              <w14:schemeClr w14:val="tx1"/>
            </w14:solidFill>
          </w14:textFill>
        </w:rPr>
        <w:t>表3-</w:t>
      </w:r>
      <w:r>
        <w:rPr>
          <w:rFonts w:hint="eastAsia"/>
          <w:b/>
          <w:bCs w:val="0"/>
          <w:color w:val="000000" w:themeColor="text1"/>
          <w:sz w:val="24"/>
          <w:szCs w:val="28"/>
          <w:lang w:val="en-US" w:eastAsia="zh-CN"/>
          <w14:textFill>
            <w14:solidFill>
              <w14:schemeClr w14:val="tx1"/>
            </w14:solidFill>
          </w14:textFill>
        </w:rPr>
        <w:t>6</w:t>
      </w:r>
      <w:r>
        <w:rPr>
          <w:rFonts w:hint="eastAsia"/>
          <w:b/>
          <w:bCs w:val="0"/>
          <w:color w:val="000000" w:themeColor="text1"/>
          <w:sz w:val="24"/>
          <w:szCs w:val="28"/>
          <w14:textFill>
            <w14:solidFill>
              <w14:schemeClr w14:val="tx1"/>
            </w14:solidFill>
          </w14:textFill>
        </w:rPr>
        <w:t xml:space="preserve"> 柴油主要危险有害特性一览表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93"/>
        <w:gridCol w:w="1920"/>
        <w:gridCol w:w="1381"/>
        <w:gridCol w:w="952"/>
        <w:gridCol w:w="891"/>
        <w:gridCol w:w="65"/>
        <w:gridCol w:w="1134"/>
        <w:gridCol w:w="1070"/>
        <w:gridCol w:w="6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标识</w:t>
            </w: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中文名</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柴油</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分子式</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1202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分子量</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1202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理化性质</w:t>
            </w: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外观性状</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稍有粘性的淡黄至棕色液体，具有特殊气味。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主要用途</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用于高、中、低速柴油机，作为汽车、火车、拖拉机、船舶、农业机械、柴油发电等动力设备的燃料。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溶解性</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不溶于水，与有机溶剂互溶。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default"/>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35~20</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燃烧热（kJ/mol</w:t>
            </w:r>
            <w:r>
              <w:rPr>
                <w:rFonts w:hint="default"/>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沸点（℃）</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default"/>
                <w:color w:val="000000" w:themeColor="text1"/>
                <w:szCs w:val="21"/>
                <w14:textFill>
                  <w14:solidFill>
                    <w14:schemeClr w14:val="tx1"/>
                  </w14:solidFill>
                </w14:textFill>
              </w:rPr>
              <w:t>28</w:t>
            </w:r>
            <w:r>
              <w:rPr>
                <w:rFonts w:hint="eastAsia"/>
                <w:color w:val="000000" w:themeColor="text1"/>
                <w:szCs w:val="21"/>
                <w:lang w:val="en-US" w:eastAsia="zh-CN"/>
                <w14:textFill>
                  <w14:solidFill>
                    <w14:schemeClr w14:val="tx1"/>
                  </w14:solidFill>
                </w14:textFill>
              </w:rPr>
              <w:t>0~</w:t>
            </w:r>
            <w:r>
              <w:rPr>
                <w:rFonts w:hint="default"/>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70</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相对密度（水=1）</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0.87</w:t>
            </w:r>
            <w:r>
              <w:rPr>
                <w:rFonts w:hint="eastAsia"/>
                <w:color w:val="000000" w:themeColor="text1"/>
                <w:szCs w:val="21"/>
                <w:lang w:val="en-US" w:eastAsia="zh-CN"/>
                <w14:textFill>
                  <w14:solidFill>
                    <w14:schemeClr w14:val="tx1"/>
                  </w14:solidFill>
                </w14:textFill>
              </w:rPr>
              <w:t>~</w:t>
            </w:r>
            <w:r>
              <w:rPr>
                <w:rFonts w:hint="default"/>
                <w:color w:val="000000" w:themeColor="text1"/>
                <w:szCs w:val="21"/>
                <w14:textFill>
                  <w14:solidFill>
                    <w14:schemeClr w14:val="tx1"/>
                  </w14:solidFill>
                </w14:textFill>
              </w:rPr>
              <w:t>0.9</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相对密度（空气=1）</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3~7</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rFonts w:hint="eastAsia"/>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燃烧爆炸危险性</w:t>
            </w: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燃烧性：</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w:t>
            </w:r>
          </w:p>
        </w:tc>
        <w:tc>
          <w:tcPr>
            <w:tcW w:w="1843"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遇明火、高热或与氧化剂接触，有引起燃烧爆炸的危险。若遇高热，容器内压增大，有开裂和爆炸的危险。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建规火险分级</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闪点（℃）</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50</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引燃温度（℃）</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227~</w:t>
            </w:r>
            <w:r>
              <w:rPr>
                <w:rFonts w:hint="default"/>
                <w:color w:val="000000" w:themeColor="text1"/>
                <w:szCs w:val="21"/>
                <w14:textFill>
                  <w14:solidFill>
                    <w14:schemeClr w14:val="tx1"/>
                  </w14:solidFill>
                </w14:textFill>
              </w:rPr>
              <w:t>257</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爆炸下限（V/%）</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爆炸上限（V/%）</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44</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w:t>
            </w:r>
          </w:p>
        </w:tc>
        <w:tc>
          <w:tcPr>
            <w:tcW w:w="95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灭火</w:t>
            </w:r>
          </w:p>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方法</w:t>
            </w:r>
          </w:p>
        </w:tc>
        <w:tc>
          <w:tcPr>
            <w:tcW w:w="3777"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可用泡沫、二氧化碳、干粉、砂土灭火。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聚合危害</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不能出现</w:t>
            </w:r>
          </w:p>
        </w:tc>
        <w:tc>
          <w:tcPr>
            <w:tcW w:w="1908"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禁忌物</w:t>
            </w:r>
          </w:p>
        </w:tc>
        <w:tc>
          <w:tcPr>
            <w:tcW w:w="2821"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强氧化剂、卤素。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包装与储运</w:t>
            </w: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危险性类别</w:t>
            </w:r>
          </w:p>
        </w:tc>
        <w:tc>
          <w:tcPr>
            <w:tcW w:w="138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1908"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危险货物包装标志</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易燃液体</w:t>
            </w:r>
          </w:p>
        </w:tc>
        <w:tc>
          <w:tcPr>
            <w:tcW w:w="107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包装类别</w:t>
            </w:r>
          </w:p>
        </w:tc>
        <w:tc>
          <w:tcPr>
            <w:tcW w:w="61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Z01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1470" w:right="0" w:hanging="1470" w:hangingChars="70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储运注意事项：</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存注意事项：储存于阴凉、通风的库房。远离火种、热源。应与氧化剂、卤素分开存放，切忌混储。采用防爆型照明、通风设施。禁止使用易产生火花的机械设备和工具。储区应备有泄漏应急处理设备和合适的收容材料。</w:t>
            </w:r>
          </w:p>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毒性与健康危害性</w:t>
            </w: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接触限值</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LD50：7500mg/kg（大鼠经口）</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 xml:space="preserve">LD50：24500mg/m34h（小鼠经口）。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皮肤接触可为主要吸收途径，可致急性肾脏损害。柴油可引起接触性皮炎、油性痤疮。吸入其雾滴或液体呛入可引起吸入性肺炎。能经胎盘进入胎儿血中。柴油废气可引起眼、鼻刺激症状，头晕及头痛。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侵入途径</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接触、吸入、食入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急救</w:t>
            </w: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立即脱去污染的衣着，用肥皂水和清水彻底冲洗皮肤。就医。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眼睛接触</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提起眼睑，用流动清水或生理盐水冲洗。就医。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有上呼吸道刺激症状。吸入其雾滴或液体呛入可引起吸入性肺炎。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食入</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尽快彻底洗胃。就医。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防护措施</w:t>
            </w: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工程控制</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密闭操作、加强通风。工作场所应设置安全沐浴、眼冲洗设备。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呼吸系统防护</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一般不需要防护，高浓度接触时，可佩戴过滤式防毒面具（半面罩）；紧急事态抢救或撤离时，应该佩戴空气呼吸器或氧气呼吸器。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眼睛防护</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戴化学安全防护眼镜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防护服</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1" w:hRule="atLeas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手防护</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带橡胶耐油手套。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9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其它</w:t>
            </w:r>
          </w:p>
        </w:tc>
        <w:tc>
          <w:tcPr>
            <w:tcW w:w="6110"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工作现场严禁吸烟、进食和饮水，工作前避免饮用酒精性钦料，工作后，进行就业前和定期的体检。避免长期反复接触。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泄漏处置</w:t>
            </w:r>
          </w:p>
        </w:tc>
        <w:tc>
          <w:tcPr>
            <w:tcW w:w="8030"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ind w:firstLine="0" w:firstLineChars="0"/>
        <w:textAlignment w:val="auto"/>
        <w:outlineLvl w:val="2"/>
        <w:rPr>
          <w:rFonts w:hint="eastAsia" w:eastAsia="黑体"/>
          <w:bCs/>
          <w:snapToGrid w:val="0"/>
          <w:color w:val="000000" w:themeColor="text1"/>
          <w:kern w:val="0"/>
          <w:sz w:val="28"/>
          <w:szCs w:val="28"/>
          <w:lang w:eastAsia="zh-CN"/>
          <w14:textFill>
            <w14:solidFill>
              <w14:schemeClr w14:val="tx1"/>
            </w14:solidFill>
          </w14:textFill>
        </w:rPr>
      </w:pPr>
      <w:bookmarkStart w:id="57" w:name="_Toc447782516"/>
      <w:bookmarkStart w:id="58" w:name="_Toc366438843"/>
      <w:bookmarkStart w:id="59" w:name="_Toc397326901"/>
      <w:r>
        <w:rPr>
          <w:rFonts w:hint="eastAsia" w:eastAsia="黑体"/>
          <w:bCs/>
          <w:snapToGrid w:val="0"/>
          <w:color w:val="000000" w:themeColor="text1"/>
          <w:kern w:val="0"/>
          <w:sz w:val="28"/>
          <w:szCs w:val="28"/>
          <w14:textFill>
            <w14:solidFill>
              <w14:schemeClr w14:val="tx1"/>
            </w14:solidFill>
          </w14:textFill>
        </w:rPr>
        <w:t>3.1.</w:t>
      </w:r>
      <w:r>
        <w:rPr>
          <w:rFonts w:hint="eastAsia" w:eastAsia="黑体"/>
          <w:bCs/>
          <w:snapToGrid w:val="0"/>
          <w:color w:val="000000" w:themeColor="text1"/>
          <w:kern w:val="0"/>
          <w:sz w:val="28"/>
          <w:szCs w:val="28"/>
          <w:lang w:val="en-US" w:eastAsia="zh-CN"/>
          <w14:textFill>
            <w14:solidFill>
              <w14:schemeClr w14:val="tx1"/>
            </w14:solidFill>
          </w14:textFill>
        </w:rPr>
        <w:t>5</w:t>
      </w:r>
      <w:r>
        <w:rPr>
          <w:rFonts w:hint="eastAsia" w:eastAsia="黑体"/>
          <w:bCs/>
          <w:snapToGrid w:val="0"/>
          <w:color w:val="000000" w:themeColor="text1"/>
          <w:kern w:val="0"/>
          <w:sz w:val="28"/>
          <w:szCs w:val="28"/>
          <w14:textFill>
            <w14:solidFill>
              <w14:schemeClr w14:val="tx1"/>
            </w14:solidFill>
          </w14:textFill>
        </w:rPr>
        <w:t xml:space="preserve"> </w:t>
      </w:r>
      <w:r>
        <w:rPr>
          <w:rFonts w:hint="eastAsia" w:eastAsia="黑体"/>
          <w:bCs/>
          <w:snapToGrid w:val="0"/>
          <w:color w:val="000000" w:themeColor="text1"/>
          <w:kern w:val="0"/>
          <w:sz w:val="28"/>
          <w:szCs w:val="28"/>
          <w:lang w:eastAsia="zh-CN"/>
          <w14:textFill>
            <w14:solidFill>
              <w14:schemeClr w14:val="tx1"/>
            </w14:solidFill>
          </w14:textFill>
        </w:rPr>
        <w:t>化学助剂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kern w:val="0"/>
          <w:sz w:val="28"/>
          <w:szCs w:val="28"/>
        </w:rPr>
        <w:t>该公司采用的化学堵剂</w:t>
      </w:r>
      <w:r>
        <w:rPr>
          <w:rFonts w:hint="eastAsia" w:cs="Times New Roman"/>
          <w:color w:val="auto"/>
          <w:kern w:val="0"/>
          <w:sz w:val="28"/>
          <w:szCs w:val="28"/>
          <w:lang w:eastAsia="zh-CN"/>
        </w:rPr>
        <w:t>为</w:t>
      </w:r>
      <w:r>
        <w:rPr>
          <w:rFonts w:hint="default" w:ascii="Times New Roman" w:hAnsi="Times New Roman" w:cs="Times New Roman"/>
          <w:color w:val="auto"/>
          <w:sz w:val="28"/>
          <w:szCs w:val="28"/>
        </w:rPr>
        <w:t>一种高强度易溶解纳米堵水剂，适用</w:t>
      </w:r>
      <w:r>
        <w:rPr>
          <w:rFonts w:hint="eastAsia" w:cs="Times New Roman"/>
          <w:color w:val="auto"/>
          <w:sz w:val="28"/>
          <w:szCs w:val="28"/>
          <w:lang w:eastAsia="zh-CN"/>
        </w:rPr>
        <w:t>于</w:t>
      </w:r>
      <w:r>
        <w:rPr>
          <w:rFonts w:hint="default" w:ascii="Times New Roman" w:hAnsi="Times New Roman" w:cs="Times New Roman"/>
          <w:color w:val="auto"/>
          <w:sz w:val="28"/>
          <w:szCs w:val="28"/>
        </w:rPr>
        <w:t>油田高含水井的</w:t>
      </w:r>
      <w:r>
        <w:rPr>
          <w:rFonts w:hint="eastAsia" w:cs="Times New Roman"/>
          <w:color w:val="auto"/>
          <w:sz w:val="28"/>
          <w:szCs w:val="28"/>
          <w:lang w:eastAsia="zh-CN"/>
        </w:rPr>
        <w:t>堵漏</w:t>
      </w:r>
      <w:r>
        <w:rPr>
          <w:rFonts w:hint="default" w:ascii="Times New Roman" w:hAnsi="Times New Roman" w:cs="Times New Roman"/>
          <w:color w:val="auto"/>
          <w:sz w:val="28"/>
          <w:szCs w:val="28"/>
        </w:rPr>
        <w:t>，</w:t>
      </w:r>
      <w:r>
        <w:rPr>
          <w:rFonts w:hint="eastAsia" w:cs="Times New Roman"/>
          <w:color w:val="auto"/>
          <w:sz w:val="28"/>
          <w:szCs w:val="28"/>
          <w:lang w:eastAsia="zh-CN"/>
        </w:rPr>
        <w:t>主要由</w:t>
      </w:r>
      <w:r>
        <w:rPr>
          <w:rFonts w:hint="default" w:ascii="Times New Roman" w:hAnsi="Times New Roman" w:cs="Times New Roman"/>
          <w:color w:val="auto"/>
          <w:sz w:val="28"/>
          <w:szCs w:val="28"/>
        </w:rPr>
        <w:t>20 -30％的超微细水泥</w:t>
      </w:r>
      <w:r>
        <w:rPr>
          <w:rFonts w:hint="eastAsia" w:cs="Times New Roman"/>
          <w:color w:val="auto"/>
          <w:sz w:val="28"/>
          <w:szCs w:val="28"/>
          <w:lang w:eastAsia="zh-CN"/>
        </w:rPr>
        <w:t>、</w:t>
      </w:r>
      <w:r>
        <w:rPr>
          <w:rFonts w:hint="default" w:ascii="Times New Roman" w:hAnsi="Times New Roman" w:cs="Times New Roman"/>
          <w:color w:val="auto"/>
          <w:sz w:val="28"/>
          <w:szCs w:val="28"/>
        </w:rPr>
        <w:t>30 -50％水</w:t>
      </w:r>
      <w:r>
        <w:rPr>
          <w:rFonts w:hint="eastAsia" w:cs="Times New Roman"/>
          <w:color w:val="auto"/>
          <w:sz w:val="28"/>
          <w:szCs w:val="28"/>
          <w:lang w:eastAsia="zh-CN"/>
        </w:rPr>
        <w:t>及</w:t>
      </w:r>
      <w:r>
        <w:rPr>
          <w:rFonts w:hint="default" w:ascii="Times New Roman" w:hAnsi="Times New Roman" w:cs="Times New Roman"/>
          <w:color w:val="auto"/>
          <w:sz w:val="28"/>
          <w:szCs w:val="28"/>
        </w:rPr>
        <w:t>13-20％的纳米碳酸钙</w:t>
      </w:r>
      <w:r>
        <w:rPr>
          <w:rFonts w:hint="eastAsia" w:cs="Times New Roman"/>
          <w:color w:val="auto"/>
          <w:sz w:val="28"/>
          <w:szCs w:val="28"/>
          <w:lang w:eastAsia="zh-CN"/>
        </w:rPr>
        <w:t>等</w:t>
      </w:r>
      <w:r>
        <w:rPr>
          <w:rFonts w:hint="default" w:ascii="Times New Roman" w:hAnsi="Times New Roman" w:cs="Times New Roman"/>
          <w:color w:val="auto"/>
          <w:sz w:val="28"/>
          <w:szCs w:val="28"/>
        </w:rPr>
        <w:t>组成， 该堵剂水化固化后坚硬如水泥石且体积不收缩， 不产生微裂缝。</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default" w:ascii="Times New Roman" w:hAnsi="Times New Roman" w:cs="Times New Roman"/>
          <w:color w:val="000000" w:themeColor="text1"/>
          <w:sz w:val="28"/>
          <w:szCs w:val="28"/>
          <w14:textFill>
            <w14:solidFill>
              <w14:schemeClr w14:val="tx1"/>
            </w14:solidFill>
          </w14:textFill>
        </w:rPr>
        <w:t>根据《危险化学品目录（2015版）》（安全监管总局、工业和信息化部、公安部、环境保护部、交通运输部、农业部、国家卫生计生委、质检总局、铁路局、民航局公告[2015]第5号</w:t>
      </w:r>
      <w:r>
        <w:rPr>
          <w:rFonts w:hint="eastAsia" w:cs="Times New Roman"/>
          <w:color w:val="000000" w:themeColor="text1"/>
          <w:sz w:val="28"/>
          <w:szCs w:val="28"/>
          <w:lang w:eastAsia="zh-CN"/>
          <w14:textFill>
            <w14:solidFill>
              <w14:schemeClr w14:val="tx1"/>
            </w14:solidFill>
          </w14:textFill>
        </w:rPr>
        <w:t>，应急部公告</w:t>
      </w:r>
      <w:r>
        <w:rPr>
          <w:rFonts w:hint="eastAsia" w:cs="Times New Roman"/>
          <w:color w:val="000000" w:themeColor="text1"/>
          <w:sz w:val="28"/>
          <w:szCs w:val="28"/>
          <w:lang w:val="en-US" w:eastAsia="zh-CN"/>
          <w14:textFill>
            <w14:solidFill>
              <w14:schemeClr w14:val="tx1"/>
            </w14:solidFill>
          </w14:textFill>
        </w:rPr>
        <w:t>[</w:t>
      </w:r>
      <w:r>
        <w:rPr>
          <w:rFonts w:hint="eastAsia" w:cs="Times New Roman"/>
          <w:color w:val="000000" w:themeColor="text1"/>
          <w:sz w:val="28"/>
          <w:szCs w:val="28"/>
          <w:lang w:eastAsia="zh-CN"/>
          <w14:textFill>
            <w14:solidFill>
              <w14:schemeClr w14:val="tx1"/>
            </w14:solidFill>
          </w14:textFill>
        </w:rPr>
        <w:t>2022</w:t>
      </w:r>
      <w:r>
        <w:rPr>
          <w:rFonts w:hint="eastAsia" w:cs="Times New Roman"/>
          <w:color w:val="000000" w:themeColor="text1"/>
          <w:sz w:val="28"/>
          <w:szCs w:val="28"/>
          <w:lang w:val="en-US" w:eastAsia="zh-CN"/>
          <w14:textFill>
            <w14:solidFill>
              <w14:schemeClr w14:val="tx1"/>
            </w14:solidFill>
          </w14:textFill>
        </w:rPr>
        <w:t>]</w:t>
      </w:r>
      <w:r>
        <w:rPr>
          <w:rFonts w:hint="eastAsia" w:cs="Times New Roman"/>
          <w:color w:val="000000" w:themeColor="text1"/>
          <w:sz w:val="28"/>
          <w:szCs w:val="28"/>
          <w:lang w:eastAsia="zh-CN"/>
          <w14:textFill>
            <w14:solidFill>
              <w14:schemeClr w14:val="tx1"/>
            </w14:solidFill>
          </w14:textFill>
        </w:rPr>
        <w:t>8号修正</w:t>
      </w:r>
      <w:r>
        <w:rPr>
          <w:rFonts w:hint="default" w:ascii="Times New Roman" w:hAnsi="Times New Roman" w:cs="Times New Roman"/>
          <w:color w:val="000000" w:themeColor="text1"/>
          <w:sz w:val="28"/>
          <w:szCs w:val="28"/>
          <w14:textFill>
            <w14:solidFill>
              <w14:schemeClr w14:val="tx1"/>
            </w14:solidFill>
          </w14:textFill>
        </w:rPr>
        <w:t>）及《危险货物品名表》（GB12268-2012）辨识，以上化学堵剂</w:t>
      </w:r>
      <w:r>
        <w:rPr>
          <w:rFonts w:hint="eastAsia" w:cs="Times New Roman"/>
          <w:color w:val="000000" w:themeColor="text1"/>
          <w:sz w:val="28"/>
          <w:szCs w:val="28"/>
          <w:lang w:eastAsia="zh-CN"/>
          <w14:textFill>
            <w14:solidFill>
              <w14:schemeClr w14:val="tx1"/>
            </w14:solidFill>
          </w14:textFill>
        </w:rPr>
        <w:t>等</w:t>
      </w:r>
      <w:r>
        <w:rPr>
          <w:rFonts w:hint="default" w:ascii="Times New Roman" w:hAnsi="Times New Roman" w:cs="Times New Roman"/>
          <w:color w:val="000000" w:themeColor="text1"/>
          <w:sz w:val="28"/>
          <w:szCs w:val="28"/>
          <w14:textFill>
            <w14:solidFill>
              <w14:schemeClr w14:val="tx1"/>
            </w14:solidFill>
          </w14:textFill>
        </w:rPr>
        <w:t>均不属于危险化学品。</w:t>
      </w:r>
    </w:p>
    <w:p>
      <w:pPr>
        <w:pStyle w:val="4"/>
        <w:keepNext/>
        <w:keepLines/>
        <w:pageBreakBefore w:val="0"/>
        <w:widowControl w:val="0"/>
        <w:kinsoku/>
        <w:wordWrap/>
        <w:overflowPunct/>
        <w:topLinePunct w:val="0"/>
        <w:autoSpaceDE/>
        <w:autoSpaceDN/>
        <w:bidi w:val="0"/>
        <w:adjustRightInd w:val="0"/>
        <w:snapToGrid w:val="0"/>
        <w:spacing w:before="0" w:after="0" w:line="360" w:lineRule="auto"/>
        <w:ind w:firstLine="0" w:firstLineChars="0"/>
        <w:textAlignment w:val="auto"/>
        <w:rPr>
          <w:color w:val="auto"/>
        </w:rPr>
      </w:pPr>
      <w:bookmarkStart w:id="60" w:name="_Toc17371"/>
      <w:r>
        <w:rPr>
          <w:rFonts w:hint="eastAsia" w:ascii="Times New Roman" w:hAnsi="Times New Roman"/>
          <w:b w:val="0"/>
          <w:bCs/>
          <w:color w:val="auto"/>
          <w:szCs w:val="32"/>
        </w:rPr>
        <w:t>3.2 主要</w:t>
      </w:r>
      <w:r>
        <w:rPr>
          <w:rFonts w:hint="eastAsia" w:ascii="Times New Roman" w:hAnsi="Times New Roman"/>
          <w:b w:val="0"/>
          <w:bCs/>
          <w:color w:val="auto"/>
          <w:szCs w:val="32"/>
          <w:lang w:val="en-US" w:eastAsia="zh-CN"/>
        </w:rPr>
        <w:t>作业流程</w:t>
      </w:r>
      <w:r>
        <w:rPr>
          <w:rFonts w:hint="eastAsia" w:ascii="Times New Roman" w:hAnsi="Times New Roman"/>
          <w:b w:val="0"/>
          <w:bCs/>
          <w:color w:val="auto"/>
          <w:szCs w:val="32"/>
        </w:rPr>
        <w:t>危险性分析</w:t>
      </w:r>
      <w:bookmarkEnd w:id="57"/>
      <w:bookmarkEnd w:id="58"/>
      <w:bookmarkEnd w:id="59"/>
      <w:bookmarkEnd w:id="60"/>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Cs/>
          <w:snapToGrid w:val="0"/>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szCs w:val="28"/>
          <w:lang w:eastAsia="zh-CN"/>
          <w14:textFill>
            <w14:solidFill>
              <w14:schemeClr w14:val="tx1"/>
            </w14:solidFill>
          </w14:textFill>
        </w:rPr>
        <w:t>海塔石油科技有限公司井下作业</w:t>
      </w:r>
      <w:r>
        <w:rPr>
          <w:rFonts w:hint="eastAsia" w:cs="Times New Roman"/>
          <w:color w:val="000000" w:themeColor="text1"/>
          <w:sz w:val="28"/>
          <w:szCs w:val="28"/>
          <w:lang w:eastAsia="zh-CN"/>
          <w14:textFill>
            <w14:solidFill>
              <w14:schemeClr w14:val="tx1"/>
            </w14:solidFill>
          </w14:textFill>
        </w:rPr>
        <w:t>：大修作业、井下复杂情况处理（打捞、堵漏）</w:t>
      </w:r>
      <w:r>
        <w:rPr>
          <w:rFonts w:hint="default" w:ascii="Times New Roman" w:hAnsi="Times New Roman" w:cs="Times New Roman"/>
          <w:bCs/>
          <w:snapToGrid w:val="0"/>
          <w:color w:val="000000" w:themeColor="text1"/>
          <w:kern w:val="0"/>
          <w:sz w:val="28"/>
          <w:szCs w:val="28"/>
          <w14:textFill>
            <w14:solidFill>
              <w14:schemeClr w14:val="tx1"/>
            </w14:solidFill>
          </w14:textFill>
        </w:rPr>
        <w:t>项目所用设备设施主要为修井机、</w:t>
      </w:r>
      <w:r>
        <w:rPr>
          <w:rFonts w:hint="eastAsia" w:cs="Times New Roman"/>
          <w:bCs/>
          <w:snapToGrid w:val="0"/>
          <w:color w:val="000000" w:themeColor="text1"/>
          <w:kern w:val="0"/>
          <w:sz w:val="28"/>
          <w:szCs w:val="28"/>
          <w:lang w:eastAsia="zh-CN"/>
          <w14:textFill>
            <w14:solidFill>
              <w14:schemeClr w14:val="tx1"/>
            </w14:solidFill>
          </w14:textFill>
        </w:rPr>
        <w:t>井架底座</w:t>
      </w:r>
      <w:r>
        <w:rPr>
          <w:rFonts w:hint="default" w:ascii="Times New Roman" w:hAnsi="Times New Roman" w:cs="Times New Roman"/>
          <w:bCs/>
          <w:snapToGrid w:val="0"/>
          <w:color w:val="000000" w:themeColor="text1"/>
          <w:kern w:val="0"/>
          <w:sz w:val="28"/>
          <w:szCs w:val="28"/>
          <w14:textFill>
            <w14:solidFill>
              <w14:schemeClr w14:val="tx1"/>
            </w14:solidFill>
          </w14:textFill>
        </w:rPr>
        <w:t>、防喷器、</w:t>
      </w:r>
      <w:r>
        <w:rPr>
          <w:rFonts w:hint="eastAsia" w:cs="Times New Roman"/>
          <w:bCs/>
          <w:snapToGrid w:val="0"/>
          <w:color w:val="000000" w:themeColor="text1"/>
          <w:kern w:val="0"/>
          <w:sz w:val="28"/>
          <w:szCs w:val="28"/>
          <w:lang w:eastAsia="zh-CN"/>
          <w14:textFill>
            <w14:solidFill>
              <w14:schemeClr w14:val="tx1"/>
            </w14:solidFill>
          </w14:textFill>
        </w:rPr>
        <w:t>泵车</w:t>
      </w:r>
      <w:r>
        <w:rPr>
          <w:rFonts w:hint="default" w:ascii="Times New Roman" w:hAnsi="Times New Roman" w:cs="Times New Roman"/>
          <w:bCs/>
          <w:snapToGrid w:val="0"/>
          <w:color w:val="000000" w:themeColor="text1"/>
          <w:kern w:val="0"/>
          <w:sz w:val="28"/>
          <w:szCs w:val="28"/>
          <w14:textFill>
            <w14:solidFill>
              <w14:schemeClr w14:val="tx1"/>
            </w14:solidFill>
          </w14:textFill>
        </w:rPr>
        <w:t>等，涉及设备设施吊装作业、搬迁作业、安装作业、大修及</w:t>
      </w:r>
      <w:r>
        <w:rPr>
          <w:rFonts w:hint="default" w:ascii="Times New Roman" w:hAnsi="Times New Roman" w:cs="Times New Roman"/>
          <w:color w:val="000000" w:themeColor="text1"/>
          <w:sz w:val="28"/>
          <w:szCs w:val="28"/>
          <w14:textFill>
            <w14:solidFill>
              <w14:schemeClr w14:val="tx1"/>
            </w14:solidFill>
          </w14:textFill>
        </w:rPr>
        <w:t>井下复杂情况处理、</w:t>
      </w:r>
      <w:r>
        <w:rPr>
          <w:rFonts w:hint="default" w:ascii="Times New Roman" w:hAnsi="Times New Roman" w:cs="Times New Roman"/>
          <w:bCs/>
          <w:snapToGrid w:val="0"/>
          <w:color w:val="000000" w:themeColor="text1"/>
          <w:kern w:val="0"/>
          <w:sz w:val="28"/>
          <w:szCs w:val="28"/>
          <w14:textFill>
            <w14:solidFill>
              <w14:schemeClr w14:val="tx1"/>
            </w14:solidFill>
          </w14:textFill>
        </w:rPr>
        <w:t>临时用电作业、高处作业等</w:t>
      </w:r>
      <w:r>
        <w:rPr>
          <w:rFonts w:hint="eastAsia" w:cs="Times New Roman"/>
          <w:bCs/>
          <w:snapToGrid w:val="0"/>
          <w:color w:val="000000" w:themeColor="text1"/>
          <w:kern w:val="0"/>
          <w:sz w:val="28"/>
          <w:szCs w:val="28"/>
          <w:lang w:eastAsia="zh-CN"/>
          <w14:textFill>
            <w14:solidFill>
              <w14:schemeClr w14:val="tx1"/>
            </w14:solidFill>
          </w14:textFill>
        </w:rPr>
        <w:t>作业</w:t>
      </w:r>
      <w:r>
        <w:rPr>
          <w:rFonts w:hint="default" w:ascii="Times New Roman" w:hAnsi="Times New Roman" w:cs="Times New Roman"/>
          <w:bCs/>
          <w:snapToGrid w:val="0"/>
          <w:color w:val="000000" w:themeColor="text1"/>
          <w:kern w:val="0"/>
          <w:sz w:val="28"/>
          <w:szCs w:val="28"/>
          <w14:textFill>
            <w14:solidFill>
              <w14:schemeClr w14:val="tx1"/>
            </w14:solidFill>
          </w14:textFill>
        </w:rPr>
        <w:t>过程。</w:t>
      </w:r>
    </w:p>
    <w:p>
      <w:pPr>
        <w:adjustRightInd w:val="0"/>
        <w:snapToGrid w:val="0"/>
        <w:spacing w:line="360" w:lineRule="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3.2.1 吊装作业危险性分析</w:t>
      </w:r>
    </w:p>
    <w:p>
      <w:pPr>
        <w:adjustRightInd w:val="0"/>
        <w:snapToGrid w:val="0"/>
        <w:spacing w:line="360" w:lineRule="auto"/>
        <w:ind w:firstLine="560" w:firstLineChars="200"/>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承包商对板房、设备设施搬移前，需要对板房、设备设施进行吊运，在吊运过程中，因违章作业、起重设备的安全装置及保护措施失灵、吊车吊钩、钢丝绳、吊索具超载断裂，吊运时钢丝绳从吊钩中脱出，吊货物捆扎不牢固或作业时吊物下有人等情况，易发生起重伤害事故。</w:t>
      </w:r>
    </w:p>
    <w:p>
      <w:pPr>
        <w:adjustRightInd w:val="0"/>
        <w:snapToGrid w:val="0"/>
        <w:spacing w:line="360" w:lineRule="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3.2.2 设备搬移过程</w:t>
      </w:r>
    </w:p>
    <w:p>
      <w:pPr>
        <w:pStyle w:val="66"/>
        <w:keepNext w:val="0"/>
        <w:keepLines w:val="0"/>
        <w:pageBreakBefore w:val="0"/>
        <w:widowControl w:val="0"/>
        <w:kinsoku/>
        <w:wordWrap/>
        <w:overflowPunct w:val="0"/>
        <w:topLinePunct/>
        <w:autoSpaceDE/>
        <w:autoSpaceDN/>
        <w:bidi w:val="0"/>
        <w:adjustRightInd w:val="0"/>
        <w:snapToGrid w:val="0"/>
        <w:spacing w:line="360" w:lineRule="auto"/>
        <w:ind w:left="0" w:leftChars="0" w:firstLine="560" w:firstLineChars="200"/>
        <w:jc w:val="both"/>
        <w:textAlignment w:val="auto"/>
        <w:rPr>
          <w:rFonts w:hint="eastAsia" w:cs="Times New Roman"/>
          <w:color w:val="000000" w:themeColor="text1"/>
          <w:kern w:val="0"/>
          <w:lang w:eastAsia="zh-CN"/>
          <w14:textFill>
            <w14:solidFill>
              <w14:schemeClr w14:val="tx1"/>
            </w14:solidFill>
          </w14:textFill>
        </w:rPr>
      </w:pPr>
      <w:r>
        <w:rPr>
          <w:rFonts w:hint="eastAsia" w:cs="Times New Roman"/>
          <w:color w:val="000000" w:themeColor="text1"/>
          <w:kern w:val="0"/>
          <w:lang w:eastAsia="zh-CN"/>
          <w14:textFill>
            <w14:solidFill>
              <w14:schemeClr w14:val="tx1"/>
            </w14:solidFill>
          </w14:textFill>
        </w:rPr>
        <w:t>修井机搬移过程中，涉及立放井架等作业，操作人员配合不好、指挥失误、地面条件差造成设备损坏（井架倾倒或井架变形等），有油、气、水管线等在施工场地通过，操作失误造成拖断、压坏管线；</w:t>
      </w:r>
    </w:p>
    <w:p>
      <w:pPr>
        <w:pStyle w:val="66"/>
        <w:keepNext w:val="0"/>
        <w:keepLines w:val="0"/>
        <w:pageBreakBefore w:val="0"/>
        <w:widowControl w:val="0"/>
        <w:kinsoku/>
        <w:wordWrap/>
        <w:overflowPunct w:val="0"/>
        <w:topLinePunct/>
        <w:autoSpaceDE/>
        <w:autoSpaceDN/>
        <w:bidi w:val="0"/>
        <w:adjustRightInd w:val="0"/>
        <w:snapToGrid w:val="0"/>
        <w:spacing w:line="360" w:lineRule="auto"/>
        <w:ind w:left="0" w:leftChars="0" w:firstLine="0" w:firstLineChars="0"/>
        <w:jc w:val="both"/>
        <w:textAlignment w:val="auto"/>
        <w:rPr>
          <w:rFonts w:hint="eastAsia" w:cs="Times New Roman"/>
          <w:color w:val="000000" w:themeColor="text1"/>
          <w:kern w:val="0"/>
          <w:lang w:eastAsia="zh-CN"/>
          <w14:textFill>
            <w14:solidFill>
              <w14:schemeClr w14:val="tx1"/>
            </w14:solidFill>
          </w14:textFill>
        </w:rPr>
      </w:pPr>
      <w:r>
        <w:rPr>
          <w:rFonts w:hint="eastAsia" w:cs="Times New Roman"/>
          <w:color w:val="000000" w:themeColor="text1"/>
          <w:kern w:val="0"/>
          <w:lang w:eastAsia="zh-CN"/>
          <w14:textFill>
            <w14:solidFill>
              <w14:schemeClr w14:val="tx1"/>
            </w14:solidFill>
          </w14:textFill>
        </w:rPr>
        <w:t>施工人员未使用劳保用品、违章作业造成物体打击、机械伤害；天气条件差（如暴雨雪、五级以上大风）、能见度差，可能造成人员伤害。</w:t>
      </w:r>
    </w:p>
    <w:p>
      <w:pPr>
        <w:pStyle w:val="66"/>
        <w:keepNext w:val="0"/>
        <w:keepLines w:val="0"/>
        <w:pageBreakBefore w:val="0"/>
        <w:widowControl w:val="0"/>
        <w:kinsoku/>
        <w:wordWrap/>
        <w:overflowPunct w:val="0"/>
        <w:topLinePunct/>
        <w:autoSpaceDE/>
        <w:autoSpaceDN/>
        <w:bidi w:val="0"/>
        <w:adjustRightInd w:val="0"/>
        <w:snapToGrid w:val="0"/>
        <w:spacing w:line="360" w:lineRule="auto"/>
        <w:ind w:left="0" w:leftChars="0" w:firstLine="560" w:firstLineChars="200"/>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车辆运输过程中，驾驶员可因道路路况不熟，精力不集中，操作失误等原因，造成道路交通事故。到井场后，受场地限制、车辆故障、驾驶员操作失误、现场作业人员误入视线盲区等，可造成人员伤害或设备损坏等车辆伤害事故。</w:t>
      </w:r>
    </w:p>
    <w:p>
      <w:pPr>
        <w:pStyle w:val="66"/>
        <w:keepNext w:val="0"/>
        <w:keepLines w:val="0"/>
        <w:pageBreakBefore w:val="0"/>
        <w:widowControl w:val="0"/>
        <w:kinsoku/>
        <w:wordWrap/>
        <w:overflowPunct w:val="0"/>
        <w:topLinePunct/>
        <w:autoSpaceDE/>
        <w:autoSpaceDN/>
        <w:bidi w:val="0"/>
        <w:adjustRightInd w:val="0"/>
        <w:snapToGrid w:val="0"/>
        <w:spacing w:line="360" w:lineRule="auto"/>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作业前或施工完毕后，安装和拆卸设备及管线时，可因用力过猛，配合不当，造成人员伤害，人员抬管线时，可能因为手滑、绊倒等原因，发生管线砸伤人员的事故。</w:t>
      </w:r>
    </w:p>
    <w:p>
      <w:pPr>
        <w:adjustRightInd w:val="0"/>
        <w:snapToGrid w:val="0"/>
        <w:spacing w:line="360" w:lineRule="auto"/>
        <w:outlineLvl w:val="2"/>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kern w:val="0"/>
          <w:sz w:val="28"/>
          <w:szCs w:val="28"/>
          <w14:textFill>
            <w14:solidFill>
              <w14:schemeClr w14:val="tx1"/>
            </w14:solidFill>
          </w14:textFill>
        </w:rPr>
        <w:t>3.2.3 安装作业过程中危险性分析</w:t>
      </w:r>
    </w:p>
    <w:p>
      <w:pPr>
        <w:adjustRightInd w:val="0"/>
        <w:snapToGrid w:val="0"/>
        <w:spacing w:line="360" w:lineRule="auto"/>
        <w:ind w:firstLine="560" w:firstLineChars="200"/>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kern w:val="0"/>
          <w:sz w:val="28"/>
          <w:szCs w:val="28"/>
          <w14:textFill>
            <w14:solidFill>
              <w14:schemeClr w14:val="tx1"/>
            </w14:solidFill>
          </w14:textFill>
        </w:rPr>
        <w:t>本项目安装</w:t>
      </w:r>
      <w:r>
        <w:rPr>
          <w:rFonts w:hint="eastAsia" w:cs="Times New Roman"/>
          <w:color w:val="000000" w:themeColor="text1"/>
          <w:kern w:val="0"/>
          <w:sz w:val="28"/>
          <w:szCs w:val="28"/>
          <w:lang w:eastAsia="zh-CN"/>
          <w14:textFill>
            <w14:solidFill>
              <w14:schemeClr w14:val="tx1"/>
            </w14:solidFill>
          </w14:textFill>
        </w:rPr>
        <w:t>主要</w:t>
      </w:r>
      <w:r>
        <w:rPr>
          <w:rFonts w:hint="default" w:ascii="Times New Roman" w:hAnsi="Times New Roman" w:cs="Times New Roman"/>
          <w:color w:val="000000" w:themeColor="text1"/>
          <w:kern w:val="0"/>
          <w:sz w:val="28"/>
          <w:szCs w:val="28"/>
          <w14:textFill>
            <w14:solidFill>
              <w14:schemeClr w14:val="tx1"/>
            </w14:solidFill>
          </w14:textFill>
        </w:rPr>
        <w:t>是</w:t>
      </w:r>
      <w:r>
        <w:rPr>
          <w:rFonts w:hint="eastAsia" w:cs="Times New Roman"/>
          <w:color w:val="000000" w:themeColor="text1"/>
          <w:kern w:val="0"/>
          <w:sz w:val="28"/>
          <w:szCs w:val="28"/>
          <w:lang w:eastAsia="zh-CN"/>
          <w14:textFill>
            <w14:solidFill>
              <w14:schemeClr w14:val="tx1"/>
            </w14:solidFill>
          </w14:textFill>
        </w:rPr>
        <w:t>指</w:t>
      </w:r>
      <w:r>
        <w:rPr>
          <w:rFonts w:hint="default" w:ascii="Times New Roman" w:hAnsi="Times New Roman" w:cs="Times New Roman"/>
          <w:color w:val="000000" w:themeColor="text1"/>
          <w:kern w:val="0"/>
          <w:sz w:val="28"/>
          <w:szCs w:val="28"/>
          <w14:textFill>
            <w14:solidFill>
              <w14:schemeClr w14:val="tx1"/>
            </w14:solidFill>
          </w14:textFill>
        </w:rPr>
        <w:t>防喷器，</w:t>
      </w:r>
      <w:r>
        <w:rPr>
          <w:rFonts w:hint="eastAsia" w:cs="Times New Roman"/>
          <w:color w:val="000000" w:themeColor="text1"/>
          <w:kern w:val="0"/>
          <w:sz w:val="28"/>
          <w:szCs w:val="28"/>
          <w:lang w:eastAsia="zh-CN"/>
          <w14:textFill>
            <w14:solidFill>
              <w14:schemeClr w14:val="tx1"/>
            </w14:solidFill>
          </w14:textFill>
        </w:rPr>
        <w:t>打捞工具</w:t>
      </w:r>
      <w:r>
        <w:rPr>
          <w:rFonts w:hint="default" w:ascii="Times New Roman" w:hAnsi="Times New Roman" w:cs="Times New Roman"/>
          <w:color w:val="000000" w:themeColor="text1"/>
          <w:kern w:val="0"/>
          <w:sz w:val="28"/>
          <w:szCs w:val="28"/>
          <w14:textFill>
            <w14:solidFill>
              <w14:schemeClr w14:val="tx1"/>
            </w14:solidFill>
          </w14:textFill>
        </w:rPr>
        <w:t>以及高压管汇、防喷管汇等设备设施的安装，在此过程中易发生工具伤人事故，防喷器较重，易发生坠落伤人事故。防喷器安装不正确、不牢靠，发生井喷事故时，易导致事故扩大。安装设备设施时，易发生管汇坠落伤人或工具伤人事故。</w:t>
      </w:r>
    </w:p>
    <w:p>
      <w:pPr>
        <w:adjustRightInd w:val="0"/>
        <w:snapToGrid w:val="0"/>
        <w:spacing w:line="360" w:lineRule="auto"/>
        <w:outlineLvl w:val="2"/>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kern w:val="0"/>
          <w:sz w:val="28"/>
          <w:szCs w:val="28"/>
          <w14:textFill>
            <w14:solidFill>
              <w14:schemeClr w14:val="tx1"/>
            </w14:solidFill>
          </w14:textFill>
        </w:rPr>
        <w:t xml:space="preserve">3.2.4 大修作业过程中危险性分析 </w:t>
      </w:r>
    </w:p>
    <w:p>
      <w:pPr>
        <w:pStyle w:val="66"/>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大修作业过程中的主要风险包括火灾爆炸、中毒、物体打击、机械伤害、高处坠落、触电、井喷等危险有害因素，可能造成人员伤亡、设备设施损坏、施工作业周期延长、油井减产、损坏风险。</w:t>
      </w:r>
    </w:p>
    <w:p>
      <w:pPr>
        <w:pStyle w:val="66"/>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大修作业设计考虑不周全；设备工具陈旧老化、性能不良；设备设施检查、维修保养不到位；安全资金投入不足，使安全管理措施落实不到位；未按规定开展安全培训，施工人员安全意识淡薄，违反操作规程，操作失误等；周围环境影响，人为破坏，以前施工遗留有隐患等因素，都可能引发大修作业风险事故。</w:t>
      </w:r>
    </w:p>
    <w:p>
      <w:pPr>
        <w:pStyle w:val="66"/>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由于大修作业协同岗位多，施工工序复杂，所用设备工具多、修井机体积大，易造成物体打击、机械伤害、高处坠落等事故，造成人身伤害。尤其是作业机钢丝绳断裂、井架倒塌，对人身安全和设备的危害更大。另外，电气设备、电气开关、电缆敷设可能因接地、接零或屏护措施不完善、防护间距不够、耐压强度低、耐腐蚀性差等原因，造成漏电和人员触电伤害。</w:t>
      </w:r>
    </w:p>
    <w:p>
      <w:pPr>
        <w:adjustRightInd w:val="0"/>
        <w:snapToGrid w:val="0"/>
        <w:spacing w:line="360" w:lineRule="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3.2.</w:t>
      </w:r>
      <w:r>
        <w:rPr>
          <w:rFonts w:hint="eastAsia" w:eastAsia="黑体" w:cs="Times New Roman"/>
          <w:bCs/>
          <w:snapToGrid w:val="0"/>
          <w:color w:val="000000" w:themeColor="text1"/>
          <w:kern w:val="0"/>
          <w:sz w:val="28"/>
          <w:szCs w:val="28"/>
          <w:lang w:val="en-US" w:eastAsia="zh-CN"/>
          <w14:textFill>
            <w14:solidFill>
              <w14:schemeClr w14:val="tx1"/>
            </w14:solidFill>
          </w14:textFill>
        </w:rPr>
        <w:t>5</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 xml:space="preserve"> 井下复杂情况处理</w:t>
      </w:r>
      <w:r>
        <w:rPr>
          <w:rFonts w:hint="eastAsia" w:eastAsia="黑体" w:cs="Times New Roman"/>
          <w:bCs/>
          <w:snapToGrid w:val="0"/>
          <w:color w:val="000000" w:themeColor="text1"/>
          <w:kern w:val="0"/>
          <w:sz w:val="28"/>
          <w:szCs w:val="28"/>
          <w:lang w:eastAsia="zh-CN"/>
          <w14:textFill>
            <w14:solidFill>
              <w14:schemeClr w14:val="tx1"/>
            </w14:solidFill>
          </w14:textFill>
        </w:rPr>
        <w:t>（打捞、堵漏）</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作业流程危险性分析</w:t>
      </w:r>
    </w:p>
    <w:p>
      <w:pPr>
        <w:pStyle w:val="2"/>
        <w:spacing w:line="360" w:lineRule="auto"/>
        <w:ind w:firstLine="560" w:firstLineChars="200"/>
        <w:rPr>
          <w:rFonts w:hint="default" w:ascii="Times New Roman" w:hAnsi="Times New Roman" w:cs="Times New Roman"/>
          <w:bCs/>
          <w:snapToGrid w:val="0"/>
          <w:color w:val="000000" w:themeColor="text1"/>
          <w:kern w:val="0"/>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井下复杂情况处理</w:t>
      </w:r>
      <w:r>
        <w:rPr>
          <w:rFonts w:hint="default" w:ascii="Times New Roman" w:hAnsi="Times New Roman" w:cs="Times New Roman"/>
          <w:bCs/>
          <w:snapToGrid w:val="0"/>
          <w:color w:val="000000" w:themeColor="text1"/>
          <w:kern w:val="0"/>
          <w14:textFill>
            <w14:solidFill>
              <w14:schemeClr w14:val="tx1"/>
            </w14:solidFill>
          </w14:textFill>
        </w:rPr>
        <w:t>主要伤害类型为机械伤害和物体打击。</w:t>
      </w:r>
    </w:p>
    <w:p>
      <w:pPr>
        <w:pStyle w:val="2"/>
        <w:spacing w:line="360" w:lineRule="auto"/>
        <w:ind w:firstLine="560" w:firstLineChars="200"/>
        <w:rPr>
          <w:rFonts w:hint="default" w:ascii="Times New Roman" w:hAnsi="Times New Roman" w:cs="Times New Roman"/>
          <w:bCs/>
          <w:snapToGrid w:val="0"/>
          <w:color w:val="000000" w:themeColor="text1"/>
          <w:kern w:val="0"/>
          <w14:textFill>
            <w14:solidFill>
              <w14:schemeClr w14:val="tx1"/>
            </w14:solidFill>
          </w14:textFill>
        </w:rPr>
      </w:pPr>
      <w:r>
        <w:rPr>
          <w:rFonts w:hint="default" w:ascii="Times New Roman" w:hAnsi="Times New Roman" w:cs="Times New Roman"/>
          <w:bCs/>
          <w:snapToGrid w:val="0"/>
          <w:color w:val="000000" w:themeColor="text1"/>
          <w:kern w:val="0"/>
          <w14:textFill>
            <w14:solidFill>
              <w14:schemeClr w14:val="tx1"/>
            </w14:solidFill>
          </w14:textFill>
        </w:rPr>
        <w:t>在施工作业中，由于操作技术不熟练，对有关的安全操作规程不熟悉，或是在操作中注意力不集中、酒后上岗等，会引发机械伤害或物体打击。</w:t>
      </w:r>
    </w:p>
    <w:p>
      <w:pPr>
        <w:pStyle w:val="2"/>
        <w:spacing w:line="360" w:lineRule="auto"/>
        <w:ind w:firstLine="56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snapToGrid w:val="0"/>
          <w:color w:val="000000" w:themeColor="text1"/>
          <w:kern w:val="0"/>
          <w14:textFill>
            <w14:solidFill>
              <w14:schemeClr w14:val="tx1"/>
            </w14:solidFill>
          </w14:textFill>
        </w:rPr>
        <w:t>井下复杂情况处理是处理井下事故作业，由于井下事故情况千差万别，并且打捞等作业负荷较大，易发生提升系统大绳断裂事故，还会因打捞操作失误，选择工具、下探深度等不当，造成遇卡遇阻等事故。解卡施工排量、转速等参数控制不当也会造成事故。</w:t>
      </w:r>
    </w:p>
    <w:p>
      <w:pPr>
        <w:pStyle w:val="66"/>
        <w:adjustRightInd w:val="0"/>
        <w:snapToGrid w:val="0"/>
        <w:spacing w:line="360" w:lineRule="auto"/>
        <w:ind w:firstLine="0" w:firstLineChars="0"/>
        <w:jc w:val="both"/>
        <w:outlineLvl w:val="2"/>
        <w:rPr>
          <w:rFonts w:hint="default" w:ascii="Times New Roman" w:hAnsi="Times New Roman" w:cs="Times New Roman"/>
          <w:b/>
          <w:bCs/>
          <w:color w:val="000000" w:themeColor="text1"/>
          <w:kern w:val="0"/>
          <w14:textFill>
            <w14:solidFill>
              <w14:schemeClr w14:val="tx1"/>
            </w14:solidFill>
          </w14:textFill>
        </w:rPr>
      </w:pPr>
      <w:r>
        <w:rPr>
          <w:rFonts w:hint="default" w:ascii="Times New Roman" w:hAnsi="Times New Roman" w:cs="Times New Roman"/>
          <w:b/>
          <w:bCs/>
          <w:color w:val="000000" w:themeColor="text1"/>
          <w:kern w:val="0"/>
          <w14:textFill>
            <w14:solidFill>
              <w14:schemeClr w14:val="tx1"/>
            </w14:solidFill>
          </w14:textFill>
        </w:rPr>
        <w:t>3.2.</w:t>
      </w:r>
      <w:r>
        <w:rPr>
          <w:rFonts w:hint="eastAsia" w:cs="Times New Roman"/>
          <w:b/>
          <w:bCs/>
          <w:color w:val="000000" w:themeColor="text1"/>
          <w:kern w:val="0"/>
          <w:lang w:val="en-US" w:eastAsia="zh-CN"/>
          <w14:textFill>
            <w14:solidFill>
              <w14:schemeClr w14:val="tx1"/>
            </w14:solidFill>
          </w14:textFill>
        </w:rPr>
        <w:t>6</w:t>
      </w:r>
      <w:r>
        <w:rPr>
          <w:rFonts w:hint="default" w:ascii="Times New Roman" w:hAnsi="Times New Roman" w:cs="Times New Roman"/>
          <w:b/>
          <w:bCs/>
          <w:color w:val="000000" w:themeColor="text1"/>
          <w:kern w:val="0"/>
          <w14:textFill>
            <w14:solidFill>
              <w14:schemeClr w14:val="tx1"/>
            </w14:solidFill>
          </w14:textFill>
        </w:rPr>
        <w:t xml:space="preserve"> 临时用电作业危险性分析</w:t>
      </w:r>
    </w:p>
    <w:p>
      <w:pPr>
        <w:pStyle w:val="66"/>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1.施工现场需要临时用电，若电气设备安装、使用不合理，缺少保护装置，操作人员违章操作等原因，极易造成触电事故。</w:t>
      </w:r>
    </w:p>
    <w:p>
      <w:pPr>
        <w:pStyle w:val="66"/>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2.跨越安全围栏或超越安全警戒线，工作人员误碰带电设备，以及在带电设备附近使用钢卷尺等进行测量或携带金属超高物体在带电设备下行走可能造成触电事故。</w:t>
      </w:r>
    </w:p>
    <w:p>
      <w:pPr>
        <w:pStyle w:val="66"/>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3.施工现场混乱，造成电气设备安全设施不健全或损坏漏电，绝缘保护层破损或保护接地失效等，如未能及时发现并整改，可能造成触电或电气火灾事故。</w:t>
      </w:r>
    </w:p>
    <w:p>
      <w:pPr>
        <w:pStyle w:val="66"/>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4.电线裸露、乱拉、乱扯电线、湿手触动电器开关设备、绝缘胶鞋破损透水或用湿物去接触电器设备，有引发触电事故的可能性。</w:t>
      </w:r>
    </w:p>
    <w:p>
      <w:pPr>
        <w:pStyle w:val="66"/>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5.在带电设备附近进行作业，不符合安全距离或无监护措施，缺少安全标志或标志不明显等可能引发触电事故的发生。</w:t>
      </w:r>
    </w:p>
    <w:p>
      <w:pPr>
        <w:pStyle w:val="66"/>
        <w:adjustRightInd w:val="0"/>
        <w:snapToGrid w:val="0"/>
        <w:spacing w:line="360" w:lineRule="auto"/>
        <w:ind w:firstLine="0" w:firstLineChars="0"/>
        <w:jc w:val="both"/>
        <w:outlineLvl w:val="2"/>
        <w:rPr>
          <w:rFonts w:hint="default" w:ascii="Times New Roman" w:hAnsi="Times New Roman" w:cs="Times New Roman"/>
          <w:b/>
          <w:bCs/>
          <w:color w:val="000000" w:themeColor="text1"/>
          <w:kern w:val="0"/>
          <w14:textFill>
            <w14:solidFill>
              <w14:schemeClr w14:val="tx1"/>
            </w14:solidFill>
          </w14:textFill>
        </w:rPr>
      </w:pPr>
      <w:r>
        <w:rPr>
          <w:rFonts w:hint="default" w:ascii="Times New Roman" w:hAnsi="Times New Roman" w:cs="Times New Roman"/>
          <w:b/>
          <w:bCs/>
          <w:color w:val="000000" w:themeColor="text1"/>
          <w:kern w:val="0"/>
          <w14:textFill>
            <w14:solidFill>
              <w14:schemeClr w14:val="tx1"/>
            </w14:solidFill>
          </w14:textFill>
        </w:rPr>
        <w:t>3.2.</w:t>
      </w:r>
      <w:r>
        <w:rPr>
          <w:rFonts w:hint="eastAsia" w:cs="Times New Roman"/>
          <w:b/>
          <w:bCs/>
          <w:color w:val="000000" w:themeColor="text1"/>
          <w:kern w:val="0"/>
          <w:lang w:val="en-US" w:eastAsia="zh-CN"/>
          <w14:textFill>
            <w14:solidFill>
              <w14:schemeClr w14:val="tx1"/>
            </w14:solidFill>
          </w14:textFill>
        </w:rPr>
        <w:t>7</w:t>
      </w:r>
      <w:r>
        <w:rPr>
          <w:rFonts w:hint="default" w:ascii="Times New Roman" w:hAnsi="Times New Roman" w:cs="Times New Roman"/>
          <w:b/>
          <w:bCs/>
          <w:color w:val="000000" w:themeColor="text1"/>
          <w:kern w:val="0"/>
          <w14:textFill>
            <w14:solidFill>
              <w14:schemeClr w14:val="tx1"/>
            </w14:solidFill>
          </w14:textFill>
        </w:rPr>
        <w:t xml:space="preserve"> 高处作业危险性分析</w:t>
      </w:r>
    </w:p>
    <w:p>
      <w:pPr>
        <w:pStyle w:val="66"/>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eastAsia"/>
          <w:lang w:val="en-US" w:eastAsia="zh-CN"/>
        </w:rPr>
        <w:t>大修二层台作业、井架检修</w:t>
      </w:r>
      <w:r>
        <w:rPr>
          <w:rFonts w:hint="default" w:ascii="Times New Roman" w:hAnsi="Times New Roman" w:cs="Times New Roman"/>
          <w:color w:val="000000" w:themeColor="text1"/>
          <w:kern w:val="0"/>
          <w14:textFill>
            <w14:solidFill>
              <w14:schemeClr w14:val="tx1"/>
            </w14:solidFill>
          </w14:textFill>
        </w:rPr>
        <w:t>涉及到高处作业，在平台上的施工人员若</w:t>
      </w:r>
      <w:r>
        <w:rPr>
          <w:rFonts w:hint="eastAsia"/>
          <w:lang w:eastAsia="zh-CN"/>
        </w:rPr>
        <w:t>防护措施不完善或存在缺陷、人员违章，例如</w:t>
      </w:r>
      <w:r>
        <w:rPr>
          <w:rFonts w:hint="default" w:ascii="Times New Roman" w:hAnsi="Times New Roman" w:cs="Times New Roman"/>
          <w:color w:val="000000" w:themeColor="text1"/>
          <w:kern w:val="0"/>
          <w14:textFill>
            <w14:solidFill>
              <w14:schemeClr w14:val="tx1"/>
            </w14:solidFill>
          </w14:textFill>
        </w:rPr>
        <w:t>未按照规定配备安全绳</w:t>
      </w:r>
      <w:r>
        <w:rPr>
          <w:rFonts w:hint="eastAsia" w:cs="Times New Roman"/>
          <w:color w:val="000000" w:themeColor="text1"/>
          <w:kern w:val="0"/>
          <w:lang w:eastAsia="zh-CN"/>
          <w14:textFill>
            <w14:solidFill>
              <w14:schemeClr w14:val="tx1"/>
            </w14:solidFill>
          </w14:textFill>
        </w:rPr>
        <w:t>、</w:t>
      </w:r>
      <w:r>
        <w:rPr>
          <w:rFonts w:hint="eastAsia"/>
          <w:lang w:eastAsia="zh-CN"/>
        </w:rPr>
        <w:t>安全带或安全带系扎不可靠、</w:t>
      </w:r>
      <w:r>
        <w:rPr>
          <w:rFonts w:hint="default" w:ascii="Times New Roman" w:hAnsi="Times New Roman" w:cs="Times New Roman"/>
          <w:color w:val="000000" w:themeColor="text1"/>
          <w:kern w:val="0"/>
          <w14:textFill>
            <w14:solidFill>
              <w14:schemeClr w14:val="tx1"/>
            </w14:solidFill>
          </w14:textFill>
        </w:rPr>
        <w:t>未设置防护栏杆或防护栏存在缺陷，</w:t>
      </w:r>
      <w:r>
        <w:rPr>
          <w:rFonts w:hint="eastAsia" w:cs="Times New Roman"/>
          <w:color w:val="000000" w:themeColor="text1"/>
          <w:kern w:val="0"/>
          <w:lang w:eastAsia="zh-CN"/>
          <w14:textFill>
            <w14:solidFill>
              <w14:schemeClr w14:val="tx1"/>
            </w14:solidFill>
          </w14:textFill>
        </w:rPr>
        <w:t>或</w:t>
      </w:r>
      <w:r>
        <w:rPr>
          <w:rFonts w:hint="eastAsia"/>
          <w:lang w:eastAsia="zh-CN"/>
        </w:rPr>
        <w:t>因其他突发事故或大风天气，梯子、平台和易滑倒的操作通道地面未设有防滑措施或在阴雨天气或冬季因结冰等原因，</w:t>
      </w:r>
      <w:r>
        <w:rPr>
          <w:rFonts w:hint="default" w:ascii="Times New Roman" w:hAnsi="Times New Roman" w:cs="Times New Roman"/>
          <w:color w:val="000000" w:themeColor="text1"/>
          <w:kern w:val="0"/>
          <w14:textFill>
            <w14:solidFill>
              <w14:schemeClr w14:val="tx1"/>
            </w14:solidFill>
          </w14:textFill>
        </w:rPr>
        <w:t>可导致人员从高处坠落。若平台上的施工人员乱扔工具等，可造成物体打击。若修井机发生坍塌事故或井喷事故时，紧急逃生通道设置不合理，可导致平台上的施工人员发生人身伤害或中毒和窒息事故发生。</w:t>
      </w:r>
    </w:p>
    <w:p>
      <w:pPr>
        <w:pStyle w:val="4"/>
        <w:keepNext w:val="0"/>
        <w:keepLines w:val="0"/>
        <w:adjustRightInd w:val="0"/>
        <w:snapToGrid w:val="0"/>
        <w:spacing w:before="0" w:after="0" w:line="360" w:lineRule="auto"/>
        <w:rPr>
          <w:rFonts w:hint="default" w:ascii="Times New Roman" w:hAnsi="Times New Roman" w:cs="Times New Roman"/>
          <w:color w:val="000000" w:themeColor="text1"/>
          <w14:textFill>
            <w14:solidFill>
              <w14:schemeClr w14:val="tx1"/>
            </w14:solidFill>
          </w14:textFill>
        </w:rPr>
      </w:pPr>
      <w:bookmarkStart w:id="61" w:name="_Toc23729"/>
      <w:bookmarkStart w:id="62" w:name="_Toc5928"/>
      <w:r>
        <w:rPr>
          <w:rFonts w:hint="default" w:ascii="Times New Roman" w:hAnsi="Times New Roman" w:cs="Times New Roman"/>
          <w:b w:val="0"/>
          <w:bCs/>
          <w:color w:val="000000" w:themeColor="text1"/>
          <w:szCs w:val="32"/>
          <w14:textFill>
            <w14:solidFill>
              <w14:schemeClr w14:val="tx1"/>
            </w14:solidFill>
          </w14:textFill>
        </w:rPr>
        <w:t>3.3 主要设备设施危险性分析</w:t>
      </w:r>
      <w:bookmarkEnd w:id="61"/>
      <w:bookmarkEnd w:id="62"/>
    </w:p>
    <w:p>
      <w:pPr>
        <w:pStyle w:val="2"/>
        <w:spacing w:line="360" w:lineRule="auto"/>
        <w:ind w:firstLine="56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1.大修主要设备</w:t>
      </w:r>
    </w:p>
    <w:p>
      <w:pPr>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动力设备是指施工中所使用的修井机等。引发事故的原因主要是发动机系统、刹车系统的故障未能被及时排除。发动机系统故障有可能造成机毁人亡。刹车系统故障有可能造成顿、溜钻等恶性事故。</w:t>
      </w:r>
    </w:p>
    <w:p>
      <w:pPr>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提升设备主要由井架、游车大钩和钢丝绳组成。超负荷使用井架或井架地基不牢等会使井架下沉、倾斜或翻转，造成恶性事故；起放井架前</w:t>
      </w:r>
      <w:r>
        <w:rPr>
          <w:rFonts w:hint="eastAsia" w:cs="Times New Roman"/>
          <w:color w:val="000000" w:themeColor="text1"/>
          <w:sz w:val="28"/>
          <w:szCs w:val="28"/>
          <w:lang w:eastAsia="zh-CN"/>
          <w14:textFill>
            <w14:solidFill>
              <w14:schemeClr w14:val="tx1"/>
            </w14:solidFill>
          </w14:textFill>
        </w:rPr>
        <w:t>修井</w:t>
      </w:r>
      <w:r>
        <w:rPr>
          <w:rFonts w:hint="default" w:ascii="Times New Roman" w:hAnsi="Times New Roman" w:cs="Times New Roman"/>
          <w:color w:val="000000" w:themeColor="text1"/>
          <w:sz w:val="28"/>
          <w:szCs w:val="28"/>
          <w14:textFill>
            <w14:solidFill>
              <w14:schemeClr w14:val="tx1"/>
            </w14:solidFill>
          </w14:textFill>
        </w:rPr>
        <w:t>机不平衡，易导致起放过程中井架倾倒；起升井架时注意力不集中或操作技术不熟练，使上段井架窜出，从而导致恶性事故；对井口距离超标，导致放井架时撞坏井口设备。</w:t>
      </w:r>
    </w:p>
    <w:p>
      <w:pPr>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游车大钩在作业中是连成一体的。在起下</w:t>
      </w:r>
      <w:r>
        <w:rPr>
          <w:rFonts w:hint="eastAsia" w:cs="Times New Roman"/>
          <w:color w:val="000000" w:themeColor="text1"/>
          <w:sz w:val="28"/>
          <w:szCs w:val="28"/>
          <w:lang w:eastAsia="zh-CN"/>
          <w14:textFill>
            <w14:solidFill>
              <w14:schemeClr w14:val="tx1"/>
            </w14:solidFill>
          </w14:textFill>
        </w:rPr>
        <w:t>作业</w:t>
      </w:r>
      <w:r>
        <w:rPr>
          <w:rFonts w:hint="default" w:ascii="Times New Roman" w:hAnsi="Times New Roman" w:cs="Times New Roman"/>
          <w:color w:val="000000" w:themeColor="text1"/>
          <w:sz w:val="28"/>
          <w:szCs w:val="28"/>
          <w14:textFill>
            <w14:solidFill>
              <w14:schemeClr w14:val="tx1"/>
            </w14:solidFill>
          </w14:textFill>
        </w:rPr>
        <w:t>过程中若发生</w:t>
      </w:r>
      <w:r>
        <w:rPr>
          <w:rFonts w:hint="eastAsia" w:cs="Times New Roman"/>
          <w:color w:val="000000" w:themeColor="text1"/>
          <w:sz w:val="28"/>
          <w:szCs w:val="28"/>
          <w:lang w:eastAsia="zh-CN"/>
          <w14:textFill>
            <w14:solidFill>
              <w14:schemeClr w14:val="tx1"/>
            </w14:solidFill>
          </w14:textFill>
        </w:rPr>
        <w:t>卡顿</w:t>
      </w:r>
      <w:r>
        <w:rPr>
          <w:rFonts w:hint="default" w:ascii="Times New Roman" w:hAnsi="Times New Roman" w:cs="Times New Roman"/>
          <w:color w:val="000000" w:themeColor="text1"/>
          <w:sz w:val="28"/>
          <w:szCs w:val="28"/>
          <w14:textFill>
            <w14:solidFill>
              <w14:schemeClr w14:val="tx1"/>
            </w14:solidFill>
          </w14:textFill>
        </w:rPr>
        <w:t>，易造成钢丝绳跳槽而被挤扁。在处理跳槽过程中易造成钢丝绳断丝，导致强度降低，形成事故隐患；游车与大钩连接的轴销固定螺丝断落，在起下</w:t>
      </w:r>
      <w:r>
        <w:rPr>
          <w:rFonts w:hint="eastAsia" w:cs="Times New Roman"/>
          <w:color w:val="000000" w:themeColor="text1"/>
          <w:sz w:val="28"/>
          <w:szCs w:val="28"/>
          <w:lang w:eastAsia="zh-CN"/>
          <w14:textFill>
            <w14:solidFill>
              <w14:schemeClr w14:val="tx1"/>
            </w14:solidFill>
          </w14:textFill>
        </w:rPr>
        <w:t>作业</w:t>
      </w:r>
      <w:r>
        <w:rPr>
          <w:rFonts w:hint="default" w:ascii="Times New Roman" w:hAnsi="Times New Roman" w:cs="Times New Roman"/>
          <w:color w:val="000000" w:themeColor="text1"/>
          <w:sz w:val="28"/>
          <w:szCs w:val="28"/>
          <w14:textFill>
            <w14:solidFill>
              <w14:schemeClr w14:val="tx1"/>
            </w14:solidFill>
          </w14:textFill>
        </w:rPr>
        <w:t>施工中可引起轴销脱落，造成伤亡事故；大钩未按规定保养，使大钩颈锈死，在进行旋转作业时，钩颈不能随管柱转动，与管柱的反扭力在失控时会造成人身伤害或钢丝绳打扭。钢丝绳虽然不是机械设备，但在提升系统中占有重要位置。钢丝绳断丝断股、超期使用、超负荷使用都会给安全施工带来隐患。</w:t>
      </w:r>
    </w:p>
    <w:p>
      <w:pPr>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辅助设备主要包括吊环、吊卡以及防喷器等井控设备等。在施工作业中，由于操作技术不熟练，对有关的安全操作规程不熟悉，或是在操作中注意力不集中、酒后上岗等，会引发机械伤害或物体打击。</w:t>
      </w:r>
    </w:p>
    <w:p>
      <w:pPr>
        <w:pStyle w:val="2"/>
        <w:spacing w:line="360" w:lineRule="auto"/>
        <w:ind w:firstLine="56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2.高压管汇</w:t>
      </w:r>
    </w:p>
    <w:p>
      <w:pPr>
        <w:pStyle w:val="66"/>
        <w:adjustRightInd w:val="0"/>
        <w:snapToGrid w:val="0"/>
        <w:spacing w:line="360" w:lineRule="auto"/>
        <w:ind w:firstLine="566"/>
        <w:jc w:val="both"/>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bCs/>
          <w:color w:val="000000" w:themeColor="text1"/>
          <w14:textFill>
            <w14:solidFill>
              <w14:schemeClr w14:val="tx1"/>
            </w14:solidFill>
          </w14:textFill>
        </w:rPr>
        <w:t>输送</w:t>
      </w:r>
      <w:r>
        <w:rPr>
          <w:rFonts w:hint="eastAsia" w:cs="Times New Roman"/>
          <w:bCs/>
          <w:color w:val="000000" w:themeColor="text1"/>
          <w:lang w:eastAsia="zh-CN"/>
          <w14:textFill>
            <w14:solidFill>
              <w14:schemeClr w14:val="tx1"/>
            </w14:solidFill>
          </w14:textFill>
        </w:rPr>
        <w:t>堵</w:t>
      </w:r>
      <w:r>
        <w:rPr>
          <w:rFonts w:hint="default" w:ascii="Times New Roman" w:hAnsi="Times New Roman" w:cs="Times New Roman"/>
          <w:bCs/>
          <w:color w:val="000000" w:themeColor="text1"/>
          <w14:textFill>
            <w14:solidFill>
              <w14:schemeClr w14:val="tx1"/>
            </w14:solidFill>
          </w14:textFill>
        </w:rPr>
        <w:t>等介质的高压管道、弯头，若因材料缺陷、冲蚀变薄等原因致使管道、弯头承压能力下降，可发生高压管汇爆裂事故。</w:t>
      </w:r>
    </w:p>
    <w:p>
      <w:pPr>
        <w:pStyle w:val="2"/>
        <w:spacing w:line="360" w:lineRule="auto"/>
        <w:ind w:firstLine="56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3.机泵类</w:t>
      </w:r>
    </w:p>
    <w:p>
      <w:pPr>
        <w:adjustRightInd w:val="0"/>
        <w:snapToGrid w:val="0"/>
        <w:spacing w:line="360" w:lineRule="auto"/>
        <w:ind w:firstLine="560" w:firstLineChars="20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本项目涉及的机泵类等机械运转设备，若其外露的运转部件无防护罩或防护罩缺损，维修、检查时违章操作，未断电或监护不力导致设备意外启动等，人触及运转部件有可能造成绞手、卷入等机械伤害事故；或正常运转过程中，人员未按规定将长发束起或未按规定穿戴工作服装等，触及运转部件有可能造成卷入等机械伤害事故。</w:t>
      </w:r>
    </w:p>
    <w:p>
      <w:pPr>
        <w:adjustRightInd w:val="0"/>
        <w:snapToGrid w:val="0"/>
        <w:spacing w:line="360" w:lineRule="auto"/>
        <w:ind w:firstLine="560" w:firstLineChars="20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机泵类是现场施工的主要噪声源，对操作人员存在噪声危害。噪声危害主要是引起听觉功能敏感度下降，甚至耳聋，或引起神经衰弱、心血管病及消化系统等疾病的高发。另外，噪声干扰信息交流，使操作人员误操作发生率上升，影响安全生产。泵类运转时是噪声源，人员长期在此环境内工作，存在噪声的危害。</w:t>
      </w:r>
    </w:p>
    <w:p>
      <w:pPr>
        <w:pStyle w:val="2"/>
        <w:spacing w:line="360" w:lineRule="auto"/>
        <w:ind w:firstLine="56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4.电气设备</w:t>
      </w:r>
    </w:p>
    <w:p>
      <w:pPr>
        <w:pStyle w:val="2"/>
        <w:spacing w:line="360" w:lineRule="auto"/>
        <w:ind w:firstLine="56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电气设备若无接地保护或接地不良、绝缘破坏漏电，以及输配电线路绝缘破坏漏电，电气作业监护不力或违章操作等，人体触及带电体，有发生触电的危险。</w:t>
      </w:r>
    </w:p>
    <w:p>
      <w:pPr>
        <w:pStyle w:val="2"/>
        <w:spacing w:line="360" w:lineRule="auto"/>
        <w:ind w:firstLine="56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电动机过负荷运行，电动机接线处各接线点接触不良或松动时，电动机的引线不牢，熔断器过大及其配电装置不符等；均有可能引起电器火灾或触电事故。</w:t>
      </w:r>
    </w:p>
    <w:p>
      <w:pPr>
        <w:pStyle w:val="2"/>
        <w:spacing w:line="360" w:lineRule="auto"/>
        <w:ind w:firstLine="56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在爆炸危险区域内，电气设备选型不当，防爆等级不够，可引起火灾、爆炸事故发生。</w:t>
      </w:r>
    </w:p>
    <w:p>
      <w:pPr>
        <w:pStyle w:val="4"/>
        <w:adjustRightInd w:val="0"/>
        <w:snapToGrid w:val="0"/>
        <w:spacing w:before="0" w:after="0" w:line="360" w:lineRule="auto"/>
        <w:rPr>
          <w:rFonts w:ascii="Times New Roman" w:hAnsi="Times New Roman"/>
          <w:b w:val="0"/>
          <w:bCs/>
          <w:color w:val="auto"/>
          <w:szCs w:val="32"/>
        </w:rPr>
      </w:pPr>
      <w:bookmarkStart w:id="63" w:name="_Toc216105912"/>
      <w:bookmarkStart w:id="64" w:name="_Toc12418"/>
      <w:bookmarkStart w:id="65" w:name="_Toc281310741"/>
      <w:bookmarkStart w:id="66" w:name="_Toc447782517"/>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4</w:t>
      </w:r>
      <w:r>
        <w:rPr>
          <w:rFonts w:hint="eastAsia" w:ascii="Times New Roman" w:hAnsi="Times New Roman"/>
          <w:b w:val="0"/>
          <w:bCs/>
          <w:color w:val="auto"/>
          <w:szCs w:val="32"/>
        </w:rPr>
        <w:t xml:space="preserve"> 主要危险因素分析</w:t>
      </w:r>
      <w:bookmarkEnd w:id="63"/>
      <w:bookmarkEnd w:id="64"/>
      <w:bookmarkEnd w:id="65"/>
      <w:bookmarkEnd w:id="66"/>
    </w:p>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60" w:lineRule="auto"/>
        <w:ind w:firstLine="560" w:firstLineChars="200"/>
        <w:textAlignment w:val="auto"/>
        <w:rPr>
          <w:color w:val="auto"/>
          <w:sz w:val="28"/>
          <w:szCs w:val="28"/>
        </w:rPr>
      </w:pPr>
      <w:r>
        <w:rPr>
          <w:rFonts w:hint="eastAsia"/>
          <w:color w:val="auto"/>
          <w:sz w:val="28"/>
          <w:szCs w:val="28"/>
        </w:rPr>
        <w:t>井下作业受井下状况影响非常大</w:t>
      </w:r>
      <w:r>
        <w:rPr>
          <w:rFonts w:hint="eastAsia"/>
          <w:color w:val="auto"/>
          <w:sz w:val="28"/>
          <w:szCs w:val="28"/>
          <w:lang w:eastAsia="zh-CN"/>
        </w:rPr>
        <w:t>，</w:t>
      </w:r>
      <w:r>
        <w:rPr>
          <w:rFonts w:hint="eastAsia"/>
          <w:color w:val="auto"/>
          <w:sz w:val="28"/>
          <w:szCs w:val="28"/>
        </w:rPr>
        <w:t>并且涉及野外临时用电，有时可能突发井喷等事故，是多种风险性并存的作业。根据</w:t>
      </w:r>
      <w:r>
        <w:rPr>
          <w:rFonts w:hint="eastAsia"/>
          <w:color w:val="auto"/>
          <w:sz w:val="28"/>
          <w:szCs w:val="28"/>
          <w:lang w:eastAsia="zh-CN"/>
        </w:rPr>
        <w:t>海塔石油科技有限公司</w:t>
      </w:r>
      <w:r>
        <w:rPr>
          <w:rFonts w:hint="eastAsia"/>
          <w:color w:val="auto"/>
          <w:sz w:val="28"/>
          <w:szCs w:val="28"/>
        </w:rPr>
        <w:t>井下作业的特点，主要危险、有害因素有：火灾爆炸、井喷及井喷失控、中毒</w:t>
      </w:r>
      <w:r>
        <w:rPr>
          <w:rFonts w:hint="eastAsia"/>
          <w:color w:val="auto"/>
          <w:sz w:val="28"/>
          <w:szCs w:val="28"/>
          <w:lang w:val="en-US" w:eastAsia="zh-CN"/>
        </w:rPr>
        <w:t>和</w:t>
      </w:r>
      <w:r>
        <w:rPr>
          <w:rFonts w:hint="eastAsia"/>
          <w:color w:val="auto"/>
          <w:sz w:val="28"/>
          <w:szCs w:val="28"/>
        </w:rPr>
        <w:t>窒息、物体打击、机械伤害、触电、</w:t>
      </w:r>
      <w:r>
        <w:rPr>
          <w:rFonts w:hint="eastAsia"/>
          <w:color w:val="auto"/>
          <w:sz w:val="28"/>
          <w:szCs w:val="28"/>
          <w:lang w:val="en-US" w:eastAsia="zh-CN"/>
        </w:rPr>
        <w:t>高处坠落、坍塌、起重伤害、</w:t>
      </w:r>
      <w:r>
        <w:rPr>
          <w:rFonts w:hint="eastAsia"/>
          <w:color w:val="auto"/>
          <w:sz w:val="28"/>
          <w:szCs w:val="28"/>
        </w:rPr>
        <w:t>车辆伤害等。</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.1 火灾爆炸</w:t>
      </w:r>
    </w:p>
    <w:p>
      <w:pPr>
        <w:adjustRightInd w:val="0"/>
        <w:snapToGrid w:val="0"/>
        <w:spacing w:line="360" w:lineRule="auto"/>
        <w:ind w:firstLine="560" w:firstLineChars="200"/>
        <w:rPr>
          <w:sz w:val="28"/>
          <w:szCs w:val="28"/>
        </w:rPr>
      </w:pPr>
      <w:r>
        <w:rPr>
          <w:rFonts w:hint="eastAsia"/>
          <w:sz w:val="28"/>
          <w:szCs w:val="28"/>
        </w:rPr>
        <w:t>石油</w:t>
      </w:r>
      <w:r>
        <w:rPr>
          <w:rFonts w:hint="eastAsia"/>
          <w:sz w:val="28"/>
          <w:szCs w:val="28"/>
          <w:lang w:eastAsia="zh-CN"/>
        </w:rPr>
        <w:t>、</w:t>
      </w:r>
      <w:r>
        <w:rPr>
          <w:rFonts w:hint="eastAsia"/>
          <w:sz w:val="28"/>
          <w:szCs w:val="28"/>
          <w:lang w:val="en-US" w:eastAsia="zh-CN"/>
        </w:rPr>
        <w:t>天然气等</w:t>
      </w:r>
      <w:r>
        <w:rPr>
          <w:rFonts w:hint="eastAsia"/>
          <w:sz w:val="28"/>
          <w:szCs w:val="28"/>
        </w:rPr>
        <w:t>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pPr>
        <w:adjustRightInd w:val="0"/>
        <w:snapToGrid w:val="0"/>
        <w:spacing w:line="360" w:lineRule="auto"/>
        <w:ind w:firstLine="560" w:firstLineChars="200"/>
        <w:rPr>
          <w:sz w:val="28"/>
          <w:szCs w:val="28"/>
        </w:rPr>
      </w:pPr>
      <w:r>
        <w:rPr>
          <w:rFonts w:hint="eastAsia"/>
          <w:sz w:val="28"/>
          <w:szCs w:val="28"/>
        </w:rPr>
        <w:t>1.在作业过程中发生井喷及由于设备本身存在缺陷或违章操作等导致油气泄露、聚集，遇点火源可能</w:t>
      </w:r>
      <w:r>
        <w:rPr>
          <w:sz w:val="28"/>
          <w:szCs w:val="28"/>
        </w:rPr>
        <w:t>引起</w:t>
      </w:r>
      <w:r>
        <w:rPr>
          <w:rFonts w:hint="eastAsia"/>
          <w:sz w:val="28"/>
          <w:szCs w:val="28"/>
        </w:rPr>
        <w:t>火灾、爆炸；</w:t>
      </w:r>
    </w:p>
    <w:p>
      <w:pPr>
        <w:adjustRightInd w:val="0"/>
        <w:snapToGrid w:val="0"/>
        <w:spacing w:line="360" w:lineRule="auto"/>
        <w:ind w:firstLine="560" w:firstLineChars="200"/>
        <w:rPr>
          <w:sz w:val="28"/>
          <w:szCs w:val="28"/>
        </w:rPr>
      </w:pPr>
      <w:r>
        <w:rPr>
          <w:rFonts w:hint="eastAsia"/>
          <w:sz w:val="28"/>
          <w:szCs w:val="28"/>
        </w:rPr>
        <w:t>2.仪器短路、过载、接触不良、散热不良，照明器具安置或使用不当等，易发生电气火灾；</w:t>
      </w:r>
    </w:p>
    <w:p>
      <w:pPr>
        <w:adjustRightInd w:val="0"/>
        <w:snapToGrid w:val="0"/>
        <w:spacing w:line="360" w:lineRule="auto"/>
        <w:ind w:firstLine="560" w:firstLineChars="200"/>
        <w:rPr>
          <w:sz w:val="28"/>
          <w:szCs w:val="28"/>
        </w:rPr>
      </w:pPr>
      <w:r>
        <w:rPr>
          <w:rFonts w:hint="eastAsia"/>
          <w:sz w:val="28"/>
          <w:szCs w:val="28"/>
        </w:rPr>
        <w:t>3.用火作业完工后对残余火源未进行彻底处理遇可燃物可能引起火灾。</w:t>
      </w:r>
    </w:p>
    <w:p>
      <w:pPr>
        <w:adjustRightInd w:val="0"/>
        <w:snapToGrid w:val="0"/>
        <w:spacing w:line="360" w:lineRule="auto"/>
        <w:ind w:firstLine="560" w:firstLineChars="200"/>
        <w:rPr>
          <w:sz w:val="28"/>
          <w:szCs w:val="28"/>
        </w:rPr>
      </w:pPr>
      <w:r>
        <w:rPr>
          <w:rFonts w:hint="eastAsia"/>
          <w:sz w:val="28"/>
          <w:szCs w:val="28"/>
        </w:rPr>
        <w:t>其中作业施工中易燃、易爆介质的来源主要有以下几方面：</w:t>
      </w:r>
    </w:p>
    <w:p>
      <w:pPr>
        <w:adjustRightInd w:val="0"/>
        <w:snapToGrid w:val="0"/>
        <w:spacing w:line="360" w:lineRule="auto"/>
        <w:ind w:firstLine="560" w:firstLineChars="200"/>
        <w:rPr>
          <w:sz w:val="28"/>
          <w:szCs w:val="28"/>
        </w:rPr>
      </w:pPr>
      <w:r>
        <w:rPr>
          <w:rFonts w:hint="eastAsia"/>
          <w:sz w:val="28"/>
          <w:szCs w:val="28"/>
        </w:rPr>
        <w:t>1.地层中碳氢化合物的溢出；</w:t>
      </w:r>
    </w:p>
    <w:p>
      <w:pPr>
        <w:adjustRightInd w:val="0"/>
        <w:snapToGrid w:val="0"/>
        <w:spacing w:line="360" w:lineRule="auto"/>
        <w:ind w:firstLine="560" w:firstLineChars="200"/>
        <w:rPr>
          <w:sz w:val="28"/>
          <w:szCs w:val="28"/>
        </w:rPr>
      </w:pPr>
      <w:r>
        <w:rPr>
          <w:rFonts w:hint="eastAsia"/>
          <w:sz w:val="28"/>
          <w:szCs w:val="28"/>
        </w:rPr>
        <w:t>2.井场使用的各类油料及石油助剂，如柴油、机油等易燃、易爆品；</w:t>
      </w:r>
    </w:p>
    <w:p>
      <w:pPr>
        <w:adjustRightInd w:val="0"/>
        <w:snapToGrid w:val="0"/>
        <w:spacing w:line="360" w:lineRule="auto"/>
        <w:ind w:firstLine="560" w:firstLineChars="200"/>
        <w:rPr>
          <w:sz w:val="28"/>
          <w:szCs w:val="28"/>
        </w:rPr>
      </w:pPr>
      <w:r>
        <w:rPr>
          <w:rFonts w:hint="eastAsia"/>
          <w:sz w:val="28"/>
          <w:szCs w:val="28"/>
        </w:rPr>
        <w:t>3.设备更换的废机油、清洗用废油等；</w:t>
      </w:r>
    </w:p>
    <w:p>
      <w:pPr>
        <w:adjustRightInd w:val="0"/>
        <w:snapToGrid w:val="0"/>
        <w:spacing w:line="360" w:lineRule="auto"/>
        <w:ind w:firstLine="560" w:firstLineChars="200"/>
        <w:rPr>
          <w:sz w:val="28"/>
          <w:szCs w:val="28"/>
        </w:rPr>
      </w:pPr>
      <w:r>
        <w:rPr>
          <w:rFonts w:hint="eastAsia"/>
          <w:sz w:val="28"/>
          <w:szCs w:val="28"/>
        </w:rPr>
        <w:t>4.作业施工时，落地原油，原油中溶解气、天然气的排放；发生“井喷”事故时，井场布满的石油；</w:t>
      </w:r>
    </w:p>
    <w:p>
      <w:pPr>
        <w:adjustRightInd w:val="0"/>
        <w:snapToGrid w:val="0"/>
        <w:spacing w:line="360" w:lineRule="auto"/>
        <w:ind w:firstLine="560" w:firstLineChars="200"/>
        <w:rPr>
          <w:sz w:val="28"/>
          <w:szCs w:val="28"/>
        </w:rPr>
      </w:pPr>
      <w:r>
        <w:rPr>
          <w:rFonts w:hint="eastAsia"/>
          <w:sz w:val="28"/>
          <w:szCs w:val="28"/>
        </w:rPr>
        <w:t>5.井场周围的干燥植物，如庄稼、荒草等；</w:t>
      </w:r>
    </w:p>
    <w:p>
      <w:pPr>
        <w:adjustRightInd w:val="0"/>
        <w:snapToGrid w:val="0"/>
        <w:spacing w:line="360" w:lineRule="auto"/>
        <w:ind w:firstLine="560" w:firstLineChars="200"/>
        <w:rPr>
          <w:sz w:val="28"/>
          <w:szCs w:val="28"/>
        </w:rPr>
      </w:pPr>
      <w:r>
        <w:rPr>
          <w:rFonts w:hint="eastAsia"/>
          <w:sz w:val="28"/>
          <w:szCs w:val="28"/>
        </w:rPr>
        <w:t>6.施工营房内的可燃物，如棉被、衣物、塑料及其他可燃纤维材料；</w:t>
      </w:r>
    </w:p>
    <w:p>
      <w:pPr>
        <w:adjustRightInd w:val="0"/>
        <w:snapToGrid w:val="0"/>
        <w:spacing w:line="360" w:lineRule="auto"/>
        <w:ind w:firstLine="560" w:firstLineChars="200"/>
        <w:rPr>
          <w:sz w:val="28"/>
          <w:szCs w:val="28"/>
        </w:rPr>
      </w:pPr>
      <w:r>
        <w:rPr>
          <w:rFonts w:hint="eastAsia"/>
          <w:sz w:val="28"/>
          <w:szCs w:val="28"/>
        </w:rPr>
        <w:t>7.施工过程中的储存和使用的各类易燃、易爆化学助剂等；</w:t>
      </w:r>
    </w:p>
    <w:p>
      <w:pPr>
        <w:adjustRightInd w:val="0"/>
        <w:snapToGrid w:val="0"/>
        <w:spacing w:line="360" w:lineRule="auto"/>
        <w:ind w:firstLine="560" w:firstLineChars="200"/>
        <w:rPr>
          <w:sz w:val="28"/>
          <w:szCs w:val="28"/>
        </w:rPr>
      </w:pPr>
      <w:r>
        <w:rPr>
          <w:rFonts w:hint="eastAsia"/>
          <w:sz w:val="28"/>
          <w:szCs w:val="28"/>
        </w:rPr>
        <w:t>8.工艺设备、装置、管线内残留的易燃、易爆介质；</w:t>
      </w:r>
    </w:p>
    <w:p>
      <w:pPr>
        <w:adjustRightInd w:val="0"/>
        <w:snapToGrid w:val="0"/>
        <w:spacing w:line="360" w:lineRule="auto"/>
        <w:ind w:firstLine="560" w:firstLineChars="200"/>
        <w:rPr>
          <w:sz w:val="28"/>
          <w:szCs w:val="28"/>
        </w:rPr>
      </w:pPr>
      <w:r>
        <w:rPr>
          <w:rFonts w:hint="eastAsia"/>
          <w:sz w:val="28"/>
          <w:szCs w:val="28"/>
        </w:rPr>
        <w:t>9.其他易燃、易爆介质。</w:t>
      </w:r>
    </w:p>
    <w:p>
      <w:pPr>
        <w:adjustRightInd w:val="0"/>
        <w:snapToGrid w:val="0"/>
        <w:spacing w:line="360" w:lineRule="auto"/>
        <w:ind w:firstLine="560" w:firstLineChars="200"/>
        <w:rPr>
          <w:sz w:val="28"/>
          <w:szCs w:val="28"/>
        </w:rPr>
      </w:pPr>
      <w:r>
        <w:rPr>
          <w:rFonts w:hint="eastAsia"/>
          <w:sz w:val="28"/>
          <w:szCs w:val="28"/>
        </w:rPr>
        <w:t>可能引发火灾爆炸的另一类危险因素是点火源。在作业施工现场可能出现的点火源主要有：吸烟明火、施工机械和施工车辆的排气管火花、电焊火花或其他燃烧设备的燃烧火焰、电气火花或电气运行高温、静电打火、机械火花、雷电以及在井场周围进行烧荒等明火。</w:t>
      </w:r>
    </w:p>
    <w:p>
      <w:pPr>
        <w:adjustRightInd w:val="0"/>
        <w:snapToGrid w:val="0"/>
        <w:spacing w:line="360" w:lineRule="auto"/>
        <w:ind w:firstLine="560" w:firstLineChars="200"/>
        <w:rPr>
          <w:sz w:val="28"/>
          <w:szCs w:val="28"/>
        </w:rPr>
      </w:pPr>
      <w:r>
        <w:rPr>
          <w:rFonts w:hint="eastAsia"/>
          <w:sz w:val="28"/>
          <w:szCs w:val="28"/>
        </w:rPr>
        <w:t>作业现场若消防设施摆放位置不规范、使用不当或保管不善，一旦发生火险，来不及扑灭，就会使火灾蔓延。</w:t>
      </w:r>
      <w:r>
        <w:rPr>
          <w:rFonts w:hint="eastAsia"/>
          <w:sz w:val="28"/>
          <w:szCs w:val="28"/>
          <w:lang w:eastAsia="zh-CN"/>
        </w:rPr>
        <w:t>施工队伍</w:t>
      </w:r>
      <w:r>
        <w:rPr>
          <w:rFonts w:hint="eastAsia"/>
          <w:sz w:val="28"/>
          <w:szCs w:val="28"/>
        </w:rPr>
        <w:t>的工作性质是作业地点经常变动，频繁的搬迁作业对消防器材的完好性带来很大程度的影响。若不及时检查和更换，一旦发生火灾，就很难及时扑救，后果严重。</w:t>
      </w:r>
    </w:p>
    <w:p>
      <w:pPr>
        <w:adjustRightInd w:val="0"/>
        <w:snapToGrid w:val="0"/>
        <w:spacing w:line="360" w:lineRule="auto"/>
        <w:ind w:firstLine="560" w:firstLineChars="200"/>
        <w:rPr>
          <w:sz w:val="28"/>
          <w:szCs w:val="28"/>
        </w:rPr>
      </w:pPr>
      <w:r>
        <w:rPr>
          <w:rFonts w:hint="eastAsia"/>
          <w:sz w:val="28"/>
          <w:szCs w:val="28"/>
        </w:rPr>
        <w:t>另外，部分职工消防意识淡薄，也是发生火灾的原因之一。作业人员未进行安全防火知识教育培训上岗，未执行安全生产管理制度，违章作业，也可能导致火灾爆炸事故的发生。</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.2 井喷及井喷失控</w:t>
      </w:r>
    </w:p>
    <w:p>
      <w:pPr>
        <w:adjustRightInd w:val="0"/>
        <w:snapToGrid w:val="0"/>
        <w:spacing w:line="360" w:lineRule="auto"/>
        <w:ind w:firstLine="560" w:firstLineChars="200"/>
        <w:rPr>
          <w:color w:val="auto"/>
          <w:sz w:val="28"/>
          <w:szCs w:val="28"/>
        </w:rPr>
      </w:pPr>
      <w:r>
        <w:rPr>
          <w:rFonts w:hint="eastAsia"/>
          <w:color w:val="auto"/>
          <w:sz w:val="28"/>
          <w:szCs w:val="28"/>
        </w:rPr>
        <w:t>井喷是指当井底压力远小于地层压力时，井内流体大量喷出，在地面形成较大喷势的现象称之为井喷。</w:t>
      </w:r>
    </w:p>
    <w:p>
      <w:pPr>
        <w:adjustRightInd w:val="0"/>
        <w:snapToGrid w:val="0"/>
        <w:spacing w:line="360" w:lineRule="auto"/>
        <w:ind w:firstLine="560" w:firstLineChars="200"/>
        <w:rPr>
          <w:color w:val="auto"/>
          <w:sz w:val="28"/>
          <w:szCs w:val="28"/>
        </w:rPr>
      </w:pPr>
      <w:r>
        <w:rPr>
          <w:rFonts w:hint="eastAsia"/>
          <w:color w:val="auto"/>
          <w:sz w:val="28"/>
          <w:szCs w:val="28"/>
        </w:rPr>
        <w:t>井喷失控是指井喷发生后，无法用常规方法控制井口而出现井口敞喷的现象称之为井喷失控。</w:t>
      </w:r>
    </w:p>
    <w:p>
      <w:pPr>
        <w:adjustRightInd w:val="0"/>
        <w:snapToGrid w:val="0"/>
        <w:spacing w:line="360" w:lineRule="auto"/>
        <w:ind w:firstLine="560" w:firstLineChars="200"/>
        <w:rPr>
          <w:color w:val="auto"/>
          <w:sz w:val="28"/>
          <w:szCs w:val="28"/>
        </w:rPr>
      </w:pPr>
      <w:r>
        <w:rPr>
          <w:rFonts w:hint="eastAsia"/>
          <w:color w:val="auto"/>
          <w:sz w:val="28"/>
          <w:szCs w:val="28"/>
        </w:rPr>
        <w:t>作业过程中，井喷失控泛指井喷后井口装置和井控管汇失去了对油气井的有效控制，甚至着火。油井失控和气井失控各有其特点和复杂性，气井或含气油井处理更为困难。由于天然气具有密度小、可压缩、膨胀、易溶性，在钻井液中易滑脱上升，易爆炸燃烧，难以封闭等物理化学特性，因而稍有疏忽，气井和含气油井比油井更易井喷和失控着火。其危害性可概括以下</w:t>
      </w:r>
      <w:r>
        <w:rPr>
          <w:rFonts w:hint="eastAsia"/>
          <w:color w:val="auto"/>
          <w:sz w:val="28"/>
          <w:szCs w:val="28"/>
          <w:lang w:val="en-US" w:eastAsia="zh-CN"/>
        </w:rPr>
        <w:t>几</w:t>
      </w:r>
      <w:r>
        <w:rPr>
          <w:rFonts w:hint="eastAsia"/>
          <w:color w:val="auto"/>
          <w:sz w:val="28"/>
          <w:szCs w:val="28"/>
        </w:rPr>
        <w:t>个方面：</w:t>
      </w:r>
    </w:p>
    <w:p>
      <w:pPr>
        <w:adjustRightInd w:val="0"/>
        <w:snapToGrid w:val="0"/>
        <w:spacing w:line="360" w:lineRule="auto"/>
        <w:ind w:firstLine="560" w:firstLineChars="200"/>
        <w:rPr>
          <w:color w:val="auto"/>
          <w:sz w:val="28"/>
          <w:szCs w:val="28"/>
        </w:rPr>
      </w:pPr>
      <w:r>
        <w:rPr>
          <w:rFonts w:hint="eastAsia"/>
          <w:color w:val="auto"/>
          <w:sz w:val="28"/>
          <w:szCs w:val="28"/>
        </w:rPr>
        <w:t>1.打乱全局的正常工作程序，影响全局生产；</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2</w:t>
      </w:r>
      <w:r>
        <w:rPr>
          <w:rFonts w:hint="eastAsia"/>
          <w:color w:val="auto"/>
          <w:sz w:val="28"/>
          <w:szCs w:val="28"/>
        </w:rPr>
        <w:t>.极易引起火灾（如井场、苇地及森林）；</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3</w:t>
      </w:r>
      <w:r>
        <w:rPr>
          <w:rFonts w:hint="eastAsia"/>
          <w:color w:val="auto"/>
          <w:sz w:val="28"/>
          <w:szCs w:val="28"/>
        </w:rPr>
        <w:t>.影响井场周围居民的正常生活，甚至生命安全；</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4</w:t>
      </w:r>
      <w:r>
        <w:rPr>
          <w:rFonts w:hint="eastAsia"/>
          <w:color w:val="auto"/>
          <w:sz w:val="28"/>
          <w:szCs w:val="28"/>
        </w:rPr>
        <w:t>.污染环境，影响农田、水里和渔牧业生产以及交通、通讯的正常运行等；</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5</w:t>
      </w:r>
      <w:r>
        <w:rPr>
          <w:rFonts w:hint="eastAsia"/>
          <w:color w:val="auto"/>
          <w:sz w:val="28"/>
          <w:szCs w:val="28"/>
        </w:rPr>
        <w:t>.伤害油气层，毁坏地下油气资源；</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6</w:t>
      </w:r>
      <w:r>
        <w:rPr>
          <w:rFonts w:hint="eastAsia"/>
          <w:color w:val="auto"/>
          <w:sz w:val="28"/>
          <w:szCs w:val="28"/>
        </w:rPr>
        <w:t>.造成人力及物力上的巨大损失，严重时造成机毁人亡和油气井报废。</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3</w:t>
      </w:r>
      <w:r>
        <w:rPr>
          <w:rFonts w:hint="eastAsia" w:eastAsia="黑体"/>
          <w:bCs/>
          <w:snapToGrid w:val="0"/>
          <w:color w:val="auto"/>
          <w:kern w:val="0"/>
          <w:sz w:val="28"/>
          <w:szCs w:val="28"/>
        </w:rPr>
        <w:t xml:space="preserve"> 中毒</w:t>
      </w:r>
      <w:r>
        <w:rPr>
          <w:rFonts w:hint="eastAsia" w:eastAsia="黑体"/>
          <w:bCs/>
          <w:snapToGrid w:val="0"/>
          <w:color w:val="auto"/>
          <w:kern w:val="0"/>
          <w:sz w:val="28"/>
          <w:szCs w:val="28"/>
          <w:lang w:val="en-US" w:eastAsia="zh-CN"/>
        </w:rPr>
        <w:t>和</w:t>
      </w:r>
      <w:r>
        <w:rPr>
          <w:rFonts w:hint="eastAsia" w:eastAsia="黑体"/>
          <w:bCs/>
          <w:snapToGrid w:val="0"/>
          <w:color w:val="auto"/>
          <w:kern w:val="0"/>
          <w:sz w:val="28"/>
          <w:szCs w:val="28"/>
        </w:rPr>
        <w:t>窒息</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lang w:val="en-US"/>
        </w:rPr>
      </w:pPr>
      <w:r>
        <w:rPr>
          <w:bCs/>
          <w:color w:val="auto"/>
          <w:sz w:val="28"/>
        </w:rPr>
        <w:t>由于设备、管线腐蚀、损坏漏气或者井场周围地面大面积冒气，天然气在大气中达到一定浓度，会造成人员中毒。</w:t>
      </w:r>
      <w:r>
        <w:rPr>
          <w:rFonts w:hint="eastAsia"/>
          <w:bCs/>
          <w:color w:val="auto"/>
          <w:sz w:val="28"/>
        </w:rPr>
        <w:t>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pPr>
        <w:adjustRightInd w:val="0"/>
        <w:snapToGrid w:val="0"/>
        <w:spacing w:line="360" w:lineRule="auto"/>
        <w:ind w:firstLine="560" w:firstLineChars="200"/>
        <w:rPr>
          <w:color w:val="auto"/>
          <w:sz w:val="28"/>
          <w:szCs w:val="28"/>
        </w:rPr>
      </w:pPr>
      <w:r>
        <w:rPr>
          <w:rFonts w:hint="eastAsia"/>
          <w:bCs/>
          <w:color w:val="auto"/>
          <w:sz w:val="28"/>
        </w:rPr>
        <w:t>含硫气体对人体具有一定的毒性，当油气井内含有大量的硫化氢气体时，作业人员在此类油气井进行</w:t>
      </w:r>
      <w:r>
        <w:rPr>
          <w:rFonts w:hint="eastAsia"/>
          <w:color w:val="auto"/>
          <w:sz w:val="28"/>
          <w:szCs w:val="28"/>
        </w:rPr>
        <w:t>井下作业</w:t>
      </w:r>
      <w:r>
        <w:rPr>
          <w:rFonts w:hint="eastAsia"/>
          <w:bCs/>
          <w:color w:val="auto"/>
          <w:sz w:val="28"/>
        </w:rPr>
        <w:t>时，如果因井下情况不明或其他意外原因发生大量硫化氢气体泄漏，作业人员没有可靠的防护措施，可能导致作业人员中毒。</w:t>
      </w:r>
    </w:p>
    <w:p>
      <w:pPr>
        <w:adjustRightInd w:val="0"/>
        <w:snapToGrid w:val="0"/>
        <w:spacing w:line="360" w:lineRule="auto"/>
        <w:ind w:firstLine="560" w:firstLineChars="200"/>
        <w:rPr>
          <w:color w:val="auto"/>
          <w:sz w:val="28"/>
          <w:szCs w:val="28"/>
        </w:rPr>
      </w:pPr>
      <w:r>
        <w:rPr>
          <w:rFonts w:hint="eastAsia"/>
          <w:color w:val="auto"/>
          <w:sz w:val="28"/>
          <w:szCs w:val="28"/>
        </w:rPr>
        <w:t>不同浓度的硫化氢对人体的危害见下表3-</w:t>
      </w:r>
      <w:r>
        <w:rPr>
          <w:rFonts w:hint="eastAsia"/>
          <w:color w:val="auto"/>
          <w:sz w:val="28"/>
          <w:szCs w:val="28"/>
          <w:lang w:val="en-US" w:eastAsia="zh-CN"/>
        </w:rPr>
        <w:t>7</w:t>
      </w:r>
      <w:r>
        <w:rPr>
          <w:rFonts w:hint="eastAsia"/>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sz w:val="24"/>
        </w:rPr>
      </w:pPr>
      <w:r>
        <w:rPr>
          <w:rFonts w:hint="eastAsia"/>
          <w:b/>
          <w:bCs/>
          <w:color w:val="auto"/>
          <w:sz w:val="24"/>
          <w:szCs w:val="24"/>
        </w:rPr>
        <w:t>表3-</w:t>
      </w:r>
      <w:r>
        <w:rPr>
          <w:rFonts w:hint="eastAsia"/>
          <w:b/>
          <w:bCs/>
          <w:color w:val="auto"/>
          <w:sz w:val="24"/>
          <w:szCs w:val="24"/>
          <w:lang w:val="en-US" w:eastAsia="zh-CN"/>
        </w:rPr>
        <w:t>7</w:t>
      </w:r>
      <w:r>
        <w:rPr>
          <w:rFonts w:hint="eastAsia"/>
          <w:b/>
          <w:bCs/>
          <w:color w:val="auto"/>
          <w:sz w:val="24"/>
          <w:szCs w:val="24"/>
        </w:rPr>
        <w:t xml:space="preserve"> 硫化氢对人体的危害</w:t>
      </w:r>
    </w:p>
    <w:tbl>
      <w:tblPr>
        <w:tblStyle w:val="285"/>
        <w:tblW w:w="5034"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411"/>
        <w:gridCol w:w="1419"/>
        <w:gridCol w:w="1211"/>
        <w:gridCol w:w="435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64" w:hRule="atLeast"/>
          <w:tblHeader/>
        </w:trPr>
        <w:tc>
          <w:tcPr>
            <w:tcW w:w="2407" w:type="pct"/>
            <w:gridSpan w:val="3"/>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在空气中的浓度</w:t>
            </w:r>
          </w:p>
        </w:tc>
        <w:tc>
          <w:tcPr>
            <w:tcW w:w="2592" w:type="pct"/>
            <w:vMerge w:val="restar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暴露于硫化氢的典型特性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49" w:hRule="atLeast"/>
          <w:tblHeader/>
        </w:trPr>
        <w:tc>
          <w:tcPr>
            <w:tcW w:w="841"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%(体积分数)</w:t>
            </w:r>
          </w:p>
        </w:tc>
        <w:tc>
          <w:tcPr>
            <w:tcW w:w="845"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ppm</w:t>
            </w:r>
          </w:p>
        </w:tc>
        <w:tc>
          <w:tcPr>
            <w:tcW w:w="720"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mg/m³</w:t>
            </w:r>
          </w:p>
        </w:tc>
        <w:tc>
          <w:tcPr>
            <w:tcW w:w="2592" w:type="pct"/>
            <w:vMerge w:val="continue"/>
            <w:tcBorders>
              <w:tl2br w:val="nil"/>
              <w:tr2bl w:val="nil"/>
            </w:tcBorders>
            <w:vAlign w:val="center"/>
          </w:tcPr>
          <w:p>
            <w:pPr>
              <w:bidi w:val="0"/>
              <w:jc w:val="left"/>
              <w:rPr>
                <w:rFonts w:hint="default" w:ascii="Times New Roman" w:hAnsi="Times New Roman" w:eastAsia="宋体" w:cs="Times New Roman"/>
                <w:b/>
                <w:bCs/>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0.000013</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0.13</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0.18</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通常，在大气中含量为0.195mg/m³(0.13ppm)时，有明显和令人讨厌的气味，在大气中含量为6.9mg/m² (4.6ppm)时就相当明显。随着浓度的增加，嗅觉就会疲劳，气体不再能通过气味来辨别</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0.001</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14.41</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有令人讨厌的气味，眼睛可能受刺激，推荐的阈限值 (8h加权平均值)</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0.0015</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21.61</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推荐的15min短期暴露范围平均值</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0.002</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28.83</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在暴露1h或更长时间后，眼睛有烧灼感，呼吸道受到刺激</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0.005</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72.07</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暴露15min或15min以上的时间后嗅觉就会丧失；时间超过1h,可能导致头痛、头晕和(或)摇晃；超过 75mg/m³(50ppm)将会出现肺浮肿，也会对人员的眼睛产生严重刺激或伤害</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144.14</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3min～5min就会出现咳嗽、眼睛受刺激和失去嗅觉；在5min～20min过后，呼吸就会变样、眼睛就会疼痛并昏昏欲睡；在1h后就会刺激喉道；延长暴露时间将逐渐加重这些症状</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0.03</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300</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432.40</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明显的结膜炎和呼吸道刺激</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720.49</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短期暴露后就会不省人事，不迅速处理就会停止呼吸；头晕、失去理智和平衡感。患者需要迅速进行人工呼吸和(或)心肺复苏技术</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700</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1008.55</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意识快速丧失，不迅速营救，呼吸就会停止并导致死亡。必须立即采取人工呼吸和(或)心肺复苏技术</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0.10+</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1000+</w:t>
            </w:r>
          </w:p>
        </w:tc>
        <w:tc>
          <w:tcPr>
            <w:tcW w:w="72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1440.98+</w:t>
            </w:r>
          </w:p>
        </w:tc>
        <w:tc>
          <w:tcPr>
            <w:tcW w:w="2592"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立即丧失知觉，会产生永久性的脑伤害或脑死亡。必须迅速进行营救，应用人工呼吸和(或)心肺复苏</w:t>
            </w:r>
            <w:r>
              <w:rPr>
                <w:rFonts w:hint="eastAsia" w:cs="Times New Roman"/>
                <w:sz w:val="21"/>
                <w:szCs w:val="21"/>
                <w:lang w:eastAsia="zh-C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auto"/>
          <w:sz w:val="28"/>
          <w:szCs w:val="28"/>
        </w:rPr>
      </w:pPr>
      <w:r>
        <w:rPr>
          <w:rFonts w:hint="eastAsia"/>
          <w:color w:val="auto"/>
          <w:sz w:val="28"/>
          <w:szCs w:val="28"/>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表3-</w:t>
      </w:r>
      <w:r>
        <w:rPr>
          <w:rFonts w:hint="eastAsia"/>
          <w:color w:val="auto"/>
          <w:sz w:val="28"/>
          <w:szCs w:val="28"/>
          <w:lang w:val="en-US" w:eastAsia="zh-CN"/>
        </w:rPr>
        <w:t>8</w:t>
      </w:r>
      <w:r>
        <w:rPr>
          <w:rFonts w:hint="eastAsia"/>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sz w:val="28"/>
          <w:szCs w:val="28"/>
        </w:rPr>
      </w:pPr>
      <w:r>
        <w:rPr>
          <w:rFonts w:hint="eastAsia"/>
          <w:b/>
          <w:bCs/>
          <w:color w:val="auto"/>
          <w:sz w:val="24"/>
          <w:szCs w:val="24"/>
        </w:rPr>
        <w:t>表3-</w:t>
      </w:r>
      <w:r>
        <w:rPr>
          <w:rFonts w:hint="eastAsia"/>
          <w:b/>
          <w:bCs/>
          <w:color w:val="auto"/>
          <w:sz w:val="24"/>
          <w:szCs w:val="24"/>
          <w:lang w:val="en-US" w:eastAsia="zh-CN"/>
        </w:rPr>
        <w:t>8</w:t>
      </w:r>
      <w:r>
        <w:rPr>
          <w:rFonts w:hint="eastAsia"/>
          <w:b/>
          <w:bCs/>
          <w:color w:val="auto"/>
          <w:sz w:val="24"/>
          <w:szCs w:val="24"/>
        </w:rPr>
        <w:t xml:space="preserve"> 二氧化硫对人体的危害</w:t>
      </w:r>
    </w:p>
    <w:tbl>
      <w:tblPr>
        <w:tblStyle w:val="52"/>
        <w:tblW w:w="839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71"/>
        <w:gridCol w:w="61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eastAsia"/>
                <w:b/>
                <w:color w:val="auto"/>
                <w:szCs w:val="21"/>
              </w:rPr>
              <w:t>空气中浓度mg/m</w:t>
            </w:r>
            <w:r>
              <w:rPr>
                <w:rFonts w:hint="eastAsia"/>
                <w:b/>
                <w:color w:val="auto"/>
                <w:szCs w:val="21"/>
                <w:vertAlign w:val="superscript"/>
              </w:rPr>
              <w:t>3</w:t>
            </w:r>
            <w:r>
              <w:rPr>
                <w:rFonts w:hint="eastAsia"/>
                <w:b/>
                <w:color w:val="auto"/>
                <w:szCs w:val="21"/>
              </w:rPr>
              <w:t>（ppm）</w:t>
            </w:r>
          </w:p>
        </w:tc>
        <w:tc>
          <w:tcPr>
            <w:tcW w:w="6126"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eastAsia"/>
                <w:b/>
                <w:color w:val="auto"/>
                <w:szCs w:val="21"/>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2.71（1）</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具有刺激性气味，可能引起呼吸改变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5.42（2）</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美国政府工业卫生专家联合会（ACGIH）推荐的阈限值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13.50（5）</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灼伤眼睛，刺激呼吸，对嗓子有较小的刺激。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32.49（12）</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刺激嗓子咳嗽，胸腔收缩，流眼泪和恶心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271（100）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立即对生命和健康产生危险的浓度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406.35（150）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产生强烈的刺激，只能忍受几分钟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1354.50（500）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即使吸入一口，就会产生窒息感，应立即救治，提供人工呼吸会心肺复苏技术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2708.99（1000）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如不立即救治就会导致死亡，应马上进行人工呼吸或心肺复苏</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 xml:space="preserve"> 物体打击</w:t>
      </w:r>
    </w:p>
    <w:p>
      <w:pPr>
        <w:adjustRightInd w:val="0"/>
        <w:snapToGrid w:val="0"/>
        <w:spacing w:line="360" w:lineRule="auto"/>
        <w:ind w:firstLine="560" w:firstLineChars="200"/>
        <w:rPr>
          <w:color w:val="auto"/>
          <w:sz w:val="28"/>
          <w:szCs w:val="28"/>
        </w:rPr>
      </w:pPr>
      <w:r>
        <w:rPr>
          <w:rFonts w:hint="eastAsia"/>
          <w:color w:val="auto"/>
          <w:sz w:val="28"/>
          <w:szCs w:val="28"/>
        </w:rPr>
        <w:t>物体打击事故是井场作业施工过程中发生频率最高的事故，引起物体打击事故的原因有：</w:t>
      </w:r>
    </w:p>
    <w:p>
      <w:pPr>
        <w:adjustRightInd w:val="0"/>
        <w:snapToGrid w:val="0"/>
        <w:spacing w:line="360" w:lineRule="auto"/>
        <w:ind w:firstLine="560" w:firstLineChars="200"/>
        <w:rPr>
          <w:color w:val="auto"/>
          <w:sz w:val="28"/>
          <w:szCs w:val="28"/>
        </w:rPr>
      </w:pPr>
      <w:r>
        <w:rPr>
          <w:rFonts w:hint="eastAsia"/>
          <w:color w:val="auto"/>
          <w:sz w:val="28"/>
          <w:szCs w:val="28"/>
        </w:rPr>
        <w:t>1.工作场所狭小，缺乏躲避空间或操作人员违反操作规程；</w:t>
      </w:r>
    </w:p>
    <w:p>
      <w:pPr>
        <w:adjustRightInd w:val="0"/>
        <w:snapToGrid w:val="0"/>
        <w:spacing w:line="360" w:lineRule="auto"/>
        <w:ind w:firstLine="560" w:firstLineChars="200"/>
        <w:rPr>
          <w:color w:val="auto"/>
          <w:sz w:val="28"/>
          <w:szCs w:val="28"/>
        </w:rPr>
      </w:pPr>
      <w:r>
        <w:rPr>
          <w:rFonts w:hint="eastAsia"/>
          <w:color w:val="auto"/>
          <w:sz w:val="28"/>
          <w:szCs w:val="28"/>
        </w:rPr>
        <w:t>2.进行管线、井口装置、设备等拆装作业时，用力过猛，致使部件或工具失控；</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3</w:t>
      </w:r>
      <w:r>
        <w:rPr>
          <w:rFonts w:hint="eastAsia"/>
          <w:color w:val="auto"/>
          <w:sz w:val="28"/>
          <w:szCs w:val="28"/>
        </w:rPr>
        <w:t>.高压作业中，由于压力过高、系统试压不合格、压力超过系统承受压力等级，引起管线破裂，流体刺漏、井口抬升等；</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4</w:t>
      </w:r>
      <w:r>
        <w:rPr>
          <w:rFonts w:hint="eastAsia"/>
          <w:color w:val="auto"/>
          <w:sz w:val="28"/>
          <w:szCs w:val="28"/>
        </w:rPr>
        <w:t>.作业时高压管线未可靠固定，在升压过程中发生摆动。</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rPr>
        <w:t xml:space="preserve"> 机械伤害</w:t>
      </w:r>
    </w:p>
    <w:p>
      <w:pPr>
        <w:adjustRightInd w:val="0"/>
        <w:snapToGrid w:val="0"/>
        <w:spacing w:line="360" w:lineRule="auto"/>
        <w:ind w:firstLine="560" w:firstLineChars="200"/>
        <w:rPr>
          <w:color w:val="auto"/>
          <w:sz w:val="28"/>
          <w:szCs w:val="28"/>
        </w:rPr>
      </w:pPr>
      <w:r>
        <w:rPr>
          <w:rFonts w:hint="eastAsia"/>
          <w:color w:val="auto"/>
          <w:sz w:val="28"/>
          <w:szCs w:val="28"/>
        </w:rPr>
        <w:t>作业施工过程中，</w:t>
      </w:r>
      <w:r>
        <w:rPr>
          <w:rFonts w:hint="eastAsia"/>
          <w:color w:val="auto"/>
          <w:sz w:val="28"/>
          <w:szCs w:val="28"/>
          <w:lang w:val="en-US" w:eastAsia="zh-CN"/>
        </w:rPr>
        <w:t>会使用到机泵设备</w:t>
      </w:r>
      <w:r>
        <w:rPr>
          <w:rFonts w:hint="eastAsia"/>
          <w:color w:val="auto"/>
          <w:sz w:val="28"/>
          <w:szCs w:val="28"/>
        </w:rPr>
        <w:t>，若这些机械设备本身存在的故障未及时排除，可能会成为引发重大机械事故的隐患，造成机毁人亡的恶性事故。</w:t>
      </w:r>
    </w:p>
    <w:p>
      <w:pPr>
        <w:adjustRightInd w:val="0"/>
        <w:snapToGrid w:val="0"/>
        <w:spacing w:line="360" w:lineRule="auto"/>
        <w:ind w:firstLine="560" w:firstLineChars="200"/>
        <w:rPr>
          <w:color w:val="auto"/>
          <w:sz w:val="28"/>
          <w:szCs w:val="28"/>
        </w:rPr>
      </w:pPr>
      <w:r>
        <w:rPr>
          <w:rFonts w:hint="eastAsia"/>
          <w:color w:val="auto"/>
          <w:sz w:val="28"/>
          <w:szCs w:val="28"/>
        </w:rPr>
        <w:t>机械外露的运动部分缺乏防护罩或防护罩失效，联锁保护装置失灵或在检修作业中拆下后未复原，在运行中可引起绞、辗等伤害，或因运动部件断脱、飞出而造成人身伤亡及机器损坏事故。机械设备检修时，存在惯性的机械部件未可靠的停止（如刹车失灵）、未可靠切断动力源（如电源、气源等）、检修过程中发生违章操作（如意外送电）、安全防护装置损坏或缺失等都可能引起机械伤害事故。</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 xml:space="preserve"> 触电</w:t>
      </w:r>
    </w:p>
    <w:p>
      <w:pPr>
        <w:adjustRightInd w:val="0"/>
        <w:snapToGrid w:val="0"/>
        <w:spacing w:line="360" w:lineRule="auto"/>
        <w:ind w:firstLine="560" w:firstLineChars="200"/>
        <w:rPr>
          <w:color w:val="auto"/>
          <w:sz w:val="28"/>
          <w:szCs w:val="28"/>
        </w:rPr>
      </w:pPr>
      <w:r>
        <w:rPr>
          <w:rFonts w:hint="eastAsia"/>
          <w:color w:val="auto"/>
          <w:sz w:val="28"/>
          <w:szCs w:val="28"/>
        </w:rPr>
        <w:t>电气设备、电气线路是引发触电事故的危险源。若电气设备、线路的绝缘损坏或因腐蚀、老化引起绝缘性能降低，带电体外露，安全距离不足，未设可靠的接地保护或漏电保护装置，高压电窜入低压线路，非专业人员违章进行电气作业，电气作业人员违反电气作业安全规程等，人体直接或间接触及带电体，都会导致触电事故发生。</w:t>
      </w:r>
    </w:p>
    <w:p>
      <w:pPr>
        <w:adjustRightInd w:val="0"/>
        <w:snapToGrid w:val="0"/>
        <w:spacing w:line="360" w:lineRule="auto"/>
        <w:ind w:firstLine="560" w:firstLineChars="200"/>
        <w:rPr>
          <w:color w:val="auto"/>
          <w:sz w:val="28"/>
          <w:szCs w:val="28"/>
        </w:rPr>
      </w:pPr>
      <w:r>
        <w:rPr>
          <w:rFonts w:hint="eastAsia"/>
          <w:color w:val="auto"/>
          <w:sz w:val="28"/>
          <w:szCs w:val="28"/>
        </w:rPr>
        <w:t>进行起重吊装作业时，若作业场地附近有高压线，吊物、钢丝绳等与高压线搭接，可能发生触电；运输超高、超长设备时，与沿途的架空线路搭接，也会发生触电。</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野外露天设置的电气开关，经风吹日晒，易造成线路老化、设施锈蚀，造成接触不良。夏季雨水较多，各电气开关易吸潮造成短路，引发触电事故。因此，野外施工作业要特别加强电气设备的维修及使用管理，电气维修一定要切断电源，严格执行挂牌制度，防止意外触电事故的发生，手持电动工具一定要安装漏电保护器，设备电源线沿地面铺设经过道路时，应有保护设施。</w:t>
      </w:r>
    </w:p>
    <w:p>
      <w:pPr>
        <w:keepNext/>
        <w:keepLines/>
        <w:adjustRightInd w:val="0"/>
        <w:snapToGrid w:val="0"/>
        <w:spacing w:line="360" w:lineRule="auto"/>
        <w:outlineLvl w:val="2"/>
        <w:rPr>
          <w:rFonts w:hint="default" w:ascii="Times New Roman" w:hAnsi="Times New Roman" w:eastAsia="黑体" w:cs="Times New Roman"/>
          <w:bCs/>
          <w:snapToGrid w:val="0"/>
          <w:kern w:val="0"/>
          <w:sz w:val="28"/>
          <w:szCs w:val="28"/>
          <w:lang w:val="en-US" w:eastAsia="zh-CN"/>
        </w:rPr>
      </w:pPr>
      <w:r>
        <w:rPr>
          <w:rFonts w:hint="eastAsia" w:ascii="Times New Roman" w:hAnsi="Times New Roman" w:eastAsia="黑体" w:cs="Times New Roman"/>
          <w:bCs/>
          <w:snapToGrid w:val="0"/>
          <w:kern w:val="0"/>
          <w:sz w:val="28"/>
          <w:szCs w:val="28"/>
        </w:rPr>
        <w:t>3.</w:t>
      </w:r>
      <w:r>
        <w:rPr>
          <w:rFonts w:hint="eastAsia" w:eastAsia="黑体" w:cs="Times New Roman"/>
          <w:bCs/>
          <w:snapToGrid w:val="0"/>
          <w:kern w:val="0"/>
          <w:sz w:val="28"/>
          <w:szCs w:val="28"/>
          <w:lang w:val="en-US" w:eastAsia="zh-CN"/>
        </w:rPr>
        <w:t>4</w:t>
      </w:r>
      <w:r>
        <w:rPr>
          <w:rFonts w:hint="eastAsia" w:ascii="Times New Roman" w:hAnsi="Times New Roman" w:eastAsia="黑体" w:cs="Times New Roman"/>
          <w:bCs/>
          <w:snapToGrid w:val="0"/>
          <w:kern w:val="0"/>
          <w:sz w:val="28"/>
          <w:szCs w:val="28"/>
        </w:rPr>
        <w:t>.</w:t>
      </w:r>
      <w:r>
        <w:rPr>
          <w:rFonts w:hint="eastAsia" w:eastAsia="黑体" w:cs="Times New Roman"/>
          <w:bCs/>
          <w:snapToGrid w:val="0"/>
          <w:kern w:val="0"/>
          <w:sz w:val="28"/>
          <w:szCs w:val="28"/>
          <w:lang w:val="en-US" w:eastAsia="zh-CN"/>
        </w:rPr>
        <w:t>7</w:t>
      </w:r>
      <w:r>
        <w:rPr>
          <w:rFonts w:hint="eastAsia" w:ascii="Times New Roman" w:hAnsi="Times New Roman" w:eastAsia="黑体" w:cs="Times New Roman"/>
          <w:bCs/>
          <w:snapToGrid w:val="0"/>
          <w:kern w:val="0"/>
          <w:sz w:val="28"/>
          <w:szCs w:val="28"/>
        </w:rPr>
        <w:t xml:space="preserve"> </w:t>
      </w:r>
      <w:r>
        <w:rPr>
          <w:rFonts w:hint="eastAsia" w:ascii="Times New Roman" w:hAnsi="Times New Roman" w:eastAsia="黑体" w:cs="Times New Roman"/>
          <w:bCs/>
          <w:snapToGrid w:val="0"/>
          <w:kern w:val="0"/>
          <w:sz w:val="28"/>
          <w:szCs w:val="28"/>
          <w:lang w:val="en-US" w:eastAsia="zh-CN"/>
        </w:rPr>
        <w:t>高处坠落</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r>
        <w:rPr>
          <w:rFonts w:hint="eastAsia"/>
          <w:lang w:val="en-US" w:eastAsia="zh-CN"/>
        </w:rPr>
        <w:t>大修二层台作业、井架检修等</w:t>
      </w:r>
      <w:r>
        <w:rPr>
          <w:rFonts w:hint="eastAsia"/>
          <w:lang w:eastAsia="zh-CN"/>
        </w:rPr>
        <w:t>都存在高处作业，甚至是特高处作业。在进行高处作业时，防护措施不完善或存在缺陷、人员违章不系安全带或安全带系扎不可靠、因其他突发事故等原因导致人员坠下，引发高处坠落事故。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r>
        <w:rPr>
          <w:rFonts w:hint="eastAsia"/>
          <w:lang w:eastAsia="zh-CN"/>
        </w:rPr>
        <w:t>大修作业二层台涉及工种为井架工，井架工未经培训并取得高处作业特种作业操作证，作业人员在登高过程中有高处坠落的危险，特别是在大风天气作业时，极有可能发生高处坠落，造成人员伤亡；登高作业无安全防护措施（安全带、安全绳），梯子、平台和易滑倒的操作通道地面未设有防滑措施或在阴雨天气或冬季因结冰造成钢梯、扶手、检修平台路滑的条件下作业人员进行登高作业，也有滑倒摔伤或高处坠落的可能。</w:t>
      </w:r>
    </w:p>
    <w:p>
      <w:pPr>
        <w:keepNext/>
        <w:keepLines/>
        <w:adjustRightInd w:val="0"/>
        <w:snapToGrid w:val="0"/>
        <w:spacing w:line="360" w:lineRule="auto"/>
        <w:outlineLvl w:val="2"/>
        <w:rPr>
          <w:rFonts w:hint="default" w:ascii="Times New Roman" w:hAnsi="Times New Roman" w:eastAsia="黑体" w:cs="Times New Roman"/>
          <w:bCs/>
          <w:snapToGrid w:val="0"/>
          <w:kern w:val="0"/>
          <w:sz w:val="28"/>
          <w:szCs w:val="28"/>
          <w:lang w:val="en-US" w:eastAsia="zh-CN"/>
        </w:rPr>
      </w:pPr>
      <w:r>
        <w:rPr>
          <w:rFonts w:hint="eastAsia" w:ascii="Times New Roman" w:hAnsi="Times New Roman" w:eastAsia="黑体" w:cs="Times New Roman"/>
          <w:bCs/>
          <w:snapToGrid w:val="0"/>
          <w:kern w:val="0"/>
          <w:sz w:val="28"/>
          <w:szCs w:val="28"/>
        </w:rPr>
        <w:t>3.</w:t>
      </w:r>
      <w:r>
        <w:rPr>
          <w:rFonts w:hint="eastAsia" w:eastAsia="黑体" w:cs="Times New Roman"/>
          <w:bCs/>
          <w:snapToGrid w:val="0"/>
          <w:kern w:val="0"/>
          <w:sz w:val="28"/>
          <w:szCs w:val="28"/>
          <w:lang w:val="en-US" w:eastAsia="zh-CN"/>
        </w:rPr>
        <w:t>4</w:t>
      </w:r>
      <w:r>
        <w:rPr>
          <w:rFonts w:hint="eastAsia" w:ascii="Times New Roman" w:hAnsi="Times New Roman" w:eastAsia="黑体" w:cs="Times New Roman"/>
          <w:bCs/>
          <w:snapToGrid w:val="0"/>
          <w:kern w:val="0"/>
          <w:sz w:val="28"/>
          <w:szCs w:val="28"/>
        </w:rPr>
        <w:t>.</w:t>
      </w:r>
      <w:r>
        <w:rPr>
          <w:rFonts w:hint="eastAsia" w:eastAsia="黑体" w:cs="Times New Roman"/>
          <w:bCs/>
          <w:snapToGrid w:val="0"/>
          <w:kern w:val="0"/>
          <w:sz w:val="28"/>
          <w:szCs w:val="28"/>
          <w:lang w:val="en-US" w:eastAsia="zh-CN"/>
        </w:rPr>
        <w:t>8</w:t>
      </w:r>
      <w:r>
        <w:rPr>
          <w:rFonts w:hint="eastAsia" w:ascii="Times New Roman" w:hAnsi="Times New Roman" w:eastAsia="黑体" w:cs="Times New Roman"/>
          <w:bCs/>
          <w:snapToGrid w:val="0"/>
          <w:kern w:val="0"/>
          <w:sz w:val="28"/>
          <w:szCs w:val="28"/>
        </w:rPr>
        <w:t xml:space="preserve"> </w:t>
      </w:r>
      <w:r>
        <w:rPr>
          <w:rFonts w:hint="eastAsia" w:ascii="Times New Roman" w:hAnsi="Times New Roman" w:eastAsia="黑体" w:cs="Times New Roman"/>
          <w:bCs/>
          <w:snapToGrid w:val="0"/>
          <w:kern w:val="0"/>
          <w:sz w:val="28"/>
          <w:szCs w:val="28"/>
          <w:lang w:val="en-US" w:eastAsia="zh-CN"/>
        </w:rPr>
        <w:t>坍塌</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eastAsia"/>
          <w:lang w:val="en-US" w:eastAsia="zh-CN"/>
        </w:rPr>
        <w:t>井架底座等设备设施承载能力不足，安装不牢固；使用未经检测或者检测不合格的设备设施；遇极端恶劣的自然条件、地质问题，有可能发生坍塌的危险。</w:t>
      </w:r>
    </w:p>
    <w:p>
      <w:pPr>
        <w:keepNext/>
        <w:keepLines/>
        <w:adjustRightInd w:val="0"/>
        <w:snapToGrid w:val="0"/>
        <w:spacing w:line="360" w:lineRule="auto"/>
        <w:outlineLvl w:val="2"/>
        <w:rPr>
          <w:rFonts w:hint="default" w:ascii="Times New Roman" w:hAnsi="Times New Roman" w:eastAsia="宋体" w:cs="Times New Roman"/>
          <w:color w:val="auto"/>
          <w:kern w:val="2"/>
          <w:sz w:val="28"/>
          <w:szCs w:val="28"/>
          <w:lang w:val="en-US" w:eastAsia="zh-CN" w:bidi="ar-SA"/>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9</w:t>
      </w:r>
      <w:r>
        <w:rPr>
          <w:rFonts w:hint="eastAsia" w:eastAsia="黑体"/>
          <w:bCs/>
          <w:snapToGrid w:val="0"/>
          <w:color w:val="auto"/>
          <w:kern w:val="0"/>
          <w:sz w:val="28"/>
          <w:szCs w:val="28"/>
        </w:rPr>
        <w:t xml:space="preserve"> </w:t>
      </w:r>
      <w:r>
        <w:rPr>
          <w:rFonts w:hint="eastAsia" w:eastAsia="黑体"/>
          <w:bCs/>
          <w:snapToGrid w:val="0"/>
          <w:color w:val="auto"/>
          <w:kern w:val="0"/>
          <w:sz w:val="28"/>
          <w:szCs w:val="28"/>
          <w:lang w:val="en-US" w:eastAsia="zh-CN"/>
        </w:rPr>
        <w:t>起重伤害</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eastAsia="zh-CN"/>
        </w:rPr>
        <w:t>在设备设施搬迁过程中，</w:t>
      </w:r>
      <w:r>
        <w:rPr>
          <w:rFonts w:hint="default"/>
          <w:sz w:val="28"/>
          <w:szCs w:val="28"/>
        </w:rPr>
        <w:t>需要对设备进行吊运，在吊运过程中，因违章作业、起重设备的安全装置及保护措施失灵、吊车吊钩、钢丝绳、吊索具超载断裂，吊运时钢丝绳从吊钩中脱出，吊货物捆扎不牢固或作业时吊物下有人等情况，易发生起重伤害事故。</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10</w:t>
      </w:r>
      <w:r>
        <w:rPr>
          <w:rFonts w:hint="eastAsia" w:eastAsia="黑体"/>
          <w:bCs/>
          <w:snapToGrid w:val="0"/>
          <w:color w:val="auto"/>
          <w:kern w:val="0"/>
          <w:sz w:val="28"/>
          <w:szCs w:val="28"/>
        </w:rPr>
        <w:t xml:space="preserve"> 车辆伤害</w:t>
      </w:r>
    </w:p>
    <w:p>
      <w:pPr>
        <w:adjustRightInd w:val="0"/>
        <w:snapToGrid w:val="0"/>
        <w:spacing w:line="360" w:lineRule="auto"/>
        <w:ind w:firstLine="560" w:firstLineChars="200"/>
        <w:rPr>
          <w:color w:val="auto"/>
          <w:sz w:val="28"/>
          <w:szCs w:val="28"/>
        </w:rPr>
      </w:pPr>
      <w:r>
        <w:rPr>
          <w:rFonts w:hint="eastAsia"/>
          <w:color w:val="auto"/>
          <w:sz w:val="28"/>
          <w:szCs w:val="28"/>
        </w:rPr>
        <w:t>井下作业</w:t>
      </w:r>
      <w:r>
        <w:rPr>
          <w:rFonts w:hint="eastAsia"/>
          <w:color w:val="auto"/>
          <w:sz w:val="28"/>
          <w:szCs w:val="28"/>
          <w:lang w:val="en-US" w:eastAsia="zh-CN"/>
        </w:rPr>
        <w:t>项目</w:t>
      </w:r>
      <w:r>
        <w:rPr>
          <w:rFonts w:hint="eastAsia"/>
          <w:color w:val="auto"/>
          <w:sz w:val="28"/>
          <w:szCs w:val="28"/>
        </w:rPr>
        <w:t>流动性大，人员和设备的搬迁全部依靠运输车辆完成。石油企业的交通运输，往往车多路窄、各种特种车辆车体大而笨重，经常在路面状况不良的道路上行驶，受人员、车辆、路况、天气等原因容易发生各种交通事故。</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作业现场情况复杂，施工车辆在井场内移动（摆车）时，由于机械故障、视野不良、人员操作失误或违章等，可能造成井场内的人员碰伤、碾压、撞击等车辆伤害事故。</w:t>
      </w:r>
    </w:p>
    <w:p>
      <w:pPr>
        <w:pStyle w:val="4"/>
        <w:adjustRightInd w:val="0"/>
        <w:snapToGrid w:val="0"/>
        <w:spacing w:before="0" w:after="0" w:line="360" w:lineRule="auto"/>
        <w:rPr>
          <w:rFonts w:ascii="Times New Roman" w:hAnsi="Times New Roman"/>
          <w:b w:val="0"/>
          <w:bCs/>
          <w:color w:val="auto"/>
          <w:szCs w:val="32"/>
        </w:rPr>
      </w:pPr>
      <w:bookmarkStart w:id="67" w:name="_Toc329433800"/>
      <w:bookmarkStart w:id="68" w:name="_Toc6245"/>
      <w:bookmarkStart w:id="69" w:name="_Toc216105914"/>
      <w:bookmarkStart w:id="70" w:name="_Toc447782518"/>
      <w:bookmarkStart w:id="71" w:name="_Toc281310743"/>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5</w:t>
      </w:r>
      <w:r>
        <w:rPr>
          <w:rFonts w:hint="eastAsia" w:ascii="Times New Roman" w:hAnsi="Times New Roman"/>
          <w:b w:val="0"/>
          <w:bCs/>
          <w:color w:val="auto"/>
          <w:szCs w:val="32"/>
        </w:rPr>
        <w:t xml:space="preserve"> 主要有害因素辨识</w:t>
      </w:r>
      <w:bookmarkEnd w:id="67"/>
      <w:bookmarkEnd w:id="68"/>
      <w:bookmarkEnd w:id="69"/>
      <w:bookmarkEnd w:id="70"/>
      <w:bookmarkEnd w:id="71"/>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rPr>
        <w:t>.1 噪声危害</w:t>
      </w:r>
    </w:p>
    <w:p>
      <w:pPr>
        <w:adjustRightInd w:val="0"/>
        <w:snapToGrid w:val="0"/>
        <w:spacing w:line="360" w:lineRule="auto"/>
        <w:ind w:firstLine="560" w:firstLineChars="200"/>
        <w:rPr>
          <w:color w:val="auto"/>
          <w:sz w:val="28"/>
          <w:szCs w:val="28"/>
        </w:rPr>
      </w:pPr>
      <w:r>
        <w:rPr>
          <w:rFonts w:hint="eastAsia"/>
          <w:color w:val="auto"/>
          <w:sz w:val="28"/>
          <w:szCs w:val="28"/>
        </w:rPr>
        <w:t>各种机械运转设备如</w:t>
      </w:r>
      <w:r>
        <w:rPr>
          <w:rFonts w:hint="eastAsia"/>
          <w:color w:val="auto"/>
          <w:sz w:val="28"/>
          <w:szCs w:val="28"/>
          <w:lang w:val="en-US" w:eastAsia="zh-CN"/>
        </w:rPr>
        <w:t>700型泵车、其他机泵</w:t>
      </w:r>
      <w:r>
        <w:rPr>
          <w:rFonts w:hint="eastAsia"/>
          <w:color w:val="auto"/>
          <w:sz w:val="28"/>
          <w:szCs w:val="28"/>
        </w:rPr>
        <w:t>等运转时，工具、部件碰撞时发出的机械性噪声，介质输送、排放产生的空气动力性噪声，混杂在一起，可引起作业场所噪声值超标。</w:t>
      </w:r>
      <w:r>
        <w:rPr>
          <w:rFonts w:hint="eastAsia"/>
          <w:bCs/>
          <w:color w:val="auto"/>
          <w:sz w:val="28"/>
          <w:szCs w:val="28"/>
        </w:rPr>
        <w:t>人员长期在高噪声环境下工作，会引发</w:t>
      </w:r>
      <w:r>
        <w:rPr>
          <w:rFonts w:hint="eastAsia"/>
          <w:color w:val="auto"/>
          <w:sz w:val="28"/>
          <w:szCs w:val="28"/>
        </w:rPr>
        <w:t>噪声危害，其主要症状有听力损伤、职业性噪声聋、神经系统功能紊乱，甚至引起心血管疾病及消化系统疾病的高发。</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rPr>
        <w:t>.2 毒物危害</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石油天然气工程施工过程中可能接触到天然气、油蒸气、硫化氢、二氧化硫等有毒、有害物质。这些有毒、有害物质对呼吸道、肺组织有强烈的刺激、腐蚀作用，短时间内高浓度接触可引起急性中毒；长期低浓度接触会引起慢性毒物危害（慢性中毒）。主要</w:t>
      </w:r>
      <w:r>
        <w:rPr>
          <w:color w:val="auto"/>
          <w:sz w:val="28"/>
          <w:szCs w:val="28"/>
        </w:rPr>
        <w:t>危害症状有头痛、恶心</w:t>
      </w:r>
      <w:r>
        <w:rPr>
          <w:rFonts w:hint="eastAsia"/>
          <w:color w:val="auto"/>
          <w:sz w:val="28"/>
          <w:szCs w:val="28"/>
        </w:rPr>
        <w:t>，以及</w:t>
      </w:r>
      <w:r>
        <w:rPr>
          <w:color w:val="auto"/>
          <w:sz w:val="28"/>
          <w:szCs w:val="28"/>
        </w:rPr>
        <w:t>呼吸道疾病</w:t>
      </w:r>
      <w:r>
        <w:rPr>
          <w:rFonts w:hint="eastAsia"/>
          <w:color w:val="auto"/>
          <w:sz w:val="28"/>
          <w:szCs w:val="28"/>
        </w:rPr>
        <w:t>等。</w:t>
      </w:r>
    </w:p>
    <w:p>
      <w:pPr>
        <w:keepNext w:val="0"/>
        <w:keepLines w:val="0"/>
        <w:pageBreakBefore w:val="0"/>
        <w:widowControl w:val="0"/>
        <w:wordWrap/>
        <w:bidi w:val="0"/>
        <w:adjustRightInd w:val="0"/>
        <w:snapToGrid w:val="0"/>
        <w:spacing w:line="360" w:lineRule="auto"/>
        <w:outlineLvl w:val="2"/>
        <w:rPr>
          <w:rFonts w:hint="eastAsia" w:eastAsia="黑体"/>
          <w:bCs/>
          <w:snapToGrid w:val="0"/>
          <w:color w:val="auto"/>
          <w:kern w:val="0"/>
          <w:sz w:val="28"/>
          <w:szCs w:val="28"/>
          <w:lang w:val="zh-CN"/>
        </w:rPr>
      </w:pPr>
      <w:r>
        <w:rPr>
          <w:rFonts w:hint="eastAsia" w:eastAsia="黑体"/>
          <w:bCs/>
          <w:snapToGrid w:val="0"/>
          <w:color w:val="auto"/>
          <w:kern w:val="0"/>
          <w:sz w:val="28"/>
          <w:szCs w:val="28"/>
          <w:lang w:val="zh-CN"/>
        </w:rPr>
        <w:t>3.</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lang w:val="zh-CN"/>
        </w:rPr>
        <w:t>.</w:t>
      </w:r>
      <w:r>
        <w:rPr>
          <w:rFonts w:hint="eastAsia" w:eastAsia="黑体"/>
          <w:bCs/>
          <w:snapToGrid w:val="0"/>
          <w:color w:val="auto"/>
          <w:kern w:val="0"/>
          <w:sz w:val="28"/>
          <w:szCs w:val="28"/>
          <w:lang w:val="en-US" w:eastAsia="zh-CN"/>
        </w:rPr>
        <w:t>3</w:t>
      </w:r>
      <w:r>
        <w:rPr>
          <w:rFonts w:hint="eastAsia" w:eastAsia="黑体"/>
          <w:bCs/>
          <w:snapToGrid w:val="0"/>
          <w:color w:val="auto"/>
          <w:kern w:val="0"/>
          <w:sz w:val="28"/>
          <w:szCs w:val="28"/>
          <w:lang w:val="zh-CN"/>
        </w:rPr>
        <w:t xml:space="preserve"> 振动危害</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rPr>
      </w:pPr>
      <w:r>
        <w:rPr>
          <w:rFonts w:hint="eastAsia"/>
          <w:color w:val="auto"/>
        </w:rPr>
        <w:t>机械设备运转时可产生振动，振动可引起机械效应、生理和心理的效应，长期接触会给人带来危害，我国已将振动病列为法定职业病。</w:t>
      </w:r>
    </w:p>
    <w:p>
      <w:pPr>
        <w:pStyle w:val="4"/>
        <w:adjustRightInd w:val="0"/>
        <w:snapToGrid w:val="0"/>
        <w:spacing w:before="0" w:after="0" w:line="360" w:lineRule="auto"/>
        <w:rPr>
          <w:rFonts w:ascii="Times New Roman" w:hAnsi="Times New Roman"/>
          <w:b w:val="0"/>
          <w:bCs/>
          <w:color w:val="auto"/>
          <w:szCs w:val="32"/>
        </w:rPr>
      </w:pPr>
      <w:bookmarkStart w:id="72" w:name="_Toc15321"/>
      <w:bookmarkStart w:id="73" w:name="_Toc281310742"/>
      <w:bookmarkStart w:id="74" w:name="_Toc216105913"/>
      <w:bookmarkStart w:id="75" w:name="_Toc447782519"/>
      <w:bookmarkStart w:id="76" w:name="_Toc329433801"/>
      <w:bookmarkStart w:id="77" w:name="_Toc281310744"/>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6</w:t>
      </w:r>
      <w:r>
        <w:rPr>
          <w:rFonts w:hint="eastAsia" w:ascii="Times New Roman" w:hAnsi="Times New Roman"/>
          <w:b w:val="0"/>
          <w:bCs/>
          <w:color w:val="auto"/>
          <w:szCs w:val="32"/>
        </w:rPr>
        <w:t xml:space="preserve"> 自然灾害的影响</w:t>
      </w:r>
      <w:bookmarkEnd w:id="72"/>
      <w:bookmarkEnd w:id="73"/>
      <w:bookmarkEnd w:id="74"/>
      <w:bookmarkEnd w:id="75"/>
      <w:bookmarkEnd w:id="76"/>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该企业主要服务于</w:t>
      </w:r>
      <w:r>
        <w:rPr>
          <w:rFonts w:hint="eastAsia"/>
          <w:color w:val="000000" w:themeColor="text1"/>
          <w:sz w:val="28"/>
          <w:szCs w:val="28"/>
          <w:lang w:eastAsia="zh-CN"/>
          <w14:textFill>
            <w14:solidFill>
              <w14:schemeClr w14:val="tx1"/>
            </w14:solidFill>
          </w14:textFill>
        </w:rPr>
        <w:t>冀东油田作业</w:t>
      </w:r>
      <w:r>
        <w:rPr>
          <w:rFonts w:hint="eastAsia" w:ascii="宋体" w:hAnsi="宋体" w:cs="宋体"/>
          <w:sz w:val="28"/>
          <w:szCs w:val="28"/>
          <w:lang w:val="en-US" w:eastAsia="zh-CN"/>
        </w:rPr>
        <w:t>区域</w:t>
      </w:r>
      <w:r>
        <w:rPr>
          <w:rFonts w:hint="eastAsia"/>
          <w:color w:val="000000" w:themeColor="text1"/>
          <w:sz w:val="28"/>
          <w:szCs w:val="28"/>
          <w14:textFill>
            <w14:solidFill>
              <w14:schemeClr w14:val="tx1"/>
            </w14:solidFill>
          </w14:textFill>
        </w:rPr>
        <w:t>，作业地点</w:t>
      </w:r>
      <w:r>
        <w:rPr>
          <w:rFonts w:hint="eastAsia"/>
          <w:color w:val="000000" w:themeColor="text1"/>
          <w:sz w:val="28"/>
          <w:szCs w:val="28"/>
          <w:lang w:val="en-US" w:eastAsia="zh-CN"/>
          <w14:textFill>
            <w14:solidFill>
              <w14:schemeClr w14:val="tx1"/>
            </w14:solidFill>
          </w14:textFill>
        </w:rPr>
        <w:t>主要</w:t>
      </w:r>
      <w:r>
        <w:rPr>
          <w:rFonts w:hint="eastAsia"/>
          <w:color w:val="000000" w:themeColor="text1"/>
          <w:sz w:val="28"/>
          <w:szCs w:val="28"/>
          <w:lang w:eastAsia="zh-CN"/>
          <w14:textFill>
            <w14:solidFill>
              <w14:schemeClr w14:val="tx1"/>
            </w14:solidFill>
          </w14:textFill>
        </w:rPr>
        <w:t>为唐山市</w:t>
      </w: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施工</w:t>
      </w:r>
      <w:r>
        <w:rPr>
          <w:rFonts w:hint="eastAsia"/>
          <w:color w:val="000000" w:themeColor="text1"/>
          <w:sz w:val="28"/>
          <w:szCs w:val="28"/>
          <w14:textFill>
            <w14:solidFill>
              <w14:schemeClr w14:val="tx1"/>
            </w14:solidFill>
          </w14:textFill>
        </w:rPr>
        <w:t>作业队伍长年处于野外作业环境中，易受到自然灾害如：雷电、大风、雨、寒冷、高温酷暑等的侵袭，发生一些灾害性的事故。</w:t>
      </w:r>
    </w:p>
    <w:p>
      <w:pPr>
        <w:keepNext w:val="0"/>
        <w:keepLines w:val="0"/>
        <w:pageBreakBefore w:val="0"/>
        <w:widowControl w:val="0"/>
        <w:wordWrap/>
        <w:bidi w:val="0"/>
        <w:adjustRightInd w:val="0"/>
        <w:snapToGrid w:val="0"/>
        <w:spacing w:line="360" w:lineRule="auto"/>
        <w:ind w:firstLine="560" w:firstLineChars="200"/>
        <w:rPr>
          <w:color w:val="auto"/>
          <w:sz w:val="28"/>
          <w:szCs w:val="28"/>
        </w:rPr>
      </w:pPr>
      <w:r>
        <w:rPr>
          <w:rFonts w:hint="eastAsia"/>
          <w:color w:val="000000" w:themeColor="text1"/>
          <w:sz w:val="28"/>
          <w:szCs w:val="28"/>
          <w14:textFill>
            <w14:solidFill>
              <w14:schemeClr w14:val="tx1"/>
            </w14:solidFill>
          </w14:textFill>
        </w:rPr>
        <w:t>对</w:t>
      </w:r>
      <w:r>
        <w:rPr>
          <w:rFonts w:hint="eastAsia"/>
          <w:color w:val="000000" w:themeColor="text1"/>
          <w:sz w:val="28"/>
          <w:szCs w:val="28"/>
          <w:lang w:eastAsia="zh-CN"/>
          <w14:textFill>
            <w14:solidFill>
              <w14:schemeClr w14:val="tx1"/>
            </w14:solidFill>
          </w14:textFill>
        </w:rPr>
        <w:t>大修作业、井下复杂情况处理作业</w:t>
      </w:r>
      <w:r>
        <w:rPr>
          <w:rFonts w:hint="eastAsia"/>
          <w:color w:val="000000" w:themeColor="text1"/>
          <w:sz w:val="28"/>
          <w:szCs w:val="28"/>
          <w14:textFill>
            <w14:solidFill>
              <w14:schemeClr w14:val="tx1"/>
            </w14:solidFill>
          </w14:textFill>
        </w:rPr>
        <w:t>施工影响较大的自然灾害有：雷电袭击、大风</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暴雨</w:t>
      </w:r>
      <w:r>
        <w:rPr>
          <w:rFonts w:hint="eastAsia"/>
          <w:color w:val="000000" w:themeColor="text1"/>
          <w:sz w:val="28"/>
          <w:szCs w:val="28"/>
          <w14:textFill>
            <w14:solidFill>
              <w14:schemeClr w14:val="tx1"/>
            </w14:solidFill>
          </w14:textFill>
        </w:rPr>
        <w:t>和高温、低温、地震灾害等。</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.1 雷电袭击</w:t>
      </w:r>
    </w:p>
    <w:p>
      <w:pPr>
        <w:adjustRightInd w:val="0"/>
        <w:snapToGrid w:val="0"/>
        <w:spacing w:line="360" w:lineRule="auto"/>
        <w:ind w:firstLine="560" w:firstLineChars="200"/>
        <w:rPr>
          <w:color w:val="auto"/>
          <w:sz w:val="28"/>
          <w:szCs w:val="28"/>
        </w:rPr>
      </w:pPr>
      <w:r>
        <w:rPr>
          <w:rFonts w:hint="eastAsia"/>
          <w:color w:val="auto"/>
          <w:sz w:val="28"/>
          <w:szCs w:val="28"/>
        </w:rPr>
        <w:t>雷电是大自然中的静电放电现象，建构筑物、输变电线路和变配电装置等设施及设备遭到雷电袭击时，会产生极高的电压和极大的电流，在其波及的范围内，可能造成设备或设施的损坏，直接或间接地造成人员伤亡，引发火灾、爆炸事故的发生。</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.2 大风灾害</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rPr>
        <w:t>六级以上强风有造成设备及建、构筑物倾斜、倒塌，甚至造成设备、管道扭曲、破裂的危险，可导致物料泄漏、火灾、爆炸等事故。</w:t>
      </w:r>
    </w:p>
    <w:p>
      <w:pPr>
        <w:keepNext/>
        <w:keepLines/>
        <w:adjustRightInd w:val="0"/>
        <w:snapToGrid w:val="0"/>
        <w:spacing w:line="360" w:lineRule="auto"/>
        <w:outlineLvl w:val="2"/>
        <w:rPr>
          <w:rFonts w:hint="eastAsia" w:eastAsia="黑体"/>
          <w:bCs/>
          <w:snapToGrid w:val="0"/>
          <w:color w:val="auto"/>
          <w:kern w:val="0"/>
          <w:sz w:val="28"/>
          <w:szCs w:val="28"/>
          <w:lang w:val="en-US" w:eastAsia="zh-CN"/>
        </w:rPr>
      </w:pPr>
      <w:r>
        <w:rPr>
          <w:rFonts w:hint="eastAsia" w:eastAsia="黑体"/>
          <w:bCs/>
          <w:snapToGrid w:val="0"/>
          <w:color w:val="auto"/>
          <w:kern w:val="0"/>
          <w:sz w:val="28"/>
          <w:szCs w:val="28"/>
          <w:lang w:val="en-US" w:eastAsia="zh-CN"/>
        </w:rPr>
        <w:t>3.6.3 暴雨灾害</w:t>
      </w:r>
    </w:p>
    <w:p>
      <w:pPr>
        <w:pStyle w:val="61"/>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color w:val="auto"/>
        </w:rPr>
      </w:pPr>
      <w:r>
        <w:rPr>
          <w:rFonts w:hint="eastAsia" w:ascii="Times New Roman" w:hAnsi="Times New Roman" w:eastAsia="宋体" w:cs="Times New Roman"/>
          <w:color w:val="auto"/>
          <w:kern w:val="2"/>
          <w:sz w:val="28"/>
          <w:szCs w:val="28"/>
          <w:lang w:val="en-US" w:eastAsia="zh-CN" w:bidi="ar-SA"/>
        </w:rPr>
        <w:t>该公司井下作业项目在平原地带，地形高差不大，如果发生暴雨，或遭遇洪水，可能威胁工作人员的安全。</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 xml:space="preserve"> 高温、低温</w:t>
      </w:r>
    </w:p>
    <w:p>
      <w:pPr>
        <w:adjustRightInd w:val="0"/>
        <w:snapToGrid w:val="0"/>
        <w:spacing w:line="360" w:lineRule="auto"/>
        <w:ind w:firstLine="560" w:firstLineChars="200"/>
        <w:rPr>
          <w:color w:val="auto"/>
          <w:sz w:val="28"/>
          <w:szCs w:val="28"/>
        </w:rPr>
      </w:pPr>
      <w:r>
        <w:rPr>
          <w:rFonts w:hint="eastAsia"/>
          <w:color w:val="auto"/>
          <w:sz w:val="28"/>
          <w:szCs w:val="28"/>
        </w:rPr>
        <w:t>温度的升高会引起爆炸性气体的爆炸浓度极限范围扩大，增加易燃、易爆介质的火灾、爆炸危险性。夏季高温环境下，野外作业的施工人员室外工作时间过长且无有效的防暑降温措施，可能引起人员的高温中暑。</w:t>
      </w:r>
    </w:p>
    <w:p>
      <w:pPr>
        <w:adjustRightInd w:val="0"/>
        <w:snapToGrid w:val="0"/>
        <w:spacing w:line="360" w:lineRule="auto"/>
        <w:ind w:firstLine="560" w:firstLineChars="200"/>
        <w:rPr>
          <w:color w:val="auto"/>
          <w:sz w:val="28"/>
          <w:szCs w:val="28"/>
        </w:rPr>
      </w:pPr>
      <w:r>
        <w:rPr>
          <w:rFonts w:hint="eastAsia"/>
          <w:color w:val="auto"/>
          <w:sz w:val="28"/>
          <w:szCs w:val="28"/>
        </w:rPr>
        <w:t>在极端低温条件下，若无有效的防冻保温措施，可引起管线中介质的冻堵，泵压升高，引起管线损坏、介质泄漏；人员在室外作业工作时间过长，可能引起人员冻伤。</w:t>
      </w:r>
    </w:p>
    <w:p>
      <w:pPr>
        <w:adjustRightInd w:val="0"/>
        <w:snapToGrid w:val="0"/>
        <w:spacing w:line="360" w:lineRule="auto"/>
        <w:ind w:firstLine="560" w:firstLineChars="200"/>
        <w:rPr>
          <w:color w:val="auto"/>
          <w:sz w:val="28"/>
          <w:szCs w:val="28"/>
        </w:rPr>
      </w:pPr>
      <w:r>
        <w:rPr>
          <w:rFonts w:hint="eastAsia"/>
          <w:color w:val="auto"/>
          <w:sz w:val="28"/>
          <w:szCs w:val="28"/>
        </w:rPr>
        <w:t>无论是高温还是低温环境，都可影响人员的情绪、反应灵敏性，增加违章事故发生的频率，并可能成为引发其他事故的诱因。</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rPr>
        <w:t xml:space="preserve"> 地震灾害</w:t>
      </w:r>
    </w:p>
    <w:p>
      <w:pPr>
        <w:adjustRightInd w:val="0"/>
        <w:snapToGrid w:val="0"/>
        <w:spacing w:line="360" w:lineRule="auto"/>
        <w:ind w:firstLine="560" w:firstLineChars="200"/>
        <w:rPr>
          <w:color w:val="0070C0"/>
          <w:sz w:val="28"/>
          <w:szCs w:val="28"/>
        </w:rPr>
      </w:pPr>
      <w:r>
        <w:rPr>
          <w:rFonts w:hint="eastAsia"/>
          <w:color w:val="auto"/>
          <w:sz w:val="28"/>
          <w:szCs w:val="28"/>
        </w:rPr>
        <w:t>地震是地球内部突然发生的一系列弹性波，具有突发性和难以预报的特点，地震产生的强烈振动除可直接导致建构筑物倒塌、电杆折断、容器管道破裂、火灾爆炸之外，还会伴随出现海啸、断层、地裂、山崩、滑坡及地面隆起和下沉现象。对石油工业生产来说，地震会造成</w:t>
      </w:r>
      <w:r>
        <w:rPr>
          <w:rFonts w:hint="eastAsia"/>
          <w:color w:val="auto"/>
          <w:sz w:val="28"/>
          <w:szCs w:val="28"/>
          <w:lang w:eastAsia="zh-CN"/>
        </w:rPr>
        <w:t>修井机</w:t>
      </w:r>
      <w:r>
        <w:rPr>
          <w:rFonts w:hint="eastAsia"/>
          <w:color w:val="auto"/>
          <w:sz w:val="28"/>
          <w:szCs w:val="28"/>
        </w:rPr>
        <w:t>倾覆、油（气）井毁坏、管道及阀件断裂等震害，同时害往往伴随火灾、爆炸等严重的二次灾害的发生。</w:t>
      </w:r>
    </w:p>
    <w:p>
      <w:pPr>
        <w:pStyle w:val="4"/>
        <w:keepNext w:val="0"/>
        <w:keepLines w:val="0"/>
        <w:adjustRightInd w:val="0"/>
        <w:snapToGrid w:val="0"/>
        <w:spacing w:before="0" w:after="0" w:line="360" w:lineRule="auto"/>
        <w:rPr>
          <w:rFonts w:hint="default" w:ascii="Times New Roman" w:hAnsi="Times New Roman" w:eastAsia="黑体"/>
          <w:b w:val="0"/>
          <w:bCs/>
          <w:color w:val="000000" w:themeColor="text1"/>
          <w:szCs w:val="32"/>
          <w:lang w:val="en-US" w:eastAsia="zh-CN"/>
          <w14:textFill>
            <w14:solidFill>
              <w14:schemeClr w14:val="tx1"/>
            </w14:solidFill>
          </w14:textFill>
        </w:rPr>
      </w:pPr>
      <w:bookmarkStart w:id="78" w:name="_Toc6999"/>
      <w:bookmarkStart w:id="79" w:name="_Toc20776"/>
      <w:bookmarkStart w:id="80" w:name="_Toc447782520"/>
      <w:bookmarkStart w:id="81" w:name="_Toc329433802"/>
      <w:r>
        <w:rPr>
          <w:rFonts w:ascii="Times New Roman" w:hAnsi="Times New Roman"/>
          <w:b w:val="0"/>
          <w:bCs/>
          <w:color w:val="000000" w:themeColor="text1"/>
          <w:szCs w:val="32"/>
          <w14:textFill>
            <w14:solidFill>
              <w14:schemeClr w14:val="tx1"/>
            </w14:solidFill>
          </w14:textFill>
        </w:rPr>
        <w:t xml:space="preserve">3.7 </w:t>
      </w:r>
      <w:r>
        <w:rPr>
          <w:rFonts w:hint="eastAsia" w:ascii="Times New Roman" w:hAnsi="Times New Roman"/>
          <w:b w:val="0"/>
          <w:bCs/>
          <w:color w:val="000000" w:themeColor="text1"/>
          <w:szCs w:val="32"/>
          <w:lang w:val="en-US" w:eastAsia="zh-CN"/>
          <w14:textFill>
            <w14:solidFill>
              <w14:schemeClr w14:val="tx1"/>
            </w14:solidFill>
          </w14:textFill>
        </w:rPr>
        <w:t>人的不安全行为和安全管理缺陷</w:t>
      </w:r>
      <w:bookmarkEnd w:id="78"/>
      <w:bookmarkEnd w:id="79"/>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 xml:space="preserve">3.7.1 </w:t>
      </w:r>
      <w:r>
        <w:rPr>
          <w:rFonts w:hint="eastAsia" w:eastAsia="黑体"/>
          <w:bCs/>
          <w:snapToGrid w:val="0"/>
          <w:color w:val="000000" w:themeColor="text1"/>
          <w:kern w:val="0"/>
          <w:sz w:val="28"/>
          <w:szCs w:val="28"/>
          <w:lang w:val="en-US" w:eastAsia="zh-CN"/>
          <w14:textFill>
            <w14:solidFill>
              <w14:schemeClr w14:val="tx1"/>
            </w14:solidFill>
          </w14:textFill>
        </w:rPr>
        <w:t>人的不安全行为</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大量事故的统计分析表明，大部分事故是由人的因素造成的。长期超负荷作业致使操作人员疲劳、</w:t>
      </w:r>
      <w:r>
        <w:rPr>
          <w:rFonts w:hint="eastAsia" w:cs="Times New Roman"/>
          <w:bCs/>
          <w:snapToGrid w:val="0"/>
          <w:color w:val="000000" w:themeColor="text1"/>
          <w:kern w:val="0"/>
          <w:sz w:val="28"/>
          <w:szCs w:val="28"/>
          <w:lang w:val="en-US" w:eastAsia="zh-CN"/>
          <w14:textFill>
            <w14:solidFill>
              <w14:schemeClr w14:val="tx1"/>
            </w14:solidFill>
          </w14:textFill>
        </w:rPr>
        <w:t>负荷超限、</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精力不集中导致误操作；疾病或饮酒致操作和指挥失误；操作人员从事禁忌作业引起事故；人员心理异常、故意犯错或存在识别功能缺陷均可导致事故。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人的不安全行为主要表现为以下几个方面：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1</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不专心致志工作，麻痹大意或急躁慌张、判断失误导致事故发生。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2</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不按操作规程进行操作；不按规章制度进行巡回检查，甚至在岗上睡觉，或者串岗，脱岗，岗上看杂志、干私活，或交接班不具体等致使事故隐患不能及时发现，从而酿成事故。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3</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个人英雄主义：争强好胜，充英雄好汉，此类人员因与上岗干部、班组长、安全监管人员认识不同、感情不和，或受他人蛊惑而蓄意故犯、故意蛮干、违章操作，以泄私愤。</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4</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不求上进、不思进取、得过且过，对</w:t>
      </w:r>
      <w:r>
        <w:rPr>
          <w:rFonts w:hint="eastAsia" w:cs="Times New Roman"/>
          <w:bCs/>
          <w:snapToGrid w:val="0"/>
          <w:color w:val="000000" w:themeColor="text1"/>
          <w:kern w:val="0"/>
          <w:sz w:val="28"/>
          <w:szCs w:val="28"/>
          <w:lang w:val="en-US" w:eastAsia="zh-CN"/>
          <w14:textFill>
            <w14:solidFill>
              <w14:schemeClr w14:val="tx1"/>
            </w14:solidFill>
          </w14:textFill>
        </w:rPr>
        <w:t>施工</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中使用的各种物质组成、性质不了解，缺乏普通的和专业的安全知识，缺乏专业知识和</w:t>
      </w:r>
      <w:r>
        <w:rPr>
          <w:rFonts w:hint="eastAsia" w:cs="Times New Roman"/>
          <w:bCs/>
          <w:snapToGrid w:val="0"/>
          <w:color w:val="000000" w:themeColor="text1"/>
          <w:kern w:val="0"/>
          <w:sz w:val="28"/>
          <w:szCs w:val="28"/>
          <w:lang w:val="en-US" w:eastAsia="zh-CN"/>
          <w14:textFill>
            <w14:solidFill>
              <w14:schemeClr w14:val="tx1"/>
            </w14:solidFill>
          </w14:textFill>
        </w:rPr>
        <w:t>技术</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技能，因知识和技能的缺陷导致指挥或操作失误，引起事故。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5</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身体素质差，易疲劳；思想素质低，指挥者独断专行，违章指挥；操作者不负责任，擅离职守；承受不起生活和工作上的压力，心理变态、精神失常、神思恍惚，思想不集中；或过于兴奋，得意忘形等均有可能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6</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主要负责人不能保证安全资金的投入，管理人员安全意识不强，不认真落实防范措施，决策失误或指挥能力差，可间接导致事故发生或使事故扩大。</w:t>
      </w:r>
    </w:p>
    <w:p>
      <w:pPr>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7</w:t>
      </w:r>
      <w:r>
        <w:rPr>
          <w:rFonts w:eastAsia="黑体"/>
          <w:bCs/>
          <w:snapToGrid w:val="0"/>
          <w:color w:val="000000" w:themeColor="text1"/>
          <w:kern w:val="0"/>
          <w:sz w:val="28"/>
          <w:szCs w:val="28"/>
          <w14:textFill>
            <w14:solidFill>
              <w14:schemeClr w14:val="tx1"/>
            </w14:solidFill>
          </w14:textFill>
        </w:rPr>
        <w:t xml:space="preserve">.2 </w:t>
      </w:r>
      <w:r>
        <w:rPr>
          <w:rFonts w:hint="eastAsia" w:eastAsia="黑体"/>
          <w:bCs/>
          <w:snapToGrid w:val="0"/>
          <w:color w:val="000000" w:themeColor="text1"/>
          <w:kern w:val="0"/>
          <w:sz w:val="28"/>
          <w:szCs w:val="28"/>
          <w:lang w:val="en-US" w:eastAsia="zh-CN"/>
          <w14:textFill>
            <w14:solidFill>
              <w14:schemeClr w14:val="tx1"/>
            </w14:solidFill>
          </w14:textFill>
        </w:rPr>
        <w:t>安全管理缺陷</w:t>
      </w:r>
    </w:p>
    <w:p>
      <w:pPr>
        <w:adjustRightInd w:val="0"/>
        <w:snapToGrid w:val="0"/>
        <w:spacing w:line="360" w:lineRule="auto"/>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安全生产责任制不完善或未落实；</w:t>
      </w:r>
      <w:r>
        <w:rPr>
          <w:rFonts w:hint="eastAsia"/>
          <w:color w:val="000000" w:themeColor="text1"/>
          <w:sz w:val="28"/>
          <w:szCs w:val="28"/>
          <w14:textFill>
            <w14:solidFill>
              <w14:schemeClr w14:val="tx1"/>
            </w14:solidFill>
          </w14:textFill>
        </w:rPr>
        <w:t>未设置相应的</w:t>
      </w:r>
      <w:r>
        <w:rPr>
          <w:rFonts w:hint="eastAsia"/>
          <w:color w:val="000000" w:themeColor="text1"/>
          <w:sz w:val="28"/>
          <w:szCs w:val="28"/>
          <w:lang w:val="en-US" w:eastAsia="zh-CN"/>
          <w14:textFill>
            <w14:solidFill>
              <w14:schemeClr w14:val="tx1"/>
            </w14:solidFill>
          </w14:textFill>
        </w:rPr>
        <w:t>安全</w:t>
      </w:r>
      <w:r>
        <w:rPr>
          <w:rFonts w:hint="eastAsia"/>
          <w:color w:val="000000" w:themeColor="text1"/>
          <w:sz w:val="28"/>
          <w:szCs w:val="28"/>
          <w14:textFill>
            <w14:solidFill>
              <w14:schemeClr w14:val="tx1"/>
            </w14:solidFill>
          </w14:textFill>
        </w:rPr>
        <w:t>管理机构或</w:t>
      </w:r>
      <w:r>
        <w:rPr>
          <w:rFonts w:hint="eastAsia"/>
          <w:color w:val="000000" w:themeColor="text1"/>
          <w:sz w:val="28"/>
          <w:szCs w:val="28"/>
          <w:lang w:val="en-US" w:eastAsia="zh-CN"/>
          <w14:textFill>
            <w14:solidFill>
              <w14:schemeClr w14:val="tx1"/>
            </w14:solidFill>
          </w14:textFill>
        </w:rPr>
        <w:t>安全</w:t>
      </w:r>
      <w:r>
        <w:rPr>
          <w:rFonts w:hint="eastAsia"/>
          <w:color w:val="000000" w:themeColor="text1"/>
          <w:sz w:val="28"/>
          <w:szCs w:val="28"/>
          <w14:textFill>
            <w14:solidFill>
              <w14:schemeClr w14:val="tx1"/>
            </w14:solidFill>
          </w14:textFill>
        </w:rPr>
        <w:t>管理机构设置不合理，</w:t>
      </w:r>
      <w:r>
        <w:rPr>
          <w:rFonts w:hint="eastAsia"/>
          <w:color w:val="000000" w:themeColor="text1"/>
          <w:sz w:val="28"/>
          <w:szCs w:val="28"/>
          <w:lang w:val="en-US" w:eastAsia="zh-CN"/>
          <w14:textFill>
            <w14:solidFill>
              <w14:schemeClr w14:val="tx1"/>
            </w14:solidFill>
          </w14:textFill>
        </w:rPr>
        <w:t>人员配置不足，</w:t>
      </w:r>
      <w:r>
        <w:rPr>
          <w:rFonts w:hint="eastAsia"/>
          <w:color w:val="000000" w:themeColor="text1"/>
          <w:sz w:val="28"/>
          <w:szCs w:val="28"/>
          <w14:textFill>
            <w14:solidFill>
              <w14:schemeClr w14:val="tx1"/>
            </w14:solidFill>
          </w14:textFill>
        </w:rPr>
        <w:t>管理混乱；管理制度不健全或管理措施落实不到位，生产人员无章可循、行为随意、盲目乱干；</w:t>
      </w:r>
      <w:r>
        <w:rPr>
          <w:rFonts w:hint="eastAsia"/>
          <w:color w:val="000000" w:themeColor="text1"/>
          <w:sz w:val="28"/>
          <w:szCs w:val="28"/>
          <w:lang w:val="en-US" w:eastAsia="zh-CN"/>
          <w14:textFill>
            <w14:solidFill>
              <w14:schemeClr w14:val="tx1"/>
            </w14:solidFill>
          </w14:textFill>
        </w:rPr>
        <w:t>未建立安全投入制度，可导致安全投入不足；</w:t>
      </w:r>
      <w:r>
        <w:rPr>
          <w:rFonts w:hint="eastAsia"/>
          <w:color w:val="000000" w:themeColor="text1"/>
          <w:sz w:val="28"/>
          <w:szCs w:val="28"/>
          <w14:textFill>
            <w14:solidFill>
              <w14:schemeClr w14:val="tx1"/>
            </w14:solidFill>
          </w14:textFill>
        </w:rPr>
        <w:t>无相应的奖惩制度，会使人员无积极性、主动性，巡检不及时、不认真，交接班不具体；没有制定完善的安全操作规程，操作人员盲目乱干等；无培训制度，操作人员没有经过安全教育</w:t>
      </w:r>
      <w:r>
        <w:rPr>
          <w:rFonts w:hint="eastAsia"/>
          <w:color w:val="000000" w:themeColor="text1"/>
          <w:sz w:val="28"/>
          <w:szCs w:val="28"/>
          <w:lang w:val="en-US" w:eastAsia="zh-CN"/>
          <w14:textFill>
            <w14:solidFill>
              <w14:schemeClr w14:val="tx1"/>
            </w14:solidFill>
          </w14:textFill>
        </w:rPr>
        <w:t>培训</w:t>
      </w:r>
      <w:r>
        <w:rPr>
          <w:rFonts w:hint="eastAsia"/>
          <w:color w:val="000000" w:themeColor="text1"/>
          <w:sz w:val="28"/>
          <w:szCs w:val="28"/>
          <w14:textFill>
            <w14:solidFill>
              <w14:schemeClr w14:val="tx1"/>
            </w14:solidFill>
          </w14:textFill>
        </w:rPr>
        <w:t>和技能培训，让未经培训的</w:t>
      </w:r>
      <w:r>
        <w:rPr>
          <w:rFonts w:hint="eastAsia"/>
          <w:color w:val="000000" w:themeColor="text1"/>
          <w:sz w:val="28"/>
          <w:szCs w:val="28"/>
          <w:lang w:val="en-US" w:eastAsia="zh-CN"/>
          <w14:textFill>
            <w14:solidFill>
              <w14:schemeClr w14:val="tx1"/>
            </w14:solidFill>
          </w14:textFill>
        </w:rPr>
        <w:t>操作人员</w:t>
      </w:r>
      <w:r>
        <w:rPr>
          <w:rFonts w:hint="eastAsia"/>
          <w:color w:val="000000" w:themeColor="text1"/>
          <w:sz w:val="28"/>
          <w:szCs w:val="28"/>
          <w14:textFill>
            <w14:solidFill>
              <w14:schemeClr w14:val="tx1"/>
            </w14:solidFill>
          </w14:textFill>
        </w:rPr>
        <w:t>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color w:val="000000" w:themeColor="text1"/>
          <w:lang w:val="en-US" w:eastAsia="zh-CN"/>
          <w14:textFill>
            <w14:solidFill>
              <w14:schemeClr w14:val="tx1"/>
            </w14:solidFill>
          </w14:textFill>
        </w:rPr>
      </w:pPr>
      <w:r>
        <w:rPr>
          <w:rFonts w:hint="eastAsia" w:ascii="宋体" w:hAnsi="宋体" w:cs="仿宋"/>
          <w:color w:val="000000" w:themeColor="text1"/>
          <w:szCs w:val="21"/>
          <w:lang w:val="en-US" w:eastAsia="zh-CN"/>
          <w14:textFill>
            <w14:solidFill>
              <w14:schemeClr w14:val="tx1"/>
            </w14:solidFill>
          </w14:textFill>
        </w:rPr>
        <w:t>未进行</w:t>
      </w:r>
      <w:r>
        <w:rPr>
          <w:rFonts w:hint="eastAsia" w:ascii="宋体" w:hAnsi="宋体" w:cs="仿宋"/>
          <w:color w:val="000000" w:themeColor="text1"/>
          <w:szCs w:val="21"/>
          <w14:textFill>
            <w14:solidFill>
              <w14:schemeClr w14:val="tx1"/>
            </w14:solidFill>
          </w14:textFill>
        </w:rPr>
        <w:t>识别生产中的所有常规和非常规活动存在的危害，以及所有生产现场使用设备设施和作业环境中存在的危害，采用科学合理的评估方法进行</w:t>
      </w:r>
      <w:r>
        <w:rPr>
          <w:rFonts w:hint="eastAsia" w:ascii="宋体" w:hAnsi="宋体" w:cs="仿宋"/>
          <w:color w:val="000000" w:themeColor="text1"/>
          <w:szCs w:val="21"/>
          <w:lang w:val="en-US" w:eastAsia="zh-CN"/>
          <w14:textFill>
            <w14:solidFill>
              <w14:schemeClr w14:val="tx1"/>
            </w14:solidFill>
          </w14:textFill>
        </w:rPr>
        <w:t>风险</w:t>
      </w:r>
      <w:r>
        <w:rPr>
          <w:rFonts w:hint="eastAsia" w:ascii="宋体" w:hAnsi="宋体" w:cs="仿宋"/>
          <w:color w:val="000000" w:themeColor="text1"/>
          <w:szCs w:val="21"/>
          <w14:textFill>
            <w14:solidFill>
              <w14:schemeClr w14:val="tx1"/>
            </w14:solidFill>
          </w14:textFill>
        </w:rPr>
        <w:t>评估</w:t>
      </w:r>
      <w:r>
        <w:rPr>
          <w:rFonts w:hint="eastAsia" w:ascii="宋体" w:hAnsi="宋体" w:cs="仿宋"/>
          <w:color w:val="000000" w:themeColor="text1"/>
          <w:szCs w:val="21"/>
          <w:lang w:val="en-US" w:eastAsia="zh-CN"/>
          <w14:textFill>
            <w14:solidFill>
              <w14:schemeClr w14:val="tx1"/>
            </w14:solidFill>
          </w14:textFill>
        </w:rPr>
        <w:t>并进行分级管</w:t>
      </w:r>
      <w:r>
        <w:rPr>
          <w:rFonts w:hint="eastAsia" w:ascii="宋体" w:hAnsi="宋体" w:cs="仿宋"/>
          <w:color w:val="000000" w:themeColor="text1"/>
          <w:szCs w:val="21"/>
          <w14:textFill>
            <w14:solidFill>
              <w14:schemeClr w14:val="tx1"/>
            </w14:solidFill>
          </w14:textFill>
        </w:rPr>
        <w:t>控</w:t>
      </w:r>
      <w:r>
        <w:rPr>
          <w:rFonts w:hint="eastAsia" w:ascii="宋体" w:hAnsi="宋体" w:cs="仿宋"/>
          <w:color w:val="000000" w:themeColor="text1"/>
          <w:szCs w:val="21"/>
          <w:lang w:eastAsia="zh-CN"/>
          <w14:textFill>
            <w14:solidFill>
              <w14:schemeClr w14:val="tx1"/>
            </w14:solidFill>
          </w14:textFill>
        </w:rPr>
        <w:t>；</w:t>
      </w:r>
      <w:r>
        <w:rPr>
          <w:rFonts w:hint="eastAsia" w:ascii="宋体" w:hAnsi="宋体" w:cs="仿宋"/>
          <w:color w:val="000000" w:themeColor="text1"/>
          <w:szCs w:val="21"/>
          <w:lang w:val="en-US" w:eastAsia="zh-CN"/>
          <w14:textFill>
            <w14:solidFill>
              <w14:schemeClr w14:val="tx1"/>
            </w14:solidFill>
          </w14:textFill>
        </w:rPr>
        <w:t>未定期</w:t>
      </w:r>
      <w:r>
        <w:rPr>
          <w:rFonts w:hint="eastAsia" w:ascii="宋体" w:hAnsi="宋体" w:cs="仿宋"/>
          <w:color w:val="000000" w:themeColor="text1"/>
          <w:szCs w:val="21"/>
          <w:lang w:eastAsia="zh-CN"/>
          <w14:textFill>
            <w14:solidFill>
              <w14:schemeClr w14:val="tx1"/>
            </w14:solidFill>
          </w14:textFill>
        </w:rPr>
        <w:t>组织安全生产管理人员、工程技术人员、岗位员工以及其他相关人员</w:t>
      </w:r>
      <w:r>
        <w:rPr>
          <w:rFonts w:hint="eastAsia" w:ascii="宋体" w:hAnsi="宋体" w:cs="仿宋"/>
          <w:color w:val="000000" w:themeColor="text1"/>
          <w:szCs w:val="21"/>
          <w:lang w:val="en-US" w:eastAsia="zh-CN"/>
          <w14:textFill>
            <w14:solidFill>
              <w14:schemeClr w14:val="tx1"/>
            </w14:solidFill>
          </w14:textFill>
        </w:rPr>
        <w:t>对</w:t>
      </w:r>
      <w:r>
        <w:rPr>
          <w:rFonts w:hint="eastAsia" w:ascii="宋体" w:hAnsi="宋体" w:cs="仿宋"/>
          <w:color w:val="000000" w:themeColor="text1"/>
          <w:szCs w:val="21"/>
          <w:lang w:eastAsia="zh-CN"/>
          <w14:textFill>
            <w14:solidFill>
              <w14:schemeClr w14:val="tx1"/>
            </w14:solidFill>
          </w14:textFill>
        </w:rPr>
        <w:t>事故隐患进行排查</w:t>
      </w:r>
      <w:r>
        <w:rPr>
          <w:rFonts w:hint="eastAsia" w:ascii="宋体" w:hAnsi="宋体" w:cs="仿宋"/>
          <w:color w:val="000000" w:themeColor="text1"/>
          <w:szCs w:val="21"/>
          <w:lang w:val="en-US" w:eastAsia="zh-CN"/>
          <w14:textFill>
            <w14:solidFill>
              <w14:schemeClr w14:val="tx1"/>
            </w14:solidFill>
          </w14:textFill>
        </w:rPr>
        <w:t>治理，设备设施带病运行而导致事故发生。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eastAsia"/>
          <w:color w:val="000000" w:themeColor="text1"/>
          <w:sz w:val="28"/>
          <w:szCs w:val="28"/>
          <w:lang w:val="en-US" w:eastAsia="zh-CN"/>
          <w14:textFill>
            <w14:solidFill>
              <w14:schemeClr w14:val="tx1"/>
            </w14:solidFill>
          </w14:textFill>
        </w:rPr>
        <w:t>应急资源调查不充分；应急能力、风险评估不全面；应急预案不健全、可操作性不强、无针对性；应急预案培训不到位，应急预案演练不规范，应急预案评估不到位，现场负责人、监护人员、作业人员和应急救援人员均未掌握应急预案内容，不具备相应的应急处置能力，导致事故扩大。</w:t>
      </w:r>
    </w:p>
    <w:p>
      <w:pPr>
        <w:pStyle w:val="4"/>
        <w:adjustRightInd w:val="0"/>
        <w:snapToGrid w:val="0"/>
        <w:spacing w:before="0" w:after="0" w:line="360" w:lineRule="auto"/>
        <w:rPr>
          <w:rFonts w:ascii="Times New Roman" w:hAnsi="Times New Roman"/>
          <w:b w:val="0"/>
          <w:bCs/>
          <w:color w:val="auto"/>
          <w:szCs w:val="32"/>
        </w:rPr>
      </w:pPr>
      <w:bookmarkStart w:id="82" w:name="_Toc19905"/>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8</w:t>
      </w:r>
      <w:r>
        <w:rPr>
          <w:rFonts w:hint="eastAsia" w:ascii="Times New Roman" w:hAnsi="Times New Roman"/>
          <w:b w:val="0"/>
          <w:bCs/>
          <w:color w:val="auto"/>
          <w:szCs w:val="32"/>
        </w:rPr>
        <w:t xml:space="preserve"> 重大危险源辨识</w:t>
      </w:r>
      <w:bookmarkEnd w:id="77"/>
      <w:bookmarkEnd w:id="80"/>
      <w:bookmarkEnd w:id="81"/>
      <w:bookmarkEnd w:id="82"/>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8</w:t>
      </w:r>
      <w:r>
        <w:rPr>
          <w:rFonts w:hint="eastAsia" w:eastAsia="黑体"/>
          <w:bCs/>
          <w:snapToGrid w:val="0"/>
          <w:color w:val="auto"/>
          <w:kern w:val="0"/>
          <w:sz w:val="28"/>
          <w:szCs w:val="28"/>
        </w:rPr>
        <w:t>.1 重大危险源辨识依据</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依据《危险化学品重大危险源辨识》（GB18218-2018）和《危险化学品重大危险源监督管理暂行规定》（安监总局令第40号，79号令修订）规定，危险化学品重大危险源、危险化学品和临界量的定义如下：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危险化学品重大危险源：指长期地或临时地生产、加工、使用或储存危险化学品，且危险化学品的数量等于或超过临界量的单元。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生产单元：危险化学品的生产、加工及使用的装置及设施，当装置及设施之间有切断阀时，以切断阀作为分隔界限划分为独立的单元。</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储存单元：用于储存危险化学品的储罐或仓库组成的相对独立的区域，储罐区以罐区防火堤为界限划分为独立的单元，仓库以独立库房（独立建筑物）为界限划分为独立的单元。</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临界量：指对于某种或某类危险化学品规定的数量，若单元中的危险化学品数量等于或超过该数量，则该单元定为重大危险源。</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依据《危险化学品重大危险源辨识》（GB18218-2018）</w:t>
      </w:r>
      <w:r>
        <w:rPr>
          <w:rFonts w:hint="default" w:ascii="Times New Roman" w:hAnsi="Times New Roman" w:cs="Times New Roman"/>
          <w:color w:val="auto"/>
          <w:sz w:val="28"/>
          <w:szCs w:val="28"/>
          <w:highlight w:val="none"/>
        </w:rPr>
        <w:t>第4.2.1生产单元、储存单元内存在危险化学品的数量等于或超过表1、表2</w:t>
      </w:r>
      <w:r>
        <w:rPr>
          <w:rFonts w:hint="default" w:ascii="Times New Roman" w:hAnsi="Times New Roman" w:cs="Times New Roman"/>
          <w:color w:val="000000"/>
          <w:sz w:val="28"/>
          <w:szCs w:val="28"/>
        </w:rPr>
        <w:t>规定的临界量，即被定为重大危险源。危险化学品的纯物质及其混合物应按GB 30000.2、GB 30000.3、GB 30000.4、GB30000.5、GB 30000.7、GB 30000.8、GB 30000.9、GB 30000.10、GB 30000.11、GB 30000.12、GB 30000.13、GB 30000.14、GB 30000.15、GB 30000.16、GB 30000.18的规定进行分类。</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单元内存在的危险化学品的数量根据处理危险化学品种类的多少区分为以下两种情况：</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eastAsia" w:cs="Times New Roman"/>
          <w:color w:val="000000"/>
          <w:sz w:val="28"/>
          <w:szCs w:val="28"/>
          <w:lang w:eastAsia="zh-CN"/>
        </w:rPr>
        <w:t>（</w:t>
      </w:r>
      <w:r>
        <w:rPr>
          <w:rFonts w:hint="eastAsia" w:cs="Times New Roman"/>
          <w:color w:val="000000"/>
          <w:sz w:val="28"/>
          <w:szCs w:val="28"/>
          <w:lang w:val="en-US" w:eastAsia="zh-CN"/>
        </w:rPr>
        <w:t>1</w:t>
      </w:r>
      <w:r>
        <w:rPr>
          <w:rFonts w:hint="eastAsia" w:cs="Times New Roman"/>
          <w:color w:val="000000"/>
          <w:sz w:val="28"/>
          <w:szCs w:val="28"/>
          <w:lang w:eastAsia="zh-CN"/>
        </w:rPr>
        <w:t>）</w:t>
      </w:r>
      <w:r>
        <w:rPr>
          <w:rFonts w:hint="default" w:ascii="Times New Roman" w:hAnsi="Times New Roman" w:cs="Times New Roman"/>
          <w:color w:val="000000"/>
          <w:sz w:val="28"/>
          <w:szCs w:val="28"/>
        </w:rPr>
        <w:t>生产单元、储存单元内存在的危险化学品为单一品种，则该危险化学品的数量即为单元内危险化学品的总量，若等于或超过相应的临界量，则定为危险化学品重大危险源；</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eastAsia" w:cs="Times New Roman"/>
          <w:color w:val="000000"/>
          <w:sz w:val="28"/>
          <w:szCs w:val="28"/>
          <w:lang w:eastAsia="zh-CN"/>
        </w:rPr>
        <w:t>（</w:t>
      </w:r>
      <w:r>
        <w:rPr>
          <w:rFonts w:hint="eastAsia" w:cs="Times New Roman"/>
          <w:color w:val="000000"/>
          <w:sz w:val="28"/>
          <w:szCs w:val="28"/>
          <w:lang w:val="en-US" w:eastAsia="zh-CN"/>
        </w:rPr>
        <w:t>2</w:t>
      </w:r>
      <w:r>
        <w:rPr>
          <w:rFonts w:hint="eastAsia" w:cs="Times New Roman"/>
          <w:color w:val="000000"/>
          <w:sz w:val="28"/>
          <w:szCs w:val="28"/>
          <w:lang w:eastAsia="zh-CN"/>
        </w:rPr>
        <w:t>）</w:t>
      </w:r>
      <w:r>
        <w:rPr>
          <w:rFonts w:hint="default" w:ascii="Times New Roman" w:hAnsi="Times New Roman" w:cs="Times New Roman"/>
          <w:color w:val="000000"/>
          <w:sz w:val="28"/>
          <w:szCs w:val="28"/>
        </w:rPr>
        <w:t>生产单元、储存单元内内存在的危险化学品为多品种时，则按下列公式计算，若满足下列公式，则定为危险化学品重大危险源。</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S=q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 xml:space="preserve"> + 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 xml:space="preserve"> + … + 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≥1     ……………①</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式中：</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S—辨识指标；</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—每种危险化学品实际存在量，单位为t；</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—与各危险化学品相对应的临界量，单位为t。</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8</w:t>
      </w:r>
      <w:r>
        <w:rPr>
          <w:rFonts w:hint="eastAsia" w:eastAsia="黑体"/>
          <w:bCs/>
          <w:snapToGrid w:val="0"/>
          <w:color w:val="auto"/>
          <w:kern w:val="0"/>
          <w:sz w:val="28"/>
          <w:szCs w:val="28"/>
        </w:rPr>
        <w:t>.2 重大危险源辨识过程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highlight w:val="none"/>
          <w:lang w:val="en-US" w:eastAsia="zh-CN"/>
        </w:rPr>
      </w:pPr>
      <w:r>
        <w:rPr>
          <w:rFonts w:hint="eastAsia"/>
          <w:color w:val="auto"/>
          <w:sz w:val="28"/>
          <w:szCs w:val="28"/>
          <w:highlight w:val="none"/>
          <w:lang w:eastAsia="zh-CN"/>
        </w:rPr>
        <w:t>海塔石油科技有限公司</w:t>
      </w:r>
      <w:r>
        <w:rPr>
          <w:rFonts w:hint="eastAsia"/>
          <w:color w:val="auto"/>
          <w:sz w:val="28"/>
          <w:szCs w:val="28"/>
          <w:highlight w:val="none"/>
          <w:lang w:val="en-US" w:eastAsia="zh-CN"/>
        </w:rPr>
        <w:t>作业</w:t>
      </w:r>
      <w:r>
        <w:rPr>
          <w:rFonts w:hint="eastAsia"/>
          <w:color w:val="auto"/>
          <w:sz w:val="28"/>
          <w:szCs w:val="28"/>
          <w:highlight w:val="none"/>
          <w:lang w:eastAsia="zh-CN"/>
        </w:rPr>
        <w:t>施工队，流动性很大，无固定的作业场所，从事的井下作业施工过程中，</w:t>
      </w:r>
      <w:r>
        <w:rPr>
          <w:rFonts w:hint="eastAsia"/>
          <w:color w:val="auto"/>
          <w:sz w:val="28"/>
          <w:szCs w:val="28"/>
          <w:highlight w:val="none"/>
          <w:lang w:val="en-US" w:eastAsia="zh-CN"/>
        </w:rPr>
        <w:t>不涉及危险化学品的储存，因此，储存单元不构成重大危险源。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highlight w:val="none"/>
          <w:lang w:val="en-US" w:eastAsia="zh-CN"/>
        </w:rPr>
      </w:pPr>
      <w:r>
        <w:rPr>
          <w:rFonts w:hint="eastAsia"/>
          <w:color w:val="auto"/>
          <w:sz w:val="28"/>
          <w:szCs w:val="28"/>
          <w:lang w:val="en-US" w:eastAsia="zh-CN"/>
        </w:rPr>
        <w:t>大修1队修井机的燃料为柴油，根据</w:t>
      </w:r>
      <w:r>
        <w:rPr>
          <w:rFonts w:hint="eastAsia"/>
          <w:color w:val="auto"/>
          <w:sz w:val="28"/>
          <w:szCs w:val="28"/>
          <w:lang w:eastAsia="zh-CN"/>
        </w:rPr>
        <w:t>《危险化学品重大危险源辨识》（GB18218-2018）</w:t>
      </w:r>
      <w:r>
        <w:rPr>
          <w:rFonts w:hint="eastAsia"/>
          <w:color w:val="auto"/>
          <w:sz w:val="28"/>
          <w:szCs w:val="28"/>
          <w:lang w:val="en-US" w:eastAsia="zh-CN"/>
        </w:rPr>
        <w:t>表2，柴油为易燃液体类别3，临界量为5000吨，修井机内柴油量远远小于临界量，</w:t>
      </w:r>
      <w:r>
        <w:rPr>
          <w:rFonts w:hint="eastAsia"/>
          <w:color w:val="auto"/>
          <w:sz w:val="28"/>
          <w:szCs w:val="28"/>
          <w:highlight w:val="none"/>
          <w:lang w:val="en-US" w:eastAsia="zh-CN"/>
        </w:rPr>
        <w:t>因此生产单元不构成重大危险源。</w:t>
      </w:r>
    </w:p>
    <w:p>
      <w:pPr>
        <w:keepNext/>
        <w:keepLines/>
        <w:pageBreakBefore w:val="0"/>
        <w:widowControl w:val="0"/>
        <w:kinsoku/>
        <w:wordWrap/>
        <w:overflowPunct/>
        <w:topLinePunct w:val="0"/>
        <w:autoSpaceDE/>
        <w:autoSpaceDN/>
        <w:bidi w:val="0"/>
        <w:adjustRightInd w:val="0"/>
        <w:snapToGrid w:val="0"/>
        <w:spacing w:line="360" w:lineRule="auto"/>
        <w:textAlignment w:val="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8</w:t>
      </w:r>
      <w:r>
        <w:rPr>
          <w:rFonts w:hint="eastAsia" w:eastAsia="黑体"/>
          <w:bCs/>
          <w:snapToGrid w:val="0"/>
          <w:color w:val="auto"/>
          <w:kern w:val="0"/>
          <w:sz w:val="28"/>
          <w:szCs w:val="28"/>
        </w:rPr>
        <w:t>.3 重大危险源辨识结果</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根据《危险化学品重大危险源辨识》（GB18218-2018）的有关规定，进行危险化学品重大危险源辨识可知：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lang w:eastAsia="zh-CN"/>
        </w:rPr>
        <w:t>海塔石油科技有限公司</w:t>
      </w:r>
      <w:r>
        <w:rPr>
          <w:rFonts w:hint="eastAsia"/>
          <w:color w:val="auto"/>
          <w:sz w:val="28"/>
          <w:szCs w:val="28"/>
        </w:rPr>
        <w:t>井下作业</w:t>
      </w:r>
      <w:r>
        <w:rPr>
          <w:rFonts w:hint="eastAsia"/>
          <w:color w:val="auto"/>
          <w:sz w:val="28"/>
          <w:szCs w:val="28"/>
          <w:lang w:eastAsia="zh-CN"/>
        </w:rPr>
        <w:t>：修井作业、井下复杂情况处理（打捞、堵漏）</w:t>
      </w:r>
      <w:r>
        <w:rPr>
          <w:rFonts w:hint="eastAsia"/>
          <w:color w:val="auto"/>
          <w:sz w:val="28"/>
          <w:szCs w:val="28"/>
        </w:rPr>
        <w:t>项目</w:t>
      </w:r>
      <w:r>
        <w:rPr>
          <w:rFonts w:hint="eastAsia"/>
          <w:color w:val="auto"/>
          <w:sz w:val="28"/>
          <w:szCs w:val="28"/>
          <w:lang w:val="en-US" w:eastAsia="zh-CN"/>
        </w:rPr>
        <w:t>未</w:t>
      </w:r>
      <w:r>
        <w:rPr>
          <w:rFonts w:hint="eastAsia"/>
          <w:color w:val="auto"/>
          <w:sz w:val="28"/>
          <w:szCs w:val="28"/>
        </w:rPr>
        <w:t>构成危险化学品重大危险源。</w:t>
      </w:r>
    </w:p>
    <w:p>
      <w:pPr>
        <w:pStyle w:val="4"/>
        <w:adjustRightInd w:val="0"/>
        <w:snapToGrid w:val="0"/>
        <w:spacing w:before="0" w:after="0" w:line="360" w:lineRule="auto"/>
        <w:rPr>
          <w:rFonts w:ascii="Times New Roman" w:hAnsi="Times New Roman"/>
          <w:b w:val="0"/>
          <w:bCs/>
          <w:color w:val="auto"/>
          <w:szCs w:val="32"/>
        </w:rPr>
      </w:pPr>
      <w:bookmarkStart w:id="83" w:name="_Toc447782521"/>
      <w:bookmarkStart w:id="84" w:name="_Toc281310745"/>
      <w:bookmarkStart w:id="85" w:name="_Toc329433803"/>
      <w:bookmarkStart w:id="86" w:name="_Toc30849"/>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9</w:t>
      </w:r>
      <w:r>
        <w:rPr>
          <w:rFonts w:hint="eastAsia" w:ascii="Times New Roman" w:hAnsi="Times New Roman"/>
          <w:b w:val="0"/>
          <w:bCs/>
          <w:color w:val="auto"/>
          <w:szCs w:val="32"/>
        </w:rPr>
        <w:t xml:space="preserve"> </w:t>
      </w:r>
      <w:bookmarkEnd w:id="83"/>
      <w:bookmarkEnd w:id="84"/>
      <w:bookmarkEnd w:id="85"/>
      <w:r>
        <w:rPr>
          <w:rFonts w:hint="default" w:ascii="Times New Roman" w:hAnsi="Times New Roman" w:cs="Times New Roman"/>
          <w:b w:val="0"/>
          <w:bCs/>
          <w:color w:val="auto"/>
          <w:szCs w:val="32"/>
          <w:lang w:eastAsia="zh-CN"/>
        </w:rPr>
        <w:t>事故案例分析</w:t>
      </w:r>
      <w:bookmarkEnd w:id="86"/>
    </w:p>
    <w:p>
      <w:pPr>
        <w:keepNext w:val="0"/>
        <w:keepLines w:val="0"/>
        <w:pageBreakBefore w:val="0"/>
        <w:widowControl w:val="0"/>
        <w:bidi w:val="0"/>
        <w:adjustRightInd w:val="0"/>
        <w:snapToGrid w:val="0"/>
        <w:spacing w:line="360" w:lineRule="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bookmarkStart w:id="87" w:name="_Toc21585"/>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w:t>
      </w:r>
      <w:r>
        <w:rPr>
          <w:rFonts w:hint="eastAsia" w:eastAsia="黑体" w:cs="Times New Roman"/>
          <w:bCs/>
          <w:snapToGrid w:val="0"/>
          <w:color w:val="000000" w:themeColor="text1"/>
          <w:kern w:val="0"/>
          <w:sz w:val="28"/>
          <w:szCs w:val="28"/>
          <w:lang w:val="en-US" w:eastAsia="zh-CN"/>
          <w14:textFill>
            <w14:solidFill>
              <w14:schemeClr w14:val="tx1"/>
            </w14:solidFill>
          </w14:textFill>
        </w:rPr>
        <w:t>9</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1</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 xml:space="preserve"> </w:t>
      </w:r>
      <w:bookmarkStart w:id="88" w:name="bookmark2"/>
      <w:bookmarkStart w:id="89" w:name="bookmark1"/>
      <w:bookmarkStart w:id="90" w:name="bookmark0"/>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起油管突发井喷爆燃死亡事故</w:t>
      </w:r>
      <w:bookmarkEnd w:id="88"/>
      <w:bookmarkEnd w:id="89"/>
      <w:bookmarkEnd w:id="90"/>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rPr>
        <w:t>一、事故经过</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rPr>
        <w:t>某年5月13</w:t>
      </w:r>
      <w:r>
        <w:rPr>
          <w:rFonts w:hint="eastAsia"/>
          <w:lang w:val="en-US" w:eastAsia="zh-CN"/>
        </w:rPr>
        <w:t>号</w:t>
      </w:r>
      <w:r>
        <w:rPr>
          <w:rFonts w:hint="eastAsia"/>
          <w:lang w:eastAsia="zh-CN"/>
        </w:rPr>
        <w:t>，</w:t>
      </w:r>
      <w:r>
        <w:rPr>
          <w:rFonts w:hint="default"/>
        </w:rPr>
        <w:t>某作业队在某井进行起油管作业施工。当起岀油管时，油套环形空间溢流出水。队长当即通知当班人员安装井口，做压井准备。5月14日0:10</w:t>
      </w:r>
      <w:r>
        <w:rPr>
          <w:rFonts w:hint="eastAsia"/>
          <w:lang w:eastAsia="zh-CN"/>
        </w:rPr>
        <w:t>，</w:t>
      </w:r>
      <w:r>
        <w:rPr>
          <w:rFonts w:hint="default"/>
        </w:rPr>
        <w:t>在安装井口过程中，井口突然涌岀油气水混合物，井场突然发生爆燃。现场施工人员被烧伤致死，一名当地村民被烧伤。</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rPr>
        <w:t>二、事故原因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rPr>
        <w:t>1</w:t>
      </w:r>
      <w:r>
        <w:rPr>
          <w:rFonts w:hint="eastAsia"/>
          <w:lang w:eastAsia="zh-CN"/>
        </w:rPr>
        <w:t>.</w:t>
      </w:r>
      <w:r>
        <w:rPr>
          <w:rFonts w:hint="default"/>
        </w:rPr>
        <w:t>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bookmarkStart w:id="91" w:name="bookmark3"/>
      <w:bookmarkEnd w:id="91"/>
      <w:r>
        <w:rPr>
          <w:rFonts w:hint="default"/>
        </w:rPr>
        <w:t>在起油管过程中，未按照施工设计要求安装防喷器，未向井筒灌注合适的压井液，使井内喷出物中天然气遇到修井机高温刹车片引起爆燃，是导致事故发生的直接原因。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bookmarkStart w:id="92" w:name="bookmark4"/>
      <w:bookmarkEnd w:id="92"/>
      <w:r>
        <w:rPr>
          <w:rFonts w:hint="default"/>
        </w:rPr>
        <w:t>村民在井场周围强行建房、在施工现场 强行拾落地油，是导致事故受伤人员增加的直接原因。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lang w:val="zh-CN" w:eastAsia="zh-CN"/>
        </w:rPr>
        <w:t>2</w:t>
      </w:r>
      <w:r>
        <w:rPr>
          <w:rFonts w:hint="eastAsia"/>
          <w:lang w:val="zh-CN" w:eastAsia="zh-CN"/>
        </w:rPr>
        <w:t>.</w:t>
      </w:r>
      <w:r>
        <w:rPr>
          <w:rFonts w:hint="default"/>
        </w:rPr>
        <w:t>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bookmarkStart w:id="93" w:name="bookmark5"/>
      <w:bookmarkEnd w:id="93"/>
      <w:r>
        <w:rPr>
          <w:rFonts w:hint="default"/>
        </w:rPr>
        <w:t>作业开工验收不合格，没有及时纠正未装防喷器的违章行为；制定的应急预案缺乏针对性，预见性不强；应急处置不当，当高含天然气的油气混合物喷出时，在没有安全保障条件下抢井口是导致事故发生的主要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bookmarkStart w:id="94" w:name="bookmark6"/>
      <w:bookmarkEnd w:id="94"/>
      <w:r>
        <w:rPr>
          <w:rFonts w:hint="default"/>
        </w:rPr>
        <w:t>地质设计没有提供本井原始底层压力、油气比、产气量等数据；工程设计没有提出动管柱前洗井工序；没有给施工单位提供符合安全条件的主要场所，开工验收关不严，是导致事故发生的重要原因。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bookmarkStart w:id="95" w:name="bookmark7"/>
      <w:bookmarkEnd w:id="95"/>
      <w:r>
        <w:rPr>
          <w:rFonts w:hint="default"/>
        </w:rPr>
        <w:t>职能部门及主管领导监督管理存在一定薄弱环节，对作业场所监督不到位，对各项井控、防火防爆制度、标准、规程落实不力，是导致事故发生的原因之一</w:t>
      </w:r>
      <w:r>
        <w:rPr>
          <w:rFonts w:hint="eastAsia"/>
          <w:lang w:eastAsia="zh-CN"/>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r>
        <w:rPr>
          <w:rFonts w:hint="eastAsia"/>
          <w:lang w:eastAsia="zh-CN"/>
        </w:rPr>
        <w:t>三、防范措施</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bookmarkStart w:id="96" w:name="bookmark8"/>
      <w:r>
        <w:rPr>
          <w:rFonts w:hint="eastAsia"/>
          <w:lang w:eastAsia="zh-CN"/>
        </w:rPr>
        <w:t>1</w:t>
      </w:r>
      <w:bookmarkEnd w:id="96"/>
      <w:r>
        <w:rPr>
          <w:rFonts w:hint="eastAsia"/>
          <w:lang w:eastAsia="zh-CN"/>
        </w:rPr>
        <w:t>.甲方单位作业监督应严格按照《井下作业井控管理规定》进行开工把关验收；地质方案设计审批应严格把关，在设计中不能留下隐患。</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bookmarkStart w:id="97" w:name="bookmark9"/>
      <w:r>
        <w:rPr>
          <w:rFonts w:hint="eastAsia"/>
          <w:lang w:eastAsia="zh-CN"/>
        </w:rPr>
        <w:t>2</w:t>
      </w:r>
      <w:bookmarkEnd w:id="97"/>
      <w:r>
        <w:rPr>
          <w:rFonts w:hint="eastAsia"/>
          <w:lang w:eastAsia="zh-CN"/>
        </w:rPr>
        <w:t>.施工作业单位应落实井控责任制，应对各项井控、防火防爆制度、标准、规程加强落实应向井筒内灌注适合的压井液。</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bookmarkStart w:id="98" w:name="bookmark10"/>
      <w:r>
        <w:rPr>
          <w:rFonts w:hint="eastAsia"/>
          <w:lang w:eastAsia="zh-CN"/>
        </w:rPr>
        <w:t>3</w:t>
      </w:r>
      <w:bookmarkEnd w:id="98"/>
      <w:r>
        <w:rPr>
          <w:rFonts w:hint="eastAsia"/>
          <w:lang w:eastAsia="zh-CN"/>
        </w:rPr>
        <w:t>.企业应对作业井控进行安全管理。要从井控设 计、现场设备安装验收、施工过程严格控制欲监督、紧急情况下应处置等各环节都不得存在 缺陷和问题，时刻给我们的安全作业敲响警钟。</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default" w:ascii="Times New Roman" w:hAnsi="Times New Roman" w:eastAsia="黑体" w:cs="Times New Roman"/>
          <w:bCs/>
          <w:snapToGrid w:val="0"/>
          <w:color w:val="000000" w:themeColor="text1"/>
          <w:kern w:val="0"/>
          <w:sz w:val="28"/>
          <w:szCs w:val="28"/>
          <w:lang w:eastAsia="zh-CN"/>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w:t>
      </w:r>
      <w:r>
        <w:rPr>
          <w:rFonts w:hint="eastAsia" w:eastAsia="黑体" w:cs="Times New Roman"/>
          <w:bCs/>
          <w:snapToGrid w:val="0"/>
          <w:color w:val="000000" w:themeColor="text1"/>
          <w:kern w:val="0"/>
          <w:sz w:val="28"/>
          <w:szCs w:val="28"/>
          <w:lang w:val="en-US" w:eastAsia="zh-CN"/>
          <w14:textFill>
            <w14:solidFill>
              <w14:schemeClr w14:val="tx1"/>
            </w14:solidFill>
          </w14:textFill>
        </w:rPr>
        <w:t>9</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2</w:t>
      </w:r>
      <w:r>
        <w:rPr>
          <w:rFonts w:hint="eastAsia" w:eastAsia="黑体" w:cs="Times New Roman"/>
          <w:bCs/>
          <w:snapToGrid w:val="0"/>
          <w:color w:val="000000" w:themeColor="text1"/>
          <w:kern w:val="0"/>
          <w:sz w:val="28"/>
          <w:szCs w:val="28"/>
          <w:lang w:val="en-US" w:eastAsia="zh-CN"/>
          <w14:textFill>
            <w14:solidFill>
              <w14:schemeClr w14:val="tx1"/>
            </w14:solidFill>
          </w14:textFill>
        </w:rPr>
        <w:t xml:space="preserve"> </w:t>
      </w:r>
      <w:r>
        <w:rPr>
          <w:rFonts w:hint="default" w:ascii="Times New Roman" w:hAnsi="Times New Roman" w:eastAsia="黑体" w:cs="Times New Roman"/>
          <w:bCs/>
          <w:snapToGrid w:val="0"/>
          <w:color w:val="000000" w:themeColor="text1"/>
          <w:kern w:val="0"/>
          <w:sz w:val="28"/>
          <w:szCs w:val="28"/>
          <w:lang w:eastAsia="zh-CN"/>
          <w14:textFill>
            <w14:solidFill>
              <w14:schemeClr w14:val="tx1"/>
            </w14:solidFill>
          </w14:textFill>
        </w:rPr>
        <w:t>井架倒塌伤亡事故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rPr>
        <w:t>一、事故经过</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bookmarkStart w:id="99" w:name="bookmark12"/>
      <w:bookmarkEnd w:id="99"/>
      <w:r>
        <w:rPr>
          <w:rFonts w:hint="eastAsia"/>
        </w:rPr>
        <w:t>1991年5月某日技校实习队在某井穿大绳施工；在立井架时右前绷绳缺一地锚，在没有采取如何安全措施的情况下带班干部周某组织穿大绳，井架工李某系好安全带并按要求固定好。搬家时游动滑车放到离井口一侧约2米左右，将大绳从天车上引下大绳后，用单股大绳拴在游动滑车吊耳处</w:t>
      </w:r>
      <w:r>
        <w:rPr>
          <w:rFonts w:hint="eastAsia"/>
          <w:lang w:eastAsia="zh-CN"/>
        </w:rPr>
        <w:t>，</w:t>
      </w:r>
      <w:r>
        <w:rPr>
          <w:rFonts w:hint="eastAsia"/>
        </w:rPr>
        <w:t>将游动滑车吊起放到离井口近一点，在吊起游动滑车时，由于井架右前绷绳缺一地锚，井架受力不均，井架突然向左侧倾斜导致井架倒塌事故，井架工从井架甩出，送往医院经抢救无效死亡。</w:t>
      </w:r>
    </w:p>
    <w:p>
      <w:pPr>
        <w:pStyle w:val="2"/>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rPr>
        <w:t>事故原因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r>
        <w:rPr>
          <w:rFonts w:hint="eastAsia"/>
          <w:lang w:val="en-US" w:eastAsia="zh-CN"/>
        </w:rPr>
        <w:t>1.</w:t>
      </w:r>
      <w:r>
        <w:rPr>
          <w:rFonts w:hint="eastAsia"/>
        </w:rPr>
        <w:t>安装队立起井架后带班干部明知道井架右前绷绳缺一地锚，在没有采取任何安全措施的情况下组织施工，是造成事故的直接原因</w:t>
      </w:r>
      <w:bookmarkStart w:id="100" w:name="bookmark14"/>
      <w:bookmarkEnd w:id="100"/>
      <w:r>
        <w:rPr>
          <w:rFonts w:hint="eastAsia"/>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lang w:val="en-US" w:eastAsia="zh-CN"/>
        </w:rPr>
        <w:t>2.</w:t>
      </w:r>
      <w:r>
        <w:rPr>
          <w:rFonts w:hint="eastAsia"/>
        </w:rPr>
        <w:t>在组织施工前，带班干部没有召开安全会，没有提出穿大绳安全措施和安全注意事项，没有进行安全风险评估，盲目施工，是造成事故的主要原因。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bookmarkStart w:id="101" w:name="bookmark15"/>
      <w:bookmarkEnd w:id="101"/>
      <w:r>
        <w:rPr>
          <w:rFonts w:hint="eastAsia"/>
        </w:rPr>
        <w:t>3</w:t>
      </w:r>
      <w:r>
        <w:rPr>
          <w:rFonts w:hint="eastAsia"/>
          <w:lang w:eastAsia="zh-CN"/>
        </w:rPr>
        <w:t>.</w:t>
      </w:r>
      <w:r>
        <w:rPr>
          <w:rFonts w:hint="eastAsia"/>
        </w:rPr>
        <w:t>带班干部安全意识淡薄，作业人员没有按照《井下作业安全规范》组织施工，是造成事故的重要原因。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bookmarkStart w:id="102" w:name="bookmark16"/>
      <w:bookmarkEnd w:id="102"/>
      <w:r>
        <w:rPr>
          <w:rFonts w:hint="eastAsia"/>
          <w:lang w:val="en-US" w:eastAsia="zh-CN"/>
        </w:rPr>
        <w:t>4.</w:t>
      </w:r>
      <w:r>
        <w:rPr>
          <w:rFonts w:hint="eastAsia"/>
        </w:rPr>
        <w:t>事故发生后，带班干部周某意识到事故的严重性，在交接班记录上重新补上安全会记录，死者的同学向上级领导反应了这一情况，是整个事故发生了质的变化，由正常的工业死亡事故转化为责任事故。</w:t>
      </w:r>
    </w:p>
    <w:p>
      <w:pPr>
        <w:pStyle w:val="2"/>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rPr>
        <w:t>防范措施</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rPr>
        <w:t>1</w:t>
      </w:r>
      <w:r>
        <w:rPr>
          <w:rFonts w:hint="eastAsia"/>
          <w:lang w:eastAsia="zh-CN"/>
        </w:rPr>
        <w:t>.</w:t>
      </w:r>
      <w:r>
        <w:rPr>
          <w:rFonts w:hint="eastAsia"/>
        </w:rPr>
        <w:t>带班干部安全意识淡薄，作业人员应严格按安全操作规程，杜绝违章作业。</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bookmarkStart w:id="103" w:name="bookmark18"/>
      <w:bookmarkEnd w:id="103"/>
      <w:r>
        <w:rPr>
          <w:rFonts w:hint="eastAsia"/>
        </w:rPr>
        <w:t>2</w:t>
      </w:r>
      <w:r>
        <w:rPr>
          <w:rFonts w:hint="eastAsia"/>
          <w:lang w:eastAsia="zh-CN"/>
        </w:rPr>
        <w:t>.</w:t>
      </w:r>
      <w:r>
        <w:rPr>
          <w:rFonts w:hint="eastAsia"/>
        </w:rPr>
        <w:t>强化安全教育培训</w:t>
      </w:r>
      <w:r>
        <w:rPr>
          <w:rFonts w:hint="eastAsia"/>
          <w:lang w:eastAsia="zh-CN"/>
        </w:rPr>
        <w:t>，</w:t>
      </w:r>
      <w:r>
        <w:rPr>
          <w:rFonts w:hint="eastAsia"/>
        </w:rPr>
        <w:t>增强现场施工人员的安全意识，提高自我保护能力。</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b w:val="0"/>
          <w:color w:val="000000"/>
          <w:kern w:val="2"/>
          <w:sz w:val="28"/>
          <w:szCs w:val="28"/>
          <w:lang w:val="en-US" w:eastAsia="zh-CN" w:bidi="ar-SA"/>
        </w:rPr>
      </w:pPr>
      <w:bookmarkStart w:id="104" w:name="bookmark19"/>
      <w:bookmarkEnd w:id="104"/>
      <w:r>
        <w:rPr>
          <w:rFonts w:hint="eastAsia" w:ascii="Times New Roman" w:hAnsi="Times New Roman" w:eastAsia="宋体" w:cs="Times New Roman"/>
          <w:b w:val="0"/>
          <w:color w:val="000000"/>
          <w:kern w:val="2"/>
          <w:sz w:val="28"/>
          <w:szCs w:val="28"/>
          <w:lang w:val="en-US" w:eastAsia="zh-CN" w:bidi="ar-SA"/>
        </w:rPr>
        <w:t>3</w:t>
      </w:r>
      <w:r>
        <w:rPr>
          <w:rFonts w:hint="eastAsia" w:cs="Times New Roman"/>
          <w:b w:val="0"/>
          <w:color w:val="000000"/>
          <w:kern w:val="2"/>
          <w:sz w:val="28"/>
          <w:szCs w:val="28"/>
          <w:lang w:val="en-US" w:eastAsia="zh-CN" w:bidi="ar-SA"/>
        </w:rPr>
        <w:t>.</w:t>
      </w:r>
      <w:r>
        <w:rPr>
          <w:rFonts w:hint="eastAsia" w:ascii="Times New Roman" w:hAnsi="Times New Roman" w:eastAsia="宋体" w:cs="Times New Roman"/>
          <w:b w:val="0"/>
          <w:color w:val="000000"/>
          <w:kern w:val="2"/>
          <w:sz w:val="28"/>
          <w:szCs w:val="28"/>
          <w:lang w:val="en-US" w:eastAsia="zh-CN" w:bidi="ar-SA"/>
        </w:rPr>
        <w:t>施工前及时召开班前安全会，提岀安全防范措施，特殊施工作业现场进行技术交底，制定安全防范措施和风险评估。</w:t>
      </w:r>
    </w:p>
    <w:p>
      <w:pPr>
        <w:pStyle w:val="4"/>
        <w:adjustRightInd w:val="0"/>
        <w:snapToGrid w:val="0"/>
        <w:spacing w:before="0" w:after="0" w:line="360" w:lineRule="auto"/>
        <w:rPr>
          <w:rFonts w:hint="eastAsia" w:ascii="Times New Roman" w:hAnsi="Times New Roman"/>
          <w:b w:val="0"/>
          <w:bCs/>
          <w:color w:val="auto"/>
          <w:szCs w:val="32"/>
        </w:rPr>
      </w:pPr>
      <w:bookmarkStart w:id="105" w:name="_Toc21555"/>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10</w:t>
      </w:r>
      <w:r>
        <w:rPr>
          <w:rFonts w:hint="eastAsia" w:ascii="Times New Roman" w:hAnsi="Times New Roman"/>
          <w:b w:val="0"/>
          <w:bCs/>
          <w:color w:val="auto"/>
          <w:szCs w:val="32"/>
        </w:rPr>
        <w:t xml:space="preserve"> 主要危险、有害因素分析结论</w:t>
      </w:r>
      <w:bookmarkEnd w:id="87"/>
      <w:bookmarkEnd w:id="105"/>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70C0"/>
          <w:sz w:val="28"/>
          <w:szCs w:val="28"/>
        </w:rPr>
      </w:pPr>
      <w:r>
        <w:rPr>
          <w:rFonts w:hint="eastAsia"/>
          <w:color w:val="auto"/>
          <w:sz w:val="28"/>
          <w:szCs w:val="28"/>
          <w:lang w:eastAsia="zh-CN"/>
        </w:rPr>
        <w:t>海塔石油科技有限公司</w:t>
      </w:r>
      <w:r>
        <w:rPr>
          <w:rFonts w:hint="eastAsia"/>
          <w:color w:val="auto"/>
          <w:sz w:val="28"/>
          <w:szCs w:val="28"/>
        </w:rPr>
        <w:t>井下作业</w:t>
      </w:r>
      <w:r>
        <w:rPr>
          <w:rFonts w:hint="eastAsia"/>
          <w:color w:val="auto"/>
          <w:sz w:val="28"/>
          <w:szCs w:val="28"/>
          <w:lang w:eastAsia="zh-CN"/>
        </w:rPr>
        <w:t>：大修作业、井下复杂情况处理（打捞、堵漏）</w:t>
      </w:r>
      <w:r>
        <w:rPr>
          <w:rFonts w:hint="eastAsia"/>
          <w:color w:val="auto"/>
          <w:sz w:val="28"/>
          <w:szCs w:val="28"/>
        </w:rPr>
        <w:t>过程中，涉及的主要危险、有害物质有：原油、天然气、硫化氢、柴油、</w:t>
      </w:r>
      <w:r>
        <w:rPr>
          <w:rFonts w:hint="eastAsia"/>
          <w:color w:val="auto"/>
          <w:sz w:val="28"/>
          <w:szCs w:val="28"/>
          <w:lang w:eastAsia="zh-CN"/>
        </w:rPr>
        <w:t>化学助剂（封堵剂）</w:t>
      </w:r>
      <w:r>
        <w:rPr>
          <w:rFonts w:hint="eastAsia"/>
          <w:color w:val="auto"/>
          <w:sz w:val="28"/>
          <w:szCs w:val="28"/>
        </w:rPr>
        <w:t>等。</w:t>
      </w:r>
    </w:p>
    <w:p>
      <w:pPr>
        <w:adjustRightInd w:val="0"/>
        <w:snapToGrid w:val="0"/>
        <w:spacing w:line="360" w:lineRule="auto"/>
        <w:ind w:firstLine="560" w:firstLineChars="200"/>
        <w:rPr>
          <w:color w:val="auto"/>
          <w:sz w:val="28"/>
          <w:szCs w:val="28"/>
        </w:rPr>
      </w:pPr>
      <w:r>
        <w:rPr>
          <w:rFonts w:hint="eastAsia"/>
          <w:color w:val="auto"/>
          <w:sz w:val="28"/>
          <w:szCs w:val="28"/>
        </w:rPr>
        <w:t>主要危险因素主要有：火灾爆炸、井喷及井喷失控、中毒</w:t>
      </w:r>
      <w:r>
        <w:rPr>
          <w:rFonts w:hint="eastAsia"/>
          <w:color w:val="auto"/>
          <w:sz w:val="28"/>
          <w:szCs w:val="28"/>
          <w:lang w:val="en-US" w:eastAsia="zh-CN"/>
        </w:rPr>
        <w:t>和</w:t>
      </w:r>
      <w:r>
        <w:rPr>
          <w:rFonts w:hint="eastAsia"/>
          <w:color w:val="auto"/>
          <w:sz w:val="28"/>
          <w:szCs w:val="28"/>
        </w:rPr>
        <w:t>窒息、物体打击、机械伤害、触电、</w:t>
      </w:r>
      <w:r>
        <w:rPr>
          <w:rFonts w:hint="eastAsia"/>
          <w:color w:val="auto"/>
          <w:sz w:val="28"/>
          <w:szCs w:val="28"/>
          <w:lang w:val="en-US" w:eastAsia="zh-CN"/>
        </w:rPr>
        <w:t>高处坠落、坍塌、起重伤害、</w:t>
      </w:r>
      <w:r>
        <w:rPr>
          <w:rFonts w:hint="eastAsia"/>
          <w:color w:val="auto"/>
          <w:sz w:val="28"/>
          <w:szCs w:val="28"/>
        </w:rPr>
        <w:t>车辆伤害等。</w:t>
      </w:r>
    </w:p>
    <w:p>
      <w:pPr>
        <w:adjustRightInd w:val="0"/>
        <w:snapToGrid w:val="0"/>
        <w:spacing w:line="360" w:lineRule="auto"/>
        <w:ind w:firstLine="560" w:firstLineChars="200"/>
        <w:rPr>
          <w:color w:val="auto"/>
          <w:sz w:val="28"/>
          <w:szCs w:val="28"/>
        </w:rPr>
      </w:pPr>
      <w:r>
        <w:rPr>
          <w:rFonts w:hint="eastAsia"/>
          <w:color w:val="auto"/>
          <w:sz w:val="28"/>
          <w:szCs w:val="28"/>
        </w:rPr>
        <w:t>主要有害因素有：噪声危害</w:t>
      </w:r>
      <w:r>
        <w:rPr>
          <w:rFonts w:hint="eastAsia"/>
          <w:color w:val="auto"/>
          <w:sz w:val="28"/>
          <w:szCs w:val="28"/>
          <w:lang w:eastAsia="zh-CN"/>
        </w:rPr>
        <w:t>、</w:t>
      </w:r>
      <w:r>
        <w:rPr>
          <w:rFonts w:hint="eastAsia"/>
          <w:color w:val="auto"/>
          <w:sz w:val="28"/>
          <w:szCs w:val="28"/>
        </w:rPr>
        <w:t>毒物危害</w:t>
      </w:r>
      <w:r>
        <w:rPr>
          <w:rFonts w:hint="eastAsia"/>
          <w:color w:val="auto"/>
          <w:sz w:val="28"/>
          <w:szCs w:val="28"/>
          <w:lang w:val="en-US" w:eastAsia="zh-CN"/>
        </w:rPr>
        <w:t>和振动危害</w:t>
      </w:r>
      <w:r>
        <w:rPr>
          <w:rFonts w:hint="eastAsia"/>
          <w:color w:val="auto"/>
          <w:sz w:val="28"/>
          <w:szCs w:val="28"/>
        </w:rPr>
        <w:t>。</w:t>
      </w:r>
    </w:p>
    <w:p>
      <w:pPr>
        <w:adjustRightInd w:val="0"/>
        <w:snapToGrid w:val="0"/>
        <w:spacing w:line="360" w:lineRule="auto"/>
        <w:ind w:firstLine="560" w:firstLineChars="200"/>
        <w:rPr>
          <w:color w:val="auto"/>
          <w:sz w:val="28"/>
          <w:szCs w:val="28"/>
        </w:rPr>
      </w:pPr>
      <w:r>
        <w:rPr>
          <w:rFonts w:hint="eastAsia"/>
          <w:color w:val="auto"/>
          <w:sz w:val="28"/>
          <w:szCs w:val="28"/>
        </w:rPr>
        <w:t>自然灾害有：雷电袭击、大风、</w:t>
      </w:r>
      <w:r>
        <w:rPr>
          <w:rFonts w:hint="eastAsia"/>
          <w:color w:val="auto"/>
          <w:sz w:val="28"/>
          <w:szCs w:val="28"/>
          <w:lang w:val="en-US" w:eastAsia="zh-CN"/>
        </w:rPr>
        <w:t>暴雨、</w:t>
      </w:r>
      <w:r>
        <w:rPr>
          <w:rFonts w:hint="eastAsia"/>
          <w:color w:val="auto"/>
          <w:sz w:val="28"/>
          <w:szCs w:val="28"/>
        </w:rPr>
        <w:t>高温、低温、地震灾害等。</w:t>
      </w:r>
    </w:p>
    <w:p>
      <w:pPr>
        <w:adjustRightInd w:val="0"/>
        <w:snapToGrid w:val="0"/>
        <w:spacing w:line="360" w:lineRule="auto"/>
        <w:ind w:firstLine="560" w:firstLineChars="200"/>
        <w:rPr>
          <w:color w:val="auto"/>
          <w:sz w:val="28"/>
          <w:szCs w:val="28"/>
        </w:rPr>
      </w:pPr>
      <w:r>
        <w:rPr>
          <w:rFonts w:hint="eastAsia"/>
          <w:color w:val="auto"/>
          <w:sz w:val="28"/>
          <w:szCs w:val="28"/>
          <w:lang w:eastAsia="zh-CN"/>
        </w:rPr>
        <w:t>海塔石油科技有限公司</w:t>
      </w:r>
      <w:r>
        <w:rPr>
          <w:rFonts w:hint="eastAsia"/>
          <w:color w:val="auto"/>
          <w:sz w:val="28"/>
          <w:szCs w:val="28"/>
        </w:rPr>
        <w:t>井下作业</w:t>
      </w:r>
      <w:r>
        <w:rPr>
          <w:rFonts w:hint="eastAsia"/>
          <w:color w:val="auto"/>
          <w:sz w:val="28"/>
          <w:szCs w:val="28"/>
          <w:lang w:eastAsia="zh-CN"/>
        </w:rPr>
        <w:t>：大修作业、井下复杂情况处理（打捞、堵漏）</w:t>
      </w:r>
      <w:r>
        <w:rPr>
          <w:rFonts w:hint="eastAsia"/>
          <w:color w:val="auto"/>
          <w:sz w:val="28"/>
          <w:szCs w:val="28"/>
        </w:rPr>
        <w:t>项目</w:t>
      </w:r>
      <w:r>
        <w:rPr>
          <w:rFonts w:hint="eastAsia"/>
          <w:color w:val="auto"/>
          <w:sz w:val="28"/>
          <w:szCs w:val="28"/>
          <w:lang w:val="en-US" w:eastAsia="zh-CN"/>
        </w:rPr>
        <w:t>未</w:t>
      </w:r>
      <w:r>
        <w:rPr>
          <w:rFonts w:hint="eastAsia"/>
          <w:color w:val="auto"/>
          <w:sz w:val="28"/>
          <w:szCs w:val="28"/>
        </w:rPr>
        <w:t>构成危险化学品重大危险源。</w:t>
      </w:r>
    </w:p>
    <w:p>
      <w:pPr>
        <w:adjustRightInd w:val="0"/>
        <w:snapToGrid w:val="0"/>
        <w:spacing w:line="360" w:lineRule="auto"/>
        <w:ind w:firstLine="560" w:firstLineChars="200"/>
        <w:rPr>
          <w:color w:val="0070C0"/>
          <w:sz w:val="28"/>
          <w:szCs w:val="28"/>
        </w:rPr>
      </w:pPr>
    </w:p>
    <w:p>
      <w:pPr>
        <w:adjustRightInd w:val="0"/>
        <w:snapToGrid w:val="0"/>
        <w:spacing w:line="360" w:lineRule="auto"/>
        <w:rPr>
          <w:color w:val="0070C0"/>
          <w:sz w:val="28"/>
          <w:szCs w:val="28"/>
        </w:rPr>
        <w:sectPr>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bookmarkEnd w:id="14"/>
    <w:bookmarkEnd w:id="15"/>
    <w:bookmarkEnd w:id="16"/>
    <w:bookmarkEnd w:id="17"/>
    <w:bookmarkEnd w:id="23"/>
    <w:p>
      <w:pPr>
        <w:pStyle w:val="3"/>
        <w:adjustRightInd w:val="0"/>
        <w:snapToGrid w:val="0"/>
        <w:spacing w:line="360" w:lineRule="auto"/>
        <w:rPr>
          <w:rFonts w:eastAsia="楷体_GB2312"/>
          <w:b/>
          <w:color w:val="auto"/>
          <w:sz w:val="36"/>
          <w:szCs w:val="36"/>
        </w:rPr>
      </w:pPr>
      <w:bookmarkStart w:id="106" w:name="_Toc202759432"/>
      <w:bookmarkStart w:id="107" w:name="_Toc1916"/>
      <w:bookmarkStart w:id="108" w:name="_Toc298756206"/>
      <w:bookmarkStart w:id="109" w:name="_Toc291144373"/>
      <w:bookmarkStart w:id="110" w:name="_Toc215277173"/>
      <w:bookmarkStart w:id="111" w:name="_Toc244964631"/>
      <w:bookmarkStart w:id="112" w:name="_Toc281310747"/>
      <w:r>
        <w:rPr>
          <w:rFonts w:hint="eastAsia" w:eastAsia="楷体_GB2312"/>
          <w:b/>
          <w:color w:val="auto"/>
          <w:sz w:val="36"/>
          <w:szCs w:val="36"/>
        </w:rPr>
        <w:t>4</w:t>
      </w:r>
      <w:r>
        <w:rPr>
          <w:rFonts w:eastAsia="楷体_GB2312"/>
          <w:b/>
          <w:color w:val="auto"/>
          <w:sz w:val="36"/>
          <w:szCs w:val="36"/>
        </w:rPr>
        <w:t xml:space="preserve"> </w:t>
      </w:r>
      <w:r>
        <w:rPr>
          <w:rFonts w:hint="eastAsia" w:ascii="宋体" w:hAnsi="宋体" w:eastAsia="宋体" w:cs="宋体"/>
          <w:b/>
          <w:color w:val="auto"/>
          <w:sz w:val="36"/>
          <w:szCs w:val="36"/>
        </w:rPr>
        <w:t>评价单元划分</w:t>
      </w:r>
      <w:bookmarkEnd w:id="106"/>
      <w:r>
        <w:rPr>
          <w:rFonts w:hint="eastAsia" w:ascii="宋体" w:hAnsi="宋体" w:eastAsia="宋体" w:cs="宋体"/>
          <w:b/>
          <w:color w:val="auto"/>
          <w:sz w:val="36"/>
          <w:szCs w:val="36"/>
        </w:rPr>
        <w:t>及评价方法选择</w:t>
      </w:r>
      <w:bookmarkEnd w:id="107"/>
      <w:bookmarkEnd w:id="108"/>
      <w:bookmarkEnd w:id="109"/>
      <w:bookmarkEnd w:id="110"/>
      <w:bookmarkEnd w:id="111"/>
    </w:p>
    <w:p>
      <w:pPr>
        <w:pStyle w:val="4"/>
        <w:adjustRightInd w:val="0"/>
        <w:snapToGrid w:val="0"/>
        <w:spacing w:before="0" w:after="0" w:line="360" w:lineRule="auto"/>
        <w:rPr>
          <w:rFonts w:ascii="Times New Roman" w:hAnsi="Times New Roman"/>
          <w:b w:val="0"/>
          <w:bCs/>
          <w:color w:val="auto"/>
          <w:szCs w:val="32"/>
        </w:rPr>
      </w:pPr>
      <w:bookmarkStart w:id="113" w:name="_Toc215277174"/>
      <w:bookmarkStart w:id="114" w:name="_Toc298756207"/>
      <w:bookmarkStart w:id="115" w:name="_Toc19447"/>
      <w:bookmarkStart w:id="116" w:name="_Toc291144374"/>
      <w:bookmarkStart w:id="117" w:name="_Toc244964632"/>
      <w:r>
        <w:rPr>
          <w:rFonts w:hint="eastAsia" w:ascii="Times New Roman" w:hAnsi="Times New Roman"/>
          <w:b w:val="0"/>
          <w:bCs/>
          <w:color w:val="auto"/>
          <w:szCs w:val="32"/>
        </w:rPr>
        <w:t>4.1</w:t>
      </w:r>
      <w:r>
        <w:rPr>
          <w:rFonts w:ascii="Times New Roman" w:hAnsi="Times New Roman"/>
          <w:b w:val="0"/>
          <w:bCs/>
          <w:color w:val="auto"/>
          <w:szCs w:val="32"/>
        </w:rPr>
        <w:t xml:space="preserve"> </w:t>
      </w:r>
      <w:r>
        <w:rPr>
          <w:rFonts w:hint="eastAsia" w:ascii="Times New Roman" w:hAnsi="Times New Roman"/>
          <w:b w:val="0"/>
          <w:bCs/>
          <w:color w:val="auto"/>
          <w:szCs w:val="32"/>
        </w:rPr>
        <w:t>评价单元划分</w:t>
      </w:r>
      <w:bookmarkEnd w:id="113"/>
      <w:bookmarkEnd w:id="114"/>
      <w:bookmarkEnd w:id="115"/>
      <w:bookmarkEnd w:id="116"/>
      <w:bookmarkEnd w:id="117"/>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4.1.1</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划分原则</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评价单元是指在对工程危险、有害因素进行分析的基础上，根据评价目标和评价方法的需要，将整个系统划分成若干个有限的确定范围而分别进行评价的相对独立的装置、设施和场所。</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划分评价单元的一般性原则是按生产工艺功能、生产设施设备相对独立空间、危险有害因素类别及事故范围划分评价单元，使评价单元相对独立，具有明显特征界限。</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常用的评价单元的划分原则有：</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1</w:t>
      </w:r>
      <w:r>
        <w:rPr>
          <w:rFonts w:hint="eastAsia"/>
          <w:snapToGrid w:val="0"/>
          <w:color w:val="auto"/>
          <w:kern w:val="0"/>
          <w:sz w:val="28"/>
          <w:lang w:eastAsia="zh-CN"/>
        </w:rPr>
        <w:t>.</w:t>
      </w:r>
      <w:r>
        <w:rPr>
          <w:rFonts w:hint="eastAsia"/>
          <w:snapToGrid w:val="0"/>
          <w:color w:val="auto"/>
          <w:kern w:val="0"/>
          <w:sz w:val="28"/>
        </w:rPr>
        <w:t>以危险、有害因素的类别为主划分；</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2</w:t>
      </w:r>
      <w:r>
        <w:rPr>
          <w:rFonts w:hint="eastAsia"/>
          <w:snapToGrid w:val="0"/>
          <w:color w:val="auto"/>
          <w:kern w:val="0"/>
          <w:sz w:val="28"/>
          <w:lang w:eastAsia="zh-CN"/>
        </w:rPr>
        <w:t>.</w:t>
      </w:r>
      <w:r>
        <w:rPr>
          <w:rFonts w:hint="eastAsia"/>
          <w:snapToGrid w:val="0"/>
          <w:color w:val="auto"/>
          <w:kern w:val="0"/>
          <w:sz w:val="28"/>
        </w:rPr>
        <w:t>以装置和物质的特性划分。</w:t>
      </w:r>
    </w:p>
    <w:p>
      <w:pPr>
        <w:adjustRightInd w:val="0"/>
        <w:snapToGrid w:val="0"/>
        <w:spacing w:line="360" w:lineRule="auto"/>
        <w:ind w:firstLine="560" w:firstLineChars="200"/>
        <w:rPr>
          <w:snapToGrid w:val="0"/>
          <w:color w:val="0070C0"/>
          <w:kern w:val="0"/>
          <w:sz w:val="28"/>
        </w:rPr>
      </w:pPr>
      <w:r>
        <w:rPr>
          <w:rFonts w:hint="eastAsia"/>
          <w:snapToGrid w:val="0"/>
          <w:color w:val="auto"/>
          <w:kern w:val="0"/>
          <w:sz w:val="28"/>
        </w:rPr>
        <w:t>通过对</w:t>
      </w:r>
      <w:r>
        <w:rPr>
          <w:rFonts w:hint="eastAsia"/>
          <w:snapToGrid w:val="0"/>
          <w:color w:val="auto"/>
          <w:kern w:val="0"/>
          <w:sz w:val="28"/>
          <w:lang w:eastAsia="zh-CN"/>
        </w:rPr>
        <w:t>海塔石油科技有限公司</w:t>
      </w:r>
      <w:r>
        <w:rPr>
          <w:rFonts w:hint="eastAsia"/>
          <w:snapToGrid w:val="0"/>
          <w:color w:val="auto"/>
          <w:kern w:val="0"/>
          <w:sz w:val="28"/>
        </w:rPr>
        <w:t>生产过程中的危险、有害因素分析，结合本</w:t>
      </w:r>
      <w:r>
        <w:rPr>
          <w:rFonts w:hint="eastAsia"/>
          <w:snapToGrid w:val="0"/>
          <w:color w:val="auto"/>
          <w:kern w:val="0"/>
          <w:sz w:val="28"/>
          <w:lang w:eastAsia="zh-CN"/>
        </w:rPr>
        <w:t>项目</w:t>
      </w:r>
      <w:r>
        <w:rPr>
          <w:rFonts w:hint="eastAsia"/>
          <w:snapToGrid w:val="0"/>
          <w:color w:val="auto"/>
          <w:kern w:val="0"/>
          <w:sz w:val="28"/>
        </w:rPr>
        <w:t>的特点和具体情况，本次评价按</w:t>
      </w:r>
      <w:r>
        <w:rPr>
          <w:rFonts w:hint="eastAsia"/>
          <w:snapToGrid w:val="0"/>
          <w:color w:val="auto"/>
          <w:kern w:val="0"/>
          <w:sz w:val="28"/>
          <w:lang w:eastAsia="zh-CN"/>
        </w:rPr>
        <w:t>生产和安全管理</w:t>
      </w:r>
      <w:r>
        <w:rPr>
          <w:rFonts w:hint="eastAsia"/>
          <w:snapToGrid w:val="0"/>
          <w:color w:val="auto"/>
          <w:kern w:val="0"/>
          <w:sz w:val="28"/>
        </w:rPr>
        <w:t>，兼顾危险、有害因素的特性等进行评价单元的划分。</w:t>
      </w:r>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4.1.2</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划分评价单元</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根据</w:t>
      </w:r>
      <w:r>
        <w:rPr>
          <w:rFonts w:hint="eastAsia"/>
          <w:snapToGrid w:val="0"/>
          <w:color w:val="auto"/>
          <w:kern w:val="0"/>
          <w:sz w:val="28"/>
          <w:lang w:eastAsia="zh-CN"/>
        </w:rPr>
        <w:t>海塔石油科技有限公司</w:t>
      </w:r>
      <w:r>
        <w:rPr>
          <w:rFonts w:hint="eastAsia"/>
          <w:snapToGrid w:val="0"/>
          <w:color w:val="auto"/>
          <w:kern w:val="0"/>
          <w:sz w:val="28"/>
        </w:rPr>
        <w:t>的实际情况和安全现状评价的需要，本次评价划分为以下2个评价单元进行评价：</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1</w:t>
      </w:r>
      <w:r>
        <w:rPr>
          <w:rFonts w:hint="eastAsia"/>
          <w:snapToGrid w:val="0"/>
          <w:color w:val="auto"/>
          <w:kern w:val="0"/>
          <w:sz w:val="28"/>
          <w:lang w:eastAsia="zh-CN"/>
        </w:rPr>
        <w:t>.</w:t>
      </w:r>
      <w:r>
        <w:rPr>
          <w:rFonts w:hint="eastAsia"/>
          <w:snapToGrid w:val="0"/>
          <w:color w:val="auto"/>
          <w:kern w:val="0"/>
          <w:sz w:val="28"/>
        </w:rPr>
        <w:t>生产单元（主要针对</w:t>
      </w:r>
      <w:r>
        <w:rPr>
          <w:rFonts w:hint="eastAsia"/>
          <w:snapToGrid w:val="0"/>
          <w:color w:val="auto"/>
          <w:kern w:val="0"/>
          <w:sz w:val="28"/>
          <w:lang w:eastAsia="zh-CN"/>
        </w:rPr>
        <w:t>海塔石油科技有限公司</w:t>
      </w:r>
      <w:r>
        <w:rPr>
          <w:rFonts w:hint="eastAsia"/>
          <w:snapToGrid w:val="0"/>
          <w:color w:val="auto"/>
          <w:kern w:val="0"/>
          <w:sz w:val="28"/>
          <w:lang w:val="en-US" w:eastAsia="zh-CN"/>
        </w:rPr>
        <w:t>井下作业：大修作业、井下复杂情况处理</w:t>
      </w:r>
      <w:r>
        <w:rPr>
          <w:rFonts w:hint="eastAsia"/>
          <w:snapToGrid w:val="0"/>
          <w:color w:val="auto"/>
          <w:kern w:val="0"/>
          <w:sz w:val="28"/>
        </w:rPr>
        <w:t>所用主要设备、设施；生产作业场所的内、外部安全生产条件进行评价</w:t>
      </w:r>
      <w:r>
        <w:rPr>
          <w:rFonts w:hint="eastAsia"/>
          <w:snapToGrid w:val="0"/>
          <w:color w:val="auto"/>
          <w:kern w:val="0"/>
          <w:sz w:val="28"/>
          <w:lang w:eastAsia="zh-CN"/>
        </w:rPr>
        <w:t>）</w:t>
      </w:r>
      <w:r>
        <w:rPr>
          <w:rFonts w:hint="eastAsia"/>
          <w:snapToGrid w:val="0"/>
          <w:color w:val="auto"/>
          <w:kern w:val="0"/>
          <w:sz w:val="28"/>
        </w:rPr>
        <w:t>。</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2</w:t>
      </w:r>
      <w:r>
        <w:rPr>
          <w:rFonts w:hint="eastAsia"/>
          <w:snapToGrid w:val="0"/>
          <w:color w:val="auto"/>
          <w:kern w:val="0"/>
          <w:sz w:val="28"/>
          <w:lang w:eastAsia="zh-CN"/>
        </w:rPr>
        <w:t>.</w:t>
      </w:r>
      <w:r>
        <w:rPr>
          <w:rFonts w:hint="eastAsia"/>
          <w:snapToGrid w:val="0"/>
          <w:color w:val="auto"/>
          <w:kern w:val="0"/>
          <w:sz w:val="28"/>
        </w:rPr>
        <w:t>安全管理单元（主要针对</w:t>
      </w:r>
      <w:r>
        <w:rPr>
          <w:rFonts w:hint="eastAsia"/>
          <w:snapToGrid w:val="0"/>
          <w:color w:val="auto"/>
          <w:kern w:val="0"/>
          <w:sz w:val="28"/>
          <w:lang w:eastAsia="zh-CN"/>
        </w:rPr>
        <w:t>海塔石油科技有限公司</w:t>
      </w:r>
      <w:r>
        <w:rPr>
          <w:rFonts w:hint="eastAsia"/>
          <w:snapToGrid w:val="0"/>
          <w:color w:val="auto"/>
          <w:kern w:val="0"/>
          <w:sz w:val="28"/>
        </w:rPr>
        <w:t>在安全管理方面的各项安全生产条件进行评价）。</w:t>
      </w:r>
    </w:p>
    <w:p>
      <w:pPr>
        <w:pStyle w:val="4"/>
        <w:adjustRightInd w:val="0"/>
        <w:snapToGrid w:val="0"/>
        <w:spacing w:before="0" w:after="0" w:line="360" w:lineRule="auto"/>
        <w:rPr>
          <w:rFonts w:ascii="Times New Roman" w:hAnsi="Times New Roman"/>
          <w:b w:val="0"/>
          <w:bCs/>
          <w:color w:val="auto"/>
          <w:szCs w:val="32"/>
        </w:rPr>
      </w:pPr>
      <w:bookmarkStart w:id="118" w:name="_Toc3889"/>
      <w:bookmarkStart w:id="119" w:name="_Toc291144375"/>
      <w:bookmarkStart w:id="120" w:name="_Toc215277175"/>
      <w:bookmarkStart w:id="121" w:name="_Toc244964633"/>
      <w:bookmarkStart w:id="122" w:name="_Toc298756208"/>
      <w:r>
        <w:rPr>
          <w:rFonts w:hint="eastAsia" w:ascii="Times New Roman" w:hAnsi="Times New Roman"/>
          <w:b w:val="0"/>
          <w:bCs/>
          <w:color w:val="auto"/>
          <w:szCs w:val="32"/>
        </w:rPr>
        <w:t>4.2</w:t>
      </w:r>
      <w:r>
        <w:rPr>
          <w:rFonts w:ascii="Times New Roman" w:hAnsi="Times New Roman"/>
          <w:b w:val="0"/>
          <w:bCs/>
          <w:color w:val="auto"/>
          <w:szCs w:val="32"/>
        </w:rPr>
        <w:t xml:space="preserve"> </w:t>
      </w:r>
      <w:r>
        <w:rPr>
          <w:rFonts w:hint="eastAsia" w:ascii="Times New Roman" w:hAnsi="Times New Roman"/>
          <w:b w:val="0"/>
          <w:bCs/>
          <w:color w:val="auto"/>
          <w:szCs w:val="32"/>
        </w:rPr>
        <w:t>评价方法选择</w:t>
      </w:r>
      <w:bookmarkEnd w:id="118"/>
      <w:bookmarkEnd w:id="119"/>
      <w:bookmarkEnd w:id="120"/>
      <w:bookmarkEnd w:id="121"/>
      <w:bookmarkEnd w:id="122"/>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000000" w:themeColor="text1"/>
          <w:kern w:val="0"/>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根据《安全生产许可证条例》（国务院令[2004]第397号，2014修订版）、《非煤矿矿山企业安全生产许可证实施办法》（国家安全生产监督管理总局令[2009]第20号，2015修订版）的要求，</w:t>
      </w:r>
      <w:r>
        <w:rPr>
          <w:rFonts w:hint="default" w:ascii="Times New Roman" w:hAnsi="Times New Roman" w:cs="Times New Roman"/>
          <w:snapToGrid w:val="0"/>
          <w:color w:val="000000" w:themeColor="text1"/>
          <w:kern w:val="0"/>
          <w:sz w:val="28"/>
          <w14:textFill>
            <w14:solidFill>
              <w14:schemeClr w14:val="tx1"/>
            </w14:solidFill>
          </w14:textFill>
        </w:rPr>
        <w:t>本次评价选择安全检查表法（SCL）</w:t>
      </w:r>
      <w:r>
        <w:rPr>
          <w:rFonts w:hint="default" w:ascii="Times New Roman" w:hAnsi="Times New Roman" w:cs="Times New Roman"/>
          <w:snapToGrid w:val="0"/>
          <w:color w:val="auto"/>
          <w:kern w:val="0"/>
          <w:sz w:val="28"/>
          <w:lang w:val="en-US" w:eastAsia="zh-CN"/>
        </w:rPr>
        <w:t>和</w:t>
      </w:r>
      <w:r>
        <w:rPr>
          <w:rFonts w:hint="eastAsia" w:cs="Times New Roman"/>
          <w:smallCaps w:val="0"/>
          <w:color w:val="auto"/>
          <w:sz w:val="28"/>
          <w:szCs w:val="28"/>
          <w:lang w:val="en-US" w:eastAsia="zh-CN"/>
        </w:rPr>
        <w:t>预先危险性分析</w:t>
      </w:r>
      <w:r>
        <w:rPr>
          <w:rFonts w:hint="default" w:ascii="Times New Roman" w:hAnsi="Times New Roman" w:cs="Times New Roman"/>
          <w:color w:val="000000" w:themeColor="text1"/>
          <w:sz w:val="28"/>
          <w14:textFill>
            <w14:solidFill>
              <w14:schemeClr w14:val="tx1"/>
            </w14:solidFill>
          </w14:textFill>
        </w:rPr>
        <w:t>对该公司的各项安全生产条件进行评价</w:t>
      </w:r>
      <w:r>
        <w:rPr>
          <w:rFonts w:hint="default" w:ascii="Times New Roman" w:hAnsi="Times New Roman" w:cs="Times New Roman"/>
          <w:snapToGrid w:val="0"/>
          <w:color w:val="000000" w:themeColor="text1"/>
          <w:kern w:val="0"/>
          <w:sz w:val="28"/>
          <w14:textFill>
            <w14:solidFill>
              <w14:schemeClr w14:val="tx1"/>
            </w14:solidFill>
          </w14:textFill>
        </w:rPr>
        <w:t>。各评价方法的具体操作程序如下表：</w:t>
      </w:r>
    </w:p>
    <w:p>
      <w:pPr>
        <w:keepNext w:val="0"/>
        <w:keepLines w:val="0"/>
        <w:pageBreakBefore w:val="0"/>
        <w:widowControl w:val="0"/>
        <w:kinsoku/>
        <w:wordWrap/>
        <w:overflowPunct/>
        <w:topLinePunct w:val="0"/>
        <w:autoSpaceDE/>
        <w:autoSpaceDN/>
        <w:bidi w:val="0"/>
        <w:adjustRightInd w:val="0"/>
        <w:snapToGrid w:val="0"/>
        <w:spacing w:line="240" w:lineRule="auto"/>
        <w:ind w:firstLine="360" w:firstLineChars="150"/>
        <w:jc w:val="center"/>
        <w:textAlignment w:val="auto"/>
        <w:rPr>
          <w:b w:val="0"/>
          <w:bCs w:val="0"/>
          <w:snapToGrid w:val="0"/>
          <w:color w:val="auto"/>
          <w:kern w:val="0"/>
          <w:sz w:val="24"/>
          <w:szCs w:val="24"/>
        </w:rPr>
      </w:pPr>
      <w:r>
        <w:rPr>
          <w:b/>
          <w:bCs/>
          <w:snapToGrid w:val="0"/>
          <w:color w:val="auto"/>
          <w:kern w:val="0"/>
          <w:sz w:val="24"/>
          <w:szCs w:val="24"/>
        </w:rPr>
        <w:t>表4-1 各单元评价方法表</w:t>
      </w:r>
    </w:p>
    <w:tbl>
      <w:tblPr>
        <w:tblStyle w:val="52"/>
        <w:tblW w:w="825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6"/>
        <w:gridCol w:w="4762"/>
        <w:gridCol w:w="2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66" w:type="dxa"/>
            <w:tcBorders>
              <w:top w:val="single" w:color="auto" w:sz="12" w:space="0"/>
              <w:left w:val="single" w:color="auto" w:sz="12"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序号</w:t>
            </w:r>
          </w:p>
        </w:tc>
        <w:tc>
          <w:tcPr>
            <w:tcW w:w="4762" w:type="dxa"/>
            <w:tcBorders>
              <w:top w:val="single" w:color="auto" w:sz="12" w:space="0"/>
              <w:left w:val="single" w:color="auto" w:sz="6"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评价单元</w:t>
            </w:r>
          </w:p>
        </w:tc>
        <w:tc>
          <w:tcPr>
            <w:tcW w:w="2730" w:type="dxa"/>
            <w:tcBorders>
              <w:top w:val="single" w:color="auto" w:sz="12" w:space="0"/>
              <w:left w:val="single" w:color="auto" w:sz="6" w:space="0"/>
              <w:bottom w:val="single" w:color="auto" w:sz="6"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选用的评价方法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66" w:type="dxa"/>
            <w:tcBorders>
              <w:top w:val="single" w:color="auto" w:sz="6" w:space="0"/>
              <w:left w:val="single" w:color="auto" w:sz="12"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1</w:t>
            </w:r>
          </w:p>
        </w:tc>
        <w:tc>
          <w:tcPr>
            <w:tcW w:w="4762" w:type="dxa"/>
            <w:tcBorders>
              <w:top w:val="single" w:color="auto" w:sz="6" w:space="0"/>
              <w:left w:val="single" w:color="auto" w:sz="6"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生产单元</w:t>
            </w:r>
          </w:p>
        </w:tc>
        <w:tc>
          <w:tcPr>
            <w:tcW w:w="2730" w:type="dxa"/>
            <w:tcBorders>
              <w:top w:val="single" w:color="auto" w:sz="6" w:space="0"/>
              <w:left w:val="single" w:color="auto" w:sz="6" w:space="0"/>
              <w:bottom w:val="single" w:color="auto" w:sz="6"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eastAsia="宋体"/>
                <w:color w:val="auto"/>
                <w:szCs w:val="21"/>
                <w:lang w:val="en-US" w:eastAsia="zh-CN"/>
              </w:rPr>
            </w:pPr>
            <w:r>
              <w:rPr>
                <w:rFonts w:hint="default" w:ascii="Times New Roman" w:hAnsi="Times New Roman" w:cs="Times New Roman"/>
                <w:color w:val="auto"/>
                <w:szCs w:val="21"/>
              </w:rPr>
              <w:t>SCL</w:t>
            </w:r>
            <w:r>
              <w:rPr>
                <w:rFonts w:hint="eastAsia" w:cs="Times New Roman"/>
                <w:color w:val="auto"/>
                <w:szCs w:val="21"/>
                <w:lang w:eastAsia="zh-CN"/>
              </w:rPr>
              <w:t>、</w:t>
            </w:r>
            <w:r>
              <w:rPr>
                <w:rFonts w:hint="eastAsia" w:cs="Times New Roman"/>
                <w:smallCaps w:val="0"/>
                <w:color w:val="auto"/>
                <w:sz w:val="21"/>
                <w:szCs w:val="21"/>
                <w:lang w:val="en-US" w:eastAsia="zh-CN"/>
              </w:rPr>
              <w:t>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66" w:type="dxa"/>
            <w:tcBorders>
              <w:top w:val="single" w:color="auto" w:sz="6" w:space="0"/>
              <w:left w:val="single" w:color="auto" w:sz="12" w:space="0"/>
              <w:bottom w:val="single" w:color="auto" w:sz="12"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2</w:t>
            </w:r>
          </w:p>
        </w:tc>
        <w:tc>
          <w:tcPr>
            <w:tcW w:w="4762" w:type="dxa"/>
            <w:tcBorders>
              <w:top w:val="single" w:color="auto" w:sz="6" w:space="0"/>
              <w:left w:val="single" w:color="auto" w:sz="6" w:space="0"/>
              <w:bottom w:val="single" w:color="auto" w:sz="12"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安全管理单元</w:t>
            </w:r>
          </w:p>
        </w:tc>
        <w:tc>
          <w:tcPr>
            <w:tcW w:w="2730" w:type="dxa"/>
            <w:tcBorders>
              <w:top w:val="single" w:color="auto" w:sz="6" w:space="0"/>
              <w:left w:val="single" w:color="auto" w:sz="6" w:space="0"/>
              <w:bottom w:val="single" w:color="auto" w:sz="12"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SCL</w:t>
            </w: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after="0" w:line="360" w:lineRule="auto"/>
        <w:textAlignment w:val="auto"/>
        <w:rPr>
          <w:snapToGrid w:val="0"/>
          <w:color w:val="0070C0"/>
          <w:kern w:val="0"/>
          <w:sz w:val="28"/>
        </w:rPr>
      </w:pPr>
      <w:r>
        <w:rPr>
          <w:rFonts w:hint="default" w:ascii="Times New Roman" w:hAnsi="Times New Roman" w:eastAsia="黑体" w:cs="Times New Roman"/>
          <w:b w:val="0"/>
          <w:snapToGrid w:val="0"/>
          <w:kern w:val="0"/>
          <w:sz w:val="28"/>
          <w:szCs w:val="28"/>
        </w:rPr>
        <w:t>4.</w:t>
      </w:r>
      <w:r>
        <w:rPr>
          <w:rFonts w:hint="default" w:ascii="Times New Roman" w:hAnsi="Times New Roman" w:eastAsia="黑体" w:cs="Times New Roman"/>
          <w:b w:val="0"/>
          <w:snapToGrid w:val="0"/>
          <w:kern w:val="0"/>
          <w:sz w:val="28"/>
          <w:szCs w:val="28"/>
          <w:lang w:val="en-US" w:eastAsia="zh-CN"/>
        </w:rPr>
        <w:t>2</w:t>
      </w:r>
      <w:r>
        <w:rPr>
          <w:rFonts w:hint="default" w:ascii="Times New Roman" w:hAnsi="Times New Roman" w:eastAsia="黑体" w:cs="Times New Roman"/>
          <w:b w:val="0"/>
          <w:snapToGrid w:val="0"/>
          <w:kern w:val="0"/>
          <w:sz w:val="28"/>
          <w:szCs w:val="28"/>
        </w:rPr>
        <w:t>.</w:t>
      </w:r>
      <w:r>
        <w:rPr>
          <w:rFonts w:hint="default" w:ascii="Times New Roman" w:hAnsi="Times New Roman" w:eastAsia="黑体" w:cs="Times New Roman"/>
          <w:b w:val="0"/>
          <w:snapToGrid w:val="0"/>
          <w:kern w:val="0"/>
          <w:sz w:val="28"/>
          <w:szCs w:val="28"/>
          <w:lang w:val="en-US" w:eastAsia="zh-CN"/>
        </w:rPr>
        <w:t>1</w:t>
      </w:r>
      <w:r>
        <w:rPr>
          <w:rFonts w:hint="default" w:ascii="Times New Roman" w:hAnsi="Times New Roman" w:eastAsia="黑体" w:cs="Times New Roman"/>
          <w:b w:val="0"/>
          <w:snapToGrid w:val="0"/>
          <w:kern w:val="0"/>
          <w:sz w:val="28"/>
          <w:szCs w:val="28"/>
        </w:rPr>
        <w:t xml:space="preserve"> </w:t>
      </w:r>
      <w:r>
        <w:rPr>
          <w:rFonts w:hint="default" w:ascii="Times New Roman" w:hAnsi="Times New Roman" w:eastAsia="黑体" w:cs="Times New Roman"/>
          <w:b w:val="0"/>
          <w:snapToGrid w:val="0"/>
          <w:kern w:val="0"/>
          <w:sz w:val="28"/>
          <w:szCs w:val="28"/>
          <w:lang w:val="en-US" w:eastAsia="zh-CN"/>
        </w:rPr>
        <w:t>安全检查表（SCL）</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安全检查表以下列格式列出，对于符合要求的检查内容，在检查结果栏中标以“√”，对于不符合要求的检查项目在检查结果栏中标以“×”。见下表4-</w:t>
      </w:r>
      <w:r>
        <w:rPr>
          <w:snapToGrid w:val="0"/>
          <w:color w:val="auto"/>
          <w:kern w:val="0"/>
          <w:sz w:val="28"/>
        </w:rPr>
        <w:t>2</w:t>
      </w:r>
      <w:r>
        <w:rPr>
          <w:rFonts w:hint="eastAsia"/>
          <w:snapToGrid w:val="0"/>
          <w:color w:val="auto"/>
          <w:kern w:val="0"/>
          <w:sz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val="0"/>
          <w:snapToGrid w:val="0"/>
          <w:color w:val="auto"/>
          <w:kern w:val="0"/>
          <w:sz w:val="24"/>
        </w:rPr>
      </w:pPr>
      <w:r>
        <w:rPr>
          <w:rFonts w:hint="eastAsia"/>
          <w:b/>
          <w:bCs w:val="0"/>
          <w:snapToGrid w:val="0"/>
          <w:color w:val="auto"/>
          <w:kern w:val="0"/>
          <w:sz w:val="24"/>
        </w:rPr>
        <w:t>表4-</w:t>
      </w:r>
      <w:r>
        <w:rPr>
          <w:b/>
          <w:bCs w:val="0"/>
          <w:snapToGrid w:val="0"/>
          <w:color w:val="auto"/>
          <w:kern w:val="0"/>
          <w:sz w:val="24"/>
        </w:rPr>
        <w:t xml:space="preserve">2 </w:t>
      </w:r>
      <w:r>
        <w:rPr>
          <w:rFonts w:hint="eastAsia"/>
          <w:b/>
          <w:bCs w:val="0"/>
          <w:snapToGrid w:val="0"/>
          <w:color w:val="auto"/>
          <w:kern w:val="0"/>
          <w:sz w:val="24"/>
        </w:rPr>
        <w:t>安全检查表</w:t>
      </w:r>
    </w:p>
    <w:tbl>
      <w:tblPr>
        <w:tblStyle w:val="52"/>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序号</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检查项目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检查依据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检查结果</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pStyle w:val="82"/>
              <w:keepNext w:val="0"/>
              <w:keepLines w:val="0"/>
              <w:suppressLineNumbers w:val="0"/>
              <w:spacing w:beforeAutospacing="0" w:afterAutospacing="0"/>
              <w:ind w:left="0" w:right="0"/>
              <w:rPr>
                <w:rFonts w:hint="default"/>
                <w:snapToGrid w:val="0"/>
                <w:color w:val="auto"/>
              </w:rPr>
            </w:pPr>
          </w:p>
        </w:tc>
        <w:tc>
          <w:tcPr>
            <w:tcW w:w="1852" w:type="dxa"/>
            <w:vAlign w:val="center"/>
          </w:tcPr>
          <w:p>
            <w:pPr>
              <w:keepNext w:val="0"/>
              <w:keepLines w:val="0"/>
              <w:suppressLineNumbers w:val="0"/>
              <w:adjustRightInd w:val="0"/>
              <w:snapToGrid w:val="0"/>
              <w:spacing w:before="0" w:beforeAutospacing="0" w:after="0" w:afterAutospacing="0"/>
              <w:ind w:left="0" w:right="0"/>
              <w:rPr>
                <w:rFonts w:hint="default"/>
                <w:b/>
                <w:snapToGrid w:val="0"/>
                <w:color w:val="auto"/>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bCs/>
                <w:snapToGrid w:val="0"/>
                <w:color w:val="auto"/>
                <w:kern w:val="0"/>
                <w:szCs w:val="21"/>
              </w:rPr>
            </w:pPr>
          </w:p>
        </w:tc>
        <w:tc>
          <w:tcPr>
            <w:tcW w:w="1852" w:type="dxa"/>
            <w:vAlign w:val="center"/>
          </w:tcPr>
          <w:p>
            <w:pPr>
              <w:pStyle w:val="82"/>
              <w:keepNext w:val="0"/>
              <w:keepLines w:val="0"/>
              <w:suppressLineNumbers w:val="0"/>
              <w:spacing w:beforeAutospacing="0" w:afterAutospacing="0"/>
              <w:ind w:left="0" w:right="0"/>
              <w:rPr>
                <w:rFonts w:hint="default"/>
                <w:snapToGrid w:val="0"/>
                <w:color w:val="auto"/>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auto"/>
          <w:sz w:val="28"/>
        </w:rPr>
      </w:pPr>
      <w:r>
        <w:rPr>
          <w:rFonts w:hint="eastAsia"/>
          <w:color w:val="auto"/>
          <w:sz w:val="28"/>
        </w:rPr>
        <w:t>安全检查表的具体操作程序如下：</w:t>
      </w:r>
    </w:p>
    <w:p>
      <w:pPr>
        <w:adjustRightInd w:val="0"/>
        <w:snapToGrid w:val="0"/>
        <w:spacing w:line="360" w:lineRule="auto"/>
        <w:ind w:firstLine="560" w:firstLineChars="200"/>
        <w:rPr>
          <w:color w:val="auto"/>
          <w:sz w:val="28"/>
        </w:rPr>
      </w:pPr>
      <w:r>
        <w:rPr>
          <w:rFonts w:hint="eastAsia"/>
          <w:color w:val="auto"/>
          <w:sz w:val="28"/>
        </w:rPr>
        <w:t>1</w:t>
      </w:r>
      <w:r>
        <w:rPr>
          <w:rFonts w:hint="eastAsia"/>
          <w:color w:val="auto"/>
          <w:sz w:val="28"/>
          <w:lang w:eastAsia="zh-CN"/>
        </w:rPr>
        <w:t>.</w:t>
      </w:r>
      <w:r>
        <w:rPr>
          <w:rFonts w:hint="eastAsia"/>
          <w:color w:val="auto"/>
          <w:sz w:val="28"/>
        </w:rPr>
        <w:t>熟悉系统</w:t>
      </w:r>
    </w:p>
    <w:p>
      <w:pPr>
        <w:adjustRightInd w:val="0"/>
        <w:snapToGrid w:val="0"/>
        <w:spacing w:line="360" w:lineRule="auto"/>
        <w:ind w:firstLine="560" w:firstLineChars="200"/>
        <w:rPr>
          <w:color w:val="auto"/>
          <w:sz w:val="28"/>
        </w:rPr>
      </w:pPr>
      <w:r>
        <w:rPr>
          <w:rFonts w:hint="eastAsia"/>
          <w:color w:val="auto"/>
          <w:sz w:val="28"/>
        </w:rPr>
        <w:t>包括系统结构、功能、工艺流程、主要设备、操作条件、平面布置、已有的安全卫生设施、安全管理现状等。</w:t>
      </w:r>
    </w:p>
    <w:p>
      <w:pPr>
        <w:adjustRightInd w:val="0"/>
        <w:snapToGrid w:val="0"/>
        <w:spacing w:line="360" w:lineRule="auto"/>
        <w:ind w:firstLine="560" w:firstLineChars="200"/>
        <w:rPr>
          <w:color w:val="auto"/>
          <w:sz w:val="28"/>
        </w:rPr>
      </w:pPr>
      <w:r>
        <w:rPr>
          <w:rFonts w:hint="eastAsia"/>
          <w:color w:val="auto"/>
          <w:sz w:val="28"/>
        </w:rPr>
        <w:t>2</w:t>
      </w:r>
      <w:r>
        <w:rPr>
          <w:rFonts w:hint="eastAsia"/>
          <w:color w:val="auto"/>
          <w:sz w:val="28"/>
          <w:lang w:eastAsia="zh-CN"/>
        </w:rPr>
        <w:t>.</w:t>
      </w:r>
      <w:r>
        <w:rPr>
          <w:rFonts w:hint="eastAsia"/>
          <w:color w:val="auto"/>
          <w:sz w:val="28"/>
        </w:rPr>
        <w:t>搜集资料</w:t>
      </w:r>
    </w:p>
    <w:p>
      <w:pPr>
        <w:adjustRightInd w:val="0"/>
        <w:snapToGrid w:val="0"/>
        <w:spacing w:line="360" w:lineRule="auto"/>
        <w:ind w:firstLine="560" w:firstLineChars="200"/>
        <w:rPr>
          <w:color w:val="auto"/>
          <w:sz w:val="28"/>
        </w:rPr>
      </w:pPr>
      <w:r>
        <w:rPr>
          <w:rFonts w:hint="eastAsia"/>
          <w:color w:val="auto"/>
          <w:sz w:val="28"/>
        </w:rPr>
        <w:t>搜集有关的安全法规、标准、制度以及本系统过去发生过事故的资料，作为编制安全检查表的依据。</w:t>
      </w:r>
    </w:p>
    <w:p>
      <w:pPr>
        <w:adjustRightInd w:val="0"/>
        <w:snapToGrid w:val="0"/>
        <w:spacing w:line="360" w:lineRule="auto"/>
        <w:ind w:firstLine="560" w:firstLineChars="200"/>
        <w:rPr>
          <w:color w:val="auto"/>
          <w:sz w:val="28"/>
        </w:rPr>
      </w:pPr>
      <w:r>
        <w:rPr>
          <w:rFonts w:hint="eastAsia"/>
          <w:color w:val="auto"/>
          <w:sz w:val="28"/>
        </w:rPr>
        <w:t>3</w:t>
      </w:r>
      <w:r>
        <w:rPr>
          <w:rFonts w:hint="eastAsia"/>
          <w:color w:val="auto"/>
          <w:sz w:val="28"/>
          <w:lang w:eastAsia="zh-CN"/>
        </w:rPr>
        <w:t>.</w:t>
      </w:r>
      <w:r>
        <w:rPr>
          <w:rFonts w:hint="eastAsia"/>
          <w:color w:val="auto"/>
          <w:sz w:val="28"/>
        </w:rPr>
        <w:t>划分单元</w:t>
      </w:r>
    </w:p>
    <w:p>
      <w:pPr>
        <w:adjustRightInd w:val="0"/>
        <w:snapToGrid w:val="0"/>
        <w:spacing w:line="360" w:lineRule="auto"/>
        <w:ind w:firstLine="560" w:firstLineChars="200"/>
        <w:rPr>
          <w:color w:val="auto"/>
          <w:sz w:val="28"/>
        </w:rPr>
      </w:pPr>
      <w:r>
        <w:rPr>
          <w:rFonts w:hint="eastAsia"/>
          <w:color w:val="auto"/>
          <w:sz w:val="28"/>
        </w:rPr>
        <w:t>按功能或结构将系统划分成子系统或单元。</w:t>
      </w:r>
    </w:p>
    <w:p>
      <w:pPr>
        <w:adjustRightInd w:val="0"/>
        <w:snapToGrid w:val="0"/>
        <w:spacing w:line="360" w:lineRule="auto"/>
        <w:ind w:firstLine="560" w:firstLineChars="200"/>
        <w:rPr>
          <w:color w:val="auto"/>
          <w:sz w:val="28"/>
        </w:rPr>
      </w:pPr>
      <w:r>
        <w:rPr>
          <w:rFonts w:hint="eastAsia"/>
          <w:color w:val="auto"/>
          <w:sz w:val="28"/>
        </w:rPr>
        <w:t>4</w:t>
      </w:r>
      <w:r>
        <w:rPr>
          <w:rFonts w:hint="eastAsia"/>
          <w:color w:val="auto"/>
          <w:sz w:val="28"/>
          <w:lang w:eastAsia="zh-CN"/>
        </w:rPr>
        <w:t>.</w:t>
      </w:r>
      <w:r>
        <w:rPr>
          <w:rFonts w:hint="eastAsia"/>
          <w:color w:val="auto"/>
          <w:sz w:val="28"/>
        </w:rPr>
        <w:t>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rPr>
      </w:pPr>
      <w:r>
        <w:rPr>
          <w:rFonts w:hint="eastAsia"/>
          <w:color w:val="auto"/>
          <w:sz w:val="28"/>
        </w:rPr>
        <w:t>针对危险因素，依据有关法规、标准规定，参考过去的事故教训和本单位的经验确定安全检查表的检查要点、内容和为达到安全指标应采取的措施，并按照一定的要求编制安全检查表。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rPr>
      </w:pPr>
      <w:r>
        <w:rPr>
          <w:rFonts w:hint="eastAsia"/>
          <w:color w:val="auto"/>
          <w:sz w:val="28"/>
        </w:rPr>
        <w:t>5</w:t>
      </w:r>
      <w:r>
        <w:rPr>
          <w:rFonts w:hint="eastAsia"/>
          <w:color w:val="auto"/>
          <w:sz w:val="28"/>
          <w:lang w:eastAsia="zh-CN"/>
        </w:rPr>
        <w:t>.</w:t>
      </w:r>
      <w:r>
        <w:rPr>
          <w:rFonts w:hint="eastAsia"/>
          <w:color w:val="auto"/>
          <w:sz w:val="28"/>
        </w:rPr>
        <w:t>实施检查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rPr>
      </w:pPr>
      <w:r>
        <w:rPr>
          <w:rFonts w:hint="eastAsia"/>
          <w:color w:val="auto"/>
          <w:sz w:val="28"/>
        </w:rPr>
        <w:t>对照已编制完成的安全检查表，进行逐项检查，对检查项目的符合性作出判断。</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rPr>
      </w:pPr>
      <w:r>
        <w:rPr>
          <w:rFonts w:hint="eastAsia"/>
          <w:color w:val="auto"/>
          <w:sz w:val="28"/>
        </w:rPr>
        <w:t>6</w:t>
      </w:r>
      <w:r>
        <w:rPr>
          <w:rFonts w:hint="eastAsia"/>
          <w:color w:val="auto"/>
          <w:sz w:val="28"/>
          <w:lang w:eastAsia="zh-CN"/>
        </w:rPr>
        <w:t>.</w:t>
      </w:r>
      <w:r>
        <w:rPr>
          <w:rFonts w:hint="eastAsia"/>
          <w:color w:val="auto"/>
          <w:sz w:val="28"/>
        </w:rPr>
        <w:t>评价结果汇总</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auto"/>
          <w:sz w:val="28"/>
        </w:rPr>
      </w:pPr>
      <w:r>
        <w:rPr>
          <w:rFonts w:hint="eastAsia"/>
          <w:color w:val="auto"/>
          <w:sz w:val="28"/>
        </w:rPr>
        <w:t>将检查的结果汇总，并据此提出具体的安全对策措施及建议。</w:t>
      </w:r>
      <w:bookmarkEnd w:id="112"/>
    </w:p>
    <w:p>
      <w:pPr>
        <w:pStyle w:val="5"/>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snapToGrid w:val="0"/>
          <w:kern w:val="0"/>
          <w:sz w:val="28"/>
          <w:szCs w:val="28"/>
          <w:lang w:val="en-US" w:eastAsia="zh-CN"/>
        </w:rPr>
      </w:pPr>
      <w:r>
        <w:rPr>
          <w:rFonts w:hint="default" w:ascii="Times New Roman" w:hAnsi="Times New Roman" w:eastAsia="黑体" w:cs="Times New Roman"/>
          <w:b w:val="0"/>
          <w:snapToGrid w:val="0"/>
          <w:kern w:val="0"/>
          <w:sz w:val="28"/>
          <w:szCs w:val="28"/>
        </w:rPr>
        <w:t>4.</w:t>
      </w:r>
      <w:r>
        <w:rPr>
          <w:rFonts w:hint="default" w:ascii="Times New Roman" w:hAnsi="Times New Roman" w:eastAsia="黑体" w:cs="Times New Roman"/>
          <w:b w:val="0"/>
          <w:snapToGrid w:val="0"/>
          <w:kern w:val="0"/>
          <w:sz w:val="28"/>
          <w:szCs w:val="28"/>
          <w:lang w:val="en-US" w:eastAsia="zh-CN"/>
        </w:rPr>
        <w:t>2</w:t>
      </w:r>
      <w:r>
        <w:rPr>
          <w:rFonts w:hint="default" w:ascii="Times New Roman" w:hAnsi="Times New Roman" w:eastAsia="黑体" w:cs="Times New Roman"/>
          <w:b w:val="0"/>
          <w:snapToGrid w:val="0"/>
          <w:kern w:val="0"/>
          <w:sz w:val="28"/>
          <w:szCs w:val="28"/>
        </w:rPr>
        <w:t>.</w:t>
      </w:r>
      <w:r>
        <w:rPr>
          <w:rFonts w:hint="eastAsia" w:ascii="Times New Roman" w:hAnsi="Times New Roman" w:eastAsia="黑体" w:cs="Times New Roman"/>
          <w:b w:val="0"/>
          <w:snapToGrid w:val="0"/>
          <w:kern w:val="0"/>
          <w:sz w:val="28"/>
          <w:szCs w:val="28"/>
          <w:lang w:val="en-US" w:eastAsia="zh-CN"/>
        </w:rPr>
        <w:t>2</w:t>
      </w:r>
      <w:r>
        <w:rPr>
          <w:rFonts w:hint="default" w:ascii="Times New Roman" w:hAnsi="Times New Roman" w:eastAsia="黑体" w:cs="Times New Roman"/>
          <w:b w:val="0"/>
          <w:snapToGrid w:val="0"/>
          <w:kern w:val="0"/>
          <w:sz w:val="28"/>
          <w:szCs w:val="28"/>
        </w:rPr>
        <w:t xml:space="preserve"> </w:t>
      </w:r>
      <w:r>
        <w:rPr>
          <w:rFonts w:hint="eastAsia" w:ascii="Times New Roman" w:hAnsi="Times New Roman" w:eastAsia="黑体" w:cs="Times New Roman"/>
          <w:b w:val="0"/>
          <w:snapToGrid w:val="0"/>
          <w:kern w:val="0"/>
          <w:sz w:val="28"/>
          <w:szCs w:val="28"/>
          <w:lang w:val="en-US" w:eastAsia="zh-CN"/>
        </w:rPr>
        <w:t>作业条件危险性评价法（LEC）</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打分”，然后根据公式计算出其危险程度。从而定量的对其危险性进行评价。</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作业条件危险性评价是一种简单的半定量评价，是根据事故发生的可能性、人员暴露于危险环境的频率程度和一旦发生事故可能造成的后果等因素来确定的。</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L-事故或危险时间发生的可能性；</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E—暴露于危险环境的频率；</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C—发生事故或危险事件的可能结果。</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作业条件的危险性：D=L·E·C</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color w:val="auto"/>
          <w:sz w:val="28"/>
        </w:rPr>
      </w:pPr>
      <w:r>
        <w:rPr>
          <w:rFonts w:hint="eastAsia"/>
          <w:snapToGrid w:val="0"/>
          <w:color w:val="000000" w:themeColor="text1"/>
          <w:kern w:val="0"/>
          <w:sz w:val="28"/>
          <w:szCs w:val="28"/>
          <w:lang w:val="en-US" w:eastAsia="zh-CN"/>
          <w14:textFill>
            <w14:solidFill>
              <w14:schemeClr w14:val="tx1"/>
            </w14:solidFill>
          </w14:textFill>
        </w:rPr>
        <w:t>L、</w:t>
      </w:r>
      <w:r>
        <w:rPr>
          <w:snapToGrid w:val="0"/>
          <w:color w:val="000000" w:themeColor="text1"/>
          <w:kern w:val="0"/>
          <w:sz w:val="28"/>
          <w:szCs w:val="28"/>
          <w14:textFill>
            <w14:solidFill>
              <w14:schemeClr w14:val="tx1"/>
            </w14:solidFill>
          </w14:textFill>
        </w:rPr>
        <w:t>E、C取值见表4-3、4-4、4-5，D值见表4-6。</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pPr>
      <w:r>
        <w:rPr>
          <w:rFonts w:hint="default" w:ascii="Times New Roman" w:hAnsi="Times New Roman" w:eastAsia="宋体" w:cs="Times New Roman"/>
          <w:b/>
          <w:bCs/>
          <w:sz w:val="24"/>
          <w:szCs w:val="24"/>
        </w:rPr>
        <w:t>表4-3 发生事故或危险事件的可能性分值表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08"/>
        <w:gridCol w:w="3028"/>
        <w:gridCol w:w="1131"/>
        <w:gridCol w:w="3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事故或危险情况发生可能性</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10×</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完全会被预料到</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0.5</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6</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相当可能</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0.2</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3</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不经常，但可能</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eastAsia="宋体"/>
                <w:snapToGrid w:val="0"/>
                <w:color w:val="000000" w:themeColor="text1"/>
                <w:kern w:val="0"/>
                <w:lang w:eastAsia="zh-CN"/>
                <w14:textFill>
                  <w14:solidFill>
                    <w14:schemeClr w14:val="tx1"/>
                  </w14:solidFill>
                </w14:textFill>
              </w:rPr>
            </w:pPr>
            <w:r>
              <w:rPr>
                <w:rFonts w:hint="default"/>
                <w:snapToGrid w:val="0"/>
                <w:color w:val="000000" w:themeColor="text1"/>
                <w:kern w:val="0"/>
                <w14:textFill>
                  <w14:solidFill>
                    <w14:schemeClr w14:val="tx1"/>
                  </w14:solidFill>
                </w14:textFill>
              </w:rPr>
              <w:t>0.1</w:t>
            </w:r>
            <w:r>
              <w:rPr>
                <w:rFonts w:hint="eastAsia"/>
                <w:snapToGrid w:val="0"/>
                <w:color w:val="000000" w:themeColor="text1"/>
                <w:kern w:val="0"/>
                <w:lang w:val="en-US" w:eastAsia="zh-CN"/>
                <w14:textFill>
                  <w14:solidFill>
                    <w14:schemeClr w14:val="tx1"/>
                  </w14:solidFill>
                </w14:textFill>
              </w:rPr>
              <w:t>*</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1×</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完全意外，极少可能</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before="159" w:beforeLines="50" w:line="240" w:lineRule="auto"/>
        <w:jc w:val="center"/>
        <w:textAlignment w:val="auto"/>
        <w:rPr>
          <w:b/>
          <w:bCs/>
          <w:snapToGrid w:val="0"/>
          <w:color w:val="000000" w:themeColor="text1"/>
          <w:kern w:val="0"/>
          <w:sz w:val="24"/>
          <w14:textFill>
            <w14:solidFill>
              <w14:schemeClr w14:val="tx1"/>
            </w14:solidFill>
          </w14:textFill>
        </w:rPr>
      </w:pPr>
      <w:r>
        <w:rPr>
          <w:rFonts w:hint="default" w:ascii="Times New Roman" w:hAnsi="Times New Roman" w:eastAsia="宋体" w:cs="Times New Roman"/>
          <w:b/>
          <w:bCs/>
          <w:snapToGrid w:val="0"/>
          <w:color w:val="000000" w:themeColor="text1"/>
          <w:kern w:val="0"/>
          <w:sz w:val="24"/>
          <w14:textFill>
            <w14:solidFill>
              <w14:schemeClr w14:val="tx1"/>
            </w14:solidFill>
          </w14:textFill>
        </w:rPr>
        <w:t>表4-4 暴露于危险环境的分值表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35"/>
        <w:gridCol w:w="3028"/>
        <w:gridCol w:w="1131"/>
        <w:gridCol w:w="32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出现于危险环境的情况</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934"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10×</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连续暴露于潜在危险环境</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2</w:t>
            </w:r>
          </w:p>
        </w:tc>
        <w:tc>
          <w:tcPr>
            <w:tcW w:w="1934"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6</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逐日在工作时间内暴露</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w:t>
            </w:r>
            <w:r>
              <w:rPr>
                <w:rFonts w:hint="eastAsia"/>
                <w:snapToGrid w:val="0"/>
                <w:color w:val="000000" w:themeColor="text1"/>
                <w:kern w:val="0"/>
                <w:lang w:val="en-US" w:eastAsia="zh-CN"/>
                <w14:textFill>
                  <w14:solidFill>
                    <w14:schemeClr w14:val="tx1"/>
                  </w14:solidFill>
                </w14:textFill>
              </w:rPr>
              <w:t>*</w:t>
            </w:r>
          </w:p>
        </w:tc>
        <w:tc>
          <w:tcPr>
            <w:tcW w:w="1934"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2"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3</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每周一次或偶然地暴露</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0.1</w:t>
            </w:r>
          </w:p>
        </w:tc>
        <w:tc>
          <w:tcPr>
            <w:tcW w:w="1934"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非常罕见地暴露</w:t>
            </w:r>
          </w:p>
        </w:tc>
      </w:tr>
    </w:tbl>
    <w:p>
      <w:pPr>
        <w:keepNext w:val="0"/>
        <w:keepLines w:val="0"/>
        <w:pageBreakBefore w:val="0"/>
        <w:widowControl w:val="0"/>
        <w:kinsoku/>
        <w:wordWrap/>
        <w:overflowPunct/>
        <w:topLinePunct w:val="0"/>
        <w:autoSpaceDE/>
        <w:autoSpaceDN/>
        <w:bidi w:val="0"/>
        <w:adjustRightInd w:val="0"/>
        <w:snapToGrid w:val="0"/>
        <w:spacing w:before="159" w:beforeLines="50" w:line="240" w:lineRule="auto"/>
        <w:jc w:val="center"/>
        <w:textAlignment w:val="auto"/>
        <w:rPr>
          <w:rFonts w:hint="default" w:ascii="Times New Roman" w:hAnsi="Times New Roman" w:eastAsia="宋体" w:cs="Times New Roman"/>
          <w:b/>
          <w:bCs/>
          <w:snapToGrid w:val="0"/>
          <w:color w:val="000000" w:themeColor="text1"/>
          <w:kern w:val="0"/>
          <w:sz w:val="24"/>
          <w14:textFill>
            <w14:solidFill>
              <w14:schemeClr w14:val="tx1"/>
            </w14:solidFill>
          </w14:textFill>
        </w:rPr>
      </w:pPr>
      <w:r>
        <w:rPr>
          <w:rFonts w:hint="default" w:ascii="Times New Roman" w:hAnsi="Times New Roman" w:eastAsia="宋体" w:cs="Times New Roman"/>
          <w:b/>
          <w:bCs/>
          <w:snapToGrid w:val="0"/>
          <w:color w:val="000000" w:themeColor="text1"/>
          <w:kern w:val="0"/>
          <w:sz w:val="24"/>
          <w14:textFill>
            <w14:solidFill>
              <w14:schemeClr w14:val="tx1"/>
            </w14:solidFill>
          </w14:textFill>
        </w:rPr>
        <w:t>表4-5 发生事故或危险时间的可能结果的分值表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3446"/>
        <w:gridCol w:w="1131"/>
        <w:gridCol w:w="3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203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可能结果</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100×</w:t>
            </w:r>
          </w:p>
        </w:tc>
        <w:tc>
          <w:tcPr>
            <w:tcW w:w="203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大灾难，许多人死亡</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7</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40</w:t>
            </w:r>
          </w:p>
        </w:tc>
        <w:tc>
          <w:tcPr>
            <w:tcW w:w="203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灾难，数人死亡</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3</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15</w:t>
            </w:r>
          </w:p>
        </w:tc>
        <w:tc>
          <w:tcPr>
            <w:tcW w:w="203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非常严重，一人死亡</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w:t>
            </w:r>
            <w:r>
              <w:rPr>
                <w:rFonts w:hint="eastAsia"/>
                <w:snapToGrid w:val="0"/>
                <w:color w:val="000000" w:themeColor="text1"/>
                <w:kern w:val="0"/>
                <w:lang w:val="en-US" w:eastAsia="zh-CN"/>
                <w14:textFill>
                  <w14:solidFill>
                    <w14:schemeClr w14:val="tx1"/>
                  </w14:solidFill>
                </w14:textFill>
              </w:rPr>
              <w:t>*</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引人瞩目，需要救护</w:t>
            </w:r>
          </w:p>
        </w:tc>
      </w:tr>
    </w:tbl>
    <w:p>
      <w:pPr>
        <w:keepNext w:val="0"/>
        <w:keepLines w:val="0"/>
        <w:pageBreakBefore w:val="0"/>
        <w:widowControl w:val="0"/>
        <w:kinsoku/>
        <w:wordWrap/>
        <w:overflowPunct/>
        <w:topLinePunct w:val="0"/>
        <w:autoSpaceDE/>
        <w:autoSpaceDN/>
        <w:bidi w:val="0"/>
        <w:adjustRightInd w:val="0"/>
        <w:snapToGrid w:val="0"/>
        <w:spacing w:before="159" w:beforeLines="50" w:line="240" w:lineRule="auto"/>
        <w:jc w:val="center"/>
        <w:textAlignment w:val="auto"/>
        <w:rPr>
          <w:b/>
          <w:bCs/>
          <w:snapToGrid w:val="0"/>
          <w:color w:val="000000" w:themeColor="text1"/>
          <w:kern w:val="0"/>
          <w:sz w:val="24"/>
          <w14:textFill>
            <w14:solidFill>
              <w14:schemeClr w14:val="tx1"/>
            </w14:solidFill>
          </w14:textFill>
        </w:rPr>
      </w:pPr>
      <w:r>
        <w:rPr>
          <w:b/>
          <w:bCs/>
          <w:snapToGrid w:val="0"/>
          <w:color w:val="000000" w:themeColor="text1"/>
          <w:kern w:val="0"/>
          <w:sz w:val="24"/>
          <w14:textFill>
            <w14:solidFill>
              <w14:schemeClr w14:val="tx1"/>
            </w14:solidFill>
          </w14:textFill>
        </w:rPr>
        <w:t>表4-6 作业条件危险性分值与危险程度表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3406"/>
        <w:gridCol w:w="1117"/>
        <w:gridCol w:w="28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20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危险程度</w:t>
            </w:r>
          </w:p>
        </w:tc>
        <w:tc>
          <w:tcPr>
            <w:tcW w:w="65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7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320</w:t>
            </w:r>
          </w:p>
        </w:tc>
        <w:tc>
          <w:tcPr>
            <w:tcW w:w="20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及其危险，不能继续作业</w:t>
            </w:r>
          </w:p>
        </w:tc>
        <w:tc>
          <w:tcPr>
            <w:tcW w:w="65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20-70</w:t>
            </w:r>
          </w:p>
        </w:tc>
        <w:tc>
          <w:tcPr>
            <w:tcW w:w="17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160-320</w:t>
            </w:r>
          </w:p>
        </w:tc>
        <w:tc>
          <w:tcPr>
            <w:tcW w:w="20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高度危险，需要立即整改</w:t>
            </w:r>
          </w:p>
        </w:tc>
        <w:tc>
          <w:tcPr>
            <w:tcW w:w="65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20</w:t>
            </w:r>
          </w:p>
        </w:tc>
        <w:tc>
          <w:tcPr>
            <w:tcW w:w="17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70-160</w:t>
            </w:r>
          </w:p>
        </w:tc>
        <w:tc>
          <w:tcPr>
            <w:tcW w:w="20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显著危险，需要整改</w:t>
            </w:r>
          </w:p>
        </w:tc>
        <w:tc>
          <w:tcPr>
            <w:tcW w:w="65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p>
        </w:tc>
        <w:tc>
          <w:tcPr>
            <w:tcW w:w="17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p>
        </w:tc>
      </w:tr>
    </w:tbl>
    <w:p>
      <w:pPr>
        <w:adjustRightInd w:val="0"/>
        <w:snapToGrid w:val="0"/>
        <w:spacing w:before="159" w:beforeLines="50"/>
        <w:jc w:val="center"/>
        <w:rPr>
          <w:b/>
          <w:bCs/>
          <w:snapToGrid w:val="0"/>
          <w:color w:val="000000" w:themeColor="text1"/>
          <w:kern w:val="0"/>
          <w:sz w:val="24"/>
          <w14:textFill>
            <w14:solidFill>
              <w14:schemeClr w14:val="tx1"/>
            </w14:solidFill>
          </w14:textFill>
        </w:rPr>
      </w:pPr>
    </w:p>
    <w:p>
      <w:pPr>
        <w:pStyle w:val="61"/>
        <w:jc w:val="center"/>
      </w:pPr>
    </w:p>
    <w:p>
      <w:pPr>
        <w:widowControl/>
        <w:jc w:val="left"/>
        <w:rPr>
          <w:color w:val="0070C0"/>
          <w:sz w:val="28"/>
          <w:szCs w:val="28"/>
        </w:rPr>
      </w:pPr>
      <w:r>
        <w:rPr>
          <w:color w:val="0070C0"/>
          <w:szCs w:val="28"/>
        </w:rPr>
        <w:br w:type="page"/>
      </w:r>
    </w:p>
    <w:p>
      <w:pPr>
        <w:pStyle w:val="3"/>
        <w:adjustRightInd w:val="0"/>
        <w:snapToGrid w:val="0"/>
        <w:spacing w:line="360" w:lineRule="auto"/>
        <w:rPr>
          <w:rFonts w:hint="default" w:eastAsia="楷体_GB2312"/>
          <w:b/>
          <w:color w:val="auto"/>
          <w:sz w:val="36"/>
          <w:szCs w:val="36"/>
          <w:lang w:val="en-US" w:eastAsia="zh-CN"/>
        </w:rPr>
      </w:pPr>
      <w:bookmarkStart w:id="123" w:name="_Toc416954893"/>
      <w:bookmarkStart w:id="124" w:name="_Toc446488249"/>
      <w:bookmarkStart w:id="125" w:name="_Toc281310749"/>
      <w:bookmarkStart w:id="126" w:name="_Toc20595"/>
      <w:r>
        <w:rPr>
          <w:rFonts w:hint="eastAsia" w:eastAsia="楷体_GB2312"/>
          <w:b/>
          <w:color w:val="auto"/>
          <w:sz w:val="36"/>
          <w:szCs w:val="36"/>
        </w:rPr>
        <w:t>5</w:t>
      </w:r>
      <w:r>
        <w:rPr>
          <w:rFonts w:eastAsia="楷体_GB2312"/>
          <w:b/>
          <w:color w:val="auto"/>
          <w:sz w:val="36"/>
          <w:szCs w:val="36"/>
        </w:rPr>
        <w:t xml:space="preserve"> </w:t>
      </w:r>
      <w:bookmarkEnd w:id="123"/>
      <w:bookmarkEnd w:id="124"/>
      <w:bookmarkEnd w:id="125"/>
      <w:r>
        <w:rPr>
          <w:rFonts w:hint="eastAsia" w:ascii="宋体" w:hAnsi="宋体" w:cs="宋体"/>
          <w:b/>
          <w:color w:val="auto"/>
          <w:sz w:val="36"/>
          <w:szCs w:val="36"/>
          <w:lang w:val="en-US" w:eastAsia="zh-CN"/>
        </w:rPr>
        <w:t>定性定量安全评价</w:t>
      </w:r>
      <w:bookmarkEnd w:id="126"/>
    </w:p>
    <w:p>
      <w:pPr>
        <w:pStyle w:val="4"/>
        <w:adjustRightInd w:val="0"/>
        <w:snapToGrid w:val="0"/>
        <w:spacing w:before="0" w:after="0" w:line="360" w:lineRule="auto"/>
        <w:rPr>
          <w:rFonts w:hint="default" w:ascii="Times New Roman" w:hAnsi="Times New Roman" w:eastAsia="黑体"/>
          <w:b w:val="0"/>
          <w:bCs/>
          <w:color w:val="auto"/>
          <w:szCs w:val="32"/>
          <w:lang w:val="en-US" w:eastAsia="zh-CN"/>
        </w:rPr>
      </w:pPr>
      <w:bookmarkStart w:id="127" w:name="_Toc446488250"/>
      <w:bookmarkStart w:id="128" w:name="_Toc416954894"/>
      <w:bookmarkStart w:id="129" w:name="_Toc29962"/>
      <w:bookmarkStart w:id="130" w:name="_Toc281310751"/>
      <w:r>
        <w:rPr>
          <w:rFonts w:hint="eastAsia" w:ascii="Times New Roman" w:hAnsi="Times New Roman"/>
          <w:b w:val="0"/>
          <w:bCs/>
          <w:color w:val="auto"/>
          <w:szCs w:val="32"/>
        </w:rPr>
        <w:t>5.1 生产单元安全检查表</w:t>
      </w:r>
      <w:bookmarkEnd w:id="127"/>
      <w:bookmarkEnd w:id="128"/>
      <w:bookmarkEnd w:id="129"/>
      <w:bookmarkEnd w:id="130"/>
    </w:p>
    <w:p>
      <w:pPr>
        <w:pStyle w:val="18"/>
        <w:keepNext w:val="0"/>
        <w:keepLines w:val="0"/>
        <w:pageBreakBefore w:val="0"/>
        <w:widowControl/>
        <w:kinsoku/>
        <w:wordWrap/>
        <w:overflowPunct/>
        <w:topLinePunct w:val="0"/>
        <w:autoSpaceDE/>
        <w:autoSpaceDN/>
        <w:bidi w:val="0"/>
        <w:adjustRightInd w:val="0"/>
        <w:snapToGrid w:val="0"/>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auto"/>
          <w:sz w:val="28"/>
        </w:rPr>
        <w:t>评价过程中，海塔石油科技有限公司大修</w:t>
      </w:r>
      <w:r>
        <w:rPr>
          <w:rFonts w:hint="default" w:ascii="Times New Roman" w:hAnsi="Times New Roman" w:cs="Times New Roman"/>
          <w:color w:val="auto"/>
          <w:sz w:val="28"/>
          <w:lang w:val="en-US" w:eastAsia="zh-CN"/>
        </w:rPr>
        <w:t>1</w:t>
      </w:r>
      <w:r>
        <w:rPr>
          <w:rFonts w:hint="default" w:ascii="Times New Roman" w:hAnsi="Times New Roman" w:cs="Times New Roman"/>
          <w:color w:val="auto"/>
          <w:sz w:val="28"/>
        </w:rPr>
        <w:t>队</w:t>
      </w:r>
      <w:r>
        <w:rPr>
          <w:rFonts w:hint="default" w:ascii="Times New Roman" w:hAnsi="Times New Roman" w:cs="Times New Roman"/>
          <w:color w:val="auto"/>
          <w:sz w:val="28"/>
          <w:highlight w:val="none"/>
          <w:lang w:val="en-US" w:eastAsia="zh-CN"/>
        </w:rPr>
        <w:t>在河北省唐山地区滦南县境内高尚堡油田高深北区高73-13井</w:t>
      </w:r>
      <w:r>
        <w:rPr>
          <w:rFonts w:hint="eastAsia" w:ascii="Times New Roman" w:hAnsi="Times New Roman" w:cs="Times New Roman"/>
          <w:color w:val="auto"/>
          <w:sz w:val="28"/>
          <w:highlight w:val="none"/>
          <w:lang w:val="en-US" w:eastAsia="zh-CN"/>
        </w:rPr>
        <w:t>、</w:t>
      </w:r>
      <w:r>
        <w:rPr>
          <w:rFonts w:hint="eastAsia" w:ascii="Times New Roman" w:cs="Times New Roman"/>
          <w:color w:val="auto"/>
          <w:sz w:val="28"/>
          <w:highlight w:val="none"/>
          <w:lang w:val="en-US" w:eastAsia="zh-CN"/>
        </w:rPr>
        <w:t>高10-11井</w:t>
      </w:r>
      <w:r>
        <w:rPr>
          <w:rFonts w:hint="default" w:ascii="Times New Roman" w:hAnsi="Times New Roman" w:cs="Times New Roman"/>
          <w:color w:val="auto"/>
          <w:sz w:val="28"/>
          <w:highlight w:val="none"/>
        </w:rPr>
        <w:t>进行</w:t>
      </w:r>
      <w:r>
        <w:rPr>
          <w:rFonts w:hint="default" w:ascii="Times New Roman" w:hAnsi="Times New Roman" w:cs="Times New Roman"/>
          <w:color w:val="auto"/>
          <w:sz w:val="28"/>
          <w:highlight w:val="none"/>
          <w:lang w:eastAsia="zh-CN"/>
        </w:rPr>
        <w:t>油井大修</w:t>
      </w:r>
      <w:r>
        <w:rPr>
          <w:rFonts w:hint="default" w:ascii="Times New Roman" w:hAnsi="Times New Roman" w:cs="Times New Roman"/>
          <w:color w:val="auto"/>
          <w:sz w:val="28"/>
          <w:highlight w:val="none"/>
        </w:rPr>
        <w:t>施工作业</w:t>
      </w:r>
      <w:r>
        <w:rPr>
          <w:rFonts w:hint="default" w:ascii="Times New Roman" w:hAnsi="Times New Roman" w:cs="Times New Roman"/>
          <w:color w:val="auto"/>
          <w:sz w:val="28"/>
          <w:highlight w:val="none"/>
          <w:lang w:val="en-US" w:eastAsia="zh-CN"/>
        </w:rPr>
        <w:t>。</w:t>
      </w:r>
      <w:r>
        <w:rPr>
          <w:rFonts w:hint="default" w:ascii="Times New Roman" w:hAnsi="Times New Roman" w:cs="Times New Roman"/>
          <w:color w:val="auto"/>
          <w:sz w:val="28"/>
          <w:lang w:eastAsia="zh-CN"/>
        </w:rPr>
        <w:t>评价组</w:t>
      </w:r>
      <w:r>
        <w:rPr>
          <w:rFonts w:hint="default" w:ascii="Times New Roman" w:hAnsi="Times New Roman" w:cs="Times New Roman"/>
          <w:color w:val="auto"/>
          <w:sz w:val="28"/>
        </w:rPr>
        <w:t>根据</w:t>
      </w:r>
      <w:r>
        <w:rPr>
          <w:rFonts w:hint="default" w:ascii="Times New Roman" w:hAnsi="Times New Roman" w:cs="Times New Roman"/>
          <w:color w:val="auto"/>
          <w:sz w:val="28"/>
          <w:highlight w:val="none"/>
          <w:lang w:val="en-US" w:eastAsia="zh-CN"/>
        </w:rPr>
        <w:t>高73-13井</w:t>
      </w:r>
      <w:r>
        <w:rPr>
          <w:rFonts w:hint="eastAsia" w:ascii="Times New Roman" w:cs="Times New Roman"/>
          <w:color w:val="auto"/>
          <w:sz w:val="28"/>
          <w:highlight w:val="none"/>
          <w:lang w:val="en-US" w:eastAsia="zh-CN"/>
        </w:rPr>
        <w:t>、高10-11井</w:t>
      </w:r>
      <w:r>
        <w:rPr>
          <w:rFonts w:hint="default" w:ascii="Times New Roman" w:hAnsi="Times New Roman" w:cs="Times New Roman"/>
          <w:color w:val="auto"/>
          <w:sz w:val="28"/>
          <w:szCs w:val="28"/>
          <w:lang w:val="en-US" w:eastAsia="zh-CN"/>
        </w:rPr>
        <w:t>作</w:t>
      </w:r>
      <w:r>
        <w:rPr>
          <w:rFonts w:hint="default" w:ascii="Times New Roman" w:hAnsi="Times New Roman" w:cs="Times New Roman"/>
          <w:sz w:val="28"/>
          <w:szCs w:val="28"/>
          <w:lang w:val="en-US" w:eastAsia="zh-CN"/>
        </w:rPr>
        <w:t>业资料</w:t>
      </w:r>
      <w:r>
        <w:rPr>
          <w:rFonts w:hint="default" w:ascii="Times New Roman" w:hAnsi="Times New Roman" w:cs="Times New Roman"/>
          <w:color w:val="000000" w:themeColor="text1"/>
          <w:sz w:val="28"/>
          <w:szCs w:val="28"/>
          <w14:textFill>
            <w14:solidFill>
              <w14:schemeClr w14:val="tx1"/>
            </w14:solidFill>
          </w14:textFill>
        </w:rPr>
        <w:t>进行检查评价。</w:t>
      </w:r>
    </w:p>
    <w:p>
      <w:pPr>
        <w:keepNext/>
        <w:keepLines/>
        <w:adjustRightInd w:val="0"/>
        <w:snapToGrid w:val="0"/>
        <w:spacing w:line="360" w:lineRule="auto"/>
        <w:outlineLvl w:val="2"/>
        <w:rPr>
          <w:rFonts w:hint="default" w:eastAsia="黑体"/>
          <w:bCs/>
          <w:snapToGrid w:val="0"/>
          <w:color w:val="auto"/>
          <w:kern w:val="0"/>
          <w:sz w:val="28"/>
          <w:szCs w:val="28"/>
          <w:lang w:val="en-US" w:eastAsia="zh-CN"/>
        </w:rPr>
      </w:pPr>
      <w:bookmarkStart w:id="131" w:name="_Toc472176467"/>
      <w:bookmarkStart w:id="132" w:name="_Toc472176361"/>
      <w:r>
        <w:rPr>
          <w:rFonts w:eastAsia="黑体"/>
          <w:bCs/>
          <w:snapToGrid w:val="0"/>
          <w:color w:val="auto"/>
          <w:kern w:val="0"/>
          <w:sz w:val="28"/>
          <w:szCs w:val="28"/>
        </w:rPr>
        <w:t xml:space="preserve">5.1.1 </w:t>
      </w:r>
      <w:bookmarkEnd w:id="131"/>
      <w:bookmarkEnd w:id="132"/>
      <w:r>
        <w:rPr>
          <w:rFonts w:hint="eastAsia" w:eastAsia="黑体" w:cs="Times New Roman"/>
          <w:b w:val="0"/>
          <w:bCs w:val="0"/>
          <w:sz w:val="28"/>
          <w:szCs w:val="28"/>
          <w:lang w:val="en-US" w:eastAsia="zh-CN"/>
        </w:rPr>
        <w:t>大修作业</w:t>
      </w:r>
      <w:r>
        <w:rPr>
          <w:rFonts w:hint="default" w:ascii="Times New Roman" w:hAnsi="Times New Roman" w:eastAsia="黑体" w:cs="Times New Roman"/>
          <w:b w:val="0"/>
          <w:bCs w:val="0"/>
          <w:sz w:val="28"/>
          <w:szCs w:val="28"/>
          <w:lang w:val="en-US" w:eastAsia="zh-CN"/>
        </w:rPr>
        <w:t>安全检查表评价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b/>
          <w:bCs/>
          <w:sz w:val="28"/>
          <w:szCs w:val="28"/>
        </w:rPr>
      </w:pPr>
      <w:bookmarkStart w:id="133" w:name="_Hlk535843016"/>
      <w:r>
        <w:rPr>
          <w:rFonts w:hint="default" w:ascii="Times New Roman" w:hAnsi="Times New Roman" w:eastAsia="宋体" w:cs="Times New Roman"/>
          <w:b/>
          <w:bCs/>
          <w:sz w:val="28"/>
          <w:szCs w:val="28"/>
        </w:rPr>
        <w:t>1.</w:t>
      </w:r>
      <w:bookmarkEnd w:id="133"/>
      <w:bookmarkStart w:id="134" w:name="_Hlk536085336"/>
      <w:r>
        <w:rPr>
          <w:rFonts w:hint="default" w:ascii="Times New Roman" w:hAnsi="Times New Roman" w:eastAsia="宋体" w:cs="Times New Roman"/>
          <w:b/>
          <w:bCs/>
          <w:sz w:val="28"/>
          <w:szCs w:val="28"/>
          <w:lang w:val="en-US" w:eastAsia="zh-CN"/>
        </w:rPr>
        <w:t>高73-13井</w:t>
      </w:r>
    </w:p>
    <w:bookmarkEnd w:id="134"/>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keepNext w:val="0"/>
        <w:keepLines w:val="0"/>
        <w:pageBreakBefore w:val="0"/>
        <w:widowControl w:val="0"/>
        <w:numPr>
          <w:ilvl w:val="0"/>
          <w:numId w:val="15"/>
        </w:numPr>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现场作业情况</w:t>
      </w:r>
    </w:p>
    <w:tbl>
      <w:tblPr>
        <w:tblStyle w:val="53"/>
        <w:tblW w:w="0" w:type="auto"/>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10"/>
        <w:gridCol w:w="4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6" w:hRule="atLeast"/>
        </w:trPr>
        <w:tc>
          <w:tcPr>
            <w:tcW w:w="4210" w:type="dxa"/>
            <w:vAlign w:val="top"/>
          </w:tcPr>
          <w:p>
            <w:pPr>
              <w:pStyle w:val="217"/>
              <w:keepNext w:val="0"/>
              <w:keepLines w:val="0"/>
              <w:pageBreakBefore w:val="0"/>
              <w:widowControl w:val="0"/>
              <w:suppressLineNumbers w:val="0"/>
              <w:kinsoku/>
              <w:wordWrap/>
              <w:overflowPunct/>
              <w:topLinePunct w:val="0"/>
              <w:autoSpaceDE/>
              <w:autoSpaceDN/>
              <w:bidi w:val="0"/>
              <w:adjustRightInd w:val="0"/>
              <w:snapToGrid w:val="0"/>
              <w:spacing w:before="313" w:beforeLines="100" w:beforeAutospacing="0" w:after="0" w:afterAutospacing="0" w:line="360" w:lineRule="auto"/>
              <w:ind w:left="0" w:right="0"/>
              <w:jc w:val="both"/>
              <w:textAlignment w:val="auto"/>
              <w:rPr>
                <w:rFonts w:hint="default"/>
                <w:color w:val="auto"/>
                <w:sz w:val="28"/>
                <w:szCs w:val="28"/>
                <w:vertAlign w:val="baseline"/>
                <w:lang w:val="en-US" w:eastAsia="zh-CN"/>
              </w:rPr>
            </w:pPr>
            <w:r>
              <w:rPr>
                <w:rFonts w:hint="default"/>
                <w:b/>
                <w:bCs/>
                <w:sz w:val="28"/>
                <w:szCs w:val="28"/>
              </w:rPr>
              <w:drawing>
                <wp:anchor distT="0" distB="0" distL="0" distR="0" simplePos="0" relativeHeight="251667456" behindDoc="0" locked="0" layoutInCell="1" allowOverlap="1">
                  <wp:simplePos x="0" y="0"/>
                  <wp:positionH relativeFrom="column">
                    <wp:posOffset>-53975</wp:posOffset>
                  </wp:positionH>
                  <wp:positionV relativeFrom="paragraph">
                    <wp:posOffset>62230</wp:posOffset>
                  </wp:positionV>
                  <wp:extent cx="2651125" cy="2307590"/>
                  <wp:effectExtent l="0" t="0" r="635" b="8890"/>
                  <wp:wrapNone/>
                  <wp:docPr id="323" name="图片 323" descr="C:\Users\Administrator\AppData\Local\Temp\WeChat Files\ca3e70421e663abceb778c85ec922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323" descr="C:\Users\Administrator\AppData\Local\Temp\WeChat Files\ca3e70421e663abceb778c85ec922c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651125" cy="2307590"/>
                          </a:xfrm>
                          <a:prstGeom prst="rect">
                            <a:avLst/>
                          </a:prstGeom>
                          <a:noFill/>
                          <a:ln>
                            <a:noFill/>
                          </a:ln>
                        </pic:spPr>
                      </pic:pic>
                    </a:graphicData>
                  </a:graphic>
                </wp:anchor>
              </w:drawing>
            </w:r>
          </w:p>
        </w:tc>
        <w:tc>
          <w:tcPr>
            <w:tcW w:w="4122" w:type="dxa"/>
            <w:vAlign w:val="top"/>
          </w:tcPr>
          <w:p>
            <w:pPr>
              <w:pStyle w:val="217"/>
              <w:keepNext w:val="0"/>
              <w:keepLines w:val="0"/>
              <w:pageBreakBefore w:val="0"/>
              <w:widowControl w:val="0"/>
              <w:suppressLineNumbers w:val="0"/>
              <w:kinsoku/>
              <w:wordWrap/>
              <w:overflowPunct/>
              <w:topLinePunct w:val="0"/>
              <w:autoSpaceDE/>
              <w:autoSpaceDN/>
              <w:bidi w:val="0"/>
              <w:adjustRightInd w:val="0"/>
              <w:snapToGrid w:val="0"/>
              <w:spacing w:before="313" w:beforeLines="100" w:beforeAutospacing="0" w:after="0" w:afterAutospacing="0" w:line="360" w:lineRule="auto"/>
              <w:ind w:left="0" w:right="0"/>
              <w:jc w:val="both"/>
              <w:textAlignment w:val="auto"/>
              <w:rPr>
                <w:rFonts w:hint="default"/>
                <w:color w:val="auto"/>
                <w:sz w:val="28"/>
                <w:szCs w:val="28"/>
                <w:vertAlign w:val="baseline"/>
                <w:lang w:val="en-US" w:eastAsia="zh-CN"/>
              </w:rPr>
            </w:pPr>
            <w:r>
              <w:rPr>
                <w:rFonts w:hint="default"/>
                <w:b/>
                <w:bCs/>
                <w:sz w:val="28"/>
                <w:szCs w:val="28"/>
              </w:rPr>
              <w:drawing>
                <wp:anchor distT="0" distB="0" distL="0" distR="0" simplePos="0" relativeHeight="251668480" behindDoc="0" locked="0" layoutInCell="1" allowOverlap="1">
                  <wp:simplePos x="0" y="0"/>
                  <wp:positionH relativeFrom="column">
                    <wp:posOffset>-8890</wp:posOffset>
                  </wp:positionH>
                  <wp:positionV relativeFrom="paragraph">
                    <wp:posOffset>25400</wp:posOffset>
                  </wp:positionV>
                  <wp:extent cx="2521585" cy="2311400"/>
                  <wp:effectExtent l="0" t="0" r="8255" b="5080"/>
                  <wp:wrapNone/>
                  <wp:docPr id="324" name="图片 324" descr="C:\Users\Administrator\AppData\Local\Temp\WeChat Files\ccd5b30701cf37b594f31d12ba7da1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324" descr="C:\Users\Administrator\AppData\Local\Temp\WeChat Files\ccd5b30701cf37b594f31d12ba7da1f.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521585" cy="231140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9" w:hRule="atLeast"/>
        </w:trPr>
        <w:tc>
          <w:tcPr>
            <w:tcW w:w="4210" w:type="dxa"/>
            <w:vAlign w:val="top"/>
          </w:tcPr>
          <w:p>
            <w:pPr>
              <w:pStyle w:val="217"/>
              <w:keepNext w:val="0"/>
              <w:keepLines w:val="0"/>
              <w:pageBreakBefore w:val="0"/>
              <w:widowControl w:val="0"/>
              <w:suppressLineNumbers w:val="0"/>
              <w:kinsoku/>
              <w:wordWrap/>
              <w:overflowPunct/>
              <w:topLinePunct w:val="0"/>
              <w:autoSpaceDE/>
              <w:autoSpaceDN/>
              <w:bidi w:val="0"/>
              <w:adjustRightInd w:val="0"/>
              <w:snapToGrid w:val="0"/>
              <w:spacing w:before="313" w:beforeLines="100" w:beforeAutospacing="0" w:after="0" w:afterAutospacing="0" w:line="360" w:lineRule="auto"/>
              <w:ind w:left="0" w:right="0"/>
              <w:jc w:val="both"/>
              <w:textAlignment w:val="auto"/>
              <w:rPr>
                <w:rFonts w:hint="default"/>
                <w:b/>
                <w:bCs/>
                <w:sz w:val="28"/>
                <w:szCs w:val="28"/>
              </w:rPr>
            </w:pPr>
            <w:r>
              <w:rPr>
                <w:rFonts w:hint="default"/>
              </w:rPr>
              <w:drawing>
                <wp:anchor distT="0" distB="0" distL="114300" distR="114300" simplePos="0" relativeHeight="251670528" behindDoc="0" locked="0" layoutInCell="1" allowOverlap="1">
                  <wp:simplePos x="0" y="0"/>
                  <wp:positionH relativeFrom="column">
                    <wp:posOffset>-90805</wp:posOffset>
                  </wp:positionH>
                  <wp:positionV relativeFrom="paragraph">
                    <wp:posOffset>62230</wp:posOffset>
                  </wp:positionV>
                  <wp:extent cx="2706370" cy="2620010"/>
                  <wp:effectExtent l="0" t="0" r="6350" b="1270"/>
                  <wp:wrapNone/>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1"/>
                          </pic:cNvPicPr>
                        </pic:nvPicPr>
                        <pic:blipFill>
                          <a:blip r:embed="rId22"/>
                          <a:stretch>
                            <a:fillRect/>
                          </a:stretch>
                        </pic:blipFill>
                        <pic:spPr>
                          <a:xfrm>
                            <a:off x="0" y="0"/>
                            <a:ext cx="2706370" cy="2620010"/>
                          </a:xfrm>
                          <a:prstGeom prst="rect">
                            <a:avLst/>
                          </a:prstGeom>
                          <a:noFill/>
                          <a:ln>
                            <a:noFill/>
                          </a:ln>
                        </pic:spPr>
                      </pic:pic>
                    </a:graphicData>
                  </a:graphic>
                </wp:anchor>
              </w:drawing>
            </w:r>
          </w:p>
        </w:tc>
        <w:tc>
          <w:tcPr>
            <w:tcW w:w="4122" w:type="dxa"/>
            <w:vAlign w:val="top"/>
          </w:tcPr>
          <w:p>
            <w:pPr>
              <w:pStyle w:val="217"/>
              <w:keepNext w:val="0"/>
              <w:keepLines w:val="0"/>
              <w:pageBreakBefore w:val="0"/>
              <w:widowControl w:val="0"/>
              <w:suppressLineNumbers w:val="0"/>
              <w:kinsoku/>
              <w:wordWrap/>
              <w:overflowPunct/>
              <w:topLinePunct w:val="0"/>
              <w:autoSpaceDE/>
              <w:autoSpaceDN/>
              <w:bidi w:val="0"/>
              <w:adjustRightInd w:val="0"/>
              <w:snapToGrid w:val="0"/>
              <w:spacing w:before="313" w:beforeLines="100" w:beforeAutospacing="0" w:after="0" w:afterAutospacing="0" w:line="360" w:lineRule="auto"/>
              <w:ind w:left="0" w:right="0"/>
              <w:jc w:val="center"/>
              <w:textAlignment w:val="auto"/>
              <w:rPr>
                <w:rFonts w:hint="default"/>
                <w:b/>
                <w:bCs/>
                <w:sz w:val="28"/>
                <w:szCs w:val="28"/>
              </w:rPr>
            </w:pPr>
            <w:r>
              <w:rPr>
                <w:rFonts w:hint="default"/>
              </w:rPr>
              <w:drawing>
                <wp:anchor distT="0" distB="0" distL="114300" distR="114300" simplePos="0" relativeHeight="251669504" behindDoc="0" locked="0" layoutInCell="1" allowOverlap="1">
                  <wp:simplePos x="0" y="0"/>
                  <wp:positionH relativeFrom="column">
                    <wp:posOffset>0</wp:posOffset>
                  </wp:positionH>
                  <wp:positionV relativeFrom="paragraph">
                    <wp:posOffset>43815</wp:posOffset>
                  </wp:positionV>
                  <wp:extent cx="2521585" cy="2635250"/>
                  <wp:effectExtent l="0" t="0" r="8255" b="1270"/>
                  <wp:wrapNone/>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23"/>
                          <a:stretch>
                            <a:fillRect/>
                          </a:stretch>
                        </pic:blipFill>
                        <pic:spPr>
                          <a:xfrm>
                            <a:off x="0" y="0"/>
                            <a:ext cx="2521585" cy="2635250"/>
                          </a:xfrm>
                          <a:prstGeom prst="rect">
                            <a:avLst/>
                          </a:prstGeom>
                          <a:noFill/>
                          <a:ln>
                            <a:noFill/>
                          </a:ln>
                        </pic:spPr>
                      </pic:pic>
                    </a:graphicData>
                  </a:graphic>
                </wp:anchor>
              </w:drawing>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ascii="宋体" w:hAnsi="宋体" w:cs="宋体"/>
          <w:b w:val="0"/>
          <w:bCs w:val="0"/>
          <w:sz w:val="28"/>
          <w:szCs w:val="28"/>
          <w:lang w:val="en-US" w:eastAsia="zh-CN"/>
        </w:rPr>
      </w:pPr>
      <w:r>
        <w:rPr>
          <w:rFonts w:hint="eastAsia" w:ascii="宋体" w:hAnsi="宋体" w:cs="宋体"/>
          <w:b/>
          <w:bCs/>
          <w:sz w:val="24"/>
          <w:szCs w:val="24"/>
          <w:lang w:val="en-US" w:eastAsia="zh-CN"/>
        </w:rPr>
        <w:t>图</w:t>
      </w:r>
      <w:r>
        <w:rPr>
          <w:rFonts w:hint="default" w:ascii="Times New Roman" w:hAnsi="Times New Roman" w:cs="Times New Roman"/>
          <w:b/>
          <w:bCs/>
          <w:sz w:val="24"/>
          <w:szCs w:val="24"/>
          <w:lang w:val="en-US" w:eastAsia="zh-CN"/>
        </w:rPr>
        <w:t>5-2</w:t>
      </w:r>
      <w:r>
        <w:rPr>
          <w:rFonts w:hint="eastAsia" w:cs="Times New Roman"/>
          <w:b/>
          <w:bCs/>
          <w:sz w:val="24"/>
          <w:szCs w:val="24"/>
          <w:lang w:val="en-US" w:eastAsia="zh-CN"/>
        </w:rPr>
        <w:t xml:space="preserve"> </w:t>
      </w:r>
      <w:r>
        <w:rPr>
          <w:rFonts w:hint="eastAsia" w:ascii="宋体" w:hAnsi="宋体" w:cs="宋体"/>
          <w:b/>
          <w:bCs/>
          <w:sz w:val="24"/>
          <w:szCs w:val="24"/>
          <w:lang w:val="en-US" w:eastAsia="zh-CN"/>
        </w:rPr>
        <w:t>现场施工作业情况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b/>
          <w:bCs/>
          <w:sz w:val="28"/>
          <w:szCs w:val="28"/>
        </w:rPr>
      </w:pPr>
      <w:r>
        <w:rPr>
          <w:rFonts w:hint="eastAsia" w:cs="Times New Roman"/>
          <w:b/>
          <w:bCs/>
          <w:sz w:val="28"/>
          <w:szCs w:val="28"/>
          <w:lang w:val="en-US" w:eastAsia="zh-CN"/>
        </w:rPr>
        <w:t>2</w:t>
      </w:r>
      <w:r>
        <w:rPr>
          <w:rFonts w:hint="default" w:ascii="Times New Roman" w:hAnsi="Times New Roman" w:eastAsia="宋体" w:cs="Times New Roman"/>
          <w:b/>
          <w:bCs/>
          <w:sz w:val="28"/>
          <w:szCs w:val="28"/>
        </w:rPr>
        <w:t>.</w:t>
      </w:r>
      <w:r>
        <w:rPr>
          <w:rFonts w:hint="default" w:ascii="Times New Roman" w:hAnsi="Times New Roman" w:eastAsia="宋体" w:cs="Times New Roman"/>
          <w:b/>
          <w:bCs/>
          <w:sz w:val="28"/>
          <w:szCs w:val="28"/>
          <w:lang w:val="en-US" w:eastAsia="zh-CN"/>
        </w:rPr>
        <w:t>高10-11井</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val="0"/>
          <w:bCs/>
          <w:color w:val="000000" w:themeColor="text1"/>
          <w:szCs w:val="28"/>
          <w14:textFill>
            <w14:solidFill>
              <w14:schemeClr w14:val="tx1"/>
            </w14:solidFill>
          </w14:textFill>
        </w:rPr>
      </w:pP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井场道路及井场周边环境</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cs="Times New Roman"/>
          <w:sz w:val="28"/>
          <w:szCs w:val="28"/>
          <w:lang w:val="en-US" w:eastAsia="zh-CN"/>
        </w:rPr>
        <w:t>（4）</w:t>
      </w:r>
      <w:r>
        <w:rPr>
          <w:rFonts w:hint="default" w:ascii="Times New Roman" w:hAnsi="Times New Roman" w:eastAsia="宋体" w:cs="Times New Roman"/>
          <w:sz w:val="28"/>
          <w:szCs w:val="28"/>
          <w:lang w:val="en-US" w:eastAsia="zh-CN"/>
        </w:rPr>
        <w:t>现场作业情况</w:t>
      </w:r>
    </w:p>
    <w:tbl>
      <w:tblPr>
        <w:tblStyle w:val="53"/>
        <w:tblW w:w="0" w:type="auto"/>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10"/>
        <w:gridCol w:w="4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5" w:hRule="atLeast"/>
        </w:trPr>
        <w:tc>
          <w:tcPr>
            <w:tcW w:w="4210" w:type="dxa"/>
            <w:vAlign w:val="top"/>
          </w:tcPr>
          <w:p>
            <w:pPr>
              <w:pStyle w:val="217"/>
              <w:keepNext w:val="0"/>
              <w:keepLines w:val="0"/>
              <w:pageBreakBefore w:val="0"/>
              <w:widowControl w:val="0"/>
              <w:suppressLineNumbers w:val="0"/>
              <w:kinsoku/>
              <w:wordWrap/>
              <w:overflowPunct/>
              <w:topLinePunct w:val="0"/>
              <w:autoSpaceDE/>
              <w:autoSpaceDN/>
              <w:bidi w:val="0"/>
              <w:adjustRightInd w:val="0"/>
              <w:snapToGrid w:val="0"/>
              <w:spacing w:before="313" w:beforeLines="100" w:beforeAutospacing="0" w:after="0" w:afterAutospacing="0" w:line="360" w:lineRule="auto"/>
              <w:ind w:left="0" w:right="0"/>
              <w:jc w:val="both"/>
              <w:textAlignment w:val="auto"/>
              <w:rPr>
                <w:rFonts w:hint="default"/>
                <w:color w:val="auto"/>
                <w:sz w:val="28"/>
                <w:szCs w:val="28"/>
                <w:vertAlign w:val="baseline"/>
                <w:lang w:val="en-US" w:eastAsia="zh-CN"/>
              </w:rPr>
            </w:pPr>
            <w:r>
              <w:rPr>
                <w:rFonts w:hint="eastAsia"/>
                <w:b/>
                <w:bCs/>
                <w:sz w:val="28"/>
                <w:szCs w:val="36"/>
                <w:lang w:val="en-US" w:eastAsia="zh-CN"/>
              </w:rPr>
              <w:drawing>
                <wp:anchor distT="0" distB="0" distL="114300" distR="114300" simplePos="0" relativeHeight="251671552" behindDoc="0" locked="0" layoutInCell="1" allowOverlap="1">
                  <wp:simplePos x="0" y="0"/>
                  <wp:positionH relativeFrom="column">
                    <wp:posOffset>-47625</wp:posOffset>
                  </wp:positionH>
                  <wp:positionV relativeFrom="paragraph">
                    <wp:posOffset>55245</wp:posOffset>
                  </wp:positionV>
                  <wp:extent cx="2597785" cy="2613660"/>
                  <wp:effectExtent l="0" t="0" r="8255" b="7620"/>
                  <wp:wrapNone/>
                  <wp:docPr id="44" name="图片 44" descr="d4d60a2c9ab493454d947795c79b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4d60a2c9ab493454d947795c79b504"/>
                          <pic:cNvPicPr>
                            <a:picLocks noChangeAspect="1"/>
                          </pic:cNvPicPr>
                        </pic:nvPicPr>
                        <pic:blipFill>
                          <a:blip r:embed="rId24"/>
                          <a:stretch>
                            <a:fillRect/>
                          </a:stretch>
                        </pic:blipFill>
                        <pic:spPr>
                          <a:xfrm>
                            <a:off x="0" y="0"/>
                            <a:ext cx="2597785" cy="2613660"/>
                          </a:xfrm>
                          <a:prstGeom prst="rect">
                            <a:avLst/>
                          </a:prstGeom>
                        </pic:spPr>
                      </pic:pic>
                    </a:graphicData>
                  </a:graphic>
                </wp:anchor>
              </w:drawing>
            </w:r>
          </w:p>
        </w:tc>
        <w:tc>
          <w:tcPr>
            <w:tcW w:w="4122" w:type="dxa"/>
            <w:vAlign w:val="top"/>
          </w:tcPr>
          <w:p>
            <w:pPr>
              <w:pStyle w:val="217"/>
              <w:keepNext w:val="0"/>
              <w:keepLines w:val="0"/>
              <w:pageBreakBefore w:val="0"/>
              <w:widowControl w:val="0"/>
              <w:suppressLineNumbers w:val="0"/>
              <w:kinsoku/>
              <w:wordWrap/>
              <w:overflowPunct/>
              <w:topLinePunct w:val="0"/>
              <w:autoSpaceDE/>
              <w:autoSpaceDN/>
              <w:bidi w:val="0"/>
              <w:adjustRightInd w:val="0"/>
              <w:snapToGrid w:val="0"/>
              <w:spacing w:before="313" w:beforeLines="100" w:beforeAutospacing="0" w:after="0" w:afterAutospacing="0" w:line="360" w:lineRule="auto"/>
              <w:ind w:left="0" w:right="0"/>
              <w:jc w:val="both"/>
              <w:textAlignment w:val="auto"/>
              <w:rPr>
                <w:rFonts w:hint="default"/>
                <w:color w:val="auto"/>
                <w:sz w:val="28"/>
                <w:szCs w:val="28"/>
                <w:vertAlign w:val="baseline"/>
                <w:lang w:val="en-US" w:eastAsia="zh-CN"/>
              </w:rPr>
            </w:pPr>
            <w:r>
              <w:rPr>
                <w:rFonts w:hint="eastAsia"/>
                <w:b/>
                <w:bCs/>
                <w:sz w:val="28"/>
                <w:szCs w:val="36"/>
                <w:lang w:val="en-US" w:eastAsia="zh-CN"/>
              </w:rPr>
              <w:drawing>
                <wp:anchor distT="0" distB="0" distL="114300" distR="114300" simplePos="0" relativeHeight="251672576" behindDoc="0" locked="0" layoutInCell="1" allowOverlap="1">
                  <wp:simplePos x="0" y="0"/>
                  <wp:positionH relativeFrom="column">
                    <wp:posOffset>-23495</wp:posOffset>
                  </wp:positionH>
                  <wp:positionV relativeFrom="paragraph">
                    <wp:posOffset>43180</wp:posOffset>
                  </wp:positionV>
                  <wp:extent cx="2571750" cy="2636520"/>
                  <wp:effectExtent l="0" t="0" r="3810" b="0"/>
                  <wp:wrapNone/>
                  <wp:docPr id="60" name="图片 60" descr="f71b1d02abea06b4f54b28e7ad1bf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f71b1d02abea06b4f54b28e7ad1bffb"/>
                          <pic:cNvPicPr>
                            <a:picLocks noChangeAspect="1"/>
                          </pic:cNvPicPr>
                        </pic:nvPicPr>
                        <pic:blipFill>
                          <a:blip r:embed="rId25"/>
                          <a:stretch>
                            <a:fillRect/>
                          </a:stretch>
                        </pic:blipFill>
                        <pic:spPr>
                          <a:xfrm>
                            <a:off x="0" y="0"/>
                            <a:ext cx="2571750" cy="2636520"/>
                          </a:xfrm>
                          <a:prstGeom prst="rect">
                            <a:avLst/>
                          </a:prstGeom>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0" w:hRule="atLeast"/>
        </w:trPr>
        <w:tc>
          <w:tcPr>
            <w:tcW w:w="4210" w:type="dxa"/>
            <w:vAlign w:val="top"/>
          </w:tcPr>
          <w:p>
            <w:pPr>
              <w:pStyle w:val="217"/>
              <w:keepNext w:val="0"/>
              <w:keepLines w:val="0"/>
              <w:pageBreakBefore w:val="0"/>
              <w:widowControl w:val="0"/>
              <w:suppressLineNumbers w:val="0"/>
              <w:kinsoku/>
              <w:wordWrap/>
              <w:overflowPunct/>
              <w:topLinePunct w:val="0"/>
              <w:autoSpaceDE/>
              <w:autoSpaceDN/>
              <w:bidi w:val="0"/>
              <w:adjustRightInd w:val="0"/>
              <w:snapToGrid w:val="0"/>
              <w:spacing w:before="313" w:beforeLines="100" w:beforeAutospacing="0" w:after="0" w:afterAutospacing="0" w:line="360" w:lineRule="auto"/>
              <w:ind w:left="0" w:right="0"/>
              <w:jc w:val="both"/>
              <w:textAlignment w:val="auto"/>
              <w:rPr>
                <w:rFonts w:hint="default"/>
                <w:b/>
                <w:bCs/>
                <w:sz w:val="28"/>
                <w:szCs w:val="28"/>
              </w:rPr>
            </w:pPr>
            <w:r>
              <w:rPr>
                <w:rFonts w:hint="eastAsia"/>
                <w:b/>
                <w:bCs/>
                <w:sz w:val="28"/>
                <w:szCs w:val="36"/>
                <w:lang w:val="en-US" w:eastAsia="zh-CN"/>
              </w:rPr>
              <w:drawing>
                <wp:anchor distT="0" distB="0" distL="114300" distR="114300" simplePos="0" relativeHeight="251673600" behindDoc="0" locked="0" layoutInCell="1" allowOverlap="1">
                  <wp:simplePos x="0" y="0"/>
                  <wp:positionH relativeFrom="column">
                    <wp:posOffset>-59690</wp:posOffset>
                  </wp:positionH>
                  <wp:positionV relativeFrom="paragraph">
                    <wp:posOffset>54610</wp:posOffset>
                  </wp:positionV>
                  <wp:extent cx="2677795" cy="2703195"/>
                  <wp:effectExtent l="0" t="0" r="4445" b="9525"/>
                  <wp:wrapNone/>
                  <wp:docPr id="62" name="图片 62" descr="c30894a4f1056be6f99d84aaa1d1a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c30894a4f1056be6f99d84aaa1d1ab1"/>
                          <pic:cNvPicPr>
                            <a:picLocks noChangeAspect="1"/>
                          </pic:cNvPicPr>
                        </pic:nvPicPr>
                        <pic:blipFill>
                          <a:blip r:embed="rId26"/>
                          <a:stretch>
                            <a:fillRect/>
                          </a:stretch>
                        </pic:blipFill>
                        <pic:spPr>
                          <a:xfrm>
                            <a:off x="0" y="0"/>
                            <a:ext cx="2677795" cy="2703195"/>
                          </a:xfrm>
                          <a:prstGeom prst="rect">
                            <a:avLst/>
                          </a:prstGeom>
                        </pic:spPr>
                      </pic:pic>
                    </a:graphicData>
                  </a:graphic>
                </wp:anchor>
              </w:drawing>
            </w:r>
          </w:p>
        </w:tc>
        <w:tc>
          <w:tcPr>
            <w:tcW w:w="4122" w:type="dxa"/>
            <w:vAlign w:val="top"/>
          </w:tcPr>
          <w:p>
            <w:pPr>
              <w:pStyle w:val="217"/>
              <w:keepNext w:val="0"/>
              <w:keepLines w:val="0"/>
              <w:pageBreakBefore w:val="0"/>
              <w:widowControl w:val="0"/>
              <w:suppressLineNumbers w:val="0"/>
              <w:kinsoku/>
              <w:wordWrap/>
              <w:overflowPunct/>
              <w:topLinePunct w:val="0"/>
              <w:autoSpaceDE/>
              <w:autoSpaceDN/>
              <w:bidi w:val="0"/>
              <w:adjustRightInd w:val="0"/>
              <w:snapToGrid w:val="0"/>
              <w:spacing w:before="313" w:beforeLines="100" w:beforeAutospacing="0" w:after="0" w:afterAutospacing="0" w:line="360" w:lineRule="auto"/>
              <w:ind w:left="0" w:right="0"/>
              <w:jc w:val="center"/>
              <w:textAlignment w:val="auto"/>
              <w:rPr>
                <w:rFonts w:hint="default"/>
                <w:b/>
                <w:bCs/>
                <w:sz w:val="28"/>
                <w:szCs w:val="28"/>
              </w:rPr>
            </w:pPr>
            <w:r>
              <w:rPr>
                <w:rFonts w:hint="eastAsia"/>
                <w:b/>
                <w:bCs/>
                <w:sz w:val="28"/>
                <w:szCs w:val="36"/>
                <w:lang w:val="en-US" w:eastAsia="zh-CN"/>
              </w:rPr>
              <w:drawing>
                <wp:anchor distT="0" distB="0" distL="114300" distR="114300" simplePos="0" relativeHeight="251674624" behindDoc="0" locked="0" layoutInCell="1" allowOverlap="1">
                  <wp:simplePos x="0" y="0"/>
                  <wp:positionH relativeFrom="column">
                    <wp:posOffset>-36195</wp:posOffset>
                  </wp:positionH>
                  <wp:positionV relativeFrom="paragraph">
                    <wp:posOffset>43180</wp:posOffset>
                  </wp:positionV>
                  <wp:extent cx="2571750" cy="2721610"/>
                  <wp:effectExtent l="0" t="0" r="3810" b="6350"/>
                  <wp:wrapNone/>
                  <wp:docPr id="55" name="图片 55" descr="83e878538bc98cf6a4733507c3da0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83e878538bc98cf6a4733507c3da0cd"/>
                          <pic:cNvPicPr>
                            <a:picLocks noChangeAspect="1"/>
                          </pic:cNvPicPr>
                        </pic:nvPicPr>
                        <pic:blipFill>
                          <a:blip r:embed="rId27"/>
                          <a:stretch>
                            <a:fillRect/>
                          </a:stretch>
                        </pic:blipFill>
                        <pic:spPr>
                          <a:xfrm>
                            <a:off x="0" y="0"/>
                            <a:ext cx="2571750" cy="2721610"/>
                          </a:xfrm>
                          <a:prstGeom prst="rect">
                            <a:avLst/>
                          </a:prstGeom>
                        </pic:spPr>
                      </pic:pic>
                    </a:graphicData>
                  </a:graphic>
                </wp:anchor>
              </w:drawing>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ascii="宋体" w:hAnsi="宋体" w:cs="宋体"/>
          <w:b w:val="0"/>
          <w:bCs w:val="0"/>
          <w:color w:val="auto"/>
          <w:sz w:val="28"/>
          <w:szCs w:val="28"/>
          <w:lang w:val="en-US" w:eastAsia="zh-CN"/>
        </w:rPr>
      </w:pPr>
      <w:r>
        <w:rPr>
          <w:rFonts w:hint="eastAsia" w:ascii="宋体" w:hAnsi="宋体" w:cs="宋体"/>
          <w:b/>
          <w:bCs/>
          <w:color w:val="auto"/>
          <w:sz w:val="24"/>
          <w:szCs w:val="24"/>
          <w:lang w:val="en-US" w:eastAsia="zh-CN"/>
        </w:rPr>
        <w:t>图</w:t>
      </w:r>
      <w:r>
        <w:rPr>
          <w:rFonts w:hint="default" w:ascii="Times New Roman" w:hAnsi="Times New Roman" w:cs="Times New Roman"/>
          <w:b/>
          <w:bCs/>
          <w:color w:val="auto"/>
          <w:sz w:val="24"/>
          <w:szCs w:val="24"/>
          <w:lang w:val="en-US" w:eastAsia="zh-CN"/>
        </w:rPr>
        <w:t>5-</w:t>
      </w:r>
      <w:r>
        <w:rPr>
          <w:rFonts w:hint="eastAsia" w:cs="Times New Roman"/>
          <w:b/>
          <w:bCs/>
          <w:color w:val="auto"/>
          <w:sz w:val="24"/>
          <w:szCs w:val="24"/>
          <w:lang w:val="en-US" w:eastAsia="zh-CN"/>
        </w:rPr>
        <w:t xml:space="preserve">4 </w:t>
      </w:r>
      <w:r>
        <w:rPr>
          <w:rFonts w:hint="eastAsia" w:ascii="宋体" w:hAnsi="宋体" w:cs="宋体"/>
          <w:b/>
          <w:bCs/>
          <w:color w:val="auto"/>
          <w:sz w:val="24"/>
          <w:szCs w:val="24"/>
          <w:lang w:val="en-US" w:eastAsia="zh-CN"/>
        </w:rPr>
        <w:t>现场施工作业情况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8"/>
          <w:lang w:val="en-US" w:eastAsia="zh-CN" w:bidi="ar-SA"/>
        </w:rPr>
      </w:pPr>
      <w:r>
        <w:rPr>
          <w:rFonts w:hint="eastAsia" w:ascii="宋体" w:hAnsi="宋体" w:cs="宋体"/>
          <w:b w:val="0"/>
          <w:bCs w:val="0"/>
          <w:color w:val="auto"/>
          <w:sz w:val="28"/>
          <w:szCs w:val="28"/>
          <w:lang w:val="en-US" w:eastAsia="zh-CN"/>
        </w:rPr>
        <w:t>（</w:t>
      </w:r>
      <w:r>
        <w:rPr>
          <w:rFonts w:hint="default" w:ascii="Times New Roman" w:hAnsi="Times New Roman" w:cs="Times New Roman"/>
          <w:b w:val="0"/>
          <w:bCs w:val="0"/>
          <w:color w:val="auto"/>
          <w:sz w:val="28"/>
          <w:szCs w:val="28"/>
          <w:lang w:val="en-US" w:eastAsia="zh-CN"/>
        </w:rPr>
        <w:t>5</w:t>
      </w:r>
      <w:r>
        <w:rPr>
          <w:rFonts w:hint="eastAsia" w:ascii="宋体" w:hAnsi="宋体" w:cs="宋体"/>
          <w:b w:val="0"/>
          <w:bCs w:val="0"/>
          <w:color w:val="auto"/>
          <w:sz w:val="28"/>
          <w:szCs w:val="28"/>
          <w:lang w:val="en-US" w:eastAsia="zh-CN"/>
        </w:rPr>
        <w:t>）</w:t>
      </w:r>
      <w:r>
        <w:rPr>
          <w:rFonts w:hint="eastAsia" w:ascii="Times New Roman" w:hAnsi="Times New Roman" w:eastAsia="宋体" w:cs="Times New Roman"/>
          <w:color w:val="auto"/>
          <w:kern w:val="2"/>
          <w:sz w:val="28"/>
          <w:szCs w:val="28"/>
          <w:lang w:val="en-US" w:eastAsia="zh-CN" w:bidi="ar-SA"/>
        </w:rPr>
        <w:t>安全检查表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本节根据《井下作业安全规程》（SY/T5727-2020）、《石油天然气钻井、开发、储运防火防爆安全生产技术规程》（SY/T5225-2019）</w:t>
      </w:r>
      <w:r>
        <w:rPr>
          <w:rFonts w:hint="eastAsia"/>
          <w:lang w:val="en-US" w:eastAsia="zh-CN"/>
        </w:rPr>
        <w:t>等标准规范，</w:t>
      </w:r>
      <w:r>
        <w:rPr>
          <w:rFonts w:hint="default"/>
          <w:lang w:val="en-US" w:eastAsia="zh-CN"/>
        </w:rPr>
        <w:t>对本项目生产单元进行安全评价，具体评价过程见表5-</w:t>
      </w:r>
      <w:r>
        <w:rPr>
          <w:rFonts w:hint="eastAsia"/>
          <w:lang w:val="en-US" w:eastAsia="zh-CN"/>
        </w:rPr>
        <w:t>7</w:t>
      </w:r>
      <w:r>
        <w:rPr>
          <w:rFonts w:hint="default"/>
          <w:lang w:val="en-US" w:eastAsia="zh-CN"/>
        </w:rPr>
        <w:t>。</w:t>
      </w:r>
    </w:p>
    <w:p>
      <w:pPr>
        <w:pStyle w:val="2"/>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center"/>
        <w:textAlignment w:val="auto"/>
        <w:rPr>
          <w:rFonts w:hint="default"/>
          <w:lang w:val="en-US" w:eastAsia="zh-CN"/>
        </w:rPr>
      </w:pPr>
      <w:r>
        <w:rPr>
          <w:rFonts w:hint="eastAsia" w:ascii="Times New Roman" w:hAnsi="Times New Roman" w:eastAsia="宋体" w:cs="Times New Roman"/>
          <w:b/>
          <w:color w:val="auto"/>
          <w:sz w:val="24"/>
          <w:szCs w:val="28"/>
        </w:rPr>
        <w:t>表5-</w:t>
      </w:r>
      <w:r>
        <w:rPr>
          <w:rFonts w:hint="eastAsia" w:cs="Times New Roman"/>
          <w:b/>
          <w:color w:val="auto"/>
          <w:sz w:val="24"/>
          <w:szCs w:val="28"/>
          <w:lang w:val="en-US" w:eastAsia="zh-CN"/>
        </w:rPr>
        <w:t xml:space="preserve">7 </w:t>
      </w:r>
      <w:r>
        <w:rPr>
          <w:rFonts w:hint="eastAsia" w:ascii="Times New Roman" w:hAnsi="Times New Roman" w:eastAsia="宋体" w:cs="Times New Roman"/>
          <w:b/>
          <w:color w:val="auto"/>
          <w:sz w:val="24"/>
          <w:szCs w:val="28"/>
        </w:rPr>
        <w:t>生产单元安全检查表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color w:val="auto"/>
          <w:sz w:val="28"/>
          <w:szCs w:val="28"/>
        </w:rPr>
        <w:t>评价小结：安全检查表共设</w:t>
      </w:r>
      <w:r>
        <w:rPr>
          <w:rFonts w:hint="eastAsia"/>
          <w:color w:val="auto"/>
          <w:sz w:val="28"/>
          <w:szCs w:val="28"/>
          <w:lang w:val="en-US" w:eastAsia="zh-CN"/>
        </w:rPr>
        <w:t>71</w:t>
      </w:r>
      <w:r>
        <w:rPr>
          <w:rFonts w:hint="eastAsia"/>
          <w:color w:val="auto"/>
          <w:sz w:val="28"/>
          <w:szCs w:val="28"/>
        </w:rPr>
        <w:t>项检查内容，</w:t>
      </w:r>
      <w:r>
        <w:rPr>
          <w:rFonts w:hint="eastAsia"/>
          <w:color w:val="auto"/>
          <w:sz w:val="28"/>
          <w:szCs w:val="28"/>
          <w:lang w:val="en-US" w:eastAsia="zh-CN"/>
        </w:rPr>
        <w:t>71</w:t>
      </w:r>
      <w:r>
        <w:rPr>
          <w:rFonts w:hint="eastAsia"/>
          <w:color w:val="auto"/>
          <w:sz w:val="28"/>
          <w:szCs w:val="28"/>
        </w:rPr>
        <w:t>项符合要求，</w:t>
      </w:r>
      <w:r>
        <w:rPr>
          <w:rFonts w:hint="eastAsia"/>
          <w:color w:val="auto"/>
          <w:sz w:val="28"/>
          <w:szCs w:val="28"/>
          <w:lang w:eastAsia="zh-CN"/>
        </w:rPr>
        <w:t>未发现不符合项。</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0" w:firstLineChars="0"/>
        <w:textAlignment w:val="auto"/>
        <w:outlineLvl w:val="2"/>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5.1.2</w:t>
      </w:r>
      <w:r>
        <w:rPr>
          <w:rFonts w:hint="eastAsia" w:ascii="Times New Roman" w:hAnsi="Times New Roman" w:eastAsia="黑体" w:cs="Times New Roman"/>
          <w:b w:val="0"/>
          <w:bCs w:val="0"/>
          <w:sz w:val="28"/>
          <w:szCs w:val="28"/>
          <w:lang w:val="en-US" w:eastAsia="zh-CN"/>
        </w:rPr>
        <w:t xml:space="preserve"> </w:t>
      </w:r>
      <w:r>
        <w:rPr>
          <w:rFonts w:hint="eastAsia" w:eastAsia="黑体" w:cs="Times New Roman"/>
          <w:b w:val="0"/>
          <w:bCs w:val="0"/>
          <w:sz w:val="28"/>
          <w:szCs w:val="28"/>
          <w:lang w:val="en-US" w:eastAsia="zh-CN"/>
        </w:rPr>
        <w:t>井下复杂情况处理（打捞）</w:t>
      </w:r>
      <w:r>
        <w:rPr>
          <w:rFonts w:hint="default" w:ascii="Times New Roman" w:hAnsi="Times New Roman" w:eastAsia="黑体" w:cs="Times New Roman"/>
          <w:b w:val="0"/>
          <w:bCs w:val="0"/>
          <w:sz w:val="28"/>
          <w:szCs w:val="28"/>
          <w:lang w:val="en-US" w:eastAsia="zh-CN"/>
        </w:rPr>
        <w:t>安全检查表评价</w:t>
      </w:r>
    </w:p>
    <w:p>
      <w:pPr>
        <w:pStyle w:val="12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themeColor="text1"/>
          <w:sz w:val="28"/>
          <w14:textFill>
            <w14:solidFill>
              <w14:schemeClr w14:val="tx1"/>
            </w14:solidFill>
          </w14:textFill>
        </w:rPr>
      </w:pPr>
      <w:r>
        <w:rPr>
          <w:rFonts w:hint="eastAsia" w:ascii="Times New Roman" w:hAnsi="Times New Roman" w:cs="Times New Roman"/>
          <w:color w:val="000000" w:themeColor="text1"/>
          <w:sz w:val="28"/>
          <w:lang w:val="en-US" w:eastAsia="zh-CN"/>
          <w14:textFill>
            <w14:solidFill>
              <w14:schemeClr w14:val="tx1"/>
            </w14:solidFill>
          </w14:textFill>
        </w:rPr>
        <w:t>评价过程中无井下复杂情况处理（打捞）作业，</w:t>
      </w:r>
      <w:r>
        <w:rPr>
          <w:rFonts w:hint="default" w:ascii="Times New Roman" w:hAnsi="Times New Roman" w:cs="Times New Roman"/>
          <w:color w:val="000000" w:themeColor="text1"/>
          <w:sz w:val="28"/>
          <w14:textFill>
            <w14:solidFill>
              <w14:schemeClr w14:val="tx1"/>
            </w14:solidFill>
          </w14:textFill>
        </w:rPr>
        <w:t>本节</w:t>
      </w:r>
      <w:r>
        <w:rPr>
          <w:rFonts w:hint="eastAsia" w:cs="Times New Roman"/>
          <w:color w:val="000000" w:themeColor="text1"/>
          <w:sz w:val="28"/>
          <w:lang w:eastAsia="zh-CN"/>
          <w14:textFill>
            <w14:solidFill>
              <w14:schemeClr w14:val="tx1"/>
            </w14:solidFill>
          </w14:textFill>
        </w:rPr>
        <w:t>依</w:t>
      </w:r>
      <w:r>
        <w:rPr>
          <w:rFonts w:hint="default" w:ascii="Times New Roman" w:hAnsi="Times New Roman" w:cs="Times New Roman"/>
          <w:color w:val="000000" w:themeColor="text1"/>
          <w:sz w:val="28"/>
          <w14:textFill>
            <w14:solidFill>
              <w14:schemeClr w14:val="tx1"/>
            </w14:solidFill>
          </w14:textFill>
        </w:rPr>
        <w:t>据《井下作业安全规程》（SY/T5727-2020）、</w:t>
      </w:r>
      <w:r>
        <w:rPr>
          <w:rFonts w:hint="default" w:ascii="Times New Roman" w:hAnsi="Times New Roman" w:cs="Times New Roman"/>
          <w:bCs/>
          <w:color w:val="000000" w:themeColor="text1"/>
          <w:spacing w:val="-4"/>
          <w:sz w:val="28"/>
          <w:szCs w:val="28"/>
          <w14:textFill>
            <w14:solidFill>
              <w14:schemeClr w14:val="tx1"/>
            </w14:solidFill>
          </w14:textFill>
        </w:rPr>
        <w:t xml:space="preserve">《常规修井作业规程 </w:t>
      </w:r>
      <w:r>
        <w:rPr>
          <w:rFonts w:hint="default" w:ascii="Times New Roman" w:hAnsi="Times New Roman" w:cs="Times New Roman"/>
          <w:color w:val="000000" w:themeColor="text1"/>
          <w:sz w:val="28"/>
          <w:szCs w:val="28"/>
          <w:shd w:val="clear" w:color="auto" w:fill="FFFFFF"/>
          <w14:textFill>
            <w14:solidFill>
              <w14:schemeClr w14:val="tx1"/>
            </w14:solidFill>
          </w14:textFill>
        </w:rPr>
        <w:t>第12部分</w:t>
      </w:r>
      <w:r>
        <w:rPr>
          <w:rFonts w:hint="eastAsia" w:cs="Times New Roman"/>
          <w:color w:val="000000" w:themeColor="text1"/>
          <w:sz w:val="28"/>
          <w:szCs w:val="28"/>
          <w:shd w:val="clear" w:color="auto" w:fill="FFFFFF"/>
          <w:lang w:eastAsia="zh-CN"/>
          <w14:textFill>
            <w14:solidFill>
              <w14:schemeClr w14:val="tx1"/>
            </w14:solidFill>
          </w14:textFill>
        </w:rPr>
        <w:t>：</w:t>
      </w:r>
      <w:r>
        <w:rPr>
          <w:rFonts w:hint="default" w:ascii="Times New Roman" w:hAnsi="Times New Roman" w:cs="Times New Roman"/>
          <w:color w:val="000000" w:themeColor="text1"/>
          <w:sz w:val="28"/>
          <w:szCs w:val="28"/>
          <w:shd w:val="clear" w:color="auto" w:fill="FFFFFF"/>
          <w14:textFill>
            <w14:solidFill>
              <w14:schemeClr w14:val="tx1"/>
            </w14:solidFill>
          </w14:textFill>
        </w:rPr>
        <w:t>解卡打捞</w:t>
      </w:r>
      <w:r>
        <w:rPr>
          <w:rFonts w:hint="default" w:ascii="Times New Roman" w:hAnsi="Times New Roman" w:cs="Times New Roman"/>
          <w:bCs/>
          <w:color w:val="000000" w:themeColor="text1"/>
          <w:spacing w:val="-4"/>
          <w:sz w:val="28"/>
          <w:szCs w:val="28"/>
          <w14:textFill>
            <w14:solidFill>
              <w14:schemeClr w14:val="tx1"/>
            </w14:solidFill>
          </w14:textFill>
        </w:rPr>
        <w:t>》（SY/T5587.12-2018）</w:t>
      </w:r>
      <w:r>
        <w:rPr>
          <w:rFonts w:hint="default" w:ascii="Times New Roman" w:hAnsi="Times New Roman" w:cs="Times New Roman"/>
          <w:color w:val="000000" w:themeColor="text1"/>
          <w:sz w:val="28"/>
          <w14:textFill>
            <w14:solidFill>
              <w14:schemeClr w14:val="tx1"/>
            </w14:solidFill>
          </w14:textFill>
        </w:rPr>
        <w:t>等标准，</w:t>
      </w:r>
      <w:r>
        <w:rPr>
          <w:rFonts w:hint="eastAsia" w:ascii="Times New Roman" w:hAnsi="Times New Roman" w:cs="Times New Roman"/>
          <w:color w:val="000000" w:themeColor="text1"/>
          <w:sz w:val="28"/>
          <w:lang w:val="en-US" w:eastAsia="zh-CN"/>
          <w14:textFill>
            <w14:solidFill>
              <w14:schemeClr w14:val="tx1"/>
            </w14:solidFill>
          </w14:textFill>
        </w:rPr>
        <w:t>根据操作规程、设备设施检测检验情况对复杂情况处理（打捞）生产单元进行了评价</w:t>
      </w:r>
      <w:r>
        <w:rPr>
          <w:rFonts w:hint="default" w:ascii="Times New Roman" w:hAnsi="Times New Roman" w:cs="Times New Roman"/>
          <w:color w:val="000000" w:themeColor="text1"/>
          <w:sz w:val="28"/>
          <w14:textFill>
            <w14:solidFill>
              <w14:schemeClr w14:val="tx1"/>
            </w14:solidFill>
          </w14:textFill>
        </w:rPr>
        <w:t>，具体评价过程见表5-</w:t>
      </w:r>
      <w:r>
        <w:rPr>
          <w:rFonts w:hint="eastAsia" w:cs="Times New Roman"/>
          <w:color w:val="000000" w:themeColor="text1"/>
          <w:sz w:val="28"/>
          <w:lang w:val="en-US" w:eastAsia="zh-CN"/>
          <w14:textFill>
            <w14:solidFill>
              <w14:schemeClr w14:val="tx1"/>
            </w14:solidFill>
          </w14:textFill>
        </w:rPr>
        <w:t>8</w:t>
      </w:r>
      <w:r>
        <w:rPr>
          <w:rFonts w:hint="default" w:ascii="Times New Roman" w:hAnsi="Times New Roman" w:cs="Times New Roman"/>
          <w:color w:val="000000" w:themeColor="text1"/>
          <w:sz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
          <w:bCs w:val="0"/>
          <w:color w:val="auto"/>
          <w:sz w:val="24"/>
          <w:szCs w:val="24"/>
          <w:lang w:val="en-US" w:eastAsia="zh-CN"/>
        </w:rPr>
      </w:pPr>
      <w:r>
        <w:rPr>
          <w:rFonts w:hint="default" w:ascii="Times New Roman" w:hAnsi="Times New Roman" w:cs="Times New Roman"/>
          <w:b/>
          <w:bCs w:val="0"/>
          <w:color w:val="auto"/>
          <w:sz w:val="24"/>
          <w:szCs w:val="24"/>
        </w:rPr>
        <w:t>表5-</w:t>
      </w:r>
      <w:r>
        <w:rPr>
          <w:rFonts w:hint="eastAsia" w:cs="Times New Roman"/>
          <w:b/>
          <w:bCs w:val="0"/>
          <w:color w:val="auto"/>
          <w:sz w:val="24"/>
          <w:szCs w:val="24"/>
          <w:lang w:val="en-US" w:eastAsia="zh-CN"/>
        </w:rPr>
        <w:t xml:space="preserve">8 </w:t>
      </w:r>
      <w:r>
        <w:rPr>
          <w:rFonts w:hint="default" w:ascii="Times New Roman" w:hAnsi="Times New Roman" w:cs="Times New Roman"/>
          <w:b/>
          <w:bCs w:val="0"/>
          <w:color w:val="auto"/>
          <w:sz w:val="24"/>
          <w:szCs w:val="24"/>
          <w:lang w:val="en-US" w:eastAsia="zh-CN"/>
        </w:rPr>
        <w:t>井下复杂情况处理（打捞）</w:t>
      </w:r>
      <w:r>
        <w:rPr>
          <w:rFonts w:hint="default" w:ascii="Times New Roman" w:hAnsi="Times New Roman" w:cs="Times New Roman"/>
          <w:b/>
          <w:bCs w:val="0"/>
          <w:color w:val="auto"/>
          <w:sz w:val="24"/>
          <w:szCs w:val="24"/>
        </w:rPr>
        <w:t>生产单元安全检查表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lang w:val="en-US" w:eastAsia="zh-CN"/>
        </w:rPr>
      </w:pPr>
      <w:r>
        <w:rPr>
          <w:rFonts w:hint="eastAsia" w:ascii="Times New Roman" w:hAnsi="Times New Roman" w:cs="Times New Roman"/>
          <w:sz w:val="28"/>
          <w:lang w:val="en-US" w:eastAsia="zh-CN"/>
        </w:rPr>
        <w:t>评价小结：</w:t>
      </w:r>
      <w:r>
        <w:rPr>
          <w:rFonts w:hint="eastAsia" w:ascii="Times New Roman" w:hAnsi="Times New Roman" w:cs="Times New Roman"/>
          <w:snapToGrid w:val="0"/>
          <w:color w:val="000000" w:themeColor="text1"/>
          <w:kern w:val="0"/>
          <w:sz w:val="28"/>
          <w:szCs w:val="28"/>
          <w:lang w:val="en-US" w:eastAsia="zh-CN"/>
          <w14:textFill>
            <w14:solidFill>
              <w14:schemeClr w14:val="tx1"/>
            </w14:solidFill>
          </w14:textFill>
        </w:rPr>
        <w:t>井下复杂情况处理（</w:t>
      </w:r>
      <w:r>
        <w:rPr>
          <w:rFonts w:hint="eastAsia" w:cs="Times New Roman"/>
          <w:snapToGrid w:val="0"/>
          <w:color w:val="000000" w:themeColor="text1"/>
          <w:kern w:val="0"/>
          <w:sz w:val="28"/>
          <w:szCs w:val="28"/>
          <w:lang w:val="en-US" w:eastAsia="zh-CN"/>
          <w14:textFill>
            <w14:solidFill>
              <w14:schemeClr w14:val="tx1"/>
            </w14:solidFill>
          </w14:textFill>
        </w:rPr>
        <w:t>打捞</w:t>
      </w:r>
      <w:r>
        <w:rPr>
          <w:rFonts w:hint="eastAsia" w:ascii="Times New Roman" w:hAnsi="Times New Roman" w:cs="Times New Roman"/>
          <w:snapToGrid w:val="0"/>
          <w:color w:val="000000" w:themeColor="text1"/>
          <w:kern w:val="0"/>
          <w:sz w:val="28"/>
          <w:szCs w:val="28"/>
          <w:lang w:val="en-US" w:eastAsia="zh-CN"/>
          <w14:textFill>
            <w14:solidFill>
              <w14:schemeClr w14:val="tx1"/>
            </w14:solidFill>
          </w14:textFill>
        </w:rPr>
        <w:t>）</w:t>
      </w:r>
      <w:r>
        <w:rPr>
          <w:rFonts w:hint="eastAsia" w:ascii="Times New Roman" w:hAnsi="Times New Roman" w:cs="Times New Roman"/>
          <w:sz w:val="28"/>
          <w:lang w:val="en-US" w:eastAsia="zh-CN"/>
        </w:rPr>
        <w:t>安全检查表共设</w:t>
      </w:r>
      <w:r>
        <w:rPr>
          <w:rFonts w:hint="eastAsia" w:cs="Times New Roman"/>
          <w:sz w:val="28"/>
          <w:lang w:val="en-US" w:eastAsia="zh-CN"/>
        </w:rPr>
        <w:t>8</w:t>
      </w:r>
      <w:r>
        <w:rPr>
          <w:rFonts w:hint="eastAsia" w:ascii="Times New Roman" w:hAnsi="Times New Roman" w:cs="Times New Roman"/>
          <w:sz w:val="28"/>
          <w:lang w:val="en-US" w:eastAsia="zh-CN"/>
        </w:rPr>
        <w:t>项检查内容，未发现不符合项。</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b w:val="0"/>
          <w:bCs w:val="0"/>
          <w:lang w:val="en-US" w:eastAsia="zh-CN"/>
        </w:rPr>
      </w:pPr>
      <w:r>
        <w:rPr>
          <w:rFonts w:hint="default" w:ascii="Times New Roman" w:hAnsi="Times New Roman" w:eastAsia="黑体" w:cs="Times New Roman"/>
          <w:b w:val="0"/>
          <w:bCs w:val="0"/>
          <w:sz w:val="28"/>
          <w:szCs w:val="28"/>
          <w:lang w:val="en-US" w:eastAsia="zh-CN"/>
        </w:rPr>
        <w:t>5.1.</w:t>
      </w:r>
      <w:r>
        <w:rPr>
          <w:rFonts w:hint="eastAsia" w:eastAsia="黑体" w:cs="Times New Roman"/>
          <w:b w:val="0"/>
          <w:bCs w:val="0"/>
          <w:sz w:val="28"/>
          <w:szCs w:val="28"/>
          <w:lang w:val="en-US" w:eastAsia="zh-CN"/>
        </w:rPr>
        <w:t>3</w:t>
      </w:r>
      <w:r>
        <w:rPr>
          <w:rFonts w:hint="eastAsia" w:ascii="Times New Roman" w:hAnsi="Times New Roman" w:eastAsia="黑体" w:cs="Times New Roman"/>
          <w:b w:val="0"/>
          <w:bCs w:val="0"/>
          <w:sz w:val="28"/>
          <w:szCs w:val="28"/>
          <w:lang w:val="en-US" w:eastAsia="zh-CN"/>
        </w:rPr>
        <w:t xml:space="preserve"> </w:t>
      </w:r>
      <w:r>
        <w:rPr>
          <w:rFonts w:hint="eastAsia" w:eastAsia="黑体" w:cs="Times New Roman"/>
          <w:b w:val="0"/>
          <w:bCs w:val="0"/>
          <w:sz w:val="28"/>
          <w:szCs w:val="28"/>
          <w:lang w:val="en-US" w:eastAsia="zh-CN"/>
        </w:rPr>
        <w:t>井下复杂情况处理（堵漏）</w:t>
      </w:r>
      <w:r>
        <w:rPr>
          <w:rFonts w:hint="default" w:ascii="Times New Roman" w:hAnsi="Times New Roman" w:eastAsia="黑体" w:cs="Times New Roman"/>
          <w:b w:val="0"/>
          <w:bCs w:val="0"/>
          <w:sz w:val="28"/>
          <w:szCs w:val="28"/>
          <w:lang w:val="en-US" w:eastAsia="zh-CN"/>
        </w:rPr>
        <w:t>安全检查表评价</w:t>
      </w:r>
    </w:p>
    <w:p>
      <w:pPr>
        <w:adjustRightInd w:val="0"/>
        <w:snapToGrid w:val="0"/>
        <w:spacing w:line="360" w:lineRule="auto"/>
        <w:ind w:firstLine="560" w:firstLineChars="200"/>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pPr>
      <w:r>
        <w:rPr>
          <w:rFonts w:hint="eastAsia" w:ascii="Times New Roman" w:hAnsi="Times New Roman" w:cs="Times New Roman"/>
          <w:color w:val="000000" w:themeColor="text1"/>
          <w:sz w:val="28"/>
          <w:lang w:val="en-US" w:eastAsia="zh-CN"/>
          <w14:textFill>
            <w14:solidFill>
              <w14:schemeClr w14:val="tx1"/>
            </w14:solidFill>
          </w14:textFill>
        </w:rPr>
        <w:t>评价过程中无井下复杂情况处理（</w:t>
      </w:r>
      <w:r>
        <w:rPr>
          <w:rFonts w:hint="eastAsia" w:cs="Times New Roman"/>
          <w:color w:val="000000" w:themeColor="text1"/>
          <w:sz w:val="28"/>
          <w:lang w:val="en-US" w:eastAsia="zh-CN"/>
          <w14:textFill>
            <w14:solidFill>
              <w14:schemeClr w14:val="tx1"/>
            </w14:solidFill>
          </w14:textFill>
        </w:rPr>
        <w:t>堵漏</w:t>
      </w:r>
      <w:r>
        <w:rPr>
          <w:rFonts w:hint="eastAsia" w:ascii="Times New Roman" w:hAnsi="Times New Roman" w:cs="Times New Roman"/>
          <w:color w:val="000000" w:themeColor="text1"/>
          <w:sz w:val="28"/>
          <w:lang w:val="en-US" w:eastAsia="zh-CN"/>
          <w14:textFill>
            <w14:solidFill>
              <w14:schemeClr w14:val="tx1"/>
            </w14:solidFill>
          </w14:textFill>
        </w:rPr>
        <w:t>）作业，</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本节</w:t>
      </w:r>
      <w:r>
        <w:rPr>
          <w:rFonts w:hint="eastAsia" w:cs="Times New Roman"/>
          <w:snapToGrid w:val="0"/>
          <w:color w:val="000000" w:themeColor="text1"/>
          <w:kern w:val="0"/>
          <w:sz w:val="28"/>
          <w:szCs w:val="28"/>
          <w:lang w:val="en-US" w:eastAsia="zh-CN"/>
          <w14:textFill>
            <w14:solidFill>
              <w14:schemeClr w14:val="tx1"/>
            </w14:solidFill>
          </w14:textFill>
        </w:rPr>
        <w:t>依</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据《井下作业安全规程》（SY/T5727-2020）、《常规修井作业规程</w:t>
      </w:r>
      <w:r>
        <w:rPr>
          <w:rFonts w:hint="eastAsia" w:cs="Times New Roman"/>
          <w:snapToGrid w:val="0"/>
          <w:color w:val="000000" w:themeColor="text1"/>
          <w:kern w:val="0"/>
          <w:sz w:val="28"/>
          <w:szCs w:val="28"/>
          <w:lang w:val="en-US" w:eastAsia="zh-CN"/>
          <w14:textFill>
            <w14:solidFill>
              <w14:schemeClr w14:val="tx1"/>
            </w14:solidFill>
          </w14:textFill>
        </w:rPr>
        <w:t xml:space="preserve"> </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第14部分：注塞、钻塞 》（</w:t>
      </w:r>
      <w:r>
        <w:rPr>
          <w:rFonts w:hint="eastAsia" w:ascii="Times New Roman" w:hAnsi="Times New Roman" w:cs="Times New Roman"/>
          <w:snapToGrid w:val="0"/>
          <w:color w:val="000000" w:themeColor="text1"/>
          <w:kern w:val="0"/>
          <w:sz w:val="28"/>
          <w:szCs w:val="28"/>
          <w:lang w:val="en-US" w:eastAsia="zh-CN"/>
          <w14:textFill>
            <w14:solidFill>
              <w14:schemeClr w14:val="tx1"/>
            </w14:solidFill>
          </w14:textFill>
        </w:rPr>
        <w:t>SY/T 5587.14-2013</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w:t>
      </w:r>
      <w:r>
        <w:rPr>
          <w:rFonts w:hint="eastAsia" w:cs="Times New Roman"/>
          <w:snapToGrid w:val="0"/>
          <w:color w:val="000000" w:themeColor="text1"/>
          <w:kern w:val="0"/>
          <w:sz w:val="28"/>
          <w:szCs w:val="28"/>
          <w:lang w:val="en-US"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钢质管道封堵技术规范</w:t>
      </w:r>
      <w:r>
        <w:rPr>
          <w:rFonts w:hint="eastAsia" w:cs="Times New Roman"/>
          <w:snapToGrid w:val="0"/>
          <w:color w:val="000000" w:themeColor="text1"/>
          <w:kern w:val="0"/>
          <w:sz w:val="28"/>
          <w:szCs w:val="28"/>
          <w:lang w:val="en-US" w:eastAsia="zh-CN"/>
          <w14:textFill>
            <w14:solidFill>
              <w14:schemeClr w14:val="tx1"/>
            </w14:solidFill>
          </w14:textFill>
        </w:rPr>
        <w:t xml:space="preserve"> </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第1部分</w:t>
      </w:r>
      <w:r>
        <w:rPr>
          <w:rFonts w:hint="eastAsia" w:cs="Times New Roman"/>
          <w:snapToGrid w:val="0"/>
          <w:color w:val="000000" w:themeColor="text1"/>
          <w:kern w:val="0"/>
          <w:sz w:val="28"/>
          <w:szCs w:val="28"/>
          <w:lang w:val="en-US"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塞式、筒式封堵</w:t>
      </w:r>
      <w:r>
        <w:rPr>
          <w:rFonts w:hint="eastAsia" w:cs="Times New Roman"/>
          <w:snapToGrid w:val="0"/>
          <w:color w:val="000000" w:themeColor="text1"/>
          <w:kern w:val="0"/>
          <w:sz w:val="28"/>
          <w:szCs w:val="28"/>
          <w:lang w:val="en-US" w:eastAsia="zh-CN"/>
          <w14:textFill>
            <w14:solidFill>
              <w14:schemeClr w14:val="tx1"/>
            </w14:solidFill>
          </w14:textFill>
        </w:rPr>
        <w:t>》（SY/T 6150.1-2017）</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等标准，</w:t>
      </w:r>
      <w:r>
        <w:rPr>
          <w:rFonts w:hint="eastAsia" w:ascii="Times New Roman" w:hAnsi="Times New Roman" w:cs="Times New Roman"/>
          <w:color w:val="000000" w:themeColor="text1"/>
          <w:sz w:val="28"/>
          <w:lang w:val="en-US" w:eastAsia="zh-CN"/>
          <w14:textFill>
            <w14:solidFill>
              <w14:schemeClr w14:val="tx1"/>
            </w14:solidFill>
          </w14:textFill>
        </w:rPr>
        <w:t>根据操作规程、设备设施检测检验情况对复杂情况处理（</w:t>
      </w:r>
      <w:r>
        <w:rPr>
          <w:rFonts w:hint="eastAsia" w:cs="Times New Roman"/>
          <w:color w:val="000000" w:themeColor="text1"/>
          <w:sz w:val="28"/>
          <w:lang w:val="en-US" w:eastAsia="zh-CN"/>
          <w14:textFill>
            <w14:solidFill>
              <w14:schemeClr w14:val="tx1"/>
            </w14:solidFill>
          </w14:textFill>
        </w:rPr>
        <w:t>堵漏</w:t>
      </w:r>
      <w:r>
        <w:rPr>
          <w:rFonts w:hint="eastAsia" w:ascii="Times New Roman" w:hAnsi="Times New Roman" w:cs="Times New Roman"/>
          <w:color w:val="000000" w:themeColor="text1"/>
          <w:sz w:val="28"/>
          <w:lang w:val="en-US" w:eastAsia="zh-CN"/>
          <w14:textFill>
            <w14:solidFill>
              <w14:schemeClr w14:val="tx1"/>
            </w14:solidFill>
          </w14:textFill>
        </w:rPr>
        <w:t>）生产单元进行了评价</w:t>
      </w:r>
      <w:r>
        <w:rPr>
          <w:rFonts w:hint="default" w:ascii="Times New Roman" w:hAnsi="Times New Roman" w:cs="Times New Roman"/>
          <w:color w:val="000000" w:themeColor="text1"/>
          <w:sz w:val="28"/>
          <w14:textFill>
            <w14:solidFill>
              <w14:schemeClr w14:val="tx1"/>
            </w14:solidFill>
          </w14:textFill>
        </w:rPr>
        <w:t>，</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具体评价过程见表5-</w:t>
      </w:r>
      <w:r>
        <w:rPr>
          <w:rFonts w:hint="eastAsia" w:cs="Times New Roman"/>
          <w:snapToGrid w:val="0"/>
          <w:color w:val="000000" w:themeColor="text1"/>
          <w:kern w:val="0"/>
          <w:sz w:val="28"/>
          <w:szCs w:val="28"/>
          <w:lang w:val="en-US" w:eastAsia="zh-CN"/>
          <w14:textFill>
            <w14:solidFill>
              <w14:schemeClr w14:val="tx1"/>
            </w14:solidFill>
          </w14:textFill>
        </w:rPr>
        <w:t>9</w:t>
      </w:r>
      <w:r>
        <w:rPr>
          <w:rFonts w:hint="eastAsia" w:ascii="Times New Roman" w:hAnsi="Times New Roman" w:cs="Times New Roman"/>
          <w:snapToGrid w:val="0"/>
          <w:color w:val="000000" w:themeColor="text1"/>
          <w:kern w:val="0"/>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jc w:val="center"/>
        <w:textAlignment w:val="auto"/>
        <w:rPr>
          <w:sz w:val="24"/>
          <w:szCs w:val="24"/>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表5-</w:t>
      </w:r>
      <w:r>
        <w:rPr>
          <w:rFonts w:hint="eastAsia" w:cs="Times New Roman"/>
          <w:b/>
          <w:bCs/>
          <w:color w:val="000000" w:themeColor="text1"/>
          <w:kern w:val="2"/>
          <w:sz w:val="24"/>
          <w:szCs w:val="24"/>
          <w:lang w:val="en-US" w:eastAsia="zh-CN" w:bidi="ar-SA"/>
          <w14:textFill>
            <w14:solidFill>
              <w14:schemeClr w14:val="tx1"/>
            </w14:solidFill>
          </w14:textFill>
        </w:rPr>
        <w:t xml:space="preserve">9 </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井下复杂情况处理（堵漏）</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作业安全检查表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Times New Roman" w:hAnsi="Times New Roman" w:cs="Times New Roman"/>
          <w:sz w:val="28"/>
          <w:lang w:val="en-US" w:eastAsia="zh-CN"/>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lang w:val="en-US" w:eastAsia="zh-CN"/>
        </w:rPr>
      </w:pPr>
      <w:r>
        <w:rPr>
          <w:rFonts w:hint="eastAsia" w:ascii="Times New Roman" w:hAnsi="Times New Roman" w:cs="Times New Roman"/>
          <w:sz w:val="28"/>
          <w:lang w:val="en-US" w:eastAsia="zh-CN"/>
        </w:rPr>
        <w:t>评价小结：</w:t>
      </w:r>
      <w:r>
        <w:rPr>
          <w:rFonts w:hint="eastAsia" w:ascii="Times New Roman" w:hAnsi="Times New Roman" w:cs="Times New Roman"/>
          <w:snapToGrid w:val="0"/>
          <w:color w:val="000000" w:themeColor="text1"/>
          <w:kern w:val="0"/>
          <w:sz w:val="28"/>
          <w:szCs w:val="28"/>
          <w:lang w:val="en-US" w:eastAsia="zh-CN"/>
          <w14:textFill>
            <w14:solidFill>
              <w14:schemeClr w14:val="tx1"/>
            </w14:solidFill>
          </w14:textFill>
        </w:rPr>
        <w:t>井下复杂情况处理（堵漏）</w:t>
      </w:r>
      <w:r>
        <w:rPr>
          <w:rFonts w:hint="eastAsia" w:ascii="Times New Roman" w:hAnsi="Times New Roman" w:cs="Times New Roman"/>
          <w:sz w:val="28"/>
          <w:lang w:val="en-US" w:eastAsia="zh-CN"/>
        </w:rPr>
        <w:t>安全检查表共设</w:t>
      </w:r>
      <w:r>
        <w:rPr>
          <w:rFonts w:hint="eastAsia" w:cs="Times New Roman"/>
          <w:sz w:val="28"/>
          <w:lang w:val="en-US" w:eastAsia="zh-CN"/>
        </w:rPr>
        <w:t>9</w:t>
      </w:r>
      <w:r>
        <w:rPr>
          <w:rFonts w:hint="eastAsia" w:ascii="Times New Roman" w:hAnsi="Times New Roman" w:cs="Times New Roman"/>
          <w:sz w:val="28"/>
          <w:lang w:val="en-US" w:eastAsia="zh-CN"/>
        </w:rPr>
        <w:t>项检查内容，未发现不符合项。</w:t>
      </w:r>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bCs/>
        </w:rPr>
      </w:pPr>
      <w:bookmarkStart w:id="135" w:name="_Toc29338"/>
      <w:bookmarkStart w:id="136" w:name="_Hlk535847503"/>
      <w:r>
        <w:rPr>
          <w:rFonts w:hint="default" w:ascii="Times New Roman" w:hAnsi="Times New Roman" w:eastAsia="黑体" w:cs="Times New Roman"/>
          <w:b w:val="0"/>
          <w:bCs/>
        </w:rPr>
        <w:t>5.</w:t>
      </w:r>
      <w:r>
        <w:rPr>
          <w:rFonts w:hint="default" w:ascii="Times New Roman" w:hAnsi="Times New Roman" w:eastAsia="黑体" w:cs="Times New Roman"/>
          <w:b w:val="0"/>
          <w:bCs/>
          <w:lang w:val="en-US" w:eastAsia="zh-CN"/>
        </w:rPr>
        <w:t>2</w:t>
      </w:r>
      <w:r>
        <w:rPr>
          <w:rFonts w:hint="default" w:ascii="Times New Roman" w:hAnsi="Times New Roman" w:eastAsia="黑体" w:cs="Times New Roman"/>
          <w:b w:val="0"/>
          <w:bCs/>
        </w:rPr>
        <w:t xml:space="preserve"> 作业条件危险性评价</w:t>
      </w:r>
      <w:bookmarkEnd w:id="135"/>
    </w:p>
    <w:p>
      <w:pPr>
        <w:adjustRightInd w:val="0"/>
        <w:snapToGrid w:val="0"/>
        <w:spacing w:line="360" w:lineRule="auto"/>
        <w:ind w:firstLine="560" w:firstLineChars="200"/>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根据作业条件危险性评价法的规定，对该项目生产单元运行过程中事故或危险事件发生的可能性（L）、暴露于危险环境的频率（E）及危险严重程度（C）进行取值、计算，得出运行中主要危害的危险程度，详见表5-</w:t>
      </w:r>
      <w:r>
        <w:rPr>
          <w:rFonts w:hint="eastAsia" w:cs="Times New Roman"/>
          <w:snapToGrid w:val="0"/>
          <w:color w:val="000000" w:themeColor="text1"/>
          <w:kern w:val="0"/>
          <w:sz w:val="28"/>
          <w:szCs w:val="28"/>
          <w:lang w:val="en-US" w:eastAsia="zh-CN"/>
          <w14:textFill>
            <w14:solidFill>
              <w14:schemeClr w14:val="tx1"/>
            </w14:solidFill>
          </w14:textFill>
        </w:rPr>
        <w:t>10</w:t>
      </w:r>
      <w:r>
        <w:rPr>
          <w:rFonts w:hint="default" w:ascii="Times New Roman" w:hAnsi="Times New Roman" w:cs="Times New Roman"/>
          <w:snapToGrid w:val="0"/>
          <w:color w:val="000000" w:themeColor="text1"/>
          <w:kern w:val="0"/>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000000" w:themeColor="text1"/>
          <w:kern w:val="2"/>
          <w:szCs w:val="24"/>
          <w:lang w:val="en-US" w:eastAsia="zh-CN" w:bidi="ar-SA"/>
          <w14:textFill>
            <w14:solidFill>
              <w14:schemeClr w14:val="tx1"/>
            </w14:solidFill>
          </w14:textFill>
        </w:rPr>
      </w:pPr>
      <w:r>
        <w:rPr>
          <w:rFonts w:hint="default" w:ascii="Times New Roman" w:hAnsi="Times New Roman" w:eastAsia="宋体" w:cs="Times New Roman"/>
          <w:b/>
          <w:bCs/>
          <w:sz w:val="24"/>
          <w:szCs w:val="24"/>
          <w:lang w:val="en-US" w:eastAsia="zh-CN"/>
        </w:rPr>
        <w:t>表5-</w:t>
      </w:r>
      <w:r>
        <w:rPr>
          <w:rFonts w:hint="eastAsia" w:cs="Times New Roman"/>
          <w:b/>
          <w:bCs/>
          <w:sz w:val="24"/>
          <w:szCs w:val="24"/>
          <w:lang w:val="en-US" w:eastAsia="zh-CN"/>
        </w:rPr>
        <w:t>10</w:t>
      </w:r>
      <w:r>
        <w:rPr>
          <w:rFonts w:hint="default" w:ascii="Times New Roman" w:hAnsi="Times New Roman" w:eastAsia="宋体" w:cs="Times New Roman"/>
          <w:b/>
          <w:bCs/>
          <w:sz w:val="24"/>
          <w:szCs w:val="24"/>
        </w:rPr>
        <w:t xml:space="preserve"> 井下作业施工过程作业条件危险性评价表</w:t>
      </w:r>
    </w:p>
    <w:bookmarkEnd w:id="136"/>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snapToGrid w:val="0"/>
          <w:color w:val="auto"/>
          <w:kern w:val="0"/>
          <w:sz w:val="28"/>
          <w:szCs w:val="28"/>
        </w:rPr>
      </w:pPr>
      <w:bookmarkStart w:id="137" w:name="_Toc446488251"/>
      <w:bookmarkStart w:id="138" w:name="_Toc281310750"/>
      <w:r>
        <w:rPr>
          <w:rFonts w:hint="eastAsia"/>
          <w:color w:val="auto"/>
          <w:sz w:val="28"/>
          <w:szCs w:val="28"/>
          <w:lang w:val="en-US" w:eastAsia="zh-CN"/>
        </w:rPr>
        <w:t>涉及企业机密，不予公开。</w:t>
      </w:r>
      <w:bookmarkStart w:id="162" w:name="_GoBack"/>
      <w:bookmarkEnd w:id="162"/>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snapToGrid w:val="0"/>
          <w:color w:val="auto"/>
          <w:kern w:val="0"/>
          <w:sz w:val="28"/>
          <w:szCs w:val="28"/>
          <w:lang w:eastAsia="zh-CN"/>
        </w:rPr>
      </w:pPr>
      <w:r>
        <w:rPr>
          <w:rFonts w:hint="default" w:ascii="Times New Roman" w:hAnsi="Times New Roman" w:cs="Times New Roman"/>
          <w:snapToGrid w:val="0"/>
          <w:color w:val="auto"/>
          <w:kern w:val="0"/>
          <w:sz w:val="28"/>
          <w:szCs w:val="28"/>
        </w:rPr>
        <w:t>经计算得知：</w:t>
      </w:r>
      <w:r>
        <w:rPr>
          <w:rFonts w:hint="default" w:ascii="Times New Roman" w:hAnsi="Times New Roman" w:cs="Times New Roman"/>
          <w:snapToGrid w:val="0"/>
          <w:color w:val="auto"/>
          <w:kern w:val="0"/>
          <w:sz w:val="28"/>
          <w:szCs w:val="28"/>
          <w:lang w:eastAsia="zh-CN"/>
        </w:rPr>
        <w:t>该项目</w:t>
      </w:r>
      <w:r>
        <w:rPr>
          <w:rFonts w:hint="eastAsia" w:ascii="Times New Roman" w:hAnsi="Times New Roman" w:cs="Times New Roman"/>
          <w:snapToGrid w:val="0"/>
          <w:color w:val="auto"/>
          <w:kern w:val="0"/>
          <w:sz w:val="28"/>
          <w:szCs w:val="28"/>
          <w:lang w:eastAsia="zh-CN"/>
        </w:rPr>
        <w:t>设备设施</w:t>
      </w:r>
      <w:r>
        <w:rPr>
          <w:rFonts w:hint="eastAsia" w:ascii="Times New Roman" w:hAnsi="Times New Roman" w:cs="Times New Roman"/>
          <w:snapToGrid w:val="0"/>
          <w:color w:val="auto"/>
          <w:kern w:val="0"/>
          <w:sz w:val="28"/>
          <w:szCs w:val="28"/>
          <w:lang w:val="en-US" w:eastAsia="zh-CN"/>
        </w:rPr>
        <w:t>搬迁运输及</w:t>
      </w:r>
      <w:r>
        <w:rPr>
          <w:rFonts w:hint="default" w:ascii="Times New Roman" w:hAnsi="Times New Roman" w:cs="Times New Roman"/>
          <w:snapToGrid w:val="0"/>
          <w:color w:val="auto"/>
          <w:kern w:val="0"/>
          <w:sz w:val="28"/>
          <w:szCs w:val="28"/>
          <w:lang w:val="en-US" w:eastAsia="zh-CN"/>
        </w:rPr>
        <w:t>现场施工</w:t>
      </w:r>
      <w:r>
        <w:rPr>
          <w:rFonts w:hint="eastAsia" w:ascii="Times New Roman" w:hAnsi="Times New Roman" w:cs="Times New Roman"/>
          <w:snapToGrid w:val="0"/>
          <w:color w:val="auto"/>
          <w:kern w:val="0"/>
          <w:sz w:val="28"/>
          <w:szCs w:val="28"/>
          <w:lang w:val="en-US" w:eastAsia="zh-CN"/>
        </w:rPr>
        <w:t>中</w:t>
      </w:r>
      <w:r>
        <w:rPr>
          <w:rFonts w:hint="default" w:ascii="Times New Roman" w:hAnsi="Times New Roman" w:cs="Times New Roman"/>
          <w:snapToGrid w:val="0"/>
          <w:color w:val="auto"/>
          <w:kern w:val="0"/>
          <w:sz w:val="28"/>
          <w:szCs w:val="28"/>
          <w:lang w:val="en-US" w:eastAsia="zh-CN"/>
        </w:rPr>
        <w:t>的火灾爆炸、井喷及井喷失控</w:t>
      </w:r>
      <w:r>
        <w:rPr>
          <w:rFonts w:hint="default" w:ascii="Times New Roman" w:hAnsi="Times New Roman" w:cs="Times New Roman"/>
          <w:snapToGrid w:val="0"/>
          <w:color w:val="auto"/>
          <w:kern w:val="0"/>
          <w:sz w:val="28"/>
          <w:szCs w:val="28"/>
        </w:rPr>
        <w:t>事故</w:t>
      </w:r>
      <w:r>
        <w:rPr>
          <w:rFonts w:hint="eastAsia" w:cs="Times New Roman"/>
          <w:snapToGrid w:val="0"/>
          <w:color w:val="auto"/>
          <w:kern w:val="0"/>
          <w:sz w:val="28"/>
          <w:szCs w:val="28"/>
          <w:lang w:eastAsia="zh-CN"/>
        </w:rPr>
        <w:t>、</w:t>
      </w:r>
      <w:r>
        <w:rPr>
          <w:rFonts w:hint="eastAsia" w:cs="Times New Roman"/>
          <w:snapToGrid w:val="0"/>
          <w:color w:val="auto"/>
          <w:kern w:val="0"/>
          <w:sz w:val="28"/>
          <w:szCs w:val="28"/>
          <w:lang w:val="en-US" w:eastAsia="zh-CN"/>
        </w:rPr>
        <w:t>坍塌、物体打击、中毒和窒息</w:t>
      </w:r>
      <w:r>
        <w:rPr>
          <w:rFonts w:hint="default" w:ascii="Times New Roman" w:hAnsi="Times New Roman" w:cs="Times New Roman"/>
          <w:snapToGrid w:val="0"/>
          <w:color w:val="auto"/>
          <w:kern w:val="0"/>
          <w:sz w:val="28"/>
          <w:szCs w:val="28"/>
        </w:rPr>
        <w:t>的危险程度为</w:t>
      </w:r>
      <w:r>
        <w:rPr>
          <w:rFonts w:hint="eastAsia"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可能危险</w:t>
      </w:r>
      <w:r>
        <w:rPr>
          <w:rFonts w:hint="eastAsia"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应作为安全防范的重点</w:t>
      </w:r>
      <w:r>
        <w:rPr>
          <w:rFonts w:hint="default" w:ascii="Times New Roman" w:hAnsi="Times New Roman" w:cs="Times New Roman"/>
          <w:snapToGrid w:val="0"/>
          <w:color w:val="auto"/>
          <w:kern w:val="0"/>
          <w:sz w:val="28"/>
          <w:szCs w:val="28"/>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sz w:val="28"/>
          <w:szCs w:val="28"/>
        </w:rPr>
      </w:pPr>
      <w:r>
        <w:rPr>
          <w:rFonts w:hint="default" w:ascii="Times New Roman" w:hAnsi="Times New Roman" w:cs="Times New Roman"/>
          <w:snapToGrid w:val="0"/>
          <w:color w:val="auto"/>
          <w:kern w:val="0"/>
          <w:sz w:val="28"/>
          <w:szCs w:val="28"/>
          <w:lang w:val="en-US" w:eastAsia="zh-CN"/>
        </w:rPr>
        <w:t>泵车</w:t>
      </w:r>
      <w:r>
        <w:rPr>
          <w:rFonts w:hint="eastAsia" w:ascii="Times New Roman" w:hAnsi="Times New Roman"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设备设施搬迁</w:t>
      </w:r>
      <w:r>
        <w:rPr>
          <w:rFonts w:hint="eastAsia" w:ascii="Times New Roman" w:hAnsi="Times New Roman" w:cs="Times New Roman"/>
          <w:snapToGrid w:val="0"/>
          <w:color w:val="auto"/>
          <w:kern w:val="0"/>
          <w:sz w:val="28"/>
          <w:szCs w:val="28"/>
          <w:lang w:val="en-US" w:eastAsia="zh-CN"/>
        </w:rPr>
        <w:t>运输车辆</w:t>
      </w:r>
      <w:r>
        <w:rPr>
          <w:rFonts w:hint="default" w:ascii="Times New Roman" w:hAnsi="Times New Roman" w:cs="Times New Roman"/>
          <w:snapToGrid w:val="0"/>
          <w:color w:val="auto"/>
          <w:kern w:val="0"/>
          <w:sz w:val="28"/>
          <w:szCs w:val="28"/>
          <w:lang w:val="en-US" w:eastAsia="zh-CN"/>
        </w:rPr>
        <w:t>等</w:t>
      </w:r>
      <w:r>
        <w:rPr>
          <w:rFonts w:hint="eastAsia" w:ascii="Times New Roman" w:hAnsi="Times New Roman" w:cs="Times New Roman"/>
          <w:snapToGrid w:val="0"/>
          <w:color w:val="auto"/>
          <w:kern w:val="0"/>
          <w:sz w:val="28"/>
          <w:szCs w:val="28"/>
          <w:lang w:val="en-US" w:eastAsia="zh-CN"/>
        </w:rPr>
        <w:t>的</w:t>
      </w:r>
      <w:r>
        <w:rPr>
          <w:rFonts w:hint="default" w:ascii="Times New Roman" w:hAnsi="Times New Roman" w:cs="Times New Roman"/>
          <w:snapToGrid w:val="0"/>
          <w:color w:val="auto"/>
          <w:kern w:val="0"/>
          <w:sz w:val="28"/>
          <w:szCs w:val="28"/>
          <w:lang w:val="en-US" w:eastAsia="zh-CN"/>
        </w:rPr>
        <w:t>车辆伤害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物体打击</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井架、底座、游车大钩、吊具等作业设备设施起重伤害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物体打击</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旋塞阀、防喷器、远程控制台等井控设备物体打击</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起重伤害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电气设备触电</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施工过程中旋转部位机械伤害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井场电力线路、用电设备触电</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大修侧钻二层台、井架等高处坠落等事故</w:t>
      </w:r>
      <w:r>
        <w:rPr>
          <w:rFonts w:hint="default" w:ascii="Times New Roman" w:hAnsi="Times New Roman" w:eastAsia="宋体" w:cs="Times New Roman"/>
          <w:snapToGrid w:val="0"/>
          <w:color w:val="auto"/>
          <w:kern w:val="0"/>
          <w:sz w:val="28"/>
          <w:szCs w:val="28"/>
          <w:lang w:val="en-US" w:eastAsia="zh-CN"/>
        </w:rPr>
        <w:t>危险程度均为</w:t>
      </w:r>
      <w:r>
        <w:rPr>
          <w:rFonts w:hint="eastAsia"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稍有危险</w:t>
      </w:r>
      <w:r>
        <w:rPr>
          <w:rFonts w:hint="eastAsia"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，也应引起注意</w:t>
      </w:r>
      <w:r>
        <w:rPr>
          <w:rFonts w:hint="default" w:ascii="Times New Roman" w:hAnsi="Times New Roman" w:cs="Times New Roman"/>
          <w:snapToGrid w:val="0"/>
          <w:color w:val="auto"/>
          <w:kern w:val="0"/>
          <w:sz w:val="28"/>
          <w:szCs w:val="28"/>
          <w:lang w:val="en-US" w:eastAsia="zh-CN"/>
        </w:rPr>
        <w:t>。</w:t>
      </w:r>
    </w:p>
    <w:bookmarkEnd w:id="137"/>
    <w:bookmarkEnd w:id="138"/>
    <w:p>
      <w:pPr>
        <w:pStyle w:val="4"/>
        <w:adjustRightInd w:val="0"/>
        <w:snapToGrid w:val="0"/>
        <w:spacing w:before="0" w:after="0" w:line="360" w:lineRule="auto"/>
        <w:rPr>
          <w:rFonts w:ascii="Times New Roman" w:hAnsi="Times New Roman" w:eastAsia="楷体_GB2312"/>
          <w:color w:val="auto"/>
          <w:sz w:val="28"/>
          <w:szCs w:val="28"/>
        </w:rPr>
      </w:pPr>
      <w:bookmarkStart w:id="139" w:name="_Toc2716"/>
      <w:bookmarkStart w:id="140" w:name="_Toc281310753"/>
      <w:r>
        <w:rPr>
          <w:rFonts w:hint="eastAsia" w:ascii="Times New Roman" w:hAnsi="Times New Roman"/>
          <w:b w:val="0"/>
          <w:bCs/>
          <w:color w:val="auto"/>
          <w:szCs w:val="32"/>
        </w:rPr>
        <w:t>5.</w:t>
      </w:r>
      <w:r>
        <w:rPr>
          <w:rFonts w:hint="eastAsia" w:ascii="Times New Roman" w:hAnsi="Times New Roman"/>
          <w:b w:val="0"/>
          <w:bCs/>
          <w:color w:val="auto"/>
          <w:szCs w:val="32"/>
          <w:lang w:val="en-US" w:eastAsia="zh-CN"/>
        </w:rPr>
        <w:t>3</w:t>
      </w:r>
      <w:r>
        <w:rPr>
          <w:rFonts w:hint="eastAsia" w:ascii="Times New Roman" w:hAnsi="Times New Roman"/>
          <w:b w:val="0"/>
          <w:bCs/>
          <w:color w:val="auto"/>
          <w:szCs w:val="32"/>
        </w:rPr>
        <w:t xml:space="preserve"> 管理单元安全检查表</w:t>
      </w:r>
      <w:bookmarkEnd w:id="139"/>
    </w:p>
    <w:p>
      <w:pPr>
        <w:adjustRightInd w:val="0"/>
        <w:snapToGrid w:val="0"/>
        <w:spacing w:line="360" w:lineRule="auto"/>
        <w:ind w:firstLine="560" w:firstLineChars="200"/>
        <w:rPr>
          <w:color w:val="auto"/>
          <w:sz w:val="28"/>
        </w:rPr>
      </w:pPr>
      <w:r>
        <w:rPr>
          <w:rFonts w:hint="default" w:ascii="Times New Roman" w:hAnsi="Times New Roman" w:cs="Times New Roman"/>
          <w:color w:val="000000" w:themeColor="text1"/>
          <w:sz w:val="28"/>
          <w14:textFill>
            <w14:solidFill>
              <w14:schemeClr w14:val="tx1"/>
            </w14:solidFill>
          </w14:textFill>
        </w:rPr>
        <w:t>本节根据《中华人民共和国安全生产法》（中华人民共和国主席令[2014]第13号</w:t>
      </w:r>
      <w:r>
        <w:rPr>
          <w:rFonts w:hint="default"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[20</w:t>
      </w:r>
      <w:r>
        <w:rPr>
          <w:rFonts w:hint="default" w:ascii="Times New Roman" w:hAnsi="Times New Roman" w:cs="Times New Roman"/>
          <w:color w:val="000000" w:themeColor="text1"/>
          <w:sz w:val="28"/>
          <w:lang w:val="en-US" w:eastAsia="zh-CN"/>
          <w14:textFill>
            <w14:solidFill>
              <w14:schemeClr w14:val="tx1"/>
            </w14:solidFill>
          </w14:textFill>
        </w:rPr>
        <w:t>21</w:t>
      </w:r>
      <w:r>
        <w:rPr>
          <w:rFonts w:hint="default" w:ascii="Times New Roman" w:hAnsi="Times New Roman" w:cs="Times New Roman"/>
          <w:color w:val="000000" w:themeColor="text1"/>
          <w:sz w:val="28"/>
          <w14:textFill>
            <w14:solidFill>
              <w14:schemeClr w14:val="tx1"/>
            </w14:solidFill>
          </w14:textFill>
        </w:rPr>
        <w:t>]第</w:t>
      </w:r>
      <w:r>
        <w:rPr>
          <w:rFonts w:hint="default" w:ascii="Times New Roman" w:hAnsi="Times New Roman" w:cs="Times New Roman"/>
          <w:color w:val="000000" w:themeColor="text1"/>
          <w:sz w:val="28"/>
          <w:lang w:val="en-US" w:eastAsia="zh-CN"/>
          <w14:textFill>
            <w14:solidFill>
              <w14:schemeClr w14:val="tx1"/>
            </w14:solidFill>
          </w14:textFill>
        </w:rPr>
        <w:t>88号令修订</w:t>
      </w:r>
      <w:r>
        <w:rPr>
          <w:rFonts w:hint="default" w:ascii="Times New Roman" w:hAnsi="Times New Roman" w:cs="Times New Roman"/>
          <w:color w:val="000000" w:themeColor="text1"/>
          <w:sz w:val="28"/>
          <w14:textFill>
            <w14:solidFill>
              <w14:schemeClr w14:val="tx1"/>
            </w14:solidFill>
          </w14:textFill>
        </w:rPr>
        <w:t>）、《石油天然气安全规程》（AQ2012-2007）、《生产安全事故应急预案管理办法》（国家安全生产监督管理总局令[2016]第88号，应急管理部令</w:t>
      </w:r>
      <w:r>
        <w:rPr>
          <w:rFonts w:hint="default"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2019</w:t>
      </w:r>
      <w:r>
        <w:rPr>
          <w:rFonts w:hint="default"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第2号修改）等法律法规，对本项目安全管理单元进行安全评价，具体评价过程见表5-</w:t>
      </w:r>
      <w:r>
        <w:rPr>
          <w:rFonts w:hint="eastAsia" w:cs="Times New Roman"/>
          <w:color w:val="000000" w:themeColor="text1"/>
          <w:sz w:val="28"/>
          <w:lang w:val="en-US" w:eastAsia="zh-CN"/>
          <w14:textFill>
            <w14:solidFill>
              <w14:schemeClr w14:val="tx1"/>
            </w14:solidFill>
          </w14:textFill>
        </w:rPr>
        <w:t>11</w:t>
      </w:r>
      <w:r>
        <w:rPr>
          <w:rFonts w:hint="default" w:ascii="Times New Roman" w:hAnsi="Times New Roman" w:cs="Times New Roman"/>
          <w:color w:val="000000" w:themeColor="text1"/>
          <w:sz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color w:val="auto"/>
          <w:sz w:val="24"/>
        </w:rPr>
      </w:pPr>
      <w:r>
        <w:rPr>
          <w:rFonts w:hint="eastAsia"/>
          <w:b/>
          <w:color w:val="auto"/>
          <w:sz w:val="24"/>
        </w:rPr>
        <w:t>表5-</w:t>
      </w:r>
      <w:r>
        <w:rPr>
          <w:rFonts w:hint="eastAsia"/>
          <w:b/>
          <w:color w:val="auto"/>
          <w:sz w:val="24"/>
          <w:lang w:val="en-US" w:eastAsia="zh-CN"/>
        </w:rPr>
        <w:t>11</w:t>
      </w:r>
      <w:r>
        <w:rPr>
          <w:rFonts w:hint="eastAsia"/>
          <w:b/>
          <w:color w:val="auto"/>
          <w:sz w:val="24"/>
        </w:rPr>
        <w:t xml:space="preserve"> 管理单元安全检查表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eastAsia="宋体" w:cs="Times New Roman"/>
          <w:color w:val="auto"/>
          <w:sz w:val="28"/>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cs="Times New Roman"/>
          <w:color w:val="auto"/>
          <w:sz w:val="28"/>
          <w:szCs w:val="28"/>
          <w:lang w:val="en-US" w:eastAsia="zh-CN"/>
        </w:rPr>
      </w:pPr>
      <w:r>
        <w:rPr>
          <w:rFonts w:hint="default" w:ascii="Times New Roman" w:hAnsi="Times New Roman" w:eastAsia="宋体" w:cs="Times New Roman"/>
          <w:color w:val="auto"/>
          <w:sz w:val="28"/>
        </w:rPr>
        <w:t>安全检查表共列出</w:t>
      </w:r>
      <w:r>
        <w:rPr>
          <w:rFonts w:hint="eastAsia" w:cs="Times New Roman"/>
          <w:color w:val="auto"/>
          <w:sz w:val="28"/>
          <w:lang w:val="en-US" w:eastAsia="zh-CN"/>
        </w:rPr>
        <w:t>43</w:t>
      </w:r>
      <w:r>
        <w:rPr>
          <w:rFonts w:hint="default" w:ascii="Times New Roman" w:hAnsi="Times New Roman" w:eastAsia="宋体" w:cs="Times New Roman"/>
          <w:color w:val="auto"/>
          <w:sz w:val="28"/>
        </w:rPr>
        <w:t>项检查内容</w:t>
      </w:r>
      <w:r>
        <w:rPr>
          <w:rFonts w:hint="eastAsia" w:ascii="Times New Roman" w:hAnsi="Times New Roman" w:eastAsia="宋体" w:cs="Times New Roman"/>
          <w:color w:val="auto"/>
          <w:sz w:val="28"/>
          <w:szCs w:val="28"/>
          <w:lang w:eastAsia="zh-CN"/>
        </w:rPr>
        <w:t>，</w:t>
      </w:r>
      <w:r>
        <w:rPr>
          <w:rFonts w:hint="eastAsia" w:cs="Times New Roman"/>
          <w:color w:val="auto"/>
          <w:sz w:val="28"/>
          <w:szCs w:val="28"/>
          <w:lang w:val="en-US" w:eastAsia="zh-CN"/>
        </w:rPr>
        <w:t>其中40项符合，3项不符：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sz w:val="28"/>
          <w:szCs w:val="28"/>
          <w:lang w:val="en-US" w:eastAsia="zh-CN"/>
        </w:rPr>
      </w:pPr>
      <w:r>
        <w:rPr>
          <w:rFonts w:hint="eastAsia" w:cs="Times New Roman"/>
          <w:color w:val="auto"/>
          <w:sz w:val="28"/>
          <w:szCs w:val="28"/>
          <w:lang w:val="en-US" w:eastAsia="zh-CN"/>
        </w:rPr>
        <w:t>1.2022年海塔石油科技有限公司制定了安全教育培训计划，针对从业人员进行了安全教育培训，但培训计划未明确培训目的。2022年上半年培训记录不全，不满足《生产经营单位安全培训规定》（国家</w:t>
      </w:r>
      <w:r>
        <w:rPr>
          <w:rFonts w:hint="eastAsia" w:ascii="Times New Roman" w:hAnsi="Times New Roman" w:eastAsia="宋体" w:cs="Times New Roman"/>
          <w:sz w:val="28"/>
          <w:szCs w:val="28"/>
          <w:lang w:val="en-US" w:eastAsia="zh-CN"/>
        </w:rPr>
        <w:t>安全监督管理总局令[2006]第3号，2015修订版）的要求。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cs="Times New Roman"/>
          <w:sz w:val="28"/>
          <w:szCs w:val="28"/>
          <w:lang w:val="en-US" w:eastAsia="zh-CN"/>
        </w:rPr>
        <w:t>2.</w:t>
      </w:r>
      <w:r>
        <w:rPr>
          <w:rFonts w:hint="eastAsia" w:ascii="Times New Roman" w:hAnsi="Times New Roman" w:eastAsia="宋体" w:cs="Times New Roman"/>
          <w:sz w:val="28"/>
          <w:szCs w:val="28"/>
          <w:lang w:val="en-US" w:eastAsia="zh-CN"/>
        </w:rPr>
        <w:t>海塔石油科技有限公司未针</w:t>
      </w:r>
      <w:r>
        <w:rPr>
          <w:rFonts w:hint="eastAsia" w:cs="Times New Roman"/>
          <w:sz w:val="28"/>
          <w:szCs w:val="28"/>
          <w:lang w:val="en-US" w:eastAsia="zh-CN"/>
        </w:rPr>
        <w:t>对</w:t>
      </w:r>
      <w:r>
        <w:rPr>
          <w:rFonts w:hint="eastAsia" w:ascii="Times New Roman" w:hAnsi="Times New Roman" w:eastAsia="宋体" w:cs="Times New Roman"/>
          <w:sz w:val="28"/>
          <w:szCs w:val="28"/>
          <w:lang w:val="en-US" w:eastAsia="zh-CN"/>
        </w:rPr>
        <w:t>转岗员工进行安全教育培训。</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cs="Times New Roman"/>
          <w:sz w:val="28"/>
          <w:szCs w:val="28"/>
          <w:lang w:val="en-US" w:eastAsia="zh-CN"/>
        </w:rPr>
        <w:t>3.</w:t>
      </w:r>
      <w:r>
        <w:rPr>
          <w:rFonts w:hint="default" w:ascii="Times New Roman" w:hAnsi="Times New Roman" w:eastAsia="宋体" w:cs="Times New Roman"/>
          <w:sz w:val="28"/>
          <w:szCs w:val="28"/>
          <w:lang w:val="en-US" w:eastAsia="zh-CN"/>
        </w:rPr>
        <w:t>该公司2022年应急预案未完成备案，未进行应急演练，不满足《山东省生产安全事故应急办法》（山东省人民政府令[2021]第341号）的要求。</w:t>
      </w:r>
    </w:p>
    <w:p>
      <w:pPr>
        <w:bidi w:val="0"/>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eastAsia="楷体_GB2312"/>
          <w:b/>
          <w:color w:val="auto"/>
          <w:sz w:val="36"/>
          <w:szCs w:val="36"/>
        </w:rPr>
      </w:pPr>
      <w:bookmarkStart w:id="141" w:name="_Toc22642"/>
      <w:r>
        <w:rPr>
          <w:rFonts w:eastAsia="楷体_GB2312"/>
          <w:b/>
          <w:color w:val="auto"/>
          <w:sz w:val="36"/>
          <w:szCs w:val="36"/>
        </w:rPr>
        <w:t>6</w:t>
      </w:r>
      <w:r>
        <w:rPr>
          <w:rFonts w:hint="eastAsia" w:eastAsia="楷体_GB2312"/>
          <w:b/>
          <w:color w:val="auto"/>
          <w:sz w:val="36"/>
          <w:szCs w:val="36"/>
        </w:rPr>
        <w:t xml:space="preserve"> </w:t>
      </w:r>
      <w:r>
        <w:rPr>
          <w:rFonts w:hint="eastAsia" w:ascii="宋体" w:hAnsi="宋体" w:eastAsia="宋体" w:cs="宋体"/>
          <w:b/>
          <w:color w:val="auto"/>
          <w:sz w:val="36"/>
          <w:szCs w:val="36"/>
        </w:rPr>
        <w:t>安全对策措施与管理建议</w:t>
      </w:r>
      <w:bookmarkEnd w:id="140"/>
      <w:bookmarkEnd w:id="141"/>
    </w:p>
    <w:p>
      <w:pPr>
        <w:pStyle w:val="4"/>
        <w:adjustRightInd w:val="0"/>
        <w:snapToGrid w:val="0"/>
        <w:spacing w:before="0" w:after="0" w:line="360" w:lineRule="auto"/>
        <w:rPr>
          <w:rFonts w:ascii="Times New Roman" w:hAnsi="Times New Roman" w:eastAsia="楷体_GB2312"/>
          <w:color w:val="auto"/>
          <w:sz w:val="28"/>
          <w:szCs w:val="28"/>
        </w:rPr>
      </w:pPr>
      <w:bookmarkStart w:id="142" w:name="_Toc5517"/>
      <w:bookmarkStart w:id="143" w:name="_Toc281310754"/>
      <w:bookmarkStart w:id="144" w:name="_Toc281310755"/>
      <w:r>
        <w:rPr>
          <w:rFonts w:ascii="Times New Roman" w:hAnsi="Times New Roman"/>
          <w:b w:val="0"/>
          <w:bCs/>
          <w:color w:val="auto"/>
          <w:szCs w:val="32"/>
        </w:rPr>
        <w:t>6</w:t>
      </w:r>
      <w:r>
        <w:rPr>
          <w:rFonts w:hint="eastAsia" w:ascii="Times New Roman" w:hAnsi="Times New Roman"/>
          <w:b w:val="0"/>
          <w:bCs/>
          <w:color w:val="auto"/>
          <w:szCs w:val="32"/>
        </w:rPr>
        <w:t xml:space="preserve">.1 </w:t>
      </w:r>
      <w:r>
        <w:rPr>
          <w:rFonts w:hint="eastAsia" w:ascii="Times New Roman" w:hAnsi="Times New Roman"/>
          <w:b w:val="0"/>
          <w:bCs/>
          <w:color w:val="auto"/>
          <w:szCs w:val="32"/>
          <w:highlight w:val="none"/>
        </w:rPr>
        <w:t>安全对策措施</w:t>
      </w:r>
      <w:bookmarkEnd w:id="142"/>
      <w:bookmarkEnd w:id="143"/>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rPr>
        <w:t>本次评价中发现的尚未完善或不符合要求的内容需整改如下：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cs="Times New Roman"/>
          <w:sz w:val="28"/>
          <w:szCs w:val="28"/>
          <w:lang w:val="en-US" w:eastAsia="zh-CN"/>
        </w:rPr>
        <w:t>1.</w:t>
      </w:r>
      <w:r>
        <w:rPr>
          <w:rFonts w:hint="eastAsia" w:cs="Times New Roman"/>
          <w:color w:val="auto"/>
          <w:sz w:val="28"/>
          <w:szCs w:val="28"/>
          <w:lang w:val="en-US" w:eastAsia="zh-CN"/>
        </w:rPr>
        <w:t>2022年海塔石油科技有限公司制定了安全教育培训计划，针对从业人员进行了安全教育培训，但培训计划未明确培训目的。2022年上半年培训记录不全，不满足《生产经营单位安全培训规定》（国家</w:t>
      </w:r>
      <w:r>
        <w:rPr>
          <w:rFonts w:hint="eastAsia" w:ascii="Times New Roman" w:hAnsi="Times New Roman" w:eastAsia="宋体" w:cs="Times New Roman"/>
          <w:sz w:val="28"/>
          <w:szCs w:val="28"/>
          <w:lang w:val="en-US" w:eastAsia="zh-CN"/>
        </w:rPr>
        <w:t>安全监督管理总局令[2006]第3号，2015修订版）的要求。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cs="Times New Roman"/>
          <w:sz w:val="28"/>
          <w:szCs w:val="28"/>
          <w:lang w:val="en-US" w:eastAsia="zh-CN"/>
        </w:rPr>
        <w:t>2.</w:t>
      </w:r>
      <w:r>
        <w:rPr>
          <w:rFonts w:hint="eastAsia" w:ascii="Times New Roman" w:hAnsi="Times New Roman" w:eastAsia="宋体" w:cs="Times New Roman"/>
          <w:sz w:val="28"/>
          <w:szCs w:val="28"/>
          <w:lang w:val="en-US" w:eastAsia="zh-CN"/>
        </w:rPr>
        <w:t>海塔石油科技有限公司未</w:t>
      </w:r>
      <w:r>
        <w:rPr>
          <w:rFonts w:hint="eastAsia" w:cs="Times New Roman"/>
          <w:sz w:val="28"/>
          <w:szCs w:val="28"/>
          <w:lang w:val="en-US" w:eastAsia="zh-CN"/>
        </w:rPr>
        <w:t>针对</w:t>
      </w:r>
      <w:r>
        <w:rPr>
          <w:rFonts w:hint="eastAsia" w:ascii="Times New Roman" w:hAnsi="Times New Roman" w:eastAsia="宋体" w:cs="Times New Roman"/>
          <w:sz w:val="28"/>
          <w:szCs w:val="28"/>
          <w:lang w:val="en-US" w:eastAsia="zh-CN"/>
        </w:rPr>
        <w:t>转岗员工进行安全教育培训。</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cs="Times New Roman"/>
          <w:sz w:val="28"/>
          <w:szCs w:val="28"/>
          <w:lang w:val="en-US" w:eastAsia="zh-CN"/>
        </w:rPr>
        <w:t>3</w:t>
      </w:r>
      <w:r>
        <w:rPr>
          <w:rFonts w:hint="eastAsia"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val="en-US" w:eastAsia="zh-CN"/>
        </w:rPr>
        <w:t>该公司2022年应急预案未完成备案，未进行应急演练，不满足《山东省生产安全事故应急办法》（山东省人民政府令[2021]第341号）的要求。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企业整改情况见第7章隐患整改复查情况。</w:t>
      </w:r>
    </w:p>
    <w:p>
      <w:pPr>
        <w:pStyle w:val="4"/>
        <w:adjustRightInd w:val="0"/>
        <w:snapToGrid w:val="0"/>
        <w:spacing w:before="0" w:after="0" w:line="360" w:lineRule="auto"/>
        <w:rPr>
          <w:rFonts w:ascii="Times New Roman" w:hAnsi="Times New Roman"/>
          <w:b w:val="0"/>
          <w:bCs/>
          <w:color w:val="auto"/>
          <w:szCs w:val="32"/>
        </w:rPr>
      </w:pPr>
      <w:bookmarkStart w:id="145" w:name="_Toc29146"/>
      <w:r>
        <w:rPr>
          <w:rFonts w:ascii="Times New Roman" w:hAnsi="Times New Roman"/>
          <w:b w:val="0"/>
          <w:bCs/>
          <w:color w:val="auto"/>
          <w:szCs w:val="32"/>
        </w:rPr>
        <w:t>6</w:t>
      </w:r>
      <w:r>
        <w:rPr>
          <w:rFonts w:hint="eastAsia" w:ascii="Times New Roman" w:hAnsi="Times New Roman"/>
          <w:b w:val="0"/>
          <w:bCs/>
          <w:color w:val="auto"/>
          <w:szCs w:val="32"/>
        </w:rPr>
        <w:t>.2 安全管理建议</w:t>
      </w:r>
      <w:bookmarkEnd w:id="144"/>
      <w:bookmarkEnd w:id="145"/>
    </w:p>
    <w:p>
      <w:pPr>
        <w:adjustRightInd w:val="0"/>
        <w:snapToGrid w:val="0"/>
        <w:spacing w:line="360" w:lineRule="auto"/>
        <w:ind w:firstLine="560" w:firstLineChars="200"/>
        <w:rPr>
          <w:color w:val="auto"/>
          <w:sz w:val="28"/>
          <w:szCs w:val="28"/>
        </w:rPr>
      </w:pPr>
      <w:r>
        <w:rPr>
          <w:rFonts w:hint="eastAsia"/>
          <w:color w:val="auto"/>
          <w:sz w:val="28"/>
          <w:szCs w:val="28"/>
        </w:rPr>
        <w:t>针对本次评价中发现的问题，提出以下建议措施：</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1</w:t>
      </w:r>
      <w:r>
        <w:rPr>
          <w:rFonts w:hint="eastAsia"/>
          <w:color w:val="auto"/>
          <w:sz w:val="28"/>
          <w:szCs w:val="28"/>
          <w:lang w:eastAsia="zh-CN"/>
        </w:rPr>
        <w:t>.</w:t>
      </w:r>
      <w:r>
        <w:rPr>
          <w:rFonts w:hint="eastAsia"/>
          <w:color w:val="auto"/>
          <w:sz w:val="28"/>
          <w:szCs w:val="28"/>
        </w:rPr>
        <w:t>进一步落实各种安全管理制度和操作规程的执行情况，做好相应记录并存档。</w:t>
      </w:r>
    </w:p>
    <w:p>
      <w:pPr>
        <w:adjustRightInd w:val="0"/>
        <w:snapToGrid w:val="0"/>
        <w:spacing w:line="360" w:lineRule="auto"/>
        <w:ind w:firstLine="560" w:firstLineChars="200"/>
        <w:rPr>
          <w:rFonts w:hint="eastAsia"/>
          <w:color w:val="auto"/>
          <w:sz w:val="28"/>
          <w:szCs w:val="28"/>
        </w:rPr>
      </w:pPr>
      <w:r>
        <w:rPr>
          <w:rFonts w:hint="eastAsia"/>
          <w:color w:val="auto"/>
          <w:sz w:val="28"/>
          <w:szCs w:val="28"/>
          <w:lang w:val="en-US" w:eastAsia="zh-CN"/>
        </w:rPr>
        <w:t>2</w:t>
      </w:r>
      <w:r>
        <w:rPr>
          <w:rFonts w:hint="eastAsia"/>
          <w:color w:val="auto"/>
          <w:sz w:val="28"/>
          <w:szCs w:val="28"/>
          <w:lang w:eastAsia="zh-CN"/>
        </w:rPr>
        <w:t>.</w:t>
      </w:r>
      <w:r>
        <w:rPr>
          <w:rFonts w:hint="eastAsia"/>
          <w:color w:val="auto"/>
          <w:sz w:val="28"/>
          <w:szCs w:val="28"/>
        </w:rPr>
        <w:t>公司</w:t>
      </w:r>
      <w:r>
        <w:rPr>
          <w:rFonts w:hint="eastAsia"/>
          <w:color w:val="auto"/>
          <w:sz w:val="28"/>
          <w:szCs w:val="28"/>
          <w:lang w:val="en-US" w:eastAsia="zh-CN"/>
        </w:rPr>
        <w:t>要</w:t>
      </w:r>
      <w:r>
        <w:rPr>
          <w:rFonts w:hint="eastAsia"/>
          <w:color w:val="auto"/>
          <w:sz w:val="28"/>
          <w:szCs w:val="28"/>
        </w:rPr>
        <w:t>加强对承包商的管理，</w:t>
      </w:r>
      <w:r>
        <w:rPr>
          <w:rFonts w:hint="eastAsia"/>
          <w:color w:val="auto"/>
          <w:sz w:val="28"/>
          <w:szCs w:val="28"/>
          <w:lang w:val="en-US" w:eastAsia="zh-CN"/>
        </w:rPr>
        <w:t>定期</w:t>
      </w:r>
      <w:r>
        <w:rPr>
          <w:rFonts w:hint="eastAsia"/>
          <w:color w:val="auto"/>
          <w:sz w:val="28"/>
          <w:szCs w:val="28"/>
        </w:rPr>
        <w:t>组织开展承包商培训学习，加强现场作业时的监督检查，承包商进入现场作业人员需要取得井控培训合格证、硫化氢防护技术培训证书及HSE培训证书。</w:t>
      </w:r>
    </w:p>
    <w:p>
      <w:pPr>
        <w:adjustRightInd w:val="0"/>
        <w:snapToGrid w:val="0"/>
        <w:spacing w:line="360" w:lineRule="auto"/>
        <w:ind w:firstLine="560" w:firstLineChars="200"/>
        <w:rPr>
          <w:rFonts w:hint="eastAsia"/>
          <w:color w:val="auto"/>
          <w:sz w:val="28"/>
          <w:szCs w:val="28"/>
        </w:rPr>
      </w:pPr>
      <w:r>
        <w:rPr>
          <w:rFonts w:hint="eastAsia"/>
          <w:color w:val="auto"/>
          <w:sz w:val="28"/>
          <w:szCs w:val="28"/>
          <w:lang w:val="en-US" w:eastAsia="zh-CN"/>
        </w:rPr>
        <w:t>3</w:t>
      </w:r>
      <w:r>
        <w:rPr>
          <w:rFonts w:hint="eastAsia"/>
          <w:color w:val="auto"/>
          <w:sz w:val="28"/>
          <w:szCs w:val="28"/>
          <w:lang w:eastAsia="zh-CN"/>
        </w:rPr>
        <w:t>.</w:t>
      </w:r>
      <w:r>
        <w:rPr>
          <w:rFonts w:hint="eastAsia"/>
          <w:color w:val="auto"/>
          <w:sz w:val="28"/>
          <w:szCs w:val="28"/>
        </w:rPr>
        <w:t>应加强对作业人员的培训取证工作，定期组织教育、练兵、应急演练等活动，以提高员工的安全意识和岗位操作技能。此外应掌握新入职员工与证书即将到期的员工的情况，及时进行相应岗位的培训并在取得相应资格证书后再安排进入井场作业。</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lang w:val="en-US" w:eastAsia="zh-CN"/>
        </w:rPr>
      </w:pPr>
      <w:r>
        <w:rPr>
          <w:rFonts w:hint="eastAsia"/>
          <w:color w:val="auto"/>
          <w:sz w:val="28"/>
          <w:szCs w:val="28"/>
          <w:lang w:val="en-US" w:eastAsia="zh-CN"/>
        </w:rPr>
        <w:t>4.按照相关标准规范，及时修订符合公司实际的安全教育培训计划，按照计划进行培训，并做好培训资料的收集和保存工作。</w:t>
      </w:r>
    </w:p>
    <w:p>
      <w:pPr>
        <w:pStyle w:val="61"/>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5.及时按照新版应急预案修订应急演练计划，并按照计划进行演练，规范应急演练相关资料的填写，同时做好相关资料的保存工作。</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6</w:t>
      </w:r>
      <w:r>
        <w:rPr>
          <w:rFonts w:hint="eastAsia"/>
          <w:color w:val="auto"/>
          <w:sz w:val="28"/>
          <w:szCs w:val="28"/>
          <w:lang w:eastAsia="zh-CN"/>
        </w:rPr>
        <w:t>.</w:t>
      </w:r>
      <w:r>
        <w:rPr>
          <w:rFonts w:hint="eastAsia"/>
          <w:color w:val="auto"/>
          <w:sz w:val="28"/>
          <w:szCs w:val="28"/>
        </w:rPr>
        <w:t>进一步完善公司的应急救援预案，及时更新应急救援小组的联系方式及小组成员的职责。</w:t>
      </w:r>
    </w:p>
    <w:p>
      <w:pPr>
        <w:adjustRightInd w:val="0"/>
        <w:snapToGrid w:val="0"/>
        <w:spacing w:line="360" w:lineRule="auto"/>
        <w:ind w:firstLine="560" w:firstLineChars="200"/>
        <w:rPr>
          <w:rFonts w:hint="eastAsia"/>
          <w:color w:val="auto"/>
          <w:sz w:val="28"/>
          <w:szCs w:val="28"/>
        </w:rPr>
      </w:pPr>
      <w:r>
        <w:rPr>
          <w:rFonts w:hint="eastAsia"/>
          <w:color w:val="auto"/>
          <w:sz w:val="28"/>
          <w:szCs w:val="28"/>
          <w:lang w:val="en-US" w:eastAsia="zh-CN"/>
        </w:rPr>
        <w:t>7</w:t>
      </w:r>
      <w:r>
        <w:rPr>
          <w:rFonts w:hint="eastAsia"/>
          <w:color w:val="auto"/>
          <w:sz w:val="28"/>
          <w:szCs w:val="28"/>
          <w:lang w:eastAsia="zh-CN"/>
        </w:rPr>
        <w:t>.</w:t>
      </w:r>
      <w:r>
        <w:rPr>
          <w:rFonts w:hint="eastAsia"/>
          <w:color w:val="auto"/>
          <w:sz w:val="28"/>
          <w:szCs w:val="28"/>
        </w:rPr>
        <w:t>高危和人员密集单位应当每半年至少组织1次综合或者专项应急预案演练，每2年对所有专项应急预案至少组织1次演练，每半年对所有现场处置方案至少组织1次演练。应急预案演练结束后，应急预案演练组织单位应当对应急预案演练效果进行评估，撰写应急预案演练评估报告，分析存在的问题，并对应急预案提出修订意见。</w:t>
      </w:r>
    </w:p>
    <w:p>
      <w:pPr>
        <w:adjustRightInd w:val="0"/>
        <w:snapToGrid w:val="0"/>
        <w:spacing w:line="360" w:lineRule="auto"/>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8.</w:t>
      </w:r>
      <w:r>
        <w:rPr>
          <w:rFonts w:hint="eastAsia"/>
          <w:color w:val="000000" w:themeColor="text1"/>
          <w:sz w:val="28"/>
          <w:szCs w:val="28"/>
          <w14:textFill>
            <w14:solidFill>
              <w14:schemeClr w14:val="tx1"/>
            </w14:solidFill>
          </w14:textFill>
        </w:rPr>
        <w:t>所有作业人员必须参加“晨会”，并由本人在会议记录上签名。“晨会”主要内容、员工签到等资料应齐全并存档备查。</w:t>
      </w:r>
    </w:p>
    <w:p>
      <w:pPr>
        <w:adjustRightInd w:val="0"/>
        <w:snapToGrid w:val="0"/>
        <w:spacing w:line="360" w:lineRule="auto"/>
        <w:ind w:firstLine="560" w:firstLineChars="200"/>
      </w:pPr>
      <w:r>
        <w:rPr>
          <w:rFonts w:hint="eastAsia"/>
          <w:color w:val="000000" w:themeColor="text1"/>
          <w:sz w:val="28"/>
          <w:szCs w:val="28"/>
          <w:lang w:val="en-US" w:eastAsia="zh-CN"/>
          <w14:textFill>
            <w14:solidFill>
              <w14:schemeClr w14:val="tx1"/>
            </w14:solidFill>
          </w14:textFill>
        </w:rPr>
        <w:t>9.按照《企业安全生产费用提取和使用管理办法》（财资[2022]136号）的要求，编制年度企业安全生产费用提取和使用计划，按计划提取和使用安全生产费用</w:t>
      </w:r>
      <w:r>
        <w:rPr>
          <w:rFonts w:hint="eastAsia"/>
          <w:color w:val="000000" w:themeColor="text1"/>
          <w:sz w:val="28"/>
          <w:szCs w:val="28"/>
          <w14:textFill>
            <w14:solidFill>
              <w14:schemeClr w14:val="tx1"/>
            </w14:solidFill>
          </w14:textFill>
        </w:rPr>
        <w:t>。</w:t>
      </w:r>
    </w:p>
    <w:p>
      <w:pPr>
        <w:adjustRightInd w:val="0"/>
        <w:snapToGrid w:val="0"/>
        <w:spacing w:line="360" w:lineRule="auto"/>
        <w:ind w:firstLine="560" w:firstLineChars="200"/>
        <w:rPr>
          <w:rFonts w:hint="eastAsia"/>
          <w:color w:val="auto"/>
          <w:sz w:val="28"/>
          <w:szCs w:val="28"/>
          <w:lang w:val="en-US" w:eastAsia="zh-CN"/>
        </w:rPr>
      </w:pPr>
      <w:r>
        <w:rPr>
          <w:rFonts w:hint="eastAsia"/>
          <w:color w:val="auto"/>
          <w:sz w:val="28"/>
          <w:szCs w:val="28"/>
          <w:lang w:val="en-US" w:eastAsia="zh-CN"/>
        </w:rPr>
        <w:t>10.加强作业井场内的安全管理，设备设施摆放时要注意安全距离，同时要合理摆放井场内告知牌、安全警示牌等标志牌。</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11</w:t>
      </w:r>
      <w:r>
        <w:rPr>
          <w:rFonts w:hint="eastAsia"/>
          <w:color w:val="auto"/>
          <w:sz w:val="28"/>
          <w:szCs w:val="28"/>
          <w:lang w:eastAsia="zh-CN"/>
        </w:rPr>
        <w:t>.</w:t>
      </w:r>
      <w:r>
        <w:rPr>
          <w:rFonts w:hint="eastAsia"/>
          <w:color w:val="auto"/>
          <w:sz w:val="28"/>
          <w:szCs w:val="28"/>
          <w:lang w:val="en-US" w:eastAsia="zh-CN"/>
        </w:rPr>
        <w:t>加强作业井场内供配电系统的管理，配电箱要由持证人员定期检查、维护并保持记录</w:t>
      </w:r>
      <w:r>
        <w:rPr>
          <w:rFonts w:hint="eastAsia"/>
          <w:color w:val="auto"/>
          <w:sz w:val="28"/>
          <w:szCs w:val="28"/>
        </w:rPr>
        <w:t>。</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12</w:t>
      </w:r>
      <w:r>
        <w:rPr>
          <w:rFonts w:hint="eastAsia"/>
          <w:color w:val="auto"/>
          <w:sz w:val="28"/>
          <w:szCs w:val="28"/>
          <w:lang w:eastAsia="zh-CN"/>
        </w:rPr>
        <w:t>.</w:t>
      </w:r>
      <w:r>
        <w:rPr>
          <w:rFonts w:hint="eastAsia"/>
          <w:color w:val="auto"/>
          <w:sz w:val="28"/>
          <w:szCs w:val="28"/>
        </w:rPr>
        <w:t>作业时要严格按照操作规程和安全管理规定的内容进行，确保人员安全，防止污染环境；佩戴好劳保用品，防止对人员伤害及环境污染。</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1</w:t>
      </w:r>
      <w:r>
        <w:rPr>
          <w:rFonts w:hint="eastAsia"/>
          <w:color w:val="auto"/>
          <w:sz w:val="28"/>
          <w:szCs w:val="28"/>
          <w:lang w:val="en-US" w:eastAsia="zh-CN"/>
        </w:rPr>
        <w:t>3</w:t>
      </w:r>
      <w:r>
        <w:rPr>
          <w:rFonts w:hint="eastAsia"/>
          <w:color w:val="auto"/>
          <w:sz w:val="28"/>
          <w:szCs w:val="28"/>
          <w:lang w:eastAsia="zh-CN"/>
        </w:rPr>
        <w:t>.</w:t>
      </w:r>
      <w:r>
        <w:rPr>
          <w:rFonts w:hint="eastAsia"/>
          <w:color w:val="auto"/>
          <w:sz w:val="28"/>
          <w:szCs w:val="28"/>
        </w:rPr>
        <w:t>对施工作业设备设施进行进行定期检测及更新，对气体检测仪和空气呼吸器等防护设施定期校验，保证设备设施和防护仪器完好可靠。</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14.企业应按照《中华人民共和国安全生产法》、《企业安全生产标准化建设定级办法》（应急〔2021〕83号）、《石油行业安全生产标准化 井下作业实施规范》（AQ2041-2012）等文件和标准要求，有序开展安全生产标准化建设和定级工作，不断提升企业安全管理水平。</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val="0"/>
          <w:bCs w:val="0"/>
          <w:sz w:val="28"/>
          <w:szCs w:val="28"/>
          <w:lang w:val="en-US" w:eastAsia="zh-CN"/>
        </w:rPr>
      </w:pPr>
      <w:r>
        <w:rPr>
          <w:rFonts w:hint="eastAsia"/>
          <w:color w:val="auto"/>
          <w:sz w:val="28"/>
          <w:szCs w:val="28"/>
          <w:lang w:val="en-US" w:eastAsia="zh-CN"/>
        </w:rPr>
        <w:t>15.</w:t>
      </w:r>
      <w:r>
        <w:rPr>
          <w:rFonts w:hint="default" w:ascii="Times New Roman" w:hAnsi="Times New Roman" w:cs="Times New Roman"/>
          <w:b w:val="0"/>
          <w:bCs w:val="0"/>
          <w:sz w:val="28"/>
          <w:szCs w:val="28"/>
          <w:lang w:val="en-US" w:eastAsia="zh-CN"/>
        </w:rPr>
        <w:t>企业在安全生产管理过程中</w:t>
      </w:r>
      <w:r>
        <w:rPr>
          <w:rFonts w:hint="eastAsia" w:cs="Times New Roman"/>
          <w:b w:val="0"/>
          <w:bCs w:val="0"/>
          <w:sz w:val="28"/>
          <w:szCs w:val="28"/>
          <w:lang w:val="en-US" w:eastAsia="zh-CN"/>
        </w:rPr>
        <w:t>应</w:t>
      </w:r>
      <w:r>
        <w:rPr>
          <w:rFonts w:hint="default" w:ascii="Times New Roman" w:hAnsi="Times New Roman" w:cs="Times New Roman"/>
          <w:b w:val="0"/>
          <w:bCs w:val="0"/>
          <w:sz w:val="28"/>
          <w:szCs w:val="28"/>
          <w:lang w:val="en-US" w:eastAsia="zh-CN"/>
        </w:rPr>
        <w:t>严格执行《变更管理制度》，并保存相关变更记录和资料。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val="0"/>
          <w:bCs w:val="0"/>
          <w:sz w:val="28"/>
          <w:szCs w:val="28"/>
          <w:lang w:val="en-US" w:eastAsia="zh-CN"/>
        </w:rPr>
      </w:pPr>
      <w:r>
        <w:rPr>
          <w:rFonts w:hint="eastAsia"/>
          <w:color w:val="auto"/>
          <w:sz w:val="28"/>
          <w:szCs w:val="28"/>
          <w:lang w:val="en-US" w:eastAsia="zh-CN"/>
        </w:rPr>
        <w:t>16.</w:t>
      </w:r>
      <w:r>
        <w:rPr>
          <w:rFonts w:hint="default" w:ascii="Times New Roman" w:hAnsi="Times New Roman" w:cs="Times New Roman"/>
          <w:b w:val="0"/>
          <w:bCs w:val="0"/>
          <w:sz w:val="28"/>
          <w:szCs w:val="28"/>
          <w:lang w:val="en-US" w:eastAsia="zh-CN"/>
        </w:rPr>
        <w:t>企业</w:t>
      </w:r>
      <w:r>
        <w:rPr>
          <w:rFonts w:hint="eastAsia" w:cs="Times New Roman"/>
          <w:b w:val="0"/>
          <w:bCs w:val="0"/>
          <w:sz w:val="28"/>
          <w:szCs w:val="28"/>
          <w:lang w:val="en-US" w:eastAsia="zh-CN"/>
        </w:rPr>
        <w:t>应与相关单位签订能覆盖所有作业区域的应急救援协议</w:t>
      </w:r>
      <w:r>
        <w:rPr>
          <w:rFonts w:hint="default" w:ascii="Times New Roman" w:hAnsi="Times New Roman" w:cs="Times New Roman"/>
          <w:b w:val="0"/>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val="0"/>
          <w:bCs w:val="0"/>
          <w:sz w:val="28"/>
          <w:szCs w:val="28"/>
          <w:lang w:val="en-US" w:eastAsia="zh-CN"/>
        </w:rPr>
      </w:pPr>
    </w:p>
    <w:p>
      <w:pPr>
        <w:pStyle w:val="61"/>
        <w:rPr>
          <w:rFonts w:hint="default"/>
          <w:lang w:val="en-US" w:eastAsia="zh-CN"/>
        </w:rPr>
      </w:pP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rPr>
      </w:pPr>
    </w:p>
    <w:p>
      <w:pPr>
        <w:adjustRightInd w:val="0"/>
        <w:snapToGrid w:val="0"/>
        <w:spacing w:line="360" w:lineRule="auto"/>
        <w:ind w:firstLine="560" w:firstLineChars="200"/>
        <w:rPr>
          <w:color w:val="0070C0"/>
          <w:sz w:val="28"/>
          <w:szCs w:val="28"/>
        </w:rPr>
      </w:pPr>
    </w:p>
    <w:p>
      <w:pPr>
        <w:adjustRightInd w:val="0"/>
        <w:snapToGrid w:val="0"/>
        <w:spacing w:line="360" w:lineRule="auto"/>
        <w:ind w:firstLine="560" w:firstLineChars="200"/>
        <w:rPr>
          <w:color w:val="0070C0"/>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eastAsia="楷体_GB2312"/>
          <w:b/>
          <w:color w:val="auto"/>
          <w:sz w:val="36"/>
          <w:szCs w:val="36"/>
        </w:rPr>
      </w:pPr>
      <w:bookmarkStart w:id="146" w:name="_Toc299030734"/>
      <w:bookmarkStart w:id="147" w:name="_Toc19398"/>
      <w:bookmarkStart w:id="148" w:name="_Toc297764496"/>
      <w:bookmarkStart w:id="149" w:name="_Toc281310756"/>
      <w:r>
        <w:rPr>
          <w:rFonts w:hint="eastAsia" w:eastAsia="楷体_GB2312"/>
          <w:b/>
          <w:color w:val="auto"/>
          <w:sz w:val="36"/>
          <w:szCs w:val="36"/>
          <w:lang w:val="en-US" w:eastAsia="zh-CN"/>
        </w:rPr>
        <w:t>7</w:t>
      </w:r>
      <w:r>
        <w:rPr>
          <w:rFonts w:hint="eastAsia" w:eastAsia="楷体_GB2312"/>
          <w:b/>
          <w:color w:val="auto"/>
          <w:sz w:val="36"/>
          <w:szCs w:val="36"/>
        </w:rPr>
        <w:t xml:space="preserve"> </w:t>
      </w:r>
      <w:r>
        <w:rPr>
          <w:rFonts w:hint="eastAsia" w:ascii="宋体" w:hAnsi="宋体" w:eastAsia="宋体" w:cs="宋体"/>
          <w:b/>
          <w:color w:val="auto"/>
          <w:sz w:val="36"/>
          <w:szCs w:val="36"/>
        </w:rPr>
        <w:t>隐患整改复查情况</w:t>
      </w:r>
      <w:bookmarkEnd w:id="146"/>
      <w:bookmarkEnd w:id="147"/>
      <w:bookmarkEnd w:id="148"/>
    </w:p>
    <w:p>
      <w:pPr>
        <w:adjustRightInd w:val="0"/>
        <w:snapToGrid w:val="0"/>
        <w:spacing w:line="360" w:lineRule="auto"/>
        <w:ind w:firstLine="560" w:firstLineChars="200"/>
        <w:rPr>
          <w:rFonts w:hint="eastAsia"/>
          <w:color w:val="auto"/>
          <w:sz w:val="28"/>
          <w:szCs w:val="28"/>
        </w:rPr>
      </w:pPr>
      <w:r>
        <w:rPr>
          <w:color w:val="auto"/>
          <w:sz w:val="28"/>
          <w:szCs w:val="28"/>
        </w:rPr>
        <w:t>企业接受了本评价组提出的整改建议，对存在的问题进行了整改，本评价组对企业整改情况进行了现场复查，整改复查情况见</w:t>
      </w:r>
      <w:r>
        <w:rPr>
          <w:rFonts w:hint="eastAsia"/>
          <w:color w:val="auto"/>
          <w:sz w:val="28"/>
          <w:szCs w:val="28"/>
          <w:lang w:val="en-US" w:eastAsia="zh-CN"/>
        </w:rPr>
        <w:t>下</w:t>
      </w:r>
      <w:r>
        <w:rPr>
          <w:color w:val="auto"/>
          <w:sz w:val="28"/>
          <w:szCs w:val="28"/>
        </w:rPr>
        <w:t>表</w:t>
      </w:r>
      <w:r>
        <w:rPr>
          <w:rFonts w:hint="eastAsia"/>
          <w:color w:val="auto"/>
          <w:sz w:val="28"/>
          <w:szCs w:val="28"/>
        </w:rPr>
        <w:t>：</w:t>
      </w:r>
    </w:p>
    <w:p>
      <w:pPr>
        <w:pStyle w:val="2"/>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b/>
          <w:bCs/>
          <w:lang w:val="en-US" w:eastAsia="zh-CN"/>
        </w:rPr>
      </w:pPr>
      <w:r>
        <w:rPr>
          <w:rFonts w:hint="default" w:ascii="Times New Roman" w:hAnsi="Times New Roman" w:eastAsia="宋体" w:cs="Times New Roman"/>
          <w:b/>
          <w:bCs/>
          <w:color w:val="auto"/>
          <w:sz w:val="24"/>
          <w:szCs w:val="24"/>
          <w:lang w:val="en-US" w:eastAsia="zh-CN"/>
        </w:rPr>
        <w:t>表7-1隐患整改情况复查表</w:t>
      </w:r>
    </w:p>
    <w:p>
      <w:pPr>
        <w:rPr>
          <w:rFonts w:hint="eastAsia" w:eastAsia="楷体_GB2312"/>
          <w:b/>
          <w:color w:val="0070C0"/>
          <w:sz w:val="36"/>
          <w:szCs w:val="36"/>
          <w:lang w:val="en-US" w:eastAsia="zh-CN"/>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pStyle w:val="2"/>
        <w:rPr>
          <w:rFonts w:hint="eastAsia"/>
          <w:lang w:val="en-US" w:eastAsia="zh-CN"/>
        </w:rPr>
        <w:sectPr>
          <w:footerReference r:id="rId12"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hint="default" w:eastAsia="楷体_GB2312"/>
          <w:b/>
          <w:color w:val="auto"/>
          <w:sz w:val="36"/>
          <w:szCs w:val="36"/>
          <w:lang w:val="en-US" w:eastAsia="zh-CN"/>
        </w:rPr>
      </w:pPr>
      <w:bookmarkStart w:id="150" w:name="_Toc13430"/>
      <w:bookmarkStart w:id="151" w:name="_Toc281310752"/>
      <w:bookmarkStart w:id="152" w:name="_Toc22214"/>
      <w:bookmarkStart w:id="153" w:name="_Toc321810989"/>
      <w:r>
        <w:rPr>
          <w:rFonts w:hint="eastAsia" w:eastAsia="楷体_GB2312"/>
          <w:b/>
          <w:color w:val="auto"/>
          <w:sz w:val="36"/>
          <w:szCs w:val="36"/>
          <w:lang w:val="en-US" w:eastAsia="zh-CN"/>
        </w:rPr>
        <w:t>8</w:t>
      </w:r>
      <w:r>
        <w:rPr>
          <w:rFonts w:hint="default" w:eastAsia="楷体_GB2312"/>
          <w:b/>
          <w:color w:val="auto"/>
          <w:sz w:val="36"/>
          <w:szCs w:val="36"/>
          <w:lang w:val="en-US" w:eastAsia="zh-CN"/>
        </w:rPr>
        <w:t xml:space="preserve"> </w:t>
      </w:r>
      <w:r>
        <w:rPr>
          <w:rFonts w:hint="eastAsia" w:ascii="宋体" w:hAnsi="宋体" w:eastAsia="宋体" w:cs="宋体"/>
          <w:b/>
          <w:color w:val="auto"/>
          <w:sz w:val="36"/>
          <w:szCs w:val="36"/>
          <w:lang w:val="en-US" w:eastAsia="zh-CN"/>
        </w:rPr>
        <w:t>安全生产条件分析评价</w:t>
      </w:r>
      <w:bookmarkEnd w:id="150"/>
      <w:bookmarkEnd w:id="151"/>
      <w:bookmarkEnd w:id="152"/>
      <w:bookmarkEnd w:id="153"/>
    </w:p>
    <w:p>
      <w:pPr>
        <w:pStyle w:val="4"/>
        <w:keepNext w:val="0"/>
        <w:keepLines w:val="0"/>
        <w:pageBreakBefore w:val="0"/>
        <w:widowControl w:val="0"/>
        <w:wordWrap/>
        <w:bidi w:val="0"/>
        <w:adjustRightInd w:val="0"/>
        <w:snapToGrid w:val="0"/>
        <w:spacing w:before="0" w:after="0" w:line="360" w:lineRule="auto"/>
        <w:rPr>
          <w:rFonts w:hint="default" w:ascii="Times New Roman" w:hAnsi="Times New Roman" w:eastAsia="黑体" w:cs="Times New Roman"/>
          <w:color w:val="000000" w:themeColor="text1"/>
          <w:sz w:val="28"/>
          <w:szCs w:val="28"/>
          <w:lang w:eastAsia="zh-CN"/>
          <w14:textFill>
            <w14:solidFill>
              <w14:schemeClr w14:val="tx1"/>
            </w14:solidFill>
          </w14:textFill>
        </w:rPr>
      </w:pPr>
      <w:bookmarkStart w:id="154" w:name="_Toc3643"/>
      <w:bookmarkStart w:id="155" w:name="_Toc27692"/>
      <w:bookmarkStart w:id="156" w:name="_Toc25168"/>
      <w:r>
        <w:rPr>
          <w:rFonts w:hint="default" w:ascii="Times New Roman" w:hAnsi="Times New Roman" w:cs="Times New Roman"/>
          <w:b w:val="0"/>
          <w:bCs/>
          <w:color w:val="000000" w:themeColor="text1"/>
          <w:szCs w:val="32"/>
          <w:lang w:val="en-US" w:eastAsia="zh-CN"/>
          <w14:textFill>
            <w14:solidFill>
              <w14:schemeClr w14:val="tx1"/>
            </w14:solidFill>
          </w14:textFill>
        </w:rPr>
        <w:t>8</w:t>
      </w:r>
      <w:r>
        <w:rPr>
          <w:rFonts w:hint="default" w:ascii="Times New Roman" w:hAnsi="Times New Roman" w:cs="Times New Roman"/>
          <w:b w:val="0"/>
          <w:bCs/>
          <w:color w:val="000000" w:themeColor="text1"/>
          <w:szCs w:val="32"/>
          <w14:textFill>
            <w14:solidFill>
              <w14:schemeClr w14:val="tx1"/>
            </w14:solidFill>
          </w14:textFill>
        </w:rPr>
        <w:t xml:space="preserve">.1 </w:t>
      </w:r>
      <w:r>
        <w:rPr>
          <w:rFonts w:hint="default" w:ascii="Times New Roman" w:hAnsi="Times New Roman" w:cs="Times New Roman"/>
          <w:b w:val="0"/>
          <w:bCs/>
          <w:color w:val="000000" w:themeColor="text1"/>
          <w:szCs w:val="32"/>
          <w:lang w:eastAsia="zh-CN"/>
          <w14:textFill>
            <w14:solidFill>
              <w14:schemeClr w14:val="tx1"/>
            </w14:solidFill>
          </w14:textFill>
        </w:rPr>
        <w:t>安全生产条件分析</w:t>
      </w:r>
      <w:bookmarkEnd w:id="154"/>
      <w:bookmarkEnd w:id="155"/>
      <w:bookmarkEnd w:id="156"/>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根据</w:t>
      </w:r>
      <w:r>
        <w:rPr>
          <w:rFonts w:hint="default" w:ascii="Times New Roman" w:hAnsi="Times New Roman" w:cs="Times New Roman"/>
          <w:sz w:val="28"/>
        </w:rPr>
        <w:t>《非煤矿矿山企业安全生产许可证实施办法》</w:t>
      </w:r>
      <w:r>
        <w:rPr>
          <w:rFonts w:hint="default" w:ascii="Times New Roman" w:hAnsi="Times New Roman" w:cs="Times New Roman"/>
          <w:sz w:val="28"/>
          <w:lang w:eastAsia="zh-CN"/>
        </w:rPr>
        <w:t>（</w:t>
      </w:r>
      <w:r>
        <w:rPr>
          <w:rFonts w:hint="default" w:ascii="Times New Roman" w:hAnsi="Times New Roman" w:cs="Times New Roman"/>
          <w:sz w:val="28"/>
        </w:rPr>
        <w:t>国家安全生产监督管理总局令[2009]第20号，2015修订版</w:t>
      </w:r>
      <w:r>
        <w:rPr>
          <w:rFonts w:hint="default" w:ascii="Times New Roman" w:hAnsi="Times New Roman" w:cs="Times New Roman"/>
          <w:sz w:val="28"/>
          <w:lang w:eastAsia="zh-CN"/>
        </w:rPr>
        <w:t>）</w:t>
      </w:r>
      <w:r>
        <w:rPr>
          <w:rFonts w:hint="default"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《山东省非煤矿矿山企业安全生产许可证实施方案》（鲁安监发[2009]133号）和本报告第5</w:t>
      </w:r>
      <w:r>
        <w:rPr>
          <w:rFonts w:hint="default" w:ascii="Times New Roman" w:hAnsi="Times New Roman" w:cs="Times New Roman"/>
          <w:color w:val="000000"/>
          <w:sz w:val="28"/>
          <w:szCs w:val="28"/>
          <w:lang w:val="en-US" w:eastAsia="zh-CN"/>
        </w:rPr>
        <w:t>、6、7章</w:t>
      </w:r>
      <w:r>
        <w:rPr>
          <w:rFonts w:hint="default" w:ascii="Times New Roman" w:hAnsi="Times New Roman" w:cs="Times New Roman"/>
          <w:color w:val="000000"/>
          <w:sz w:val="28"/>
          <w:szCs w:val="28"/>
        </w:rPr>
        <w:t>的安全检查表的详细检查情况</w:t>
      </w:r>
      <w:r>
        <w:rPr>
          <w:rFonts w:hint="default" w:ascii="Times New Roman" w:hAnsi="Times New Roman" w:cs="Times New Roman"/>
          <w:color w:val="000000"/>
          <w:sz w:val="28"/>
          <w:szCs w:val="28"/>
          <w:lang w:eastAsia="zh-CN"/>
        </w:rPr>
        <w:t>、安全对策措施</w:t>
      </w:r>
      <w:r>
        <w:rPr>
          <w:rFonts w:hint="default" w:ascii="Times New Roman" w:hAnsi="Times New Roman" w:cs="Times New Roman"/>
          <w:color w:val="000000"/>
          <w:sz w:val="28"/>
          <w:szCs w:val="28"/>
          <w:lang w:val="en-US" w:eastAsia="zh-CN"/>
        </w:rPr>
        <w:t>和隐患整改复查情况</w:t>
      </w:r>
      <w:r>
        <w:rPr>
          <w:rFonts w:hint="default" w:ascii="Times New Roman" w:hAnsi="Times New Roman" w:cs="Times New Roman"/>
          <w:color w:val="000000"/>
          <w:sz w:val="28"/>
          <w:szCs w:val="28"/>
        </w:rPr>
        <w:t>，对</w:t>
      </w:r>
      <w:r>
        <w:rPr>
          <w:rFonts w:hint="eastAsia" w:cs="Times New Roman"/>
          <w:color w:val="auto"/>
          <w:sz w:val="28"/>
          <w:szCs w:val="28"/>
          <w:lang w:val="en-US" w:eastAsia="zh-CN"/>
        </w:rPr>
        <w:t>海塔石油科技有限公司</w:t>
      </w:r>
      <w:r>
        <w:rPr>
          <w:rFonts w:hint="eastAsia"/>
          <w:color w:val="000000" w:themeColor="text1"/>
          <w:sz w:val="28"/>
          <w:szCs w:val="28"/>
          <w:lang w:val="en-US" w:eastAsia="zh-CN"/>
          <w14:textFill>
            <w14:solidFill>
              <w14:schemeClr w14:val="tx1"/>
            </w14:solidFill>
          </w14:textFill>
        </w:rPr>
        <w:t>井下</w:t>
      </w:r>
      <w:r>
        <w:rPr>
          <w:rFonts w:hint="default"/>
          <w:color w:val="000000" w:themeColor="text1"/>
          <w:sz w:val="28"/>
          <w:szCs w:val="28"/>
          <w:lang w:val="en-US" w:eastAsia="zh-CN"/>
          <w14:textFill>
            <w14:solidFill>
              <w14:schemeClr w14:val="tx1"/>
            </w14:solidFill>
          </w14:textFill>
        </w:rPr>
        <w:t>作业</w:t>
      </w:r>
      <w:r>
        <w:rPr>
          <w:rFonts w:hint="eastAsia"/>
          <w:color w:val="000000" w:themeColor="text1"/>
          <w:sz w:val="28"/>
          <w:szCs w:val="28"/>
          <w:lang w:val="en-US" w:eastAsia="zh-CN"/>
          <w14:textFill>
            <w14:solidFill>
              <w14:schemeClr w14:val="tx1"/>
            </w14:solidFill>
          </w14:textFill>
        </w:rPr>
        <w:t>：大修作业、井下复杂情况处理（打捞、堵漏）</w:t>
      </w:r>
      <w:r>
        <w:rPr>
          <w:rFonts w:hint="default" w:ascii="Times New Roman" w:hAnsi="Times New Roman" w:cs="Times New Roman"/>
          <w:color w:val="auto"/>
          <w:sz w:val="28"/>
          <w:szCs w:val="28"/>
          <w:lang w:val="en-US" w:eastAsia="zh-CN"/>
        </w:rPr>
        <w:t>项目</w:t>
      </w:r>
      <w:r>
        <w:rPr>
          <w:rFonts w:hint="default" w:ascii="Times New Roman" w:hAnsi="Times New Roman" w:cs="Times New Roman"/>
          <w:color w:val="auto"/>
          <w:sz w:val="28"/>
          <w:szCs w:val="28"/>
        </w:rPr>
        <w:t>是</w:t>
      </w:r>
      <w:r>
        <w:rPr>
          <w:rFonts w:hint="default" w:ascii="Times New Roman" w:hAnsi="Times New Roman" w:cs="Times New Roman"/>
          <w:color w:val="000000"/>
          <w:sz w:val="28"/>
          <w:szCs w:val="28"/>
        </w:rPr>
        <w:t>否具备非煤矿矿山企业的安全生产条件进行</w:t>
      </w:r>
      <w:r>
        <w:rPr>
          <w:rFonts w:hint="default" w:ascii="Times New Roman" w:hAnsi="Times New Roman" w:cs="Times New Roman"/>
          <w:color w:val="000000"/>
          <w:sz w:val="28"/>
          <w:szCs w:val="28"/>
          <w:lang w:val="en-US" w:eastAsia="zh-CN"/>
        </w:rPr>
        <w:t>评价</w:t>
      </w:r>
      <w:r>
        <w:rPr>
          <w:rFonts w:hint="default" w:ascii="Times New Roman" w:hAnsi="Times New Roman" w:cs="Times New Roman"/>
          <w:color w:val="000000"/>
          <w:sz w:val="28"/>
          <w:szCs w:val="28"/>
        </w:rPr>
        <w:t>，</w:t>
      </w:r>
      <w:r>
        <w:rPr>
          <w:rFonts w:hint="default" w:ascii="Times New Roman" w:hAnsi="Times New Roman" w:cs="Times New Roman"/>
          <w:color w:val="000000"/>
          <w:sz w:val="28"/>
          <w:szCs w:val="28"/>
          <w:lang w:val="en-US" w:eastAsia="zh-CN"/>
        </w:rPr>
        <w:t>评价</w:t>
      </w:r>
      <w:r>
        <w:rPr>
          <w:rFonts w:hint="default" w:ascii="Times New Roman" w:hAnsi="Times New Roman" w:cs="Times New Roman"/>
          <w:color w:val="000000"/>
          <w:sz w:val="28"/>
          <w:szCs w:val="28"/>
        </w:rPr>
        <w:t>结果汇总如下，见下表。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8"/>
          <w:szCs w:val="28"/>
        </w:rPr>
      </w:pPr>
      <w:r>
        <w:rPr>
          <w:rFonts w:hint="default" w:ascii="Times New Roman" w:hAnsi="Times New Roman" w:cs="Times New Roman"/>
          <w:b/>
          <w:sz w:val="24"/>
          <w:szCs w:val="28"/>
        </w:rPr>
        <w:t>表</w:t>
      </w:r>
      <w:r>
        <w:rPr>
          <w:rFonts w:hint="default" w:ascii="Times New Roman" w:hAnsi="Times New Roman" w:cs="Times New Roman"/>
          <w:b/>
          <w:sz w:val="24"/>
          <w:szCs w:val="28"/>
          <w:lang w:val="en-US" w:eastAsia="zh-CN"/>
        </w:rPr>
        <w:t>8</w:t>
      </w:r>
      <w:r>
        <w:rPr>
          <w:rFonts w:hint="default" w:ascii="Times New Roman" w:hAnsi="Times New Roman" w:cs="Times New Roman"/>
          <w:b/>
          <w:sz w:val="24"/>
          <w:szCs w:val="28"/>
        </w:rPr>
        <w:t>-</w:t>
      </w:r>
      <w:r>
        <w:rPr>
          <w:rFonts w:hint="default" w:ascii="Times New Roman" w:hAnsi="Times New Roman" w:cs="Times New Roman"/>
          <w:b/>
          <w:sz w:val="24"/>
          <w:szCs w:val="28"/>
          <w:lang w:val="en-US" w:eastAsia="zh-CN"/>
        </w:rPr>
        <w:t>1</w:t>
      </w:r>
      <w:r>
        <w:rPr>
          <w:rFonts w:hint="default" w:ascii="Times New Roman" w:hAnsi="Times New Roman" w:cs="Times New Roman"/>
          <w:b/>
          <w:sz w:val="24"/>
          <w:szCs w:val="28"/>
        </w:rPr>
        <w:t xml:space="preserve"> </w:t>
      </w:r>
      <w:r>
        <w:rPr>
          <w:rFonts w:hint="default" w:ascii="Times New Roman" w:hAnsi="Times New Roman" w:eastAsia="宋体" w:cs="Times New Roman"/>
          <w:b/>
          <w:sz w:val="24"/>
          <w:szCs w:val="28"/>
          <w:lang w:val="en-US" w:eastAsia="zh-CN"/>
        </w:rPr>
        <w:t>非煤矿矿山企业安全生产许可证安全生产条件评价表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000000"/>
          <w:sz w:val="28"/>
          <w:szCs w:val="28"/>
          <w:lang w:val="en-US" w:eastAsia="zh-CN"/>
        </w:rPr>
      </w:pPr>
      <w:r>
        <w:rPr>
          <w:rFonts w:hint="eastAsia"/>
          <w:color w:val="auto"/>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000000"/>
          <w:sz w:val="28"/>
          <w:szCs w:val="28"/>
          <w:lang w:val="en-US" w:eastAsia="zh-CN"/>
        </w:rPr>
      </w:pPr>
      <w:r>
        <w:rPr>
          <w:rFonts w:hint="default" w:ascii="Times New Roman" w:hAnsi="Times New Roman" w:cs="Times New Roman"/>
          <w:color w:val="000000"/>
          <w:sz w:val="28"/>
          <w:szCs w:val="28"/>
          <w:lang w:val="en-US" w:eastAsia="zh-CN"/>
        </w:rPr>
        <w:t>评价小结：</w:t>
      </w:r>
    </w:p>
    <w:p>
      <w:pPr>
        <w:pStyle w:val="22"/>
        <w:keepNext w:val="0"/>
        <w:keepLines w:val="0"/>
        <w:pageBreakBefore w:val="0"/>
        <w:widowControl w:val="0"/>
        <w:kinsoku/>
        <w:wordWrap/>
        <w:overflowPunct/>
        <w:topLinePunct w:val="0"/>
        <w:autoSpaceDE/>
        <w:autoSpaceDN/>
        <w:bidi w:val="0"/>
        <w:adjustRightInd w:val="0"/>
        <w:snapToGrid w:val="0"/>
        <w:spacing w:after="0" w:line="360" w:lineRule="auto"/>
        <w:ind w:firstLine="560" w:firstLineChars="200"/>
        <w:jc w:val="left"/>
        <w:textAlignment w:val="auto"/>
        <w:rPr>
          <w:rFonts w:hint="default" w:ascii="Times New Roman" w:hAnsi="Times New Roman" w:eastAsia="宋体" w:cs="Times New Roman"/>
          <w:color w:val="0070C0"/>
          <w:sz w:val="24"/>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default" w:ascii="Times New Roman" w:hAnsi="Times New Roman" w:cs="Times New Roman"/>
          <w:color w:val="000000"/>
          <w:sz w:val="28"/>
          <w:szCs w:val="28"/>
          <w:lang w:val="en-US" w:eastAsia="zh-CN"/>
        </w:rPr>
        <w:t>经过现场检查和评价，该企业涉及的</w:t>
      </w:r>
      <w:r>
        <w:rPr>
          <w:rFonts w:hint="eastAsia"/>
          <w:color w:val="000000" w:themeColor="text1"/>
          <w:sz w:val="28"/>
          <w:szCs w:val="28"/>
          <w:lang w:val="en-US" w:eastAsia="zh-CN"/>
          <w14:textFill>
            <w14:solidFill>
              <w14:schemeClr w14:val="tx1"/>
            </w14:solidFill>
          </w14:textFill>
        </w:rPr>
        <w:t>井下</w:t>
      </w:r>
      <w:r>
        <w:rPr>
          <w:rFonts w:hint="default"/>
          <w:color w:val="000000" w:themeColor="text1"/>
          <w:sz w:val="28"/>
          <w:szCs w:val="28"/>
          <w:lang w:val="en-US" w:eastAsia="zh-CN"/>
          <w14:textFill>
            <w14:solidFill>
              <w14:schemeClr w14:val="tx1"/>
            </w14:solidFill>
          </w14:textFill>
        </w:rPr>
        <w:t>作业</w:t>
      </w:r>
      <w:r>
        <w:rPr>
          <w:rFonts w:hint="eastAsia"/>
          <w:color w:val="000000" w:themeColor="text1"/>
          <w:sz w:val="28"/>
          <w:szCs w:val="28"/>
          <w:lang w:eastAsia="zh-CN"/>
          <w14:textFill>
            <w14:solidFill>
              <w14:schemeClr w14:val="tx1"/>
            </w14:solidFill>
          </w14:textFill>
        </w:rPr>
        <w:t>：大修作业、井下复杂情况处理（打捞、堵漏）</w:t>
      </w:r>
      <w:r>
        <w:rPr>
          <w:rFonts w:hint="default" w:ascii="Times New Roman" w:hAnsi="Times New Roman" w:cs="Times New Roman"/>
          <w:color w:val="000000"/>
          <w:sz w:val="28"/>
          <w:szCs w:val="28"/>
          <w:lang w:val="en-US" w:eastAsia="zh-CN"/>
        </w:rPr>
        <w:t>项目取证安全生产条件有11项检查项为符合，无不符合项，1项检查项为不涉及，因此</w:t>
      </w:r>
      <w:r>
        <w:rPr>
          <w:rFonts w:hint="eastAsia" w:cs="Times New Roman"/>
          <w:color w:val="auto"/>
          <w:sz w:val="28"/>
          <w:szCs w:val="28"/>
          <w:lang w:val="en-US" w:eastAsia="zh-CN"/>
        </w:rPr>
        <w:t>海塔石油科技有限公司</w:t>
      </w:r>
      <w:r>
        <w:rPr>
          <w:rFonts w:hint="default" w:ascii="Times New Roman" w:hAnsi="Times New Roman" w:cs="Times New Roman"/>
          <w:b w:val="0"/>
          <w:bCs/>
          <w:smallCaps w:val="0"/>
          <w:sz w:val="28"/>
          <w:lang w:val="en-US" w:eastAsia="zh-CN"/>
        </w:rPr>
        <w:t>具备</w:t>
      </w:r>
      <w:r>
        <w:rPr>
          <w:rFonts w:hint="eastAsia"/>
          <w:color w:val="000000" w:themeColor="text1"/>
          <w:sz w:val="28"/>
          <w:szCs w:val="28"/>
          <w:lang w:eastAsia="zh-CN"/>
          <w14:textFill>
            <w14:solidFill>
              <w14:schemeClr w14:val="tx1"/>
            </w14:solidFill>
          </w14:textFill>
        </w:rPr>
        <w:t>大修作业、井下复杂情况处理（打捞、堵漏）</w:t>
      </w:r>
      <w:r>
        <w:rPr>
          <w:rFonts w:hint="default" w:ascii="Times New Roman" w:hAnsi="Times New Roman" w:cs="Times New Roman"/>
          <w:b w:val="0"/>
          <w:bCs/>
          <w:smallCaps w:val="0"/>
          <w:sz w:val="28"/>
          <w:lang w:val="en-US" w:eastAsia="zh-CN"/>
        </w:rPr>
        <w:t>项目的安全生产条件</w:t>
      </w:r>
      <w:r>
        <w:rPr>
          <w:rFonts w:hint="default" w:ascii="Times New Roman" w:hAnsi="Times New Roman" w:cs="Times New Roman"/>
          <w:color w:val="00000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center"/>
        <w:textAlignment w:val="auto"/>
        <w:rPr>
          <w:rFonts w:hint="default"/>
          <w:b/>
          <w:color w:val="auto"/>
          <w:sz w:val="24"/>
          <w:szCs w:val="28"/>
          <w:lang w:val="en-US" w:eastAsia="zh-CN"/>
        </w:rPr>
      </w:pPr>
      <w:r>
        <w:rPr>
          <w:rFonts w:hint="default"/>
          <w:b/>
          <w:color w:val="auto"/>
          <w:sz w:val="24"/>
          <w:szCs w:val="28"/>
        </w:rPr>
        <w:t>表</w:t>
      </w:r>
      <w:r>
        <w:rPr>
          <w:rFonts w:hint="eastAsia"/>
          <w:b/>
          <w:color w:val="auto"/>
          <w:sz w:val="24"/>
          <w:szCs w:val="28"/>
          <w:lang w:val="en-US" w:eastAsia="zh-CN"/>
        </w:rPr>
        <w:t>8</w:t>
      </w:r>
      <w:r>
        <w:rPr>
          <w:rFonts w:hint="default"/>
          <w:b/>
          <w:color w:val="auto"/>
          <w:sz w:val="24"/>
          <w:szCs w:val="28"/>
        </w:rPr>
        <w:t>-</w:t>
      </w:r>
      <w:r>
        <w:rPr>
          <w:rFonts w:hint="eastAsia"/>
          <w:b/>
          <w:color w:val="auto"/>
          <w:sz w:val="24"/>
          <w:szCs w:val="28"/>
          <w:lang w:val="en-US" w:eastAsia="zh-CN"/>
        </w:rPr>
        <w:t>2</w:t>
      </w:r>
      <w:r>
        <w:rPr>
          <w:rFonts w:hint="default"/>
          <w:b/>
          <w:color w:val="auto"/>
          <w:sz w:val="24"/>
          <w:szCs w:val="28"/>
        </w:rPr>
        <w:t xml:space="preserve"> 非煤矿矿山企业安全生产许可证审查</w:t>
      </w:r>
      <w:r>
        <w:rPr>
          <w:rFonts w:hint="eastAsia"/>
          <w:b/>
          <w:color w:val="auto"/>
          <w:sz w:val="24"/>
          <w:szCs w:val="28"/>
          <w:lang w:val="en-US" w:eastAsia="zh-CN"/>
        </w:rPr>
        <w:t>内容评价表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涉及企业机密，不予公开。</w:t>
      </w:r>
    </w:p>
    <w:p>
      <w:pPr>
        <w:adjustRightInd w:val="0"/>
        <w:snapToGrid w:val="0"/>
        <w:ind w:firstLine="420" w:firstLineChars="200"/>
        <w:rPr>
          <w:rFonts w:hint="default" w:ascii="Times New Roman" w:hAnsi="Times New Roman" w:cs="Times New Roman"/>
          <w:color w:val="auto"/>
          <w:sz w:val="28"/>
          <w:szCs w:val="28"/>
        </w:rPr>
      </w:pPr>
      <w:r>
        <w:rPr>
          <w:rFonts w:hint="default" w:ascii="Times New Roman" w:hAnsi="Times New Roman" w:cs="Times New Roman"/>
          <w:color w:val="auto"/>
          <w:szCs w:val="21"/>
        </w:rPr>
        <w:t>注：非煤矿矿山企业总部申请安全生产许可证，需审查第1、3、4、5、6项；金属非金属矿山企业申请安全生产许可证，需审查第1-12项，如果该单位从事爆破作业，还需审查第13项；尾矿库申请安全生产许可证，需审查第1、3、4、5、6、7、8、9、10、11、12项；地质勘探单位和采掘施工企业申请安全生产许可证，需审查第1、2、3、4、5、6、7、9、10、11项，如果该单位从事爆破作业，还需审查第13项；石油天然气勘探、开发生产和储运（陆上采油气、海上采油气、物探、钻井、测井、录井、井下作业、油田建设、海油工程、储运）单位申请安全生产许可证，需审查第1、3、4、5、6、7、8、9、10、11项（其中陆上采油气、海上采油气单位需增加审查第2、12项，储运单位需增加审查第12项）。</w:t>
      </w:r>
    </w:p>
    <w:p>
      <w:pPr>
        <w:pStyle w:val="61"/>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评价小结：</w:t>
      </w:r>
    </w:p>
    <w:p>
      <w:pPr>
        <w:pStyle w:val="61"/>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eastAsia="宋体" w:cs="Times New Roman"/>
          <w:color w:val="000000"/>
          <w:kern w:val="2"/>
          <w:sz w:val="28"/>
          <w:szCs w:val="28"/>
          <w:lang w:val="en-US" w:eastAsia="zh-CN" w:bidi="ar-SA"/>
        </w:rPr>
        <w:sectPr>
          <w:pgSz w:w="16838" w:h="11906" w:orient="landscape"/>
          <w:pgMar w:top="1800" w:right="1440" w:bottom="1800" w:left="1440" w:header="1247"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default" w:ascii="Times New Roman" w:hAnsi="Times New Roman" w:eastAsia="宋体" w:cs="Times New Roman"/>
          <w:color w:val="000000"/>
          <w:kern w:val="2"/>
          <w:sz w:val="28"/>
          <w:szCs w:val="28"/>
          <w:lang w:val="en-US" w:eastAsia="zh-CN" w:bidi="ar-SA"/>
        </w:rPr>
        <w:t>经过现场检查和评价，该企业涉及的井下作业</w:t>
      </w:r>
      <w:r>
        <w:rPr>
          <w:rFonts w:hint="eastAsia" w:ascii="Times New Roman" w:hAnsi="Times New Roman" w:eastAsia="宋体" w:cs="Times New Roman"/>
          <w:color w:val="000000"/>
          <w:kern w:val="2"/>
          <w:sz w:val="28"/>
          <w:szCs w:val="28"/>
          <w:lang w:val="en-US" w:eastAsia="zh-CN" w:bidi="ar-SA"/>
        </w:rPr>
        <w:t>：大修作业、井下复杂情况处理（打捞、堵漏）</w:t>
      </w:r>
      <w:r>
        <w:rPr>
          <w:rFonts w:hint="default" w:ascii="Times New Roman" w:hAnsi="Times New Roman" w:eastAsia="宋体" w:cs="Times New Roman"/>
          <w:color w:val="000000"/>
          <w:kern w:val="2"/>
          <w:sz w:val="28"/>
          <w:szCs w:val="28"/>
          <w:lang w:val="en-US" w:eastAsia="zh-CN" w:bidi="ar-SA"/>
        </w:rPr>
        <w:t>项目有10项审查项为符合，无不符合项，3项审查项为不涉及，因此</w:t>
      </w:r>
      <w:r>
        <w:rPr>
          <w:rFonts w:hint="eastAsia" w:ascii="Times New Roman" w:hAnsi="Times New Roman" w:eastAsia="宋体" w:cs="Times New Roman"/>
          <w:color w:val="000000"/>
          <w:kern w:val="2"/>
          <w:sz w:val="28"/>
          <w:szCs w:val="28"/>
          <w:lang w:val="en-US" w:eastAsia="zh-CN" w:bidi="ar-SA"/>
        </w:rPr>
        <w:t>海塔石油科技有限公司</w:t>
      </w:r>
      <w:r>
        <w:rPr>
          <w:rFonts w:hint="default" w:ascii="Times New Roman" w:hAnsi="Times New Roman" w:eastAsia="宋体" w:cs="Times New Roman"/>
          <w:color w:val="000000"/>
          <w:kern w:val="2"/>
          <w:sz w:val="28"/>
          <w:szCs w:val="28"/>
          <w:lang w:val="en-US" w:eastAsia="zh-CN" w:bidi="ar-SA"/>
        </w:rPr>
        <w:t>井下作业</w:t>
      </w:r>
      <w:r>
        <w:rPr>
          <w:rFonts w:hint="eastAsia" w:ascii="Times New Roman" w:hAnsi="Times New Roman" w:eastAsia="宋体" w:cs="Times New Roman"/>
          <w:color w:val="000000"/>
          <w:kern w:val="2"/>
          <w:sz w:val="28"/>
          <w:szCs w:val="28"/>
          <w:lang w:val="en-US" w:eastAsia="zh-CN" w:bidi="ar-SA"/>
        </w:rPr>
        <w:t>：大修作业、井下复杂情况处理（打捞、堵漏）</w:t>
      </w:r>
      <w:r>
        <w:rPr>
          <w:rFonts w:hint="default" w:ascii="Times New Roman" w:hAnsi="Times New Roman" w:eastAsia="宋体" w:cs="Times New Roman"/>
          <w:color w:val="000000"/>
          <w:kern w:val="2"/>
          <w:sz w:val="28"/>
          <w:szCs w:val="28"/>
          <w:lang w:val="en-US" w:eastAsia="zh-CN" w:bidi="ar-SA"/>
        </w:rPr>
        <w:t>项目的审查条件符合要求</w:t>
      </w:r>
      <w:r>
        <w:rPr>
          <w:rFonts w:hint="eastAsia" w:ascii="Times New Roman" w:hAnsi="Times New Roman" w:eastAsia="宋体" w:cs="Times New Roman"/>
          <w:color w:val="000000"/>
          <w:kern w:val="2"/>
          <w:sz w:val="28"/>
          <w:szCs w:val="28"/>
          <w:lang w:val="en-US" w:eastAsia="zh-CN" w:bidi="ar-SA"/>
        </w:rPr>
        <w:t>。</w:t>
      </w:r>
    </w:p>
    <w:p>
      <w:pPr>
        <w:pStyle w:val="4"/>
        <w:keepNext w:val="0"/>
        <w:keepLines w:val="0"/>
        <w:pageBreakBefore w:val="0"/>
        <w:widowControl w:val="0"/>
        <w:kinsoku/>
        <w:wordWrap/>
        <w:overflowPunct/>
        <w:topLinePunct w:val="0"/>
        <w:autoSpaceDE/>
        <w:autoSpaceDN/>
        <w:bidi w:val="0"/>
        <w:adjustRightInd w:val="0"/>
        <w:snapToGrid w:val="0"/>
        <w:spacing w:before="0" w:after="0" w:line="360" w:lineRule="auto"/>
        <w:jc w:val="left"/>
        <w:textAlignment w:val="auto"/>
        <w:rPr>
          <w:rFonts w:hint="default" w:ascii="Times New Roman" w:hAnsi="Times New Roman" w:cs="Times New Roman"/>
          <w:b w:val="0"/>
          <w:bCs/>
          <w:color w:val="000000" w:themeColor="text1"/>
          <w:szCs w:val="32"/>
          <w:lang w:val="en-US" w:eastAsia="zh-CN"/>
          <w14:textFill>
            <w14:solidFill>
              <w14:schemeClr w14:val="tx1"/>
            </w14:solidFill>
          </w14:textFill>
        </w:rPr>
      </w:pPr>
      <w:bookmarkStart w:id="157" w:name="_Toc32451"/>
      <w:bookmarkStart w:id="158" w:name="_Toc12531"/>
      <w:bookmarkStart w:id="159" w:name="_Toc8162"/>
      <w:bookmarkStart w:id="160" w:name="_Toc17813"/>
      <w:r>
        <w:rPr>
          <w:rFonts w:hint="default" w:ascii="Times New Roman" w:hAnsi="Times New Roman" w:cs="Times New Roman"/>
          <w:b w:val="0"/>
          <w:bCs/>
          <w:color w:val="000000" w:themeColor="text1"/>
          <w:szCs w:val="32"/>
          <w:lang w:val="en-US" w:eastAsia="zh-CN"/>
          <w14:textFill>
            <w14:solidFill>
              <w14:schemeClr w14:val="tx1"/>
            </w14:solidFill>
          </w14:textFill>
        </w:rPr>
        <w:t>8.2</w:t>
      </w:r>
      <w:bookmarkEnd w:id="157"/>
      <w:r>
        <w:rPr>
          <w:rFonts w:hint="eastAsia" w:ascii="Times New Roman" w:hAnsi="Times New Roman" w:cs="Times New Roman"/>
          <w:b w:val="0"/>
          <w:bCs/>
          <w:color w:val="000000" w:themeColor="text1"/>
          <w:szCs w:val="32"/>
          <w:lang w:val="en-US" w:eastAsia="zh-CN"/>
          <w14:textFill>
            <w14:solidFill>
              <w14:schemeClr w14:val="tx1"/>
            </w14:solidFill>
          </w14:textFill>
        </w:rPr>
        <w:t xml:space="preserve"> </w:t>
      </w:r>
      <w:r>
        <w:rPr>
          <w:rFonts w:hint="default" w:ascii="Times New Roman" w:hAnsi="Times New Roman" w:cs="Times New Roman"/>
          <w:b w:val="0"/>
          <w:bCs/>
          <w:color w:val="000000" w:themeColor="text1"/>
          <w:szCs w:val="32"/>
          <w:lang w:val="en-US" w:eastAsia="zh-CN"/>
          <w14:textFill>
            <w14:solidFill>
              <w14:schemeClr w14:val="tx1"/>
            </w14:solidFill>
          </w14:textFill>
        </w:rPr>
        <w:t>重大安全风险隐患分析</w:t>
      </w:r>
      <w:bookmarkEnd w:id="158"/>
      <w:bookmarkEnd w:id="159"/>
      <w:bookmarkEnd w:id="160"/>
    </w:p>
    <w:p>
      <w:pPr>
        <w:pStyle w:val="283"/>
        <w:keepNext w:val="0"/>
        <w:keepLines w:val="0"/>
        <w:pageBreakBefore w:val="0"/>
        <w:widowControl w:val="0"/>
        <w:kinsoku/>
        <w:wordWrap/>
        <w:overflowPunct/>
        <w:topLinePunct w:val="0"/>
        <w:autoSpaceDE/>
        <w:autoSpaceDN/>
        <w:bidi w:val="0"/>
        <w:adjustRightInd w:val="0"/>
        <w:snapToGrid w:val="0"/>
        <w:spacing w:before="0" w:beforeLines="0"/>
        <w:jc w:val="both"/>
        <w:textAlignment w:val="auto"/>
        <w:rPr>
          <w:rFonts w:hint="default" w:ascii="Times New Roman" w:hAnsi="Times New Roman" w:cs="Times New Roman"/>
        </w:rPr>
      </w:pPr>
      <w:r>
        <w:rPr>
          <w:rFonts w:hint="default" w:ascii="Times New Roman" w:hAnsi="Times New Roman" w:cs="Times New Roman"/>
        </w:rPr>
        <w:t>根据《</w:t>
      </w:r>
      <w:r>
        <w:rPr>
          <w:rFonts w:hint="default" w:ascii="Times New Roman" w:hAnsi="Times New Roman" w:cs="Times New Roman"/>
          <w:lang w:val="en-US" w:eastAsia="zh-CN"/>
        </w:rPr>
        <w:t>重点行业领域重大安全风险隐患清单</w:t>
      </w:r>
      <w:r>
        <w:rPr>
          <w:rFonts w:hint="default" w:ascii="Times New Roman" w:hAnsi="Times New Roman" w:cs="Times New Roman"/>
        </w:rPr>
        <w:t>》</w:t>
      </w:r>
      <w:r>
        <w:rPr>
          <w:rFonts w:hint="default" w:ascii="Times New Roman" w:hAnsi="Times New Roman" w:cs="Times New Roman"/>
          <w:lang w:val="en-US" w:eastAsia="zh-CN"/>
        </w:rPr>
        <w:t>（鲁安发</w:t>
      </w:r>
      <w:r>
        <w:rPr>
          <w:rFonts w:hint="default" w:ascii="Times New Roman" w:hAnsi="Times New Roman" w:cs="Times New Roman"/>
          <w:lang w:eastAsia="zh-CN"/>
        </w:rPr>
        <w:t>[</w:t>
      </w:r>
      <w:r>
        <w:rPr>
          <w:rFonts w:hint="default" w:ascii="Times New Roman" w:hAnsi="Times New Roman" w:cs="Times New Roman"/>
          <w:lang w:val="en-US" w:eastAsia="zh-CN"/>
        </w:rPr>
        <w:t>2022</w:t>
      </w:r>
      <w:r>
        <w:rPr>
          <w:rFonts w:hint="default" w:ascii="Times New Roman" w:hAnsi="Times New Roman" w:cs="Times New Roman"/>
          <w:lang w:eastAsia="zh-CN"/>
        </w:rPr>
        <w:t>]</w:t>
      </w:r>
      <w:r>
        <w:rPr>
          <w:rFonts w:hint="default" w:ascii="Times New Roman" w:hAnsi="Times New Roman" w:cs="Times New Roman"/>
          <w:lang w:val="en-US" w:eastAsia="zh-CN"/>
        </w:rPr>
        <w:t>11号）</w:t>
      </w:r>
      <w:r>
        <w:rPr>
          <w:rFonts w:hint="default" w:ascii="Times New Roman" w:hAnsi="Times New Roman" w:cs="Times New Roman"/>
        </w:rPr>
        <w:t>，对本项目是否涉及重大安全</w:t>
      </w:r>
      <w:r>
        <w:rPr>
          <w:rFonts w:hint="default" w:ascii="Times New Roman" w:hAnsi="Times New Roman" w:cs="Times New Roman"/>
          <w:lang w:eastAsia="zh-CN"/>
        </w:rPr>
        <w:t>风险</w:t>
      </w:r>
      <w:r>
        <w:rPr>
          <w:rFonts w:hint="default" w:ascii="Times New Roman" w:hAnsi="Times New Roman" w:cs="Times New Roman"/>
        </w:rPr>
        <w:t>隐患判定情况如下：</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sz w:val="24"/>
          <w:szCs w:val="24"/>
        </w:rPr>
      </w:pPr>
      <w:r>
        <w:rPr>
          <w:rFonts w:hint="default" w:ascii="Times New Roman" w:hAnsi="Times New Roman" w:cs="Times New Roman"/>
          <w:b/>
          <w:sz w:val="24"/>
          <w:szCs w:val="24"/>
        </w:rPr>
        <w:t>表</w:t>
      </w:r>
      <w:r>
        <w:rPr>
          <w:rFonts w:hint="default" w:ascii="Times New Roman" w:hAnsi="Times New Roman" w:cs="Times New Roman"/>
          <w:b/>
          <w:sz w:val="24"/>
          <w:szCs w:val="24"/>
          <w:lang w:val="en-US" w:eastAsia="zh-CN"/>
        </w:rPr>
        <w:t>8</w:t>
      </w:r>
      <w:r>
        <w:rPr>
          <w:rFonts w:hint="default" w:ascii="Times New Roman" w:hAnsi="Times New Roman" w:cs="Times New Roman"/>
          <w:b/>
          <w:sz w:val="24"/>
          <w:szCs w:val="24"/>
        </w:rPr>
        <w:t>-</w:t>
      </w:r>
      <w:r>
        <w:rPr>
          <w:rFonts w:hint="default" w:ascii="Times New Roman" w:hAnsi="Times New Roman" w:cs="Times New Roman"/>
          <w:b/>
          <w:sz w:val="24"/>
          <w:szCs w:val="24"/>
          <w:lang w:val="en-US" w:eastAsia="zh-CN"/>
        </w:rPr>
        <w:t>3</w:t>
      </w:r>
      <w:r>
        <w:rPr>
          <w:rFonts w:hint="default" w:ascii="Times New Roman" w:hAnsi="Times New Roman" w:cs="Times New Roman"/>
          <w:b/>
          <w:sz w:val="24"/>
          <w:szCs w:val="24"/>
        </w:rPr>
        <w:t xml:space="preserve">  重大安全</w:t>
      </w:r>
      <w:r>
        <w:rPr>
          <w:rFonts w:hint="default" w:ascii="Times New Roman" w:hAnsi="Times New Roman" w:cs="Times New Roman"/>
          <w:b/>
          <w:sz w:val="24"/>
          <w:szCs w:val="24"/>
          <w:lang w:eastAsia="zh-CN"/>
        </w:rPr>
        <w:t>风险</w:t>
      </w:r>
      <w:r>
        <w:rPr>
          <w:rFonts w:hint="default" w:ascii="Times New Roman" w:hAnsi="Times New Roman" w:cs="Times New Roman"/>
          <w:b/>
          <w:sz w:val="24"/>
          <w:szCs w:val="24"/>
        </w:rPr>
        <w:t>隐患判定表</w:t>
      </w:r>
    </w:p>
    <w:tbl>
      <w:tblPr>
        <w:tblStyle w:val="5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7"/>
        <w:gridCol w:w="4963"/>
        <w:gridCol w:w="30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557" w:type="dxa"/>
            <w:noWrap w:val="0"/>
            <w:vAlign w:val="center"/>
          </w:tcPr>
          <w:p>
            <w:pPr>
              <w:keepNext w:val="0"/>
              <w:keepLines w:val="0"/>
              <w:pageBreakBefore w:val="0"/>
              <w:widowControl w:val="0"/>
              <w:numPr>
                <w:ilvl w:val="0"/>
                <w:numId w:val="0"/>
              </w:numPr>
              <w:suppressLineNumbers w:val="0"/>
              <w:wordWrap/>
              <w:bidi w:val="0"/>
              <w:adjustRightInd w:val="0"/>
              <w:snapToGrid w:val="0"/>
              <w:spacing w:before="48" w:beforeLines="20" w:beforeAutospacing="0" w:after="48" w:afterLines="20" w:afterAutospacing="0"/>
              <w:ind w:left="0" w:leftChars="0" w:right="0" w:rightChars="0"/>
              <w:jc w:val="center"/>
              <w:rPr>
                <w:rFonts w:hint="default" w:ascii="Times New Roman" w:hAnsi="Times New Roman" w:cs="Times New Roman"/>
                <w:b/>
                <w:snapToGrid w:val="0"/>
                <w:szCs w:val="21"/>
              </w:rPr>
            </w:pPr>
            <w:r>
              <w:rPr>
                <w:rFonts w:hint="default" w:ascii="Times New Roman" w:hAnsi="Times New Roman" w:cs="Times New Roman"/>
                <w:b/>
                <w:snapToGrid w:val="0"/>
                <w:szCs w:val="21"/>
              </w:rPr>
              <w:t>序号</w:t>
            </w: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jc w:val="center"/>
              <w:rPr>
                <w:rFonts w:hint="default" w:ascii="Times New Roman" w:hAnsi="Times New Roman" w:cs="Times New Roman"/>
                <w:b/>
                <w:snapToGrid w:val="0"/>
                <w:szCs w:val="21"/>
              </w:rPr>
            </w:pPr>
            <w:r>
              <w:rPr>
                <w:rFonts w:hint="default" w:ascii="Times New Roman" w:hAnsi="Times New Roman" w:cs="Times New Roman"/>
                <w:b/>
                <w:snapToGrid w:val="0"/>
                <w:szCs w:val="21"/>
              </w:rPr>
              <w:t>重大安全</w:t>
            </w:r>
            <w:r>
              <w:rPr>
                <w:rFonts w:hint="default" w:ascii="Times New Roman" w:hAnsi="Times New Roman" w:cs="Times New Roman"/>
                <w:b/>
                <w:snapToGrid w:val="0"/>
                <w:szCs w:val="21"/>
                <w:lang w:eastAsia="zh-CN"/>
              </w:rPr>
              <w:t>风险</w:t>
            </w:r>
            <w:r>
              <w:rPr>
                <w:rFonts w:hint="default" w:ascii="Times New Roman" w:hAnsi="Times New Roman" w:cs="Times New Roman"/>
                <w:b/>
                <w:snapToGrid w:val="0"/>
                <w:szCs w:val="21"/>
              </w:rPr>
              <w:t>隐患判定标准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jc w:val="center"/>
              <w:rPr>
                <w:rFonts w:hint="default" w:ascii="Times New Roman" w:hAnsi="Times New Roman" w:cs="Times New Roman"/>
                <w:b/>
                <w:snapToGrid w:val="0"/>
                <w:szCs w:val="21"/>
              </w:rPr>
            </w:pPr>
            <w:r>
              <w:rPr>
                <w:rFonts w:hint="default" w:ascii="Times New Roman" w:hAnsi="Times New Roman" w:cs="Times New Roman"/>
                <w:b/>
                <w:snapToGrid w:val="0"/>
                <w:szCs w:val="21"/>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szCs w:val="21"/>
              </w:rPr>
            </w:pPr>
            <w:r>
              <w:rPr>
                <w:rFonts w:hint="default" w:ascii="Times New Roman" w:hAnsi="Times New Roman" w:cs="Times New Roman"/>
                <w:b/>
                <w:bCs w:val="0"/>
                <w:snapToGrid w:val="0"/>
                <w:szCs w:val="21"/>
                <w:lang w:val="en-US" w:eastAsia="zh-CN"/>
              </w:rPr>
              <w:t>主要负责人和安全生产管理人员安全风险隐患：</w:t>
            </w:r>
            <w:r>
              <w:rPr>
                <w:rFonts w:hint="default" w:ascii="Times New Roman" w:hAnsi="Times New Roman" w:cs="Times New Roman"/>
                <w:bCs/>
                <w:snapToGrid w:val="0"/>
                <w:szCs w:val="21"/>
                <w:lang w:val="en-US" w:eastAsia="zh-CN"/>
              </w:rPr>
              <w:t>未按要求配备主要负责人和安全生产管理人员，或者主要负责人和安全生产管理人员未依法经考核合格。</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cs="Times New Roman"/>
                <w:lang w:val="en-US" w:eastAsia="zh-CN"/>
              </w:rPr>
            </w:pPr>
            <w:r>
              <w:rPr>
                <w:rFonts w:hint="eastAsia" w:ascii="宋体" w:hAnsi="宋体" w:eastAsia="宋体" w:cs="宋体"/>
                <w:spacing w:val="0"/>
                <w:w w:val="100"/>
                <w:sz w:val="21"/>
                <w:szCs w:val="21"/>
                <w:lang w:eastAsia="zh-CN"/>
              </w:rPr>
              <w:t>企业已按照要求</w:t>
            </w:r>
            <w:r>
              <w:rPr>
                <w:rFonts w:hint="eastAsia" w:ascii="宋体" w:hAnsi="宋体" w:eastAsia="宋体" w:cs="宋体"/>
                <w:spacing w:val="0"/>
                <w:w w:val="100"/>
                <w:sz w:val="21"/>
                <w:szCs w:val="21"/>
                <w:lang w:val="en-US" w:eastAsia="zh-CN"/>
              </w:rPr>
              <w:t>配备有主要负责人、专职安全生产管理人员，主要负责人和专职安全生产管理人员已取得安全合格证</w:t>
            </w:r>
            <w:r>
              <w:rPr>
                <w:rFonts w:hint="eastAsia" w:ascii="宋体" w:hAnsi="宋体" w:eastAsia="宋体" w:cs="宋体"/>
                <w:spacing w:val="0"/>
                <w:w w:val="100"/>
                <w:kern w:val="0"/>
                <w:sz w:val="21"/>
                <w:szCs w:val="21"/>
                <w:lang w:val="en-US" w:eastAsia="zh-CN"/>
              </w:rPr>
              <w:t>，</w:t>
            </w:r>
            <w:r>
              <w:rPr>
                <w:rFonts w:hint="default" w:ascii="Times New Roman" w:hAnsi="Times New Roman" w:eastAsia="宋体"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eastAsia="宋体"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rPr>
            </w:pPr>
            <w:r>
              <w:rPr>
                <w:rFonts w:hint="default" w:ascii="Times New Roman" w:hAnsi="Times New Roman" w:cs="Times New Roman"/>
                <w:b/>
                <w:bCs w:val="0"/>
                <w:snapToGrid w:val="0"/>
                <w:kern w:val="0"/>
                <w:szCs w:val="21"/>
                <w:lang w:val="en-US" w:eastAsia="zh-CN"/>
              </w:rPr>
              <w:t>技术管理机构安全风险隐患：</w:t>
            </w:r>
            <w:r>
              <w:rPr>
                <w:rFonts w:hint="default" w:ascii="Times New Roman" w:hAnsi="Times New Roman" w:cs="Times New Roman"/>
                <w:bCs/>
                <w:snapToGrid w:val="0"/>
                <w:kern w:val="0"/>
                <w:szCs w:val="21"/>
                <w:lang w:val="en-US" w:eastAsia="zh-CN"/>
              </w:rPr>
              <w:t>未按规定设立管理机构，或者管理机构未足额配备相关专业专职技术人员。</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从业人员安全风险隐患：</w:t>
            </w:r>
            <w:r>
              <w:rPr>
                <w:rFonts w:hint="default" w:ascii="Times New Roman" w:hAnsi="Times New Roman" w:cs="Times New Roman"/>
                <w:bCs/>
                <w:snapToGrid w:val="0"/>
                <w:kern w:val="0"/>
                <w:szCs w:val="21"/>
                <w:lang w:val="en-US" w:eastAsia="zh-CN"/>
              </w:rPr>
              <w:t>从业人员未经安全培训合格，特种作业人员未持证上岗。</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从业人员均持有</w:t>
            </w:r>
            <w:r>
              <w:rPr>
                <w:rFonts w:hint="eastAsia" w:cs="Times New Roman"/>
                <w:spacing w:val="0"/>
                <w:w w:val="100"/>
                <w:kern w:val="0"/>
                <w:sz w:val="21"/>
                <w:szCs w:val="21"/>
                <w:lang w:val="en-US" w:eastAsia="zh-CN"/>
              </w:rPr>
              <w:t>三</w:t>
            </w:r>
            <w:r>
              <w:rPr>
                <w:rFonts w:hint="default" w:ascii="Times New Roman" w:hAnsi="Times New Roman" w:eastAsia="宋体" w:cs="Times New Roman"/>
                <w:spacing w:val="0"/>
                <w:w w:val="100"/>
                <w:kern w:val="0"/>
                <w:sz w:val="21"/>
                <w:szCs w:val="21"/>
                <w:lang w:val="en-US" w:eastAsia="zh-CN"/>
              </w:rPr>
              <w:t>证，</w:t>
            </w:r>
            <w:r>
              <w:rPr>
                <w:rFonts w:hint="default" w:ascii="Times New Roman" w:hAnsi="Times New Roman" w:cs="Times New Roman"/>
                <w:bCs/>
                <w:snapToGrid w:val="0"/>
                <w:spacing w:val="0"/>
                <w:w w:val="100"/>
                <w:kern w:val="0"/>
                <w:sz w:val="21"/>
                <w:szCs w:val="21"/>
                <w:lang w:val="en-US" w:eastAsia="zh-CN"/>
              </w:rPr>
              <w:t>特种作业人员持证上岗。</w:t>
            </w:r>
            <w:r>
              <w:rPr>
                <w:rFonts w:hint="default" w:ascii="Times New Roman" w:hAnsi="Times New Roman" w:cs="Times New Roman"/>
                <w:b/>
                <w:bCs w:val="0"/>
                <w:snapToGrid w:val="0"/>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责任制度安全风险隐患：</w:t>
            </w:r>
            <w:r>
              <w:rPr>
                <w:rFonts w:hint="default" w:ascii="Times New Roman" w:hAnsi="Times New Roman" w:cs="Times New Roman"/>
                <w:bCs/>
                <w:snapToGrid w:val="0"/>
                <w:kern w:val="0"/>
                <w:szCs w:val="21"/>
                <w:lang w:val="en-US" w:eastAsia="zh-CN"/>
              </w:rPr>
              <w:t>未建立与岗位相匹配的全员安全生产责任制或者未制定实施生产安全事故隐患排查治理制度。</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已建立</w:t>
            </w:r>
            <w:r>
              <w:rPr>
                <w:rFonts w:hint="default" w:ascii="Times New Roman" w:hAnsi="Times New Roman" w:cs="Times New Roman"/>
                <w:bCs/>
                <w:snapToGrid w:val="0"/>
                <w:spacing w:val="0"/>
                <w:w w:val="100"/>
                <w:kern w:val="0"/>
                <w:sz w:val="21"/>
                <w:szCs w:val="21"/>
                <w:lang w:val="en-US" w:eastAsia="zh-CN"/>
              </w:rPr>
              <w:t>与岗位相匹配的全员安全生产责任制，并制定事故隐患排查治理制度。</w:t>
            </w:r>
            <w:r>
              <w:rPr>
                <w:rFonts w:hint="default" w:ascii="Times New Roman" w:hAnsi="Times New Roman" w:cs="Times New Roman"/>
                <w:b/>
                <w:bCs w:val="0"/>
                <w:snapToGrid w:val="0"/>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操作规程安全风险隐患：</w:t>
            </w:r>
            <w:r>
              <w:rPr>
                <w:rFonts w:hint="default" w:ascii="Times New Roman" w:hAnsi="Times New Roman" w:cs="Times New Roman"/>
                <w:bCs/>
                <w:snapToGrid w:val="0"/>
                <w:kern w:val="0"/>
                <w:szCs w:val="21"/>
                <w:lang w:val="en-US" w:eastAsia="zh-CN"/>
              </w:rPr>
              <w:t>未制定实施与岗位相匹配的操作规程。</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已制定实施与岗位相匹配的操作规程。</w:t>
            </w:r>
            <w:r>
              <w:rPr>
                <w:rFonts w:hint="default" w:ascii="Times New Roman" w:hAnsi="Times New Roman" w:eastAsia="宋体"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“三同时”安全风险隐患：</w:t>
            </w:r>
            <w:r>
              <w:rPr>
                <w:rFonts w:hint="default" w:ascii="Times New Roman" w:hAnsi="Times New Roman" w:cs="Times New Roman"/>
                <w:bCs/>
                <w:snapToGrid w:val="0"/>
                <w:kern w:val="0"/>
                <w:szCs w:val="21"/>
                <w:lang w:val="en-US" w:eastAsia="zh-CN"/>
              </w:rPr>
              <w:t>不严格履行建设项目安全设施“三同时”制度，不按批准的安全设施设计建设、生产，安全生产许可证有效期满未办理延期手续。</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整合矿山安全风险隐患：</w:t>
            </w:r>
            <w:r>
              <w:rPr>
                <w:rFonts w:hint="default" w:ascii="Times New Roman" w:hAnsi="Times New Roman" w:cs="Times New Roman"/>
                <w:bCs/>
                <w:snapToGrid w:val="0"/>
                <w:kern w:val="0"/>
                <w:szCs w:val="21"/>
                <w:lang w:val="en-US" w:eastAsia="zh-CN"/>
              </w:rPr>
              <w:t>整合后的矿山管理不规范，纳入整合的生产系统仍然“各自为政”。</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基建矿山安全风险隐患：</w:t>
            </w:r>
            <w:r>
              <w:rPr>
                <w:rFonts w:hint="default" w:ascii="Times New Roman" w:hAnsi="Times New Roman" w:cs="Times New Roman"/>
                <w:bCs/>
                <w:snapToGrid w:val="0"/>
                <w:kern w:val="0"/>
                <w:szCs w:val="21"/>
                <w:lang w:val="en-US" w:eastAsia="zh-CN"/>
              </w:rPr>
              <w:t>未按规定合理编制基建工程进度计划，未明确优先贯通安全出口和尽快形成主要供电、通风、排水系统的要求。竖井、斜井、斜坡道等施工到底后，未按规定集中在一个中段贯通。</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停产停建矿山安全风险隐患：</w:t>
            </w:r>
            <w:r>
              <w:rPr>
                <w:rFonts w:hint="default" w:ascii="Times New Roman" w:hAnsi="Times New Roman" w:cs="Times New Roman"/>
                <w:bCs/>
                <w:snapToGrid w:val="0"/>
                <w:kern w:val="0"/>
                <w:szCs w:val="21"/>
                <w:lang w:val="en-US" w:eastAsia="zh-CN"/>
              </w:rPr>
              <w:t>未制定落实停产停建期间安全风险管控措施，或者以设备调试、检修和设施维修等为由组织建设或生产。</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bCs w:val="0"/>
                <w:snapToGrid w:val="0"/>
                <w:kern w:val="0"/>
                <w:szCs w:val="21"/>
                <w:lang w:val="en-US" w:eastAsia="zh-CN"/>
              </w:rPr>
              <w:t>动火作业安全风险隐患：</w:t>
            </w:r>
            <w:r>
              <w:rPr>
                <w:rFonts w:hint="default" w:ascii="Times New Roman" w:hAnsi="Times New Roman" w:cs="Times New Roman"/>
                <w:b w:val="0"/>
                <w:bCs/>
                <w:snapToGrid w:val="0"/>
                <w:kern w:val="0"/>
                <w:szCs w:val="21"/>
                <w:lang w:val="en-US" w:eastAsia="zh-CN"/>
              </w:rPr>
              <w:t>未按照要求制定动火作业管理和审批制度，或者制度未有效执行。</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图纸管理安全风险隐患：</w:t>
            </w:r>
            <w:r>
              <w:rPr>
                <w:rFonts w:hint="default" w:ascii="Times New Roman" w:hAnsi="Times New Roman" w:cs="Times New Roman"/>
                <w:b w:val="0"/>
                <w:bCs/>
                <w:snapToGrid w:val="0"/>
                <w:kern w:val="0"/>
                <w:szCs w:val="21"/>
                <w:lang w:val="en-US" w:eastAsia="zh-CN"/>
              </w:rPr>
              <w:t xml:space="preserve">未及时填绘图纸，或者现状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图与实际严重不符。</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应急预案安全风险隐患：</w:t>
            </w:r>
            <w:r>
              <w:rPr>
                <w:rFonts w:hint="default" w:ascii="Times New Roman" w:hAnsi="Times New Roman" w:cs="Times New Roman"/>
                <w:b w:val="0"/>
                <w:bCs/>
                <w:snapToGrid w:val="0"/>
                <w:kern w:val="0"/>
                <w:szCs w:val="21"/>
                <w:lang w:val="en-US" w:eastAsia="zh-CN"/>
              </w:rPr>
              <w:t>未按要求编制符合实际的综 合应急预案、专项应急预案和现场处置方案，或者预案未进行评审、公布、备案。</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已编制应急预案并在东营区应急管理局备案。</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应急救援体系安全风险隐患：</w:t>
            </w:r>
            <w:r>
              <w:rPr>
                <w:rFonts w:hint="default" w:ascii="Times New Roman" w:hAnsi="Times New Roman" w:cs="Times New Roman"/>
                <w:b w:val="0"/>
                <w:bCs/>
                <w:snapToGrid w:val="0"/>
                <w:kern w:val="0"/>
                <w:szCs w:val="21"/>
                <w:lang w:val="en-US" w:eastAsia="zh-CN"/>
              </w:rPr>
              <w:t xml:space="preserve">未建立应急救援队伍，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未按规定定期组织开展应急演练。</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已</w:t>
            </w:r>
            <w:r>
              <w:rPr>
                <w:rFonts w:hint="default" w:ascii="Times New Roman" w:hAnsi="Times New Roman" w:cs="Times New Roman"/>
                <w:b w:val="0"/>
                <w:bCs/>
                <w:snapToGrid w:val="0"/>
                <w:spacing w:val="0"/>
                <w:w w:val="100"/>
                <w:kern w:val="0"/>
                <w:sz w:val="21"/>
                <w:szCs w:val="21"/>
                <w:lang w:val="en-US" w:eastAsia="zh-CN"/>
              </w:rPr>
              <w:t>建立应急救援</w:t>
            </w:r>
            <w:r>
              <w:rPr>
                <w:rFonts w:hint="eastAsia" w:cs="Times New Roman"/>
                <w:b w:val="0"/>
                <w:bCs/>
                <w:snapToGrid w:val="0"/>
                <w:spacing w:val="0"/>
                <w:w w:val="100"/>
                <w:kern w:val="0"/>
                <w:sz w:val="21"/>
                <w:szCs w:val="21"/>
                <w:lang w:val="en-US" w:eastAsia="zh-CN"/>
              </w:rPr>
              <w:t>组织</w:t>
            </w:r>
            <w:r>
              <w:rPr>
                <w:rFonts w:hint="default" w:ascii="Times New Roman" w:hAnsi="Times New Roman" w:cs="Times New Roman"/>
                <w:b w:val="0"/>
                <w:bCs/>
                <w:snapToGrid w:val="0"/>
                <w:spacing w:val="0"/>
                <w:w w:val="100"/>
                <w:kern w:val="0"/>
                <w:sz w:val="21"/>
                <w:szCs w:val="21"/>
                <w:lang w:val="en-US" w:eastAsia="zh-CN"/>
              </w:rPr>
              <w:t>，并按规定定期组织开展应急演练。</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设备检测检验安全风险隐患：</w:t>
            </w:r>
            <w:r>
              <w:rPr>
                <w:rFonts w:hint="default" w:ascii="Times New Roman" w:hAnsi="Times New Roman" w:cs="Times New Roman"/>
                <w:b w:val="0"/>
                <w:bCs/>
                <w:snapToGrid w:val="0"/>
                <w:kern w:val="0"/>
                <w:szCs w:val="21"/>
                <w:lang w:val="en-US" w:eastAsia="zh-CN"/>
              </w:rPr>
              <w:t xml:space="preserve">涉及人身安全、危险性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较大的设备设施未按照相关规定进行检测检验，或者使用检测检验不合格的设备设施。</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设备设施</w:t>
            </w:r>
            <w:r>
              <w:rPr>
                <w:rFonts w:hint="default" w:ascii="Times New Roman" w:hAnsi="Times New Roman" w:cs="Times New Roman"/>
                <w:b w:val="0"/>
                <w:bCs/>
                <w:snapToGrid w:val="0"/>
                <w:kern w:val="0"/>
                <w:szCs w:val="21"/>
                <w:lang w:val="en-US" w:eastAsia="zh-CN"/>
              </w:rPr>
              <w:t>按照相关规定进行检测检验。</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淘汰落后工艺设备安全风险隐患：</w:t>
            </w:r>
            <w:r>
              <w:rPr>
                <w:rFonts w:hint="default" w:ascii="Times New Roman" w:hAnsi="Times New Roman" w:cs="Times New Roman"/>
                <w:b w:val="0"/>
                <w:bCs/>
                <w:snapToGrid w:val="0"/>
                <w:kern w:val="0"/>
                <w:szCs w:val="21"/>
                <w:lang w:val="en-US" w:eastAsia="zh-CN"/>
              </w:rPr>
              <w:t xml:space="preserve">使用禁止使用的设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备及工艺目录列出的工艺、设备。</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未使用</w:t>
            </w:r>
            <w:r>
              <w:rPr>
                <w:rFonts w:hint="default" w:ascii="Times New Roman" w:hAnsi="Times New Roman" w:cs="Times New Roman"/>
                <w:b w:val="0"/>
                <w:bCs/>
                <w:snapToGrid w:val="0"/>
                <w:kern w:val="0"/>
                <w:szCs w:val="21"/>
                <w:lang w:val="en-US" w:eastAsia="zh-CN"/>
              </w:rPr>
              <w:t>禁止使用的设备及工艺目录列出的工艺、设备。</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采空区及周边老窑安全风险隐患：</w:t>
            </w:r>
            <w:r>
              <w:rPr>
                <w:rFonts w:hint="default" w:ascii="Times New Roman" w:hAnsi="Times New Roman" w:cs="Times New Roman"/>
                <w:b w:val="0"/>
                <w:bCs/>
                <w:snapToGrid w:val="0"/>
                <w:kern w:val="0"/>
                <w:szCs w:val="21"/>
                <w:lang w:val="en-US" w:eastAsia="zh-CN"/>
              </w:rPr>
              <w:t>未查明遗留采空区、悬顶采空区、历史上形成的采空区以及周边废弃矿井（井筒）分布、积水等基本情况，或者未采取有效措施进行治理。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水文地质安全风险隐患：</w:t>
            </w:r>
            <w:r>
              <w:rPr>
                <w:rFonts w:hint="default" w:ascii="Times New Roman" w:hAnsi="Times New Roman" w:cs="Times New Roman"/>
                <w:b w:val="0"/>
                <w:bCs/>
                <w:snapToGrid w:val="0"/>
                <w:kern w:val="0"/>
                <w:szCs w:val="21"/>
                <w:lang w:val="en-US" w:eastAsia="zh-CN"/>
              </w:rPr>
              <w:t xml:space="preserve">未查明地下含水体、地下岩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溶、地表水体和地质勘探钻孔、工程施工钻孔、防治水工程有关情况，或者未采取有效措施进行治理。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地压灾害风险隐患：</w:t>
            </w:r>
            <w:r>
              <w:rPr>
                <w:rFonts w:hint="default" w:ascii="Times New Roman" w:hAnsi="Times New Roman" w:cs="Times New Roman"/>
                <w:b w:val="0"/>
                <w:bCs/>
                <w:snapToGrid w:val="0"/>
                <w:kern w:val="0"/>
                <w:szCs w:val="21"/>
                <w:lang w:val="en-US" w:eastAsia="zh-CN"/>
              </w:rPr>
              <w:t xml:space="preserve">未查明矿区主要地质构造、地压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活动区域，或者未采取有效措施进行治理。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火灾安全风险隐患：</w:t>
            </w:r>
            <w:r>
              <w:rPr>
                <w:rFonts w:hint="default" w:ascii="Times New Roman" w:hAnsi="Times New Roman" w:cs="Times New Roman"/>
                <w:b w:val="0"/>
                <w:bCs/>
                <w:snapToGrid w:val="0"/>
                <w:kern w:val="0"/>
                <w:szCs w:val="21"/>
                <w:lang w:val="en-US" w:eastAsia="zh-CN"/>
              </w:rPr>
              <w:t xml:space="preserve">未查明矿石自燃倾向性以及井下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木支护、油料电缆等非阻燃材料分布和使用情况，或者未采取有效措施进行治理。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保安矿柱安全风险隐患：</w:t>
            </w:r>
            <w:r>
              <w:rPr>
                <w:rFonts w:hint="default" w:ascii="Times New Roman" w:hAnsi="Times New Roman" w:cs="Times New Roman"/>
                <w:b w:val="0"/>
                <w:bCs/>
                <w:snapToGrid w:val="0"/>
                <w:kern w:val="0"/>
                <w:szCs w:val="21"/>
                <w:lang w:val="en-US" w:eastAsia="zh-CN"/>
              </w:rPr>
              <w:t xml:space="preserve">未按规定或设计留设保安矿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柱，或者擅自开采保安矿柱。</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排水系统安全风险隐患：</w:t>
            </w:r>
            <w:r>
              <w:rPr>
                <w:rFonts w:hint="default" w:ascii="Times New Roman" w:hAnsi="Times New Roman" w:cs="Times New Roman"/>
                <w:b w:val="0"/>
                <w:bCs/>
                <w:snapToGrid w:val="0"/>
                <w:kern w:val="0"/>
                <w:szCs w:val="21"/>
                <w:lang w:val="en-US" w:eastAsia="zh-CN"/>
              </w:rPr>
              <w:t xml:space="preserve">未按照设计和规程要求建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立排水系统，或者排水系统不完好、不可靠。</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探放水安全风险隐患：</w:t>
            </w:r>
            <w:r>
              <w:rPr>
                <w:rFonts w:hint="default" w:ascii="Times New Roman" w:hAnsi="Times New Roman" w:cs="Times New Roman"/>
                <w:b w:val="0"/>
                <w:bCs/>
                <w:snapToGrid w:val="0"/>
                <w:kern w:val="0"/>
                <w:szCs w:val="21"/>
                <w:lang w:val="en-US" w:eastAsia="zh-CN"/>
              </w:rPr>
              <w:t xml:space="preserve">未制定并落实探放水制度，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或者未落实“防、堵、疏、排、截”和“三专两探一撤”等措施。</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通风系统安全风险隐患：</w:t>
            </w:r>
            <w:r>
              <w:rPr>
                <w:rFonts w:hint="default" w:ascii="Times New Roman" w:hAnsi="Times New Roman" w:cs="Times New Roman"/>
                <w:b w:val="0"/>
                <w:bCs/>
                <w:snapToGrid w:val="0"/>
                <w:kern w:val="0"/>
                <w:szCs w:val="21"/>
                <w:lang w:val="en-US" w:eastAsia="zh-CN"/>
              </w:rPr>
              <w:t>未按要求建立机械通风系统、安装通风构筑物。未按规定安装主要通风机和局部通风机，或者风速、风量、风质不符合标准。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bCs w:val="0"/>
                <w:snapToGrid w:val="0"/>
                <w:kern w:val="0"/>
                <w:szCs w:val="21"/>
                <w:lang w:val="en-US" w:eastAsia="zh-CN"/>
              </w:rPr>
              <w:t>提升系统安全风险隐患：</w:t>
            </w:r>
            <w:r>
              <w:rPr>
                <w:rFonts w:hint="default" w:ascii="Times New Roman" w:hAnsi="Times New Roman" w:cs="Times New Roman"/>
                <w:b w:val="0"/>
                <w:bCs/>
                <w:snapToGrid w:val="0"/>
                <w:kern w:val="0"/>
                <w:szCs w:val="21"/>
                <w:lang w:val="en-US" w:eastAsia="zh-CN"/>
              </w:rPr>
              <w:t>罐笼、安全门、摇台（托台）、阻车器等未与提升机信号实现连锁，提升信号未与提升机控制闭锁。斜井未按规定设置常闭式防跑车装置、阻车器或挡车栏、躲避硐室、轨道防滑装置等设施。</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bCs w:val="0"/>
                <w:snapToGrid w:val="0"/>
                <w:kern w:val="0"/>
                <w:szCs w:val="21"/>
                <w:lang w:val="en-US" w:eastAsia="zh-CN"/>
              </w:rPr>
              <w:t>露天矿山安全风险隐患：</w:t>
            </w:r>
            <w:r>
              <w:rPr>
                <w:rFonts w:hint="default" w:ascii="Times New Roman" w:hAnsi="Times New Roman" w:cs="Times New Roman"/>
                <w:b w:val="0"/>
                <w:bCs/>
                <w:snapToGrid w:val="0"/>
                <w:kern w:val="0"/>
                <w:szCs w:val="21"/>
                <w:lang w:val="en-US" w:eastAsia="zh-CN"/>
              </w:rPr>
              <w:t>未按规定采用自上而下、分台阶或者分层的方式进行开采。或者工作帮坡角、台阶（分层）高度等开采参数不符合设计或标准要求。</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尾矿库安全风险隐患：</w:t>
            </w:r>
            <w:r>
              <w:rPr>
                <w:rFonts w:hint="default" w:ascii="Times New Roman" w:hAnsi="Times New Roman" w:cs="Times New Roman"/>
                <w:b w:val="0"/>
                <w:bCs/>
                <w:snapToGrid w:val="0"/>
                <w:kern w:val="0"/>
                <w:szCs w:val="21"/>
                <w:lang w:val="en-US" w:eastAsia="zh-CN"/>
              </w:rPr>
              <w:t xml:space="preserve">尾矿库坝高、库容、坡比、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安全超高、干滩长度、浸润线埋深以及堆积坝上升速率等参数不符合设计或标准要求，未按规定对坝体稳定性进行评估、对排洪系统进行检查。</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应急电源安全风险隐患：</w:t>
            </w:r>
            <w:r>
              <w:rPr>
                <w:rFonts w:hint="default" w:ascii="Times New Roman" w:hAnsi="Times New Roman" w:cs="Times New Roman"/>
                <w:b w:val="0"/>
                <w:bCs/>
                <w:snapToGrid w:val="0"/>
                <w:kern w:val="0"/>
                <w:szCs w:val="21"/>
                <w:lang w:val="en-US" w:eastAsia="zh-CN"/>
              </w:rPr>
              <w:t xml:space="preserve">矿山未按规定配备应急电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源，一级负荷未按规定采用双回路或双电源供电。</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6"/>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外包工程安全风险隐患：</w:t>
            </w:r>
            <w:r>
              <w:rPr>
                <w:rFonts w:hint="default" w:ascii="Times New Roman" w:hAnsi="Times New Roman" w:cs="Times New Roman"/>
                <w:b w:val="0"/>
                <w:bCs/>
                <w:snapToGrid w:val="0"/>
                <w:kern w:val="0"/>
                <w:szCs w:val="21"/>
                <w:lang w:val="en-US" w:eastAsia="zh-CN"/>
              </w:rPr>
              <w:t>外包工程未实行“五统一”管理，非法分包、转包。项目部未按规定设置管理机构、配备安全管理人员和技术人员。</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bl>
    <w:p>
      <w:pPr>
        <w:pStyle w:val="283"/>
        <w:keepNext w:val="0"/>
        <w:keepLines w:val="0"/>
        <w:pageBreakBefore w:val="0"/>
        <w:widowControl w:val="0"/>
        <w:kinsoku/>
        <w:wordWrap/>
        <w:overflowPunct/>
        <w:topLinePunct w:val="0"/>
        <w:autoSpaceDE/>
        <w:autoSpaceDN/>
        <w:bidi w:val="0"/>
        <w:adjustRightInd w:val="0"/>
        <w:snapToGrid w:val="0"/>
        <w:jc w:val="both"/>
        <w:textAlignment w:val="auto"/>
        <w:rPr>
          <w:rFonts w:hint="default" w:ascii="Times New Roman" w:hAnsi="Times New Roman" w:cs="Times New Roman"/>
        </w:rPr>
      </w:pPr>
      <w:r>
        <w:rPr>
          <w:rFonts w:hint="default" w:ascii="Times New Roman" w:hAnsi="Times New Roman" w:cs="Times New Roman"/>
        </w:rPr>
        <w:t>经分析，该项目不存在《</w:t>
      </w:r>
      <w:r>
        <w:rPr>
          <w:rFonts w:hint="default" w:ascii="Times New Roman" w:hAnsi="Times New Roman" w:cs="Times New Roman"/>
          <w:lang w:val="en-US" w:eastAsia="zh-CN"/>
        </w:rPr>
        <w:t>重点行业领域重大安全风险隐患清单</w:t>
      </w:r>
      <w:r>
        <w:rPr>
          <w:rFonts w:hint="default" w:ascii="Times New Roman" w:hAnsi="Times New Roman" w:cs="Times New Roman"/>
        </w:rPr>
        <w:t>》</w:t>
      </w:r>
      <w:r>
        <w:rPr>
          <w:rFonts w:hint="default" w:ascii="Times New Roman" w:hAnsi="Times New Roman" w:cs="Times New Roman"/>
          <w:lang w:val="en-US" w:eastAsia="zh-CN"/>
        </w:rPr>
        <w:t>（鲁安发</w:t>
      </w:r>
      <w:r>
        <w:rPr>
          <w:rFonts w:hint="default" w:ascii="Times New Roman" w:hAnsi="Times New Roman" w:cs="Times New Roman"/>
          <w:lang w:eastAsia="zh-CN"/>
        </w:rPr>
        <w:t>[</w:t>
      </w:r>
      <w:r>
        <w:rPr>
          <w:rFonts w:hint="default" w:ascii="Times New Roman" w:hAnsi="Times New Roman" w:cs="Times New Roman"/>
          <w:lang w:val="en-US" w:eastAsia="zh-CN"/>
        </w:rPr>
        <w:t>2022</w:t>
      </w:r>
      <w:r>
        <w:rPr>
          <w:rFonts w:hint="default" w:ascii="Times New Roman" w:hAnsi="Times New Roman" w:cs="Times New Roman"/>
          <w:lang w:eastAsia="zh-CN"/>
        </w:rPr>
        <w:t>]</w:t>
      </w:r>
      <w:r>
        <w:rPr>
          <w:rFonts w:hint="default" w:ascii="Times New Roman" w:hAnsi="Times New Roman" w:cs="Times New Roman"/>
          <w:lang w:val="en-US" w:eastAsia="zh-CN"/>
        </w:rPr>
        <w:t>11号）</w:t>
      </w:r>
      <w:r>
        <w:rPr>
          <w:rFonts w:hint="default" w:ascii="Times New Roman" w:hAnsi="Times New Roman" w:cs="Times New Roman"/>
        </w:rPr>
        <w:t>规定的重大安全</w:t>
      </w:r>
      <w:r>
        <w:rPr>
          <w:rFonts w:hint="default" w:ascii="Times New Roman" w:hAnsi="Times New Roman" w:cs="Times New Roman"/>
          <w:lang w:eastAsia="zh-CN"/>
        </w:rPr>
        <w:t>风险</w:t>
      </w:r>
      <w:r>
        <w:rPr>
          <w:rFonts w:hint="default" w:ascii="Times New Roman" w:hAnsi="Times New Roman" w:cs="Times New Roman"/>
        </w:rPr>
        <w:t>隐患。</w:t>
      </w:r>
    </w:p>
    <w:p>
      <w:pPr>
        <w:pStyle w:val="61"/>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sectPr>
          <w:pgSz w:w="11906" w:h="16838"/>
          <w:pgMar w:top="1440" w:right="1800" w:bottom="1440" w:left="1800" w:header="1247"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eastAsia="楷体_GB2312"/>
          <w:b/>
          <w:color w:val="auto"/>
          <w:sz w:val="36"/>
          <w:szCs w:val="36"/>
        </w:rPr>
      </w:pPr>
      <w:bookmarkStart w:id="161" w:name="_Toc16063"/>
      <w:r>
        <w:rPr>
          <w:rFonts w:hint="eastAsia" w:eastAsia="楷体_GB2312"/>
          <w:b/>
          <w:color w:val="auto"/>
          <w:sz w:val="36"/>
          <w:szCs w:val="36"/>
          <w:lang w:val="en-US" w:eastAsia="zh-CN"/>
        </w:rPr>
        <w:t>9</w:t>
      </w:r>
      <w:r>
        <w:rPr>
          <w:rFonts w:eastAsia="楷体_GB2312"/>
          <w:b/>
          <w:color w:val="auto"/>
          <w:sz w:val="36"/>
          <w:szCs w:val="36"/>
        </w:rPr>
        <w:t xml:space="preserve"> </w:t>
      </w:r>
      <w:r>
        <w:rPr>
          <w:rFonts w:hint="eastAsia" w:ascii="宋体" w:hAnsi="宋体" w:eastAsia="宋体" w:cs="宋体"/>
          <w:b/>
          <w:color w:val="auto"/>
          <w:sz w:val="36"/>
          <w:szCs w:val="36"/>
        </w:rPr>
        <w:t>安全现状评价结论</w:t>
      </w:r>
      <w:bookmarkEnd w:id="149"/>
      <w:bookmarkEnd w:id="161"/>
    </w:p>
    <w:p>
      <w:pPr>
        <w:adjustRightInd w:val="0"/>
        <w:snapToGrid w:val="0"/>
        <w:spacing w:line="360" w:lineRule="auto"/>
        <w:ind w:firstLine="573"/>
        <w:rPr>
          <w:rFonts w:hint="eastAsia" w:eastAsia="宋体"/>
          <w:color w:val="0070C0"/>
          <w:sz w:val="28"/>
          <w:szCs w:val="28"/>
          <w:highlight w:val="none"/>
          <w:lang w:val="en-US" w:eastAsia="zh-CN"/>
        </w:rPr>
      </w:pPr>
      <w:r>
        <w:rPr>
          <w:rFonts w:hint="eastAsia"/>
          <w:color w:val="auto"/>
          <w:sz w:val="28"/>
          <w:szCs w:val="28"/>
          <w:highlight w:val="none"/>
          <w:lang w:val="en-US" w:eastAsia="zh-CN"/>
        </w:rPr>
        <w:t>根据海塔石油科技有限公司提供的有关资料，本次评价在主要危险、有害因素辨识、分析的基础上，依据国家有关法律、法规、技术标准的要求，运用安全检查表、作业条件危险性评价的评价方法，对本项目进行了安全现状评价，得出以下评价结论：</w:t>
      </w:r>
    </w:p>
    <w:p>
      <w:pPr>
        <w:keepNext w:val="0"/>
        <w:keepLines w:val="0"/>
        <w:pageBreakBefore w:val="0"/>
        <w:widowControl w:val="0"/>
        <w:wordWrap/>
        <w:bidi w:val="0"/>
        <w:adjustRightInd w:val="0"/>
        <w:snapToGrid w:val="0"/>
        <w:spacing w:line="360" w:lineRule="auto"/>
        <w:ind w:firstLine="560" w:firstLineChars="200"/>
        <w:rPr>
          <w:rFonts w:hint="eastAsia"/>
          <w:color w:val="auto"/>
          <w:sz w:val="28"/>
          <w:szCs w:val="28"/>
          <w:highlight w:val="none"/>
          <w:lang w:eastAsia="zh-CN"/>
        </w:rPr>
      </w:pPr>
      <w:r>
        <w:rPr>
          <w:rFonts w:hint="eastAsia"/>
          <w:color w:val="auto"/>
          <w:sz w:val="28"/>
          <w:szCs w:val="28"/>
          <w:highlight w:val="none"/>
          <w:lang w:eastAsia="zh-CN"/>
        </w:rPr>
        <w:t>海塔石油科技有限公司</w:t>
      </w:r>
      <w:r>
        <w:rPr>
          <w:rFonts w:hint="eastAsia"/>
          <w:color w:val="auto"/>
          <w:sz w:val="28"/>
          <w:szCs w:val="28"/>
          <w:highlight w:val="none"/>
        </w:rPr>
        <w:t>井下作业</w:t>
      </w:r>
      <w:r>
        <w:rPr>
          <w:rFonts w:hint="eastAsia"/>
          <w:color w:val="auto"/>
          <w:sz w:val="28"/>
          <w:szCs w:val="28"/>
          <w:highlight w:val="none"/>
          <w:lang w:eastAsia="zh-CN"/>
        </w:rPr>
        <w:t>：大修作业、井下复杂情况处理（打捞、堵漏）</w:t>
      </w:r>
      <w:r>
        <w:rPr>
          <w:rFonts w:hint="eastAsia"/>
          <w:color w:val="auto"/>
          <w:sz w:val="28"/>
          <w:szCs w:val="28"/>
          <w:highlight w:val="none"/>
          <w:lang w:val="en-US" w:eastAsia="zh-CN"/>
        </w:rPr>
        <w:t>项目作业</w:t>
      </w:r>
      <w:r>
        <w:rPr>
          <w:rFonts w:hint="eastAsia"/>
          <w:color w:val="auto"/>
          <w:sz w:val="28"/>
          <w:szCs w:val="28"/>
          <w:highlight w:val="none"/>
        </w:rPr>
        <w:t>过程中，涉及的主要危险、有害物质有：原油、天然气、硫化氢、柴油</w:t>
      </w:r>
      <w:r>
        <w:rPr>
          <w:rFonts w:hint="eastAsia"/>
          <w:color w:val="auto"/>
          <w:sz w:val="28"/>
          <w:szCs w:val="28"/>
          <w:highlight w:val="none"/>
          <w:lang w:eastAsia="zh-CN"/>
        </w:rPr>
        <w:t>、化学助剂（封堵剂）</w:t>
      </w:r>
      <w:r>
        <w:rPr>
          <w:rFonts w:hint="eastAsia"/>
          <w:color w:val="auto"/>
          <w:sz w:val="28"/>
          <w:szCs w:val="28"/>
          <w:highlight w:val="none"/>
        </w:rPr>
        <w:t>等</w:t>
      </w:r>
      <w:r>
        <w:rPr>
          <w:rFonts w:hint="eastAsia"/>
          <w:color w:val="auto"/>
          <w:sz w:val="28"/>
          <w:szCs w:val="28"/>
          <w:highlight w:val="none"/>
          <w:lang w:eastAsia="zh-CN"/>
        </w:rPr>
        <w:t>；</w:t>
      </w:r>
    </w:p>
    <w:p>
      <w:pPr>
        <w:keepNext w:val="0"/>
        <w:keepLines w:val="0"/>
        <w:pageBreakBefore w:val="0"/>
        <w:widowControl w:val="0"/>
        <w:wordWrap/>
        <w:bidi w:val="0"/>
        <w:adjustRightInd w:val="0"/>
        <w:snapToGrid w:val="0"/>
        <w:spacing w:line="360" w:lineRule="auto"/>
        <w:ind w:firstLine="560" w:firstLineChars="200"/>
        <w:rPr>
          <w:rFonts w:hint="eastAsia" w:eastAsia="宋体"/>
          <w:color w:val="auto"/>
          <w:sz w:val="28"/>
          <w:szCs w:val="28"/>
          <w:highlight w:val="none"/>
          <w:lang w:eastAsia="zh-CN"/>
        </w:rPr>
      </w:pPr>
      <w:r>
        <w:rPr>
          <w:rFonts w:hint="eastAsia"/>
          <w:color w:val="auto"/>
          <w:sz w:val="28"/>
          <w:szCs w:val="28"/>
          <w:highlight w:val="none"/>
        </w:rPr>
        <w:t>主要危险因素有：火灾爆炸、井喷及井喷失控、中毒</w:t>
      </w:r>
      <w:r>
        <w:rPr>
          <w:rFonts w:hint="eastAsia"/>
          <w:color w:val="auto"/>
          <w:sz w:val="28"/>
          <w:szCs w:val="28"/>
          <w:highlight w:val="none"/>
          <w:lang w:val="en-US" w:eastAsia="zh-CN"/>
        </w:rPr>
        <w:t>和</w:t>
      </w:r>
      <w:r>
        <w:rPr>
          <w:rFonts w:hint="eastAsia"/>
          <w:color w:val="auto"/>
          <w:sz w:val="28"/>
          <w:szCs w:val="28"/>
          <w:highlight w:val="none"/>
        </w:rPr>
        <w:t>窒息、物体打击、机械伤害、触电、</w:t>
      </w:r>
      <w:r>
        <w:rPr>
          <w:rFonts w:hint="eastAsia"/>
          <w:color w:val="auto"/>
          <w:sz w:val="28"/>
          <w:szCs w:val="28"/>
          <w:highlight w:val="none"/>
          <w:lang w:val="en-US" w:eastAsia="zh-CN"/>
        </w:rPr>
        <w:t>高处坠落、坍塌、起重伤害、</w:t>
      </w:r>
      <w:r>
        <w:rPr>
          <w:rFonts w:hint="eastAsia"/>
          <w:color w:val="auto"/>
          <w:sz w:val="28"/>
          <w:szCs w:val="28"/>
          <w:highlight w:val="none"/>
        </w:rPr>
        <w:t>车辆伤害</w:t>
      </w:r>
      <w:r>
        <w:rPr>
          <w:rFonts w:hint="eastAsia"/>
          <w:color w:val="auto"/>
          <w:sz w:val="28"/>
          <w:szCs w:val="28"/>
          <w:highlight w:val="none"/>
          <w:lang w:val="en-US" w:eastAsia="zh-CN"/>
        </w:rPr>
        <w:t>等</w:t>
      </w:r>
      <w:r>
        <w:rPr>
          <w:rFonts w:hint="eastAsia"/>
          <w:color w:val="auto"/>
          <w:sz w:val="28"/>
          <w:szCs w:val="28"/>
          <w:highlight w:val="none"/>
          <w:lang w:eastAsia="zh-CN"/>
        </w:rPr>
        <w:t>；</w:t>
      </w:r>
    </w:p>
    <w:p>
      <w:pPr>
        <w:keepNext w:val="0"/>
        <w:keepLines w:val="0"/>
        <w:pageBreakBefore w:val="0"/>
        <w:widowControl w:val="0"/>
        <w:wordWrap/>
        <w:bidi w:val="0"/>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主要有害因素有：噪声危害</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毒物危害</w:t>
      </w:r>
      <w:r>
        <w:rPr>
          <w:rFonts w:hint="eastAsia"/>
          <w:color w:val="000000" w:themeColor="text1"/>
          <w:sz w:val="28"/>
          <w:szCs w:val="28"/>
          <w:lang w:eastAsia="zh-CN"/>
          <w14:textFill>
            <w14:solidFill>
              <w14:schemeClr w14:val="tx1"/>
            </w14:solidFill>
          </w14:textFill>
        </w:rPr>
        <w:t>和振动危害；</w:t>
      </w:r>
    </w:p>
    <w:p>
      <w:pPr>
        <w:keepNext w:val="0"/>
        <w:keepLines w:val="0"/>
        <w:pageBreakBefore w:val="0"/>
        <w:widowControl w:val="0"/>
        <w:wordWrap/>
        <w:bidi w:val="0"/>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自然灾害有：雷电袭击、大风、</w:t>
      </w:r>
      <w:r>
        <w:rPr>
          <w:rFonts w:hint="eastAsia"/>
          <w:color w:val="000000" w:themeColor="text1"/>
          <w:sz w:val="28"/>
          <w:szCs w:val="28"/>
          <w:lang w:eastAsia="zh-CN"/>
          <w14:textFill>
            <w14:solidFill>
              <w14:schemeClr w14:val="tx1"/>
            </w14:solidFill>
          </w14:textFill>
        </w:rPr>
        <w:t>暴雨、</w:t>
      </w:r>
      <w:r>
        <w:rPr>
          <w:rFonts w:hint="eastAsia"/>
          <w:color w:val="000000" w:themeColor="text1"/>
          <w:sz w:val="28"/>
          <w:szCs w:val="28"/>
          <w14:textFill>
            <w14:solidFill>
              <w14:schemeClr w14:val="tx1"/>
            </w14:solidFill>
          </w14:textFill>
        </w:rPr>
        <w:t>高温、低温、地震灾害等。</w:t>
      </w:r>
    </w:p>
    <w:p>
      <w:pPr>
        <w:keepNext w:val="0"/>
        <w:keepLines w:val="0"/>
        <w:pageBreakBefore w:val="0"/>
        <w:widowControl w:val="0"/>
        <w:wordWrap/>
        <w:bidi w:val="0"/>
        <w:adjustRightInd w:val="0"/>
        <w:snapToGrid w:val="0"/>
        <w:spacing w:line="360" w:lineRule="auto"/>
        <w:ind w:firstLine="560" w:firstLineChars="200"/>
        <w:rPr>
          <w:rFonts w:hint="eastAsia"/>
          <w:color w:val="000000" w:themeColor="text1"/>
          <w:sz w:val="28"/>
          <w:szCs w:val="28"/>
          <w14:textFill>
            <w14:solidFill>
              <w14:schemeClr w14:val="tx1"/>
            </w14:solidFill>
          </w14:textFill>
        </w:rPr>
      </w:pPr>
      <w:r>
        <w:rPr>
          <w:rFonts w:hint="eastAsia"/>
          <w:color w:val="auto"/>
          <w:sz w:val="28"/>
          <w:szCs w:val="28"/>
          <w:highlight w:val="none"/>
          <w:lang w:eastAsia="zh-CN"/>
        </w:rPr>
        <w:t>海塔石油科技有限公司</w:t>
      </w:r>
      <w:r>
        <w:rPr>
          <w:rFonts w:hint="eastAsia"/>
          <w:color w:val="000000" w:themeColor="text1"/>
          <w:sz w:val="28"/>
          <w:szCs w:val="28"/>
          <w:lang w:val="en-US" w:eastAsia="zh-CN"/>
          <w14:textFill>
            <w14:solidFill>
              <w14:schemeClr w14:val="tx1"/>
            </w14:solidFill>
          </w14:textFill>
        </w:rPr>
        <w:t>井下</w:t>
      </w:r>
      <w:r>
        <w:rPr>
          <w:rFonts w:hint="default"/>
          <w:color w:val="000000" w:themeColor="text1"/>
          <w:sz w:val="28"/>
          <w:szCs w:val="28"/>
          <w:lang w:val="en-US" w:eastAsia="zh-CN"/>
          <w14:textFill>
            <w14:solidFill>
              <w14:schemeClr w14:val="tx1"/>
            </w14:solidFill>
          </w14:textFill>
        </w:rPr>
        <w:t>作业</w:t>
      </w:r>
      <w:r>
        <w:rPr>
          <w:rFonts w:hint="eastAsia"/>
          <w:color w:val="auto"/>
          <w:sz w:val="28"/>
          <w:szCs w:val="28"/>
          <w:lang w:eastAsia="zh-CN"/>
        </w:rPr>
        <w:t>：大修作业、井下复杂情况处理（打捞、堵漏）</w:t>
      </w:r>
      <w:r>
        <w:rPr>
          <w:rFonts w:hint="eastAsia"/>
          <w:color w:val="000000" w:themeColor="text1"/>
          <w:sz w:val="28"/>
          <w:szCs w:val="28"/>
          <w:lang w:val="en-US" w:eastAsia="zh-CN"/>
          <w14:textFill>
            <w14:solidFill>
              <w14:schemeClr w14:val="tx1"/>
            </w14:solidFill>
          </w14:textFill>
        </w:rPr>
        <w:t>项目</w:t>
      </w:r>
      <w:r>
        <w:rPr>
          <w:rFonts w:hint="eastAsia"/>
          <w:color w:val="000000" w:themeColor="text1"/>
          <w:sz w:val="28"/>
          <w:szCs w:val="28"/>
          <w14:textFill>
            <w14:solidFill>
              <w14:schemeClr w14:val="tx1"/>
            </w14:solidFill>
          </w14:textFill>
        </w:rPr>
        <w:t>未构成危险化学品重大危险源。</w:t>
      </w:r>
    </w:p>
    <w:p>
      <w:pPr>
        <w:pStyle w:val="61"/>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sz w:val="28"/>
          <w:szCs w:val="28"/>
          <w:lang w:val="en-US" w:eastAsia="zh-CN"/>
        </w:rPr>
        <w:t>海塔石油科技有限公司</w:t>
      </w:r>
      <w:r>
        <w:rPr>
          <w:rFonts w:hint="default" w:ascii="Times New Roman" w:hAnsi="Times New Roman" w:eastAsia="宋体" w:cs="Times New Roman"/>
          <w:sz w:val="28"/>
          <w:szCs w:val="28"/>
          <w:lang w:val="en-US" w:eastAsia="zh-CN"/>
        </w:rPr>
        <w:t>井下作业：大修作业、井下复杂情况处理（打捞、堵漏）项目在其营业范围内</w:t>
      </w:r>
      <w:r>
        <w:rPr>
          <w:rFonts w:hint="eastAsia"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val="en-US" w:eastAsia="zh-CN"/>
        </w:rPr>
        <w:t>其主要负责人（法人）、安全管理人员经培训并考核合格，持有安全合格证。井下作业：大修作业、井下复杂情况处理（打捞、堵漏）相关的特种作业人员持证上岗，均在有效期内；操作人员均经过HSE、硫化氢防护、井控培训合格后，持证上岗；部分管理人员也根据有关规范要求，分别取得HSE、硫化氢防护、井控等证件</w:t>
      </w: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w:t>
      </w:r>
    </w:p>
    <w:p>
      <w:pPr>
        <w:adjustRightInd w:val="0"/>
        <w:snapToGrid w:val="0"/>
        <w:spacing w:line="360" w:lineRule="auto"/>
        <w:ind w:firstLine="573"/>
        <w:rPr>
          <w:rFonts w:hint="eastAsia"/>
          <w:color w:val="auto"/>
          <w:sz w:val="28"/>
          <w:szCs w:val="28"/>
          <w:highlight w:val="none"/>
          <w:lang w:eastAsia="zh-CN"/>
        </w:rPr>
      </w:pPr>
      <w:r>
        <w:rPr>
          <w:rFonts w:hint="eastAsia" w:cs="Times New Roman"/>
          <w:color w:val="auto"/>
          <w:kern w:val="2"/>
          <w:sz w:val="28"/>
          <w:szCs w:val="28"/>
          <w:lang w:val="en-US" w:eastAsia="zh-CN" w:bidi="ar-SA"/>
        </w:rPr>
        <w:t>海塔石油科技有限公司</w:t>
      </w:r>
      <w:r>
        <w:rPr>
          <w:rFonts w:hint="eastAsia"/>
          <w:color w:val="auto"/>
          <w:sz w:val="28"/>
          <w:szCs w:val="28"/>
          <w:highlight w:val="none"/>
          <w:lang w:eastAsia="zh-CN"/>
        </w:rPr>
        <w:t>按要求设置安全生产管理机构，并配备专职安全管理人员；建立健全本单位主要负责人（法人）、职能部门负责人、</w:t>
      </w:r>
      <w:r>
        <w:rPr>
          <w:rFonts w:hint="eastAsia"/>
          <w:color w:val="auto"/>
          <w:sz w:val="28"/>
          <w:szCs w:val="28"/>
          <w:highlight w:val="none"/>
          <w:lang w:val="en-US" w:eastAsia="zh-CN"/>
        </w:rPr>
        <w:t>队长</w:t>
      </w:r>
      <w:r>
        <w:rPr>
          <w:rFonts w:hint="eastAsia"/>
          <w:color w:val="auto"/>
          <w:sz w:val="28"/>
          <w:szCs w:val="28"/>
          <w:highlight w:val="none"/>
          <w:lang w:eastAsia="zh-CN"/>
        </w:rPr>
        <w:t>、一般从业人员等全体人员的安全生产责任制；安全管理制度和安全操作规程齐全；制定有应急救援预案并备案，建立了应急救援组织，配备有必要的应急救援器材、设备，制定有应急演练计划，并按照演练计划进行演练、评估。</w:t>
      </w:r>
    </w:p>
    <w:p>
      <w:pPr>
        <w:adjustRightInd w:val="0"/>
        <w:snapToGrid w:val="0"/>
        <w:spacing w:line="360" w:lineRule="auto"/>
        <w:ind w:firstLine="573"/>
        <w:rPr>
          <w:rFonts w:hint="eastAsia"/>
          <w:color w:val="0070C0"/>
          <w:sz w:val="28"/>
          <w:szCs w:val="28"/>
          <w:highlight w:val="none"/>
          <w:lang w:eastAsia="zh-CN"/>
        </w:rPr>
      </w:pPr>
      <w:r>
        <w:rPr>
          <w:rFonts w:hint="eastAsia" w:cs="Times New Roman"/>
          <w:color w:val="auto"/>
          <w:kern w:val="2"/>
          <w:sz w:val="28"/>
          <w:szCs w:val="28"/>
          <w:lang w:val="en-US" w:eastAsia="zh-CN" w:bidi="ar-SA"/>
        </w:rPr>
        <w:t>海塔石油科技有限公司</w:t>
      </w:r>
      <w:r>
        <w:rPr>
          <w:rFonts w:hint="eastAsia"/>
          <w:color w:val="auto"/>
          <w:sz w:val="28"/>
          <w:szCs w:val="28"/>
          <w:highlight w:val="none"/>
          <w:lang w:eastAsia="zh-CN"/>
        </w:rPr>
        <w:t>依法提取安全生产费用并使用；依法参加工伤保险，为从业人员缴纳工伤保险和安全生产责任险；按规定为从业人员配备符合国家标准要求的劳动防护用品；定期对危险性较大的设备设施、安全设施及附件等进行检测检验。</w:t>
      </w:r>
    </w:p>
    <w:p>
      <w:pPr>
        <w:adjustRightInd w:val="0"/>
        <w:snapToGrid w:val="0"/>
        <w:spacing w:line="360" w:lineRule="auto"/>
        <w:ind w:firstLine="573"/>
        <w:rPr>
          <w:rFonts w:hint="eastAsia"/>
          <w:b/>
          <w:bCs/>
          <w:color w:val="auto"/>
          <w:sz w:val="28"/>
          <w:szCs w:val="28"/>
          <w:highlight w:val="none"/>
          <w:lang w:eastAsia="zh-CN"/>
        </w:rPr>
      </w:pPr>
      <w:r>
        <w:rPr>
          <w:rFonts w:hint="eastAsia"/>
          <w:b/>
          <w:bCs/>
          <w:color w:val="auto"/>
          <w:sz w:val="28"/>
          <w:szCs w:val="28"/>
          <w:highlight w:val="none"/>
          <w:lang w:eastAsia="zh-CN"/>
        </w:rPr>
        <w:t>综上所述，</w:t>
      </w:r>
      <w:r>
        <w:rPr>
          <w:rFonts w:hint="eastAsia"/>
          <w:b/>
          <w:bCs/>
          <w:color w:val="auto"/>
          <w:sz w:val="28"/>
          <w:szCs w:val="28"/>
          <w:highlight w:val="none"/>
          <w:lang w:val="en-US" w:eastAsia="zh-CN"/>
        </w:rPr>
        <w:t>海塔石油科技有限公司</w:t>
      </w:r>
      <w:r>
        <w:rPr>
          <w:rFonts w:hint="default" w:ascii="Times New Roman" w:hAnsi="Times New Roman" w:eastAsia="宋体" w:cs="Times New Roman"/>
          <w:b/>
          <w:bCs/>
          <w:color w:val="auto"/>
          <w:kern w:val="2"/>
          <w:sz w:val="28"/>
          <w:szCs w:val="28"/>
          <w:lang w:val="en-US" w:eastAsia="zh-CN" w:bidi="ar-SA"/>
        </w:rPr>
        <w:t>井下作业：大修作业、井下复杂情况处理（打捞、堵漏）</w:t>
      </w:r>
      <w:r>
        <w:rPr>
          <w:rFonts w:hint="eastAsia" w:cs="Times New Roman"/>
          <w:b/>
          <w:bCs/>
          <w:color w:val="auto"/>
          <w:kern w:val="2"/>
          <w:sz w:val="28"/>
          <w:szCs w:val="28"/>
          <w:lang w:val="en-US" w:eastAsia="zh-CN" w:bidi="ar-SA"/>
        </w:rPr>
        <w:t>项目</w:t>
      </w:r>
      <w:r>
        <w:rPr>
          <w:rFonts w:hint="eastAsia" w:ascii="Times New Roman" w:hAnsi="Times New Roman" w:eastAsia="宋体" w:cs="Times New Roman"/>
          <w:b/>
          <w:bCs/>
          <w:color w:val="auto"/>
          <w:kern w:val="2"/>
          <w:sz w:val="28"/>
          <w:szCs w:val="28"/>
          <w:lang w:val="en-US" w:eastAsia="zh-CN" w:bidi="ar-SA"/>
        </w:rPr>
        <w:t>具备法律法规、标准规范规定</w:t>
      </w:r>
      <w:r>
        <w:rPr>
          <w:rFonts w:hint="eastAsia"/>
          <w:b/>
          <w:bCs/>
          <w:color w:val="auto"/>
          <w:sz w:val="28"/>
          <w:szCs w:val="28"/>
          <w:highlight w:val="none"/>
          <w:lang w:eastAsia="zh-CN"/>
        </w:rPr>
        <w:t>的安全生产条件，</w:t>
      </w:r>
      <w:r>
        <w:rPr>
          <w:rFonts w:hint="eastAsia"/>
          <w:b/>
          <w:bCs/>
          <w:color w:val="auto"/>
          <w:sz w:val="28"/>
          <w:szCs w:val="28"/>
          <w:highlight w:val="none"/>
          <w:lang w:val="en-US" w:eastAsia="zh-CN"/>
        </w:rPr>
        <w:t>满足安全生产的要求</w:t>
      </w:r>
      <w:r>
        <w:rPr>
          <w:rFonts w:hint="eastAsia"/>
          <w:b/>
          <w:bCs/>
          <w:color w:val="auto"/>
          <w:sz w:val="28"/>
          <w:szCs w:val="28"/>
          <w:highlight w:val="none"/>
          <w:lang w:eastAsia="zh-CN"/>
        </w:rPr>
        <w:t>。</w:t>
      </w:r>
    </w:p>
    <w:p>
      <w:pPr>
        <w:adjustRightInd w:val="0"/>
        <w:snapToGrid w:val="0"/>
        <w:spacing w:line="360" w:lineRule="auto"/>
        <w:ind w:firstLine="573"/>
        <w:rPr>
          <w:rFonts w:hint="eastAsia"/>
          <w:color w:val="0070C0"/>
          <w:sz w:val="28"/>
          <w:szCs w:val="28"/>
          <w:highlight w:val="none"/>
        </w:rPr>
        <w:sectPr>
          <w:footerReference r:id="rId14" w:type="default"/>
          <w:headerReference r:id="rId13" w:type="even"/>
          <w:footerReference r:id="rId15"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eastAsia" w:cs="Times New Roman"/>
          <w:color w:val="auto"/>
          <w:kern w:val="2"/>
          <w:sz w:val="28"/>
          <w:szCs w:val="28"/>
          <w:lang w:val="en-US" w:eastAsia="zh-CN" w:bidi="ar-SA"/>
        </w:rPr>
        <w:t>海塔石油科技有限公司</w:t>
      </w:r>
      <w:r>
        <w:rPr>
          <w:rFonts w:hint="eastAsia"/>
          <w:color w:val="auto"/>
          <w:sz w:val="28"/>
          <w:szCs w:val="28"/>
          <w:highlight w:val="none"/>
          <w:lang w:eastAsia="zh-CN"/>
        </w:rPr>
        <w:t>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p>
      <w:pPr>
        <w:pStyle w:val="61"/>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Tms Rmn">
    <w:altName w:val="Segoe Print"/>
    <w:panose1 w:val="02020603040505020304"/>
    <w:charset w:val="00"/>
    <w:family w:val="roman"/>
    <w:pitch w:val="default"/>
    <w:sig w:usb0="00000000" w:usb1="00000000" w:usb2="00000000" w:usb3="00000000" w:csb0="00000001" w:csb1="00000000"/>
  </w:font>
  <w:font w:name="Garamond">
    <w:panose1 w:val="02020404030301010803"/>
    <w:charset w:val="00"/>
    <w:family w:val="roman"/>
    <w:pitch w:val="default"/>
    <w:sig w:usb0="00000287" w:usb1="00000000" w:usb2="00000000" w:usb3="00000000" w:csb0="0000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39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53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651510" cy="30035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651510" cy="300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54</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3.65pt;width:51.3pt;mso-position-horizontal:center;mso-position-horizontal-relative:margin;z-index:251664384;mso-width-relative:page;mso-height-relative:page;" filled="f" stroked="f" coordsize="21600,21600" o:gfxdata="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FBdrXTAAAABAEAAA8AAAAAAAAAAQAgAAAAIgAAAGRycy9kb3ducmV2Lnht&#10;bFBLAQIUABQAAAAIAIdO4kAhsDkENwIAAGMEAAAOAAAAAAAAAAEAIAAAACIBAABkcnMvZTJvRG9j&#10;LnhtbFBLBQYAAAAABgAGAFkBAADLBQAAAAA=&#10;">
              <v:fill on="f" focussize="0,0"/>
              <v:stroke on="f" weight="0.5pt"/>
              <v:imagedata o:title=""/>
              <o:lock v:ext="edit" aspectratio="f"/>
              <v:textbox inset="0mm,0mm,0mm,0mm">
                <w:txbxContent>
                  <w:p>
                    <w:pPr>
                      <w:pStyle w:val="34"/>
                      <w:jc w:val="center"/>
                    </w:pPr>
                    <w:r>
                      <w:fldChar w:fldCharType="begin"/>
                    </w:r>
                    <w:r>
                      <w:instrText xml:space="preserve">PAGE   \* MERGEFORMAT</w:instrText>
                    </w:r>
                    <w:r>
                      <w:fldChar w:fldCharType="separate"/>
                    </w:r>
                    <w:r>
                      <w:rPr>
                        <w:lang w:val="zh-CN"/>
                      </w:rPr>
                      <w:t>54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55</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center" w:y="1"/>
      <w:jc w:val="center"/>
      <w:rPr>
        <w:rStyle w:val="56"/>
      </w:rPr>
    </w:pPr>
    <w:r>
      <w:rPr>
        <w:rStyle w:val="56"/>
      </w:rPr>
      <w:fldChar w:fldCharType="begin"/>
    </w:r>
    <w:r>
      <w:rPr>
        <w:rStyle w:val="56"/>
      </w:rPr>
      <w:instrText xml:space="preserve">PAGE  </w:instrText>
    </w:r>
    <w:r>
      <w:rPr>
        <w:rStyle w:val="56"/>
      </w:rPr>
      <w:fldChar w:fldCharType="separate"/>
    </w:r>
    <w:r>
      <w:rPr>
        <w:rStyle w:val="56"/>
      </w:rPr>
      <w:t>30</w:t>
    </w:r>
    <w:r>
      <w:rPr>
        <w:rStyle w:val="56"/>
      </w:rPr>
      <w:fldChar w:fldCharType="end"/>
    </w:r>
  </w:p>
  <w:p>
    <w:pPr>
      <w:pStyle w:val="34"/>
      <w:pBdr>
        <w:top w:val="single" w:color="auto" w:sz="6" w:space="1"/>
      </w:pBdr>
      <w:tabs>
        <w:tab w:val="left" w:pos="9180"/>
      </w:tabs>
      <w:ind w:right="5"/>
    </w:pPr>
    <w:r>
      <w:rPr>
        <w:rStyle w:val="56"/>
        <w:rFonts w:hint="eastAsia"/>
      </w:rPr>
      <w:t xml:space="preserve">                                                                  </w:t>
    </w:r>
    <w:r>
      <w:rPr>
        <w:rFonts w:hint="eastAsia" w:ascii="仿宋_GB2312" w:eastAsia="仿宋_GB2312"/>
        <w:bCs/>
        <w:spacing w:val="20"/>
        <w:kern w:val="0"/>
      </w:rPr>
      <w:t>北京实华油海工程技术有限公司</w:t>
    </w:r>
    <w: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-12065</wp:posOffset>
              </wp:positionV>
              <wp:extent cx="6019800" cy="635"/>
              <wp:effectExtent l="0" t="0" r="19050" b="37465"/>
              <wp:wrapNone/>
              <wp:docPr id="2" name="Line 1"/>
              <wp:cNvGraphicFramePr/>
              <a:graphic xmlns:a="http://schemas.openxmlformats.org/drawingml/2006/main">
                <a:graphicData uri="http://schemas.microsoft.com/office/word/2010/wordprocessingShape">
                  <wps:wsp>
                    <wps:cNvCnPr>
                      <a:cxnSpLocks noChangeShapeType="1"/>
                    </wps:cNvCnPr>
                    <wps:spPr bwMode="auto">
                      <a:xfrm>
                        <a:off x="0" y="0"/>
                        <a:ext cx="6019800" cy="635"/>
                      </a:xfrm>
                      <a:prstGeom prst="line">
                        <a:avLst/>
                      </a:prstGeom>
                      <a:noFill/>
                      <a:ln w="9525">
                        <a:solidFill>
                          <a:srgbClr val="FFFFFF"/>
                        </a:solidFill>
                        <a:round/>
                      </a:ln>
                    </wps:spPr>
                    <wps:bodyPr/>
                  </wps:wsp>
                </a:graphicData>
              </a:graphic>
            </wp:anchor>
          </w:drawing>
        </mc:Choice>
        <mc:Fallback>
          <w:pict>
            <v:line id="Line 1" o:spid="_x0000_s1026" o:spt="20" style="position:absolute;left:0pt;margin-left:0pt;margin-top:-0.95pt;height:0.05pt;width:474pt;z-index:251659264;mso-width-relative:page;mso-height-relative:page;" filled="f"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NOy3k1AAAAAYBAAAPAAAAAAAAAAEAIAAAACIAAABkcnMvZG93&#10;bnJldi54bWxQSwECFAAUAAAACACHTuJAfC3jZcsBAAChAwAADgAAAAAAAAABACAAAAAjAQAAZHJz&#10;L2Uyb0RvYy54bWxQSwUGAAAAAAYABgBZAQAAYAUAAAAA&#10;">
              <v:fill on="f" focussize="0,0"/>
              <v:stroke color="#FFFFFF" joinstyle="round"/>
              <v:imagedata o:title=""/>
              <o:lock v:ext="edit" aspectratio="f"/>
            </v:line>
          </w:pict>
        </mc:Fallback>
      </mc:AlternateContent>
    </w:r>
    <w:r>
      <mc:AlternateContent>
        <mc:Choice Requires="wps">
          <w:drawing>
            <wp:anchor distT="0" distB="0" distL="114300" distR="114300" simplePos="0" relativeHeight="251660288" behindDoc="0" locked="0" layoutInCell="0" allowOverlap="1">
              <wp:simplePos x="0" y="0"/>
              <wp:positionH relativeFrom="column">
                <wp:posOffset>0</wp:posOffset>
              </wp:positionH>
              <wp:positionV relativeFrom="paragraph">
                <wp:posOffset>-12065</wp:posOffset>
              </wp:positionV>
              <wp:extent cx="6019800" cy="635"/>
              <wp:effectExtent l="0" t="0" r="19050" b="37465"/>
              <wp:wrapNone/>
              <wp:docPr id="1" name="Line 2"/>
              <wp:cNvGraphicFramePr/>
              <a:graphic xmlns:a="http://schemas.openxmlformats.org/drawingml/2006/main">
                <a:graphicData uri="http://schemas.microsoft.com/office/word/2010/wordprocessingShape">
                  <wps:wsp>
                    <wps:cNvCnPr>
                      <a:cxnSpLocks noChangeShapeType="1"/>
                    </wps:cNvCnPr>
                    <wps:spPr bwMode="auto">
                      <a:xfrm>
                        <a:off x="0" y="0"/>
                        <a:ext cx="6019800" cy="635"/>
                      </a:xfrm>
                      <a:prstGeom prst="line">
                        <a:avLst/>
                      </a:prstGeom>
                      <a:noFill/>
                      <a:ln w="9525">
                        <a:solidFill>
                          <a:srgbClr val="FFFFFF"/>
                        </a:solidFill>
                        <a:round/>
                      </a:ln>
                    </wps:spPr>
                    <wps:bodyPr/>
                  </wps:wsp>
                </a:graphicData>
              </a:graphic>
            </wp:anchor>
          </w:drawing>
        </mc:Choice>
        <mc:Fallback>
          <w:pict>
            <v:line id="Line 2" o:spid="_x0000_s1026" o:spt="20" style="position:absolute;left:0pt;margin-left:0pt;margin-top:-0.95pt;height:0.05pt;width:474pt;z-index:251660288;mso-width-relative:page;mso-height-relative:page;" filled="f"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Tst5NQAAAAGAQAADwAAAAAAAAABACAAAAAiAAAAZHJzL2Rv&#10;d25yZXYueG1sUEsBAhQAFAAAAAgAh07iQFGxv3TMAQAAoQMAAA4AAAAAAAAAAQAgAAAAIwEAAGRy&#10;cy9lMm9Eb2MueG1sUEsFBgAAAAAGAAYAWQEAAGEFAAAAAA==&#10;">
              <v:fill on="f" focussize="0,0"/>
              <v:stroke color="#FFFFFF" joinstyle="round"/>
              <v:imagedata o:title=""/>
              <o:lock v:ext="edit" aspectratio="f"/>
            </v:line>
          </w:pict>
        </mc:Fallback>
      </mc:AlternateContent>
    </w:r>
  </w:p>
  <w:p>
    <w:pPr>
      <w:ind w:firstLine="560"/>
    </w:pPr>
  </w:p>
  <w:p>
    <w:pPr>
      <w:ind w:firstLine="560"/>
    </w:pPr>
  </w:p>
  <w:p>
    <w:pPr>
      <w:ind w:firstLine="5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rFonts w:hint="eastAsia" w:eastAsia="宋体"/>
        <w:lang w:val="en-US" w:eastAsia="zh-CN"/>
      </w:rPr>
    </w:pPr>
    <w:r>
      <w:rPr>
        <w:rFonts w:hint="eastAsia"/>
        <w:sz w:val="21"/>
        <w:szCs w:val="21"/>
        <w:lang w:eastAsia="zh-CN"/>
      </w:rPr>
      <w:t>海塔石油科技有限公司</w:t>
    </w:r>
    <w:r>
      <w:rPr>
        <w:rFonts w:hint="eastAsia"/>
        <w:sz w:val="21"/>
        <w:szCs w:val="21"/>
      </w:rPr>
      <w:t>井下作业项目安全现状评价</w:t>
    </w:r>
    <w:r>
      <w:rPr>
        <w:rFonts w:hint="eastAsia"/>
        <w:sz w:val="21"/>
        <w:szCs w:val="21"/>
        <w:lang w:val="en-US" w:eastAsia="zh-CN"/>
      </w:rPr>
      <w:t>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21"/>
        <w:szCs w:val="21"/>
      </w:rPr>
    </w:pPr>
    <w:r>
      <w:rPr>
        <w:rFonts w:hint="eastAsia"/>
        <w:bCs/>
        <w:color w:val="000000"/>
        <w:sz w:val="21"/>
        <w:szCs w:val="21"/>
        <w:lang w:eastAsia="zh-CN"/>
      </w:rPr>
      <w:t>海塔石油科技有限公司井下作业项目安全现状评价报告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15"/>
        <w:szCs w:val="15"/>
      </w:rPr>
    </w:pPr>
    <w:r>
      <w:rPr>
        <w:rFonts w:hint="eastAsia"/>
        <w:bCs/>
        <w:color w:val="000000"/>
        <w:sz w:val="21"/>
        <w:szCs w:val="21"/>
        <w:lang w:eastAsia="zh-CN"/>
      </w:rPr>
      <w:t>海塔石油科技有限公司井下作业项目安全现状评价报告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both"/>
    </w:pPr>
    <w:r>
      <w:rPr>
        <w:rFonts w:hint="eastAsia"/>
      </w:rPr>
      <w:t>胜利油田石化总厂汽油产品质量升级技改工程                                            设立安全评价报告</w:t>
    </w:r>
    <w:r>
      <w:rPr>
        <w:rFonts w:hint="eastAsia" w:ascii="仿宋_GB2312" w:eastAsia="仿宋_GB2312"/>
        <w:bCs/>
        <w:spacing w:val="20"/>
        <w:kern w:val="0"/>
      </w:rPr>
      <w:t xml:space="preserve">            </w:t>
    </w:r>
  </w:p>
  <w:p>
    <w:pPr>
      <w:ind w:firstLine="560"/>
    </w:pPr>
  </w:p>
  <w:p>
    <w:pPr>
      <w:ind w:firstLine="560"/>
    </w:pPr>
  </w:p>
  <w:p>
    <w:pPr>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B7E71"/>
    <w:multiLevelType w:val="singleLevel"/>
    <w:tmpl w:val="834B7E71"/>
    <w:lvl w:ilvl="0" w:tentative="0">
      <w:start w:val="4"/>
      <w:numFmt w:val="decimal"/>
      <w:suff w:val="nothing"/>
      <w:lvlText w:val="（%1）"/>
      <w:lvlJc w:val="left"/>
    </w:lvl>
  </w:abstractNum>
  <w:abstractNum w:abstractNumId="1">
    <w:nsid w:val="B982B4AA"/>
    <w:multiLevelType w:val="singleLevel"/>
    <w:tmpl w:val="B982B4AA"/>
    <w:lvl w:ilvl="0" w:tentative="0">
      <w:start w:val="2"/>
      <w:numFmt w:val="chineseCounting"/>
      <w:suff w:val="nothing"/>
      <w:lvlText w:val="%1、"/>
      <w:lvlJc w:val="left"/>
      <w:rPr>
        <w:rFonts w:hint="eastAsia"/>
      </w:rPr>
    </w:lvl>
  </w:abstractNum>
  <w:abstractNum w:abstractNumId="2">
    <w:nsid w:val="E4D99873"/>
    <w:multiLevelType w:val="singleLevel"/>
    <w:tmpl w:val="E4D99873"/>
    <w:lvl w:ilvl="0" w:tentative="0">
      <w:start w:val="1"/>
      <w:numFmt w:val="decimal"/>
      <w:lvlText w:val="%1"/>
      <w:lvlJc w:val="left"/>
      <w:pPr>
        <w:tabs>
          <w:tab w:val="left" w:pos="420"/>
        </w:tabs>
        <w:ind w:left="425" w:leftChars="0" w:hanging="425" w:firstLineChars="0"/>
      </w:pPr>
      <w:rPr>
        <w:rFonts w:hint="default"/>
      </w:rPr>
    </w:lvl>
  </w:abstractNum>
  <w:abstractNum w:abstractNumId="3">
    <w:nsid w:val="ED60E3D1"/>
    <w:multiLevelType w:val="multilevel"/>
    <w:tmpl w:val="ED60E3D1"/>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4">
    <w:nsid w:val="F5B70CB4"/>
    <w:multiLevelType w:val="singleLevel"/>
    <w:tmpl w:val="F5B70CB4"/>
    <w:lvl w:ilvl="0" w:tentative="0">
      <w:start w:val="1"/>
      <w:numFmt w:val="decimal"/>
      <w:suff w:val="space"/>
      <w:lvlText w:val="%1."/>
      <w:lvlJc w:val="left"/>
    </w:lvl>
  </w:abstractNum>
  <w:abstractNum w:abstractNumId="5">
    <w:nsid w:val="F5E6C0C1"/>
    <w:multiLevelType w:val="singleLevel"/>
    <w:tmpl w:val="F5E6C0C1"/>
    <w:lvl w:ilvl="0" w:tentative="0">
      <w:start w:val="1"/>
      <w:numFmt w:val="decimal"/>
      <w:lvlText w:val="%1."/>
      <w:lvlJc w:val="left"/>
      <w:pPr>
        <w:tabs>
          <w:tab w:val="left" w:pos="312"/>
        </w:tabs>
      </w:pPr>
    </w:lvl>
  </w:abstractNum>
  <w:abstractNum w:abstractNumId="6">
    <w:nsid w:val="081B2C76"/>
    <w:multiLevelType w:val="multilevel"/>
    <w:tmpl w:val="081B2C76"/>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185C2D08"/>
    <w:multiLevelType w:val="multilevel"/>
    <w:tmpl w:val="185C2D08"/>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8">
    <w:nsid w:val="19B26269"/>
    <w:multiLevelType w:val="multilevel"/>
    <w:tmpl w:val="19B26269"/>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9">
    <w:nsid w:val="282C49B3"/>
    <w:multiLevelType w:val="multilevel"/>
    <w:tmpl w:val="282C49B3"/>
    <w:lvl w:ilvl="0" w:tentative="0">
      <w:start w:val="1"/>
      <w:numFmt w:val="decimalEnclosedCircle"/>
      <w:pStyle w:val="150"/>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10">
    <w:nsid w:val="3CAE20DE"/>
    <w:multiLevelType w:val="multilevel"/>
    <w:tmpl w:val="3CAE20DE"/>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1">
    <w:nsid w:val="55338D22"/>
    <w:multiLevelType w:val="multilevel"/>
    <w:tmpl w:val="55338D22"/>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2">
    <w:nsid w:val="578F4838"/>
    <w:multiLevelType w:val="multilevel"/>
    <w:tmpl w:val="578F4838"/>
    <w:lvl w:ilvl="0" w:tentative="0">
      <w:start w:val="1"/>
      <w:numFmt w:val="decimal"/>
      <w:suff w:val="nothing"/>
      <w:lvlText w:val="%1."/>
      <w:lvlJc w:val="left"/>
      <w:pPr>
        <w:ind w:left="737" w:hanging="177"/>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3">
    <w:nsid w:val="59BB18A3"/>
    <w:multiLevelType w:val="multilevel"/>
    <w:tmpl w:val="59BB18A3"/>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4">
    <w:nsid w:val="67D11B0D"/>
    <w:multiLevelType w:val="multilevel"/>
    <w:tmpl w:val="67D11B0D"/>
    <w:lvl w:ilvl="0" w:tentative="0">
      <w:start w:val="1"/>
      <w:numFmt w:val="decimalEnclosedCircle"/>
      <w:pStyle w:val="130"/>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15">
    <w:nsid w:val="70DF7B76"/>
    <w:multiLevelType w:val="multilevel"/>
    <w:tmpl w:val="70DF7B76"/>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4"/>
  </w:num>
  <w:num w:numId="2">
    <w:abstractNumId w:val="9"/>
  </w:num>
  <w:num w:numId="3">
    <w:abstractNumId w:val="3"/>
  </w:num>
  <w:num w:numId="4">
    <w:abstractNumId w:val="15"/>
  </w:num>
  <w:num w:numId="5">
    <w:abstractNumId w:val="6"/>
  </w:num>
  <w:num w:numId="6">
    <w:abstractNumId w:val="13"/>
  </w:num>
  <w:num w:numId="7">
    <w:abstractNumId w:val="10"/>
  </w:num>
  <w:num w:numId="8">
    <w:abstractNumId w:val="11"/>
  </w:num>
  <w:num w:numId="9">
    <w:abstractNumId w:val="12"/>
  </w:num>
  <w:num w:numId="10">
    <w:abstractNumId w:val="7"/>
  </w:num>
  <w:num w:numId="11">
    <w:abstractNumId w:val="8"/>
  </w:num>
  <w:num w:numId="12">
    <w:abstractNumId w:val="4"/>
  </w:num>
  <w:num w:numId="13">
    <w:abstractNumId w:val="5"/>
  </w:num>
  <w:num w:numId="14">
    <w:abstractNumId w:val="1"/>
  </w:num>
  <w:num w:numId="15">
    <w:abstractNumId w:val="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3MzQwMTVkNjA3YTVlMDE5NGE5MzNiMTBhZTliYzAifQ=="/>
  </w:docVars>
  <w:rsids>
    <w:rsidRoot w:val="00172A27"/>
    <w:rsid w:val="000001C0"/>
    <w:rsid w:val="000002D0"/>
    <w:rsid w:val="0000032A"/>
    <w:rsid w:val="00000390"/>
    <w:rsid w:val="00000392"/>
    <w:rsid w:val="000009B1"/>
    <w:rsid w:val="000020F1"/>
    <w:rsid w:val="00002A96"/>
    <w:rsid w:val="00002EEC"/>
    <w:rsid w:val="00002F23"/>
    <w:rsid w:val="000037D9"/>
    <w:rsid w:val="00003D5F"/>
    <w:rsid w:val="0000405A"/>
    <w:rsid w:val="00004824"/>
    <w:rsid w:val="000054D6"/>
    <w:rsid w:val="000062A3"/>
    <w:rsid w:val="000063CE"/>
    <w:rsid w:val="000066D6"/>
    <w:rsid w:val="00007350"/>
    <w:rsid w:val="000074D3"/>
    <w:rsid w:val="00007ABF"/>
    <w:rsid w:val="00007CA4"/>
    <w:rsid w:val="000100A1"/>
    <w:rsid w:val="00010B3E"/>
    <w:rsid w:val="000112B5"/>
    <w:rsid w:val="00012536"/>
    <w:rsid w:val="00012884"/>
    <w:rsid w:val="0001370A"/>
    <w:rsid w:val="000137DB"/>
    <w:rsid w:val="00013B73"/>
    <w:rsid w:val="00013BCD"/>
    <w:rsid w:val="00013BD3"/>
    <w:rsid w:val="00013F67"/>
    <w:rsid w:val="000140AE"/>
    <w:rsid w:val="00014187"/>
    <w:rsid w:val="000143AE"/>
    <w:rsid w:val="000148D7"/>
    <w:rsid w:val="00014CA5"/>
    <w:rsid w:val="00014CFD"/>
    <w:rsid w:val="00015470"/>
    <w:rsid w:val="0001599A"/>
    <w:rsid w:val="00015CF6"/>
    <w:rsid w:val="00015D27"/>
    <w:rsid w:val="000168E4"/>
    <w:rsid w:val="00016EF4"/>
    <w:rsid w:val="0001746A"/>
    <w:rsid w:val="00017541"/>
    <w:rsid w:val="000179A3"/>
    <w:rsid w:val="00020823"/>
    <w:rsid w:val="0002113E"/>
    <w:rsid w:val="00021E38"/>
    <w:rsid w:val="00022397"/>
    <w:rsid w:val="000225B1"/>
    <w:rsid w:val="00022A70"/>
    <w:rsid w:val="00022E0E"/>
    <w:rsid w:val="00022EFA"/>
    <w:rsid w:val="000235A0"/>
    <w:rsid w:val="0002387A"/>
    <w:rsid w:val="00023D3F"/>
    <w:rsid w:val="00023DBA"/>
    <w:rsid w:val="000244BD"/>
    <w:rsid w:val="000244D3"/>
    <w:rsid w:val="0002476B"/>
    <w:rsid w:val="00024D25"/>
    <w:rsid w:val="000250FA"/>
    <w:rsid w:val="00025306"/>
    <w:rsid w:val="00025D85"/>
    <w:rsid w:val="0002684A"/>
    <w:rsid w:val="000271D6"/>
    <w:rsid w:val="000274F0"/>
    <w:rsid w:val="0002770A"/>
    <w:rsid w:val="000277A2"/>
    <w:rsid w:val="00027B52"/>
    <w:rsid w:val="00027D64"/>
    <w:rsid w:val="00030344"/>
    <w:rsid w:val="0003194A"/>
    <w:rsid w:val="00031EA4"/>
    <w:rsid w:val="00031F73"/>
    <w:rsid w:val="000325D7"/>
    <w:rsid w:val="000325FB"/>
    <w:rsid w:val="00032743"/>
    <w:rsid w:val="00032FF0"/>
    <w:rsid w:val="00032FFD"/>
    <w:rsid w:val="000332E2"/>
    <w:rsid w:val="000341A1"/>
    <w:rsid w:val="00034AE4"/>
    <w:rsid w:val="00034CF3"/>
    <w:rsid w:val="00034FDE"/>
    <w:rsid w:val="000353D1"/>
    <w:rsid w:val="00035A7A"/>
    <w:rsid w:val="000363E5"/>
    <w:rsid w:val="0003654F"/>
    <w:rsid w:val="0003674E"/>
    <w:rsid w:val="000367FD"/>
    <w:rsid w:val="00036D80"/>
    <w:rsid w:val="00036E06"/>
    <w:rsid w:val="00037351"/>
    <w:rsid w:val="000374AF"/>
    <w:rsid w:val="00037D13"/>
    <w:rsid w:val="0004030D"/>
    <w:rsid w:val="00040750"/>
    <w:rsid w:val="00040DD0"/>
    <w:rsid w:val="00040E01"/>
    <w:rsid w:val="000413E4"/>
    <w:rsid w:val="00042249"/>
    <w:rsid w:val="00042510"/>
    <w:rsid w:val="00044127"/>
    <w:rsid w:val="00044687"/>
    <w:rsid w:val="00044C5B"/>
    <w:rsid w:val="00044D35"/>
    <w:rsid w:val="00044EF9"/>
    <w:rsid w:val="000455DB"/>
    <w:rsid w:val="00045653"/>
    <w:rsid w:val="000457AC"/>
    <w:rsid w:val="00046CAE"/>
    <w:rsid w:val="00046F86"/>
    <w:rsid w:val="0004785F"/>
    <w:rsid w:val="00047F10"/>
    <w:rsid w:val="0005009A"/>
    <w:rsid w:val="00050263"/>
    <w:rsid w:val="00050D31"/>
    <w:rsid w:val="00051226"/>
    <w:rsid w:val="00051235"/>
    <w:rsid w:val="00051AFE"/>
    <w:rsid w:val="00051C37"/>
    <w:rsid w:val="00052080"/>
    <w:rsid w:val="00052373"/>
    <w:rsid w:val="00052725"/>
    <w:rsid w:val="00052A96"/>
    <w:rsid w:val="000536C0"/>
    <w:rsid w:val="00053B8A"/>
    <w:rsid w:val="00053FE3"/>
    <w:rsid w:val="000540B6"/>
    <w:rsid w:val="00054A9E"/>
    <w:rsid w:val="00054B46"/>
    <w:rsid w:val="00054F36"/>
    <w:rsid w:val="00055640"/>
    <w:rsid w:val="0005704D"/>
    <w:rsid w:val="00061178"/>
    <w:rsid w:val="00061463"/>
    <w:rsid w:val="00061529"/>
    <w:rsid w:val="000620EA"/>
    <w:rsid w:val="000621DC"/>
    <w:rsid w:val="00062406"/>
    <w:rsid w:val="00062478"/>
    <w:rsid w:val="000627DB"/>
    <w:rsid w:val="00062C17"/>
    <w:rsid w:val="00063029"/>
    <w:rsid w:val="00063B7D"/>
    <w:rsid w:val="00063CDC"/>
    <w:rsid w:val="00064655"/>
    <w:rsid w:val="00064759"/>
    <w:rsid w:val="00064797"/>
    <w:rsid w:val="0006530F"/>
    <w:rsid w:val="000654B0"/>
    <w:rsid w:val="00065736"/>
    <w:rsid w:val="00065F70"/>
    <w:rsid w:val="00066305"/>
    <w:rsid w:val="00066331"/>
    <w:rsid w:val="00067116"/>
    <w:rsid w:val="000671CC"/>
    <w:rsid w:val="000675D8"/>
    <w:rsid w:val="000675D9"/>
    <w:rsid w:val="0006770D"/>
    <w:rsid w:val="0007052B"/>
    <w:rsid w:val="00070C74"/>
    <w:rsid w:val="00070CBF"/>
    <w:rsid w:val="00070ED0"/>
    <w:rsid w:val="00070F7A"/>
    <w:rsid w:val="00070FD9"/>
    <w:rsid w:val="000710B9"/>
    <w:rsid w:val="000711BD"/>
    <w:rsid w:val="00071741"/>
    <w:rsid w:val="000717FD"/>
    <w:rsid w:val="000726D3"/>
    <w:rsid w:val="00072B52"/>
    <w:rsid w:val="00072E37"/>
    <w:rsid w:val="00073076"/>
    <w:rsid w:val="00073195"/>
    <w:rsid w:val="00073931"/>
    <w:rsid w:val="00073D90"/>
    <w:rsid w:val="00074046"/>
    <w:rsid w:val="0007496B"/>
    <w:rsid w:val="00074983"/>
    <w:rsid w:val="00074DA4"/>
    <w:rsid w:val="00074E58"/>
    <w:rsid w:val="00075272"/>
    <w:rsid w:val="00075801"/>
    <w:rsid w:val="00075A2F"/>
    <w:rsid w:val="00075A33"/>
    <w:rsid w:val="00075B28"/>
    <w:rsid w:val="00076441"/>
    <w:rsid w:val="00076B1E"/>
    <w:rsid w:val="000776D5"/>
    <w:rsid w:val="00077EB1"/>
    <w:rsid w:val="000800A7"/>
    <w:rsid w:val="00080156"/>
    <w:rsid w:val="00080D11"/>
    <w:rsid w:val="000815F0"/>
    <w:rsid w:val="00081908"/>
    <w:rsid w:val="0008204D"/>
    <w:rsid w:val="00082316"/>
    <w:rsid w:val="00082480"/>
    <w:rsid w:val="00082A33"/>
    <w:rsid w:val="00082D72"/>
    <w:rsid w:val="0008447C"/>
    <w:rsid w:val="00084EAB"/>
    <w:rsid w:val="00085383"/>
    <w:rsid w:val="0008543C"/>
    <w:rsid w:val="000854B8"/>
    <w:rsid w:val="00085548"/>
    <w:rsid w:val="00085C0D"/>
    <w:rsid w:val="00086355"/>
    <w:rsid w:val="0008644F"/>
    <w:rsid w:val="00086480"/>
    <w:rsid w:val="000866F2"/>
    <w:rsid w:val="00086B4F"/>
    <w:rsid w:val="00087352"/>
    <w:rsid w:val="000877AC"/>
    <w:rsid w:val="00087B63"/>
    <w:rsid w:val="00087D86"/>
    <w:rsid w:val="0009041F"/>
    <w:rsid w:val="00090451"/>
    <w:rsid w:val="00090660"/>
    <w:rsid w:val="00090A9A"/>
    <w:rsid w:val="00090B7A"/>
    <w:rsid w:val="00090DB7"/>
    <w:rsid w:val="00091414"/>
    <w:rsid w:val="00091A9F"/>
    <w:rsid w:val="00092138"/>
    <w:rsid w:val="00094A0B"/>
    <w:rsid w:val="00094E9E"/>
    <w:rsid w:val="00094FBB"/>
    <w:rsid w:val="000951B9"/>
    <w:rsid w:val="00095494"/>
    <w:rsid w:val="0009598B"/>
    <w:rsid w:val="00095A15"/>
    <w:rsid w:val="00095AD4"/>
    <w:rsid w:val="00095F6C"/>
    <w:rsid w:val="00096451"/>
    <w:rsid w:val="000966CF"/>
    <w:rsid w:val="000978B0"/>
    <w:rsid w:val="000A0093"/>
    <w:rsid w:val="000A0BEE"/>
    <w:rsid w:val="000A10FB"/>
    <w:rsid w:val="000A191B"/>
    <w:rsid w:val="000A1AED"/>
    <w:rsid w:val="000A1CDC"/>
    <w:rsid w:val="000A201F"/>
    <w:rsid w:val="000A23E1"/>
    <w:rsid w:val="000A2471"/>
    <w:rsid w:val="000A257B"/>
    <w:rsid w:val="000A27BE"/>
    <w:rsid w:val="000A2889"/>
    <w:rsid w:val="000A2A31"/>
    <w:rsid w:val="000A2FF9"/>
    <w:rsid w:val="000A53EB"/>
    <w:rsid w:val="000A5723"/>
    <w:rsid w:val="000A5AF2"/>
    <w:rsid w:val="000A5DBA"/>
    <w:rsid w:val="000A6AF7"/>
    <w:rsid w:val="000A6E82"/>
    <w:rsid w:val="000A6F56"/>
    <w:rsid w:val="000A705E"/>
    <w:rsid w:val="000A7AC7"/>
    <w:rsid w:val="000B0235"/>
    <w:rsid w:val="000B052F"/>
    <w:rsid w:val="000B063A"/>
    <w:rsid w:val="000B08B2"/>
    <w:rsid w:val="000B1371"/>
    <w:rsid w:val="000B2538"/>
    <w:rsid w:val="000B2B2D"/>
    <w:rsid w:val="000B2BEE"/>
    <w:rsid w:val="000B38DB"/>
    <w:rsid w:val="000B3A4E"/>
    <w:rsid w:val="000B3F45"/>
    <w:rsid w:val="000B401D"/>
    <w:rsid w:val="000B4466"/>
    <w:rsid w:val="000B4D29"/>
    <w:rsid w:val="000B5156"/>
    <w:rsid w:val="000B630F"/>
    <w:rsid w:val="000B725D"/>
    <w:rsid w:val="000B7EC1"/>
    <w:rsid w:val="000B7F76"/>
    <w:rsid w:val="000C08C9"/>
    <w:rsid w:val="000C0A86"/>
    <w:rsid w:val="000C0ED4"/>
    <w:rsid w:val="000C133C"/>
    <w:rsid w:val="000C15C3"/>
    <w:rsid w:val="000C1D8B"/>
    <w:rsid w:val="000C2606"/>
    <w:rsid w:val="000C2993"/>
    <w:rsid w:val="000C2ED7"/>
    <w:rsid w:val="000C2EF0"/>
    <w:rsid w:val="000C303C"/>
    <w:rsid w:val="000C321D"/>
    <w:rsid w:val="000C456B"/>
    <w:rsid w:val="000C46D8"/>
    <w:rsid w:val="000C4E20"/>
    <w:rsid w:val="000C5497"/>
    <w:rsid w:val="000C5B38"/>
    <w:rsid w:val="000C5B3F"/>
    <w:rsid w:val="000C5FD1"/>
    <w:rsid w:val="000C668A"/>
    <w:rsid w:val="000C679D"/>
    <w:rsid w:val="000C710D"/>
    <w:rsid w:val="000C7196"/>
    <w:rsid w:val="000C72DC"/>
    <w:rsid w:val="000C7990"/>
    <w:rsid w:val="000C7F4E"/>
    <w:rsid w:val="000D0ADE"/>
    <w:rsid w:val="000D0BC6"/>
    <w:rsid w:val="000D12F2"/>
    <w:rsid w:val="000D3471"/>
    <w:rsid w:val="000D35B8"/>
    <w:rsid w:val="000D4930"/>
    <w:rsid w:val="000D4C0F"/>
    <w:rsid w:val="000D528B"/>
    <w:rsid w:val="000D55ED"/>
    <w:rsid w:val="000D5861"/>
    <w:rsid w:val="000D58BC"/>
    <w:rsid w:val="000D5925"/>
    <w:rsid w:val="000D64BA"/>
    <w:rsid w:val="000D6543"/>
    <w:rsid w:val="000D6EAC"/>
    <w:rsid w:val="000D774C"/>
    <w:rsid w:val="000D7AA5"/>
    <w:rsid w:val="000E0A26"/>
    <w:rsid w:val="000E0B90"/>
    <w:rsid w:val="000E0ECD"/>
    <w:rsid w:val="000E1217"/>
    <w:rsid w:val="000E12D0"/>
    <w:rsid w:val="000E2066"/>
    <w:rsid w:val="000E2E2C"/>
    <w:rsid w:val="000E352B"/>
    <w:rsid w:val="000E3563"/>
    <w:rsid w:val="000E3773"/>
    <w:rsid w:val="000E4405"/>
    <w:rsid w:val="000E4BFE"/>
    <w:rsid w:val="000E50F0"/>
    <w:rsid w:val="000E5264"/>
    <w:rsid w:val="000E5297"/>
    <w:rsid w:val="000E532F"/>
    <w:rsid w:val="000E55E3"/>
    <w:rsid w:val="000E5661"/>
    <w:rsid w:val="000E572D"/>
    <w:rsid w:val="000E5C15"/>
    <w:rsid w:val="000E679C"/>
    <w:rsid w:val="000E6FE2"/>
    <w:rsid w:val="000E7063"/>
    <w:rsid w:val="000E74E0"/>
    <w:rsid w:val="000E7BB8"/>
    <w:rsid w:val="000E7EDC"/>
    <w:rsid w:val="000F03ED"/>
    <w:rsid w:val="000F08FB"/>
    <w:rsid w:val="000F0951"/>
    <w:rsid w:val="000F0CCD"/>
    <w:rsid w:val="000F104D"/>
    <w:rsid w:val="000F113B"/>
    <w:rsid w:val="000F1972"/>
    <w:rsid w:val="000F242D"/>
    <w:rsid w:val="000F25F4"/>
    <w:rsid w:val="000F26FB"/>
    <w:rsid w:val="000F2AC7"/>
    <w:rsid w:val="000F374E"/>
    <w:rsid w:val="000F3893"/>
    <w:rsid w:val="000F42AC"/>
    <w:rsid w:val="000F43FB"/>
    <w:rsid w:val="000F44CC"/>
    <w:rsid w:val="000F4A23"/>
    <w:rsid w:val="000F5159"/>
    <w:rsid w:val="000F5210"/>
    <w:rsid w:val="000F5581"/>
    <w:rsid w:val="000F660D"/>
    <w:rsid w:val="000F74D0"/>
    <w:rsid w:val="000F77CE"/>
    <w:rsid w:val="000F7CA4"/>
    <w:rsid w:val="000F7E5B"/>
    <w:rsid w:val="000F7FB5"/>
    <w:rsid w:val="0010068B"/>
    <w:rsid w:val="00100D67"/>
    <w:rsid w:val="00101032"/>
    <w:rsid w:val="00101F1A"/>
    <w:rsid w:val="00101F9C"/>
    <w:rsid w:val="001023B7"/>
    <w:rsid w:val="001028AC"/>
    <w:rsid w:val="00103229"/>
    <w:rsid w:val="001033FF"/>
    <w:rsid w:val="001034DE"/>
    <w:rsid w:val="00103EAF"/>
    <w:rsid w:val="001047AA"/>
    <w:rsid w:val="00106058"/>
    <w:rsid w:val="00106BB9"/>
    <w:rsid w:val="00107042"/>
    <w:rsid w:val="001071C4"/>
    <w:rsid w:val="001074EC"/>
    <w:rsid w:val="00107798"/>
    <w:rsid w:val="0011004B"/>
    <w:rsid w:val="001100E9"/>
    <w:rsid w:val="00110458"/>
    <w:rsid w:val="00110666"/>
    <w:rsid w:val="001109B4"/>
    <w:rsid w:val="00110B03"/>
    <w:rsid w:val="0011122F"/>
    <w:rsid w:val="00111901"/>
    <w:rsid w:val="00111D5B"/>
    <w:rsid w:val="00111D8F"/>
    <w:rsid w:val="001120CE"/>
    <w:rsid w:val="0011243B"/>
    <w:rsid w:val="00112450"/>
    <w:rsid w:val="00112AB6"/>
    <w:rsid w:val="00112BBC"/>
    <w:rsid w:val="00112C8D"/>
    <w:rsid w:val="00112ECF"/>
    <w:rsid w:val="00112FCF"/>
    <w:rsid w:val="00113571"/>
    <w:rsid w:val="00113938"/>
    <w:rsid w:val="00114334"/>
    <w:rsid w:val="001143CC"/>
    <w:rsid w:val="001144E6"/>
    <w:rsid w:val="001144F7"/>
    <w:rsid w:val="00114B87"/>
    <w:rsid w:val="00114CDB"/>
    <w:rsid w:val="00114D62"/>
    <w:rsid w:val="00115247"/>
    <w:rsid w:val="00115397"/>
    <w:rsid w:val="00115419"/>
    <w:rsid w:val="00115BB7"/>
    <w:rsid w:val="00115F71"/>
    <w:rsid w:val="001160FC"/>
    <w:rsid w:val="00117610"/>
    <w:rsid w:val="00117CCF"/>
    <w:rsid w:val="001200C3"/>
    <w:rsid w:val="00120E70"/>
    <w:rsid w:val="00120F8D"/>
    <w:rsid w:val="00121796"/>
    <w:rsid w:val="0012186E"/>
    <w:rsid w:val="0012209F"/>
    <w:rsid w:val="001220E3"/>
    <w:rsid w:val="001228E4"/>
    <w:rsid w:val="00122CDD"/>
    <w:rsid w:val="00122F96"/>
    <w:rsid w:val="0012328D"/>
    <w:rsid w:val="0012371D"/>
    <w:rsid w:val="0012381E"/>
    <w:rsid w:val="00123D74"/>
    <w:rsid w:val="00123E4A"/>
    <w:rsid w:val="00123F9A"/>
    <w:rsid w:val="00124212"/>
    <w:rsid w:val="001247D5"/>
    <w:rsid w:val="00124890"/>
    <w:rsid w:val="00124A48"/>
    <w:rsid w:val="00124FFA"/>
    <w:rsid w:val="0012544E"/>
    <w:rsid w:val="00125507"/>
    <w:rsid w:val="00125751"/>
    <w:rsid w:val="00125C38"/>
    <w:rsid w:val="001265FF"/>
    <w:rsid w:val="00126DC7"/>
    <w:rsid w:val="00127352"/>
    <w:rsid w:val="00127649"/>
    <w:rsid w:val="00127A2A"/>
    <w:rsid w:val="00127A9F"/>
    <w:rsid w:val="00127B0F"/>
    <w:rsid w:val="00130A1B"/>
    <w:rsid w:val="00130F36"/>
    <w:rsid w:val="00131ABF"/>
    <w:rsid w:val="00131E54"/>
    <w:rsid w:val="00131F02"/>
    <w:rsid w:val="00132310"/>
    <w:rsid w:val="00133E40"/>
    <w:rsid w:val="00133F81"/>
    <w:rsid w:val="0013448B"/>
    <w:rsid w:val="00134691"/>
    <w:rsid w:val="001346E8"/>
    <w:rsid w:val="0013485C"/>
    <w:rsid w:val="00134924"/>
    <w:rsid w:val="001351F8"/>
    <w:rsid w:val="00135E33"/>
    <w:rsid w:val="001364E8"/>
    <w:rsid w:val="0013657F"/>
    <w:rsid w:val="001368FC"/>
    <w:rsid w:val="00136AB0"/>
    <w:rsid w:val="00136B2D"/>
    <w:rsid w:val="00136B8A"/>
    <w:rsid w:val="001377B0"/>
    <w:rsid w:val="00137813"/>
    <w:rsid w:val="00137854"/>
    <w:rsid w:val="00137BC6"/>
    <w:rsid w:val="00140148"/>
    <w:rsid w:val="0014042A"/>
    <w:rsid w:val="001407AA"/>
    <w:rsid w:val="00140905"/>
    <w:rsid w:val="00140EDD"/>
    <w:rsid w:val="0014181F"/>
    <w:rsid w:val="0014190C"/>
    <w:rsid w:val="001428C5"/>
    <w:rsid w:val="00142952"/>
    <w:rsid w:val="00142B5C"/>
    <w:rsid w:val="00142CC5"/>
    <w:rsid w:val="001436C0"/>
    <w:rsid w:val="001438B7"/>
    <w:rsid w:val="00143F1E"/>
    <w:rsid w:val="00144042"/>
    <w:rsid w:val="001440C7"/>
    <w:rsid w:val="00144425"/>
    <w:rsid w:val="00144FB2"/>
    <w:rsid w:val="00145422"/>
    <w:rsid w:val="00145ED3"/>
    <w:rsid w:val="00145F48"/>
    <w:rsid w:val="00146F4E"/>
    <w:rsid w:val="00147118"/>
    <w:rsid w:val="00147EE1"/>
    <w:rsid w:val="001509BE"/>
    <w:rsid w:val="00150A34"/>
    <w:rsid w:val="00150E2C"/>
    <w:rsid w:val="00151379"/>
    <w:rsid w:val="0015151E"/>
    <w:rsid w:val="00152A37"/>
    <w:rsid w:val="00152EA2"/>
    <w:rsid w:val="001530E2"/>
    <w:rsid w:val="00153D4E"/>
    <w:rsid w:val="00154850"/>
    <w:rsid w:val="00154B6F"/>
    <w:rsid w:val="00154CFA"/>
    <w:rsid w:val="001552DE"/>
    <w:rsid w:val="001553A4"/>
    <w:rsid w:val="00155763"/>
    <w:rsid w:val="00155E81"/>
    <w:rsid w:val="00155FFB"/>
    <w:rsid w:val="001569C6"/>
    <w:rsid w:val="00157049"/>
    <w:rsid w:val="0015730D"/>
    <w:rsid w:val="001573B4"/>
    <w:rsid w:val="00157EBE"/>
    <w:rsid w:val="001609BA"/>
    <w:rsid w:val="001610E8"/>
    <w:rsid w:val="0016240F"/>
    <w:rsid w:val="00162481"/>
    <w:rsid w:val="001624A2"/>
    <w:rsid w:val="001628AC"/>
    <w:rsid w:val="00162D08"/>
    <w:rsid w:val="00163325"/>
    <w:rsid w:val="001633DA"/>
    <w:rsid w:val="00163A4F"/>
    <w:rsid w:val="00163BB2"/>
    <w:rsid w:val="00163C19"/>
    <w:rsid w:val="0016490E"/>
    <w:rsid w:val="00164FF7"/>
    <w:rsid w:val="00165400"/>
    <w:rsid w:val="0016554B"/>
    <w:rsid w:val="00165F5D"/>
    <w:rsid w:val="00166125"/>
    <w:rsid w:val="0016634B"/>
    <w:rsid w:val="001663F3"/>
    <w:rsid w:val="00166E1C"/>
    <w:rsid w:val="00167158"/>
    <w:rsid w:val="00170A1A"/>
    <w:rsid w:val="0017100A"/>
    <w:rsid w:val="00171357"/>
    <w:rsid w:val="00171E95"/>
    <w:rsid w:val="001720F7"/>
    <w:rsid w:val="0017288C"/>
    <w:rsid w:val="001728D5"/>
    <w:rsid w:val="001733C5"/>
    <w:rsid w:val="00173910"/>
    <w:rsid w:val="00173FBC"/>
    <w:rsid w:val="00174529"/>
    <w:rsid w:val="001745DA"/>
    <w:rsid w:val="00175013"/>
    <w:rsid w:val="0017710D"/>
    <w:rsid w:val="001773AC"/>
    <w:rsid w:val="00177CD7"/>
    <w:rsid w:val="00177D43"/>
    <w:rsid w:val="00180066"/>
    <w:rsid w:val="001806BE"/>
    <w:rsid w:val="00181144"/>
    <w:rsid w:val="001813CB"/>
    <w:rsid w:val="00181750"/>
    <w:rsid w:val="00181AB7"/>
    <w:rsid w:val="00181C2B"/>
    <w:rsid w:val="00182699"/>
    <w:rsid w:val="001834D3"/>
    <w:rsid w:val="00183616"/>
    <w:rsid w:val="00183700"/>
    <w:rsid w:val="00183EB9"/>
    <w:rsid w:val="001845BA"/>
    <w:rsid w:val="0018463C"/>
    <w:rsid w:val="00184B68"/>
    <w:rsid w:val="00185590"/>
    <w:rsid w:val="0018618F"/>
    <w:rsid w:val="00186479"/>
    <w:rsid w:val="00186AAE"/>
    <w:rsid w:val="00186B13"/>
    <w:rsid w:val="00186B44"/>
    <w:rsid w:val="00186BB7"/>
    <w:rsid w:val="00186CAF"/>
    <w:rsid w:val="00187A27"/>
    <w:rsid w:val="0019053C"/>
    <w:rsid w:val="001906F9"/>
    <w:rsid w:val="0019095B"/>
    <w:rsid w:val="00190BD9"/>
    <w:rsid w:val="00190BE2"/>
    <w:rsid w:val="00190FEE"/>
    <w:rsid w:val="00191A1A"/>
    <w:rsid w:val="00192514"/>
    <w:rsid w:val="00192F03"/>
    <w:rsid w:val="00193754"/>
    <w:rsid w:val="0019411B"/>
    <w:rsid w:val="00194264"/>
    <w:rsid w:val="001944D1"/>
    <w:rsid w:val="00194C8A"/>
    <w:rsid w:val="001951DC"/>
    <w:rsid w:val="00195408"/>
    <w:rsid w:val="0019556E"/>
    <w:rsid w:val="001956E1"/>
    <w:rsid w:val="00195EB3"/>
    <w:rsid w:val="00196E4C"/>
    <w:rsid w:val="00196FCE"/>
    <w:rsid w:val="001971E5"/>
    <w:rsid w:val="0019760E"/>
    <w:rsid w:val="00197818"/>
    <w:rsid w:val="00197BC2"/>
    <w:rsid w:val="001A001A"/>
    <w:rsid w:val="001A03CC"/>
    <w:rsid w:val="001A042A"/>
    <w:rsid w:val="001A1384"/>
    <w:rsid w:val="001A1A7A"/>
    <w:rsid w:val="001A1DE5"/>
    <w:rsid w:val="001A23FC"/>
    <w:rsid w:val="001A25D0"/>
    <w:rsid w:val="001A2919"/>
    <w:rsid w:val="001A2F16"/>
    <w:rsid w:val="001A3630"/>
    <w:rsid w:val="001A3B54"/>
    <w:rsid w:val="001A3D6F"/>
    <w:rsid w:val="001A3FD7"/>
    <w:rsid w:val="001A4600"/>
    <w:rsid w:val="001A481A"/>
    <w:rsid w:val="001A4EBF"/>
    <w:rsid w:val="001A4FD0"/>
    <w:rsid w:val="001A562D"/>
    <w:rsid w:val="001A5744"/>
    <w:rsid w:val="001A59FD"/>
    <w:rsid w:val="001A6180"/>
    <w:rsid w:val="001A72AB"/>
    <w:rsid w:val="001A72E5"/>
    <w:rsid w:val="001A78F5"/>
    <w:rsid w:val="001A7CBC"/>
    <w:rsid w:val="001A7FA1"/>
    <w:rsid w:val="001B0013"/>
    <w:rsid w:val="001B05D6"/>
    <w:rsid w:val="001B074C"/>
    <w:rsid w:val="001B07D6"/>
    <w:rsid w:val="001B08BF"/>
    <w:rsid w:val="001B1726"/>
    <w:rsid w:val="001B2112"/>
    <w:rsid w:val="001B25C7"/>
    <w:rsid w:val="001B261B"/>
    <w:rsid w:val="001B2EAB"/>
    <w:rsid w:val="001B306E"/>
    <w:rsid w:val="001B3C72"/>
    <w:rsid w:val="001B4298"/>
    <w:rsid w:val="001B4482"/>
    <w:rsid w:val="001B5E9C"/>
    <w:rsid w:val="001B6169"/>
    <w:rsid w:val="001B71AD"/>
    <w:rsid w:val="001B767A"/>
    <w:rsid w:val="001B77DD"/>
    <w:rsid w:val="001C000C"/>
    <w:rsid w:val="001C00CF"/>
    <w:rsid w:val="001C0161"/>
    <w:rsid w:val="001C059F"/>
    <w:rsid w:val="001C0662"/>
    <w:rsid w:val="001C0D86"/>
    <w:rsid w:val="001C12EE"/>
    <w:rsid w:val="001C16DC"/>
    <w:rsid w:val="001C1B30"/>
    <w:rsid w:val="001C1F03"/>
    <w:rsid w:val="001C2255"/>
    <w:rsid w:val="001C2384"/>
    <w:rsid w:val="001C28B4"/>
    <w:rsid w:val="001C2CF8"/>
    <w:rsid w:val="001C3321"/>
    <w:rsid w:val="001C3849"/>
    <w:rsid w:val="001C3BDC"/>
    <w:rsid w:val="001C3C1F"/>
    <w:rsid w:val="001C49A3"/>
    <w:rsid w:val="001C50CB"/>
    <w:rsid w:val="001C5AE1"/>
    <w:rsid w:val="001C5C60"/>
    <w:rsid w:val="001C5F27"/>
    <w:rsid w:val="001C6A7F"/>
    <w:rsid w:val="001C6BBF"/>
    <w:rsid w:val="001C72FD"/>
    <w:rsid w:val="001C7436"/>
    <w:rsid w:val="001C76BF"/>
    <w:rsid w:val="001C7794"/>
    <w:rsid w:val="001C7DB0"/>
    <w:rsid w:val="001D03E0"/>
    <w:rsid w:val="001D0513"/>
    <w:rsid w:val="001D075B"/>
    <w:rsid w:val="001D092D"/>
    <w:rsid w:val="001D0A28"/>
    <w:rsid w:val="001D0F47"/>
    <w:rsid w:val="001D1962"/>
    <w:rsid w:val="001D1BB4"/>
    <w:rsid w:val="001D2A13"/>
    <w:rsid w:val="001D3296"/>
    <w:rsid w:val="001D37AB"/>
    <w:rsid w:val="001D3ABB"/>
    <w:rsid w:val="001D3C97"/>
    <w:rsid w:val="001D3DEA"/>
    <w:rsid w:val="001D41A2"/>
    <w:rsid w:val="001D4D9C"/>
    <w:rsid w:val="001D50F7"/>
    <w:rsid w:val="001D5619"/>
    <w:rsid w:val="001D608A"/>
    <w:rsid w:val="001D6956"/>
    <w:rsid w:val="001D7264"/>
    <w:rsid w:val="001D72E3"/>
    <w:rsid w:val="001D7431"/>
    <w:rsid w:val="001D7BA5"/>
    <w:rsid w:val="001E0061"/>
    <w:rsid w:val="001E00B8"/>
    <w:rsid w:val="001E0390"/>
    <w:rsid w:val="001E0ACD"/>
    <w:rsid w:val="001E1059"/>
    <w:rsid w:val="001E10C5"/>
    <w:rsid w:val="001E16C5"/>
    <w:rsid w:val="001E1BCD"/>
    <w:rsid w:val="001E276A"/>
    <w:rsid w:val="001E2D8B"/>
    <w:rsid w:val="001E331A"/>
    <w:rsid w:val="001E3702"/>
    <w:rsid w:val="001E37CF"/>
    <w:rsid w:val="001E394D"/>
    <w:rsid w:val="001E3F86"/>
    <w:rsid w:val="001E419C"/>
    <w:rsid w:val="001E43F8"/>
    <w:rsid w:val="001E6864"/>
    <w:rsid w:val="001E68A5"/>
    <w:rsid w:val="001E6BF3"/>
    <w:rsid w:val="001E79E9"/>
    <w:rsid w:val="001F0863"/>
    <w:rsid w:val="001F0901"/>
    <w:rsid w:val="001F09CB"/>
    <w:rsid w:val="001F0BD3"/>
    <w:rsid w:val="001F21C4"/>
    <w:rsid w:val="001F229F"/>
    <w:rsid w:val="001F24FB"/>
    <w:rsid w:val="001F28B3"/>
    <w:rsid w:val="001F2D6A"/>
    <w:rsid w:val="001F2E33"/>
    <w:rsid w:val="001F337B"/>
    <w:rsid w:val="001F392B"/>
    <w:rsid w:val="001F4388"/>
    <w:rsid w:val="001F469E"/>
    <w:rsid w:val="001F4DF0"/>
    <w:rsid w:val="001F52AB"/>
    <w:rsid w:val="001F560B"/>
    <w:rsid w:val="001F584E"/>
    <w:rsid w:val="001F5EF6"/>
    <w:rsid w:val="001F649F"/>
    <w:rsid w:val="001F6A5A"/>
    <w:rsid w:val="001F7A59"/>
    <w:rsid w:val="001F7CEF"/>
    <w:rsid w:val="001F7D24"/>
    <w:rsid w:val="00200219"/>
    <w:rsid w:val="00200845"/>
    <w:rsid w:val="00200E17"/>
    <w:rsid w:val="00201263"/>
    <w:rsid w:val="00201304"/>
    <w:rsid w:val="0020191E"/>
    <w:rsid w:val="00201964"/>
    <w:rsid w:val="00201CE1"/>
    <w:rsid w:val="00201FB1"/>
    <w:rsid w:val="00202076"/>
    <w:rsid w:val="00202C09"/>
    <w:rsid w:val="00202C0D"/>
    <w:rsid w:val="0020456A"/>
    <w:rsid w:val="00204A33"/>
    <w:rsid w:val="00204EB0"/>
    <w:rsid w:val="00204F3F"/>
    <w:rsid w:val="002050D6"/>
    <w:rsid w:val="00205C1A"/>
    <w:rsid w:val="00206C83"/>
    <w:rsid w:val="002071E4"/>
    <w:rsid w:val="002074CB"/>
    <w:rsid w:val="0020755E"/>
    <w:rsid w:val="002078A7"/>
    <w:rsid w:val="00210421"/>
    <w:rsid w:val="00210A21"/>
    <w:rsid w:val="00210D55"/>
    <w:rsid w:val="00210ED2"/>
    <w:rsid w:val="0021234B"/>
    <w:rsid w:val="0021256F"/>
    <w:rsid w:val="0021278F"/>
    <w:rsid w:val="00212967"/>
    <w:rsid w:val="00212FE5"/>
    <w:rsid w:val="00213755"/>
    <w:rsid w:val="00214145"/>
    <w:rsid w:val="00214331"/>
    <w:rsid w:val="00214C99"/>
    <w:rsid w:val="00214CDE"/>
    <w:rsid w:val="002154EA"/>
    <w:rsid w:val="00215A0E"/>
    <w:rsid w:val="00215ABE"/>
    <w:rsid w:val="00215C16"/>
    <w:rsid w:val="00215E54"/>
    <w:rsid w:val="002160F0"/>
    <w:rsid w:val="002165A5"/>
    <w:rsid w:val="00216AC0"/>
    <w:rsid w:val="0021700F"/>
    <w:rsid w:val="002171AB"/>
    <w:rsid w:val="002171CA"/>
    <w:rsid w:val="00217F57"/>
    <w:rsid w:val="0022186D"/>
    <w:rsid w:val="00221CE6"/>
    <w:rsid w:val="00221DA1"/>
    <w:rsid w:val="00221EEE"/>
    <w:rsid w:val="00221F28"/>
    <w:rsid w:val="002225A1"/>
    <w:rsid w:val="002228F1"/>
    <w:rsid w:val="00222BA7"/>
    <w:rsid w:val="00222E6C"/>
    <w:rsid w:val="00222F59"/>
    <w:rsid w:val="002237EC"/>
    <w:rsid w:val="002241C0"/>
    <w:rsid w:val="00224439"/>
    <w:rsid w:val="00224708"/>
    <w:rsid w:val="002249EF"/>
    <w:rsid w:val="00224B20"/>
    <w:rsid w:val="00224DB3"/>
    <w:rsid w:val="00224FC7"/>
    <w:rsid w:val="0022577B"/>
    <w:rsid w:val="00225D00"/>
    <w:rsid w:val="002260D6"/>
    <w:rsid w:val="00226190"/>
    <w:rsid w:val="0022668D"/>
    <w:rsid w:val="00226C88"/>
    <w:rsid w:val="00226CB4"/>
    <w:rsid w:val="00227154"/>
    <w:rsid w:val="0022723E"/>
    <w:rsid w:val="00227373"/>
    <w:rsid w:val="00227C8A"/>
    <w:rsid w:val="002309D2"/>
    <w:rsid w:val="00230E34"/>
    <w:rsid w:val="00230F6B"/>
    <w:rsid w:val="00231012"/>
    <w:rsid w:val="0023139B"/>
    <w:rsid w:val="002313B1"/>
    <w:rsid w:val="002315FB"/>
    <w:rsid w:val="00231D4D"/>
    <w:rsid w:val="0023219A"/>
    <w:rsid w:val="002325DB"/>
    <w:rsid w:val="00232AC7"/>
    <w:rsid w:val="00232CD4"/>
    <w:rsid w:val="002332AE"/>
    <w:rsid w:val="00233614"/>
    <w:rsid w:val="0023389B"/>
    <w:rsid w:val="00233A79"/>
    <w:rsid w:val="00233DFE"/>
    <w:rsid w:val="00233F2F"/>
    <w:rsid w:val="00234753"/>
    <w:rsid w:val="002349CA"/>
    <w:rsid w:val="00234D76"/>
    <w:rsid w:val="00235085"/>
    <w:rsid w:val="00235AFA"/>
    <w:rsid w:val="00235CF4"/>
    <w:rsid w:val="0023698F"/>
    <w:rsid w:val="00236B3D"/>
    <w:rsid w:val="00237942"/>
    <w:rsid w:val="00240004"/>
    <w:rsid w:val="0024028F"/>
    <w:rsid w:val="00240589"/>
    <w:rsid w:val="002407A0"/>
    <w:rsid w:val="00240A33"/>
    <w:rsid w:val="00240C9F"/>
    <w:rsid w:val="0024126C"/>
    <w:rsid w:val="0024144B"/>
    <w:rsid w:val="0024192F"/>
    <w:rsid w:val="00241ADF"/>
    <w:rsid w:val="00241F83"/>
    <w:rsid w:val="0024237D"/>
    <w:rsid w:val="0024243B"/>
    <w:rsid w:val="00242A88"/>
    <w:rsid w:val="00243102"/>
    <w:rsid w:val="00243747"/>
    <w:rsid w:val="00243A5F"/>
    <w:rsid w:val="00243D75"/>
    <w:rsid w:val="00244311"/>
    <w:rsid w:val="00244911"/>
    <w:rsid w:val="00246583"/>
    <w:rsid w:val="00247D36"/>
    <w:rsid w:val="00250226"/>
    <w:rsid w:val="0025026D"/>
    <w:rsid w:val="00250366"/>
    <w:rsid w:val="0025045E"/>
    <w:rsid w:val="00250980"/>
    <w:rsid w:val="002522E4"/>
    <w:rsid w:val="00252BB2"/>
    <w:rsid w:val="002530C4"/>
    <w:rsid w:val="002532FF"/>
    <w:rsid w:val="00253EBE"/>
    <w:rsid w:val="00254917"/>
    <w:rsid w:val="00254A10"/>
    <w:rsid w:val="00254BEE"/>
    <w:rsid w:val="00254DA4"/>
    <w:rsid w:val="00254EFA"/>
    <w:rsid w:val="0025569E"/>
    <w:rsid w:val="002557A7"/>
    <w:rsid w:val="002567D0"/>
    <w:rsid w:val="00256B98"/>
    <w:rsid w:val="0025703D"/>
    <w:rsid w:val="002573E9"/>
    <w:rsid w:val="00257421"/>
    <w:rsid w:val="00257898"/>
    <w:rsid w:val="00257A4C"/>
    <w:rsid w:val="00257D53"/>
    <w:rsid w:val="00257E3D"/>
    <w:rsid w:val="002602FA"/>
    <w:rsid w:val="0026032E"/>
    <w:rsid w:val="002603E6"/>
    <w:rsid w:val="00260ACD"/>
    <w:rsid w:val="00260DD2"/>
    <w:rsid w:val="00261D38"/>
    <w:rsid w:val="002628D7"/>
    <w:rsid w:val="00262F12"/>
    <w:rsid w:val="00263286"/>
    <w:rsid w:val="00263789"/>
    <w:rsid w:val="00263864"/>
    <w:rsid w:val="00263DD2"/>
    <w:rsid w:val="002641EE"/>
    <w:rsid w:val="002646AA"/>
    <w:rsid w:val="00264A33"/>
    <w:rsid w:val="00264A87"/>
    <w:rsid w:val="00265928"/>
    <w:rsid w:val="002659B5"/>
    <w:rsid w:val="00265BF5"/>
    <w:rsid w:val="00266B0F"/>
    <w:rsid w:val="002676D0"/>
    <w:rsid w:val="00267978"/>
    <w:rsid w:val="00267A0D"/>
    <w:rsid w:val="0027020A"/>
    <w:rsid w:val="002705EE"/>
    <w:rsid w:val="00270A50"/>
    <w:rsid w:val="0027175C"/>
    <w:rsid w:val="00272013"/>
    <w:rsid w:val="0027236A"/>
    <w:rsid w:val="00272595"/>
    <w:rsid w:val="00272B35"/>
    <w:rsid w:val="00272DD8"/>
    <w:rsid w:val="00272E80"/>
    <w:rsid w:val="00272F5B"/>
    <w:rsid w:val="002734EF"/>
    <w:rsid w:val="00273859"/>
    <w:rsid w:val="00274EB3"/>
    <w:rsid w:val="0027516D"/>
    <w:rsid w:val="00275181"/>
    <w:rsid w:val="0027523D"/>
    <w:rsid w:val="00275374"/>
    <w:rsid w:val="002754C6"/>
    <w:rsid w:val="00275ECB"/>
    <w:rsid w:val="00275F13"/>
    <w:rsid w:val="00276B82"/>
    <w:rsid w:val="002770B4"/>
    <w:rsid w:val="002774DD"/>
    <w:rsid w:val="00277615"/>
    <w:rsid w:val="00277BAE"/>
    <w:rsid w:val="00280154"/>
    <w:rsid w:val="002803CF"/>
    <w:rsid w:val="002803E8"/>
    <w:rsid w:val="002809A0"/>
    <w:rsid w:val="00280C0A"/>
    <w:rsid w:val="00281778"/>
    <w:rsid w:val="0028237F"/>
    <w:rsid w:val="00282389"/>
    <w:rsid w:val="00282F9E"/>
    <w:rsid w:val="002840D4"/>
    <w:rsid w:val="00284A8D"/>
    <w:rsid w:val="00284ECE"/>
    <w:rsid w:val="00284F84"/>
    <w:rsid w:val="002858D7"/>
    <w:rsid w:val="00285C6A"/>
    <w:rsid w:val="002861BC"/>
    <w:rsid w:val="00286B44"/>
    <w:rsid w:val="00287A15"/>
    <w:rsid w:val="00287EEC"/>
    <w:rsid w:val="002900B2"/>
    <w:rsid w:val="0029023E"/>
    <w:rsid w:val="002902D6"/>
    <w:rsid w:val="0029047C"/>
    <w:rsid w:val="002904C0"/>
    <w:rsid w:val="00290651"/>
    <w:rsid w:val="00290951"/>
    <w:rsid w:val="00290E98"/>
    <w:rsid w:val="0029152A"/>
    <w:rsid w:val="002915F9"/>
    <w:rsid w:val="00291875"/>
    <w:rsid w:val="00291EE3"/>
    <w:rsid w:val="00292DB1"/>
    <w:rsid w:val="00293325"/>
    <w:rsid w:val="00293A4F"/>
    <w:rsid w:val="00294222"/>
    <w:rsid w:val="00294BC5"/>
    <w:rsid w:val="00294FBD"/>
    <w:rsid w:val="0029520F"/>
    <w:rsid w:val="0029573A"/>
    <w:rsid w:val="00295E19"/>
    <w:rsid w:val="00295F97"/>
    <w:rsid w:val="0029682E"/>
    <w:rsid w:val="00296B70"/>
    <w:rsid w:val="00296BA3"/>
    <w:rsid w:val="00296F6A"/>
    <w:rsid w:val="0029732F"/>
    <w:rsid w:val="002A0326"/>
    <w:rsid w:val="002A0E2D"/>
    <w:rsid w:val="002A10AD"/>
    <w:rsid w:val="002A13B1"/>
    <w:rsid w:val="002A17A9"/>
    <w:rsid w:val="002A2531"/>
    <w:rsid w:val="002A2E3B"/>
    <w:rsid w:val="002A3448"/>
    <w:rsid w:val="002A3576"/>
    <w:rsid w:val="002A38A2"/>
    <w:rsid w:val="002A3A02"/>
    <w:rsid w:val="002A4148"/>
    <w:rsid w:val="002A43F0"/>
    <w:rsid w:val="002A4562"/>
    <w:rsid w:val="002A4A68"/>
    <w:rsid w:val="002A4C55"/>
    <w:rsid w:val="002A5095"/>
    <w:rsid w:val="002A55EF"/>
    <w:rsid w:val="002A5636"/>
    <w:rsid w:val="002A5793"/>
    <w:rsid w:val="002A5DDE"/>
    <w:rsid w:val="002A5F95"/>
    <w:rsid w:val="002A60BD"/>
    <w:rsid w:val="002A65F8"/>
    <w:rsid w:val="002A682F"/>
    <w:rsid w:val="002A7391"/>
    <w:rsid w:val="002A7742"/>
    <w:rsid w:val="002A7C2C"/>
    <w:rsid w:val="002B0FB2"/>
    <w:rsid w:val="002B1057"/>
    <w:rsid w:val="002B15A1"/>
    <w:rsid w:val="002B18E3"/>
    <w:rsid w:val="002B1A39"/>
    <w:rsid w:val="002B1C5A"/>
    <w:rsid w:val="002B1D44"/>
    <w:rsid w:val="002B278D"/>
    <w:rsid w:val="002B2C2A"/>
    <w:rsid w:val="002B2DED"/>
    <w:rsid w:val="002B3789"/>
    <w:rsid w:val="002B3932"/>
    <w:rsid w:val="002B3EF5"/>
    <w:rsid w:val="002B3F3A"/>
    <w:rsid w:val="002B419E"/>
    <w:rsid w:val="002B420D"/>
    <w:rsid w:val="002B450F"/>
    <w:rsid w:val="002B47EB"/>
    <w:rsid w:val="002B495E"/>
    <w:rsid w:val="002B4A68"/>
    <w:rsid w:val="002B4D93"/>
    <w:rsid w:val="002B540B"/>
    <w:rsid w:val="002B5DEA"/>
    <w:rsid w:val="002B6EDC"/>
    <w:rsid w:val="002B77BC"/>
    <w:rsid w:val="002B79E2"/>
    <w:rsid w:val="002B7B4E"/>
    <w:rsid w:val="002C0491"/>
    <w:rsid w:val="002C04DA"/>
    <w:rsid w:val="002C07BA"/>
    <w:rsid w:val="002C1809"/>
    <w:rsid w:val="002C1865"/>
    <w:rsid w:val="002C1D6E"/>
    <w:rsid w:val="002C210F"/>
    <w:rsid w:val="002C260E"/>
    <w:rsid w:val="002C3B3D"/>
    <w:rsid w:val="002C3FB1"/>
    <w:rsid w:val="002C503D"/>
    <w:rsid w:val="002C58CB"/>
    <w:rsid w:val="002C618A"/>
    <w:rsid w:val="002C62E0"/>
    <w:rsid w:val="002C6309"/>
    <w:rsid w:val="002C6F9D"/>
    <w:rsid w:val="002C7498"/>
    <w:rsid w:val="002C7FF1"/>
    <w:rsid w:val="002D045D"/>
    <w:rsid w:val="002D1375"/>
    <w:rsid w:val="002D150D"/>
    <w:rsid w:val="002D1799"/>
    <w:rsid w:val="002D1D11"/>
    <w:rsid w:val="002D24FF"/>
    <w:rsid w:val="002D2DB0"/>
    <w:rsid w:val="002D31ED"/>
    <w:rsid w:val="002D3BAB"/>
    <w:rsid w:val="002D401C"/>
    <w:rsid w:val="002D4B91"/>
    <w:rsid w:val="002D4E72"/>
    <w:rsid w:val="002D4FF3"/>
    <w:rsid w:val="002D56DD"/>
    <w:rsid w:val="002D6290"/>
    <w:rsid w:val="002D68A8"/>
    <w:rsid w:val="002D73D4"/>
    <w:rsid w:val="002D7447"/>
    <w:rsid w:val="002D75E6"/>
    <w:rsid w:val="002D7FE5"/>
    <w:rsid w:val="002E0E40"/>
    <w:rsid w:val="002E0F9D"/>
    <w:rsid w:val="002E178E"/>
    <w:rsid w:val="002E1D81"/>
    <w:rsid w:val="002E280F"/>
    <w:rsid w:val="002E29C0"/>
    <w:rsid w:val="002E2D30"/>
    <w:rsid w:val="002E2E66"/>
    <w:rsid w:val="002E496E"/>
    <w:rsid w:val="002E59D5"/>
    <w:rsid w:val="002E5AEB"/>
    <w:rsid w:val="002E5B4E"/>
    <w:rsid w:val="002E69EA"/>
    <w:rsid w:val="002E7297"/>
    <w:rsid w:val="002E7716"/>
    <w:rsid w:val="002E77B7"/>
    <w:rsid w:val="002F006F"/>
    <w:rsid w:val="002F0944"/>
    <w:rsid w:val="002F0F74"/>
    <w:rsid w:val="002F1153"/>
    <w:rsid w:val="002F13CA"/>
    <w:rsid w:val="002F199E"/>
    <w:rsid w:val="002F1C90"/>
    <w:rsid w:val="002F26F3"/>
    <w:rsid w:val="002F2A59"/>
    <w:rsid w:val="002F2D00"/>
    <w:rsid w:val="002F312F"/>
    <w:rsid w:val="002F3CBC"/>
    <w:rsid w:val="002F4AE7"/>
    <w:rsid w:val="002F4CAB"/>
    <w:rsid w:val="002F4E20"/>
    <w:rsid w:val="002F4EF1"/>
    <w:rsid w:val="002F57FC"/>
    <w:rsid w:val="002F5BCA"/>
    <w:rsid w:val="002F6BF9"/>
    <w:rsid w:val="002F75B4"/>
    <w:rsid w:val="003005EB"/>
    <w:rsid w:val="00300605"/>
    <w:rsid w:val="00301465"/>
    <w:rsid w:val="00301508"/>
    <w:rsid w:val="00301CE8"/>
    <w:rsid w:val="003028E1"/>
    <w:rsid w:val="00302F21"/>
    <w:rsid w:val="00303125"/>
    <w:rsid w:val="0030326A"/>
    <w:rsid w:val="00303533"/>
    <w:rsid w:val="00303874"/>
    <w:rsid w:val="00304074"/>
    <w:rsid w:val="00304C9C"/>
    <w:rsid w:val="00305632"/>
    <w:rsid w:val="00305F94"/>
    <w:rsid w:val="003063CF"/>
    <w:rsid w:val="003067D2"/>
    <w:rsid w:val="00306B99"/>
    <w:rsid w:val="00306F2E"/>
    <w:rsid w:val="00307E41"/>
    <w:rsid w:val="00310010"/>
    <w:rsid w:val="00310266"/>
    <w:rsid w:val="00311BF0"/>
    <w:rsid w:val="00311E06"/>
    <w:rsid w:val="00311E6A"/>
    <w:rsid w:val="00312808"/>
    <w:rsid w:val="0031282C"/>
    <w:rsid w:val="003128A5"/>
    <w:rsid w:val="003136B5"/>
    <w:rsid w:val="00313B7C"/>
    <w:rsid w:val="00314340"/>
    <w:rsid w:val="003145E7"/>
    <w:rsid w:val="0031475B"/>
    <w:rsid w:val="003148C5"/>
    <w:rsid w:val="00314927"/>
    <w:rsid w:val="003154FB"/>
    <w:rsid w:val="00315535"/>
    <w:rsid w:val="003155FD"/>
    <w:rsid w:val="00315E45"/>
    <w:rsid w:val="0031604C"/>
    <w:rsid w:val="00317A19"/>
    <w:rsid w:val="00317B9F"/>
    <w:rsid w:val="00317DAF"/>
    <w:rsid w:val="003200EA"/>
    <w:rsid w:val="003208B8"/>
    <w:rsid w:val="00320976"/>
    <w:rsid w:val="00320CA7"/>
    <w:rsid w:val="003210F0"/>
    <w:rsid w:val="00321568"/>
    <w:rsid w:val="00321D42"/>
    <w:rsid w:val="00322257"/>
    <w:rsid w:val="00323196"/>
    <w:rsid w:val="0032346A"/>
    <w:rsid w:val="00323540"/>
    <w:rsid w:val="00324106"/>
    <w:rsid w:val="00324273"/>
    <w:rsid w:val="00324318"/>
    <w:rsid w:val="00324324"/>
    <w:rsid w:val="003246E6"/>
    <w:rsid w:val="00324FEB"/>
    <w:rsid w:val="00325D54"/>
    <w:rsid w:val="0032615C"/>
    <w:rsid w:val="00326A54"/>
    <w:rsid w:val="00326CA4"/>
    <w:rsid w:val="00326F2E"/>
    <w:rsid w:val="00327254"/>
    <w:rsid w:val="0032799D"/>
    <w:rsid w:val="00330412"/>
    <w:rsid w:val="00331239"/>
    <w:rsid w:val="00331329"/>
    <w:rsid w:val="00331775"/>
    <w:rsid w:val="00331833"/>
    <w:rsid w:val="003325B2"/>
    <w:rsid w:val="00333076"/>
    <w:rsid w:val="003331BF"/>
    <w:rsid w:val="00333737"/>
    <w:rsid w:val="00333DC6"/>
    <w:rsid w:val="00334165"/>
    <w:rsid w:val="00334AC5"/>
    <w:rsid w:val="00334E09"/>
    <w:rsid w:val="00334E36"/>
    <w:rsid w:val="003351F7"/>
    <w:rsid w:val="00335A26"/>
    <w:rsid w:val="00335CEC"/>
    <w:rsid w:val="00335D20"/>
    <w:rsid w:val="00335F8B"/>
    <w:rsid w:val="00336FC6"/>
    <w:rsid w:val="003374AC"/>
    <w:rsid w:val="003378D9"/>
    <w:rsid w:val="00337C57"/>
    <w:rsid w:val="00337EC5"/>
    <w:rsid w:val="00340329"/>
    <w:rsid w:val="0034034A"/>
    <w:rsid w:val="0034080D"/>
    <w:rsid w:val="00340A2D"/>
    <w:rsid w:val="003414C2"/>
    <w:rsid w:val="003417A8"/>
    <w:rsid w:val="00341AF8"/>
    <w:rsid w:val="00341CB5"/>
    <w:rsid w:val="00342D05"/>
    <w:rsid w:val="003430DB"/>
    <w:rsid w:val="003439E7"/>
    <w:rsid w:val="00343B87"/>
    <w:rsid w:val="00344250"/>
    <w:rsid w:val="003445ED"/>
    <w:rsid w:val="00344AD6"/>
    <w:rsid w:val="0034534C"/>
    <w:rsid w:val="003456DE"/>
    <w:rsid w:val="00345894"/>
    <w:rsid w:val="00345A6B"/>
    <w:rsid w:val="00345F49"/>
    <w:rsid w:val="00346325"/>
    <w:rsid w:val="00346911"/>
    <w:rsid w:val="0034695B"/>
    <w:rsid w:val="00346E94"/>
    <w:rsid w:val="00346FA8"/>
    <w:rsid w:val="00347471"/>
    <w:rsid w:val="00347974"/>
    <w:rsid w:val="00347A78"/>
    <w:rsid w:val="00347E0E"/>
    <w:rsid w:val="0035138D"/>
    <w:rsid w:val="00351838"/>
    <w:rsid w:val="00351CE9"/>
    <w:rsid w:val="003522CD"/>
    <w:rsid w:val="00353930"/>
    <w:rsid w:val="0035408F"/>
    <w:rsid w:val="00354280"/>
    <w:rsid w:val="00355530"/>
    <w:rsid w:val="00356506"/>
    <w:rsid w:val="003565BF"/>
    <w:rsid w:val="00356AAE"/>
    <w:rsid w:val="003578B7"/>
    <w:rsid w:val="00357F04"/>
    <w:rsid w:val="003600E3"/>
    <w:rsid w:val="0036017B"/>
    <w:rsid w:val="003605E5"/>
    <w:rsid w:val="00360C1C"/>
    <w:rsid w:val="00361683"/>
    <w:rsid w:val="00361CF9"/>
    <w:rsid w:val="00361E6A"/>
    <w:rsid w:val="003620C9"/>
    <w:rsid w:val="00362AB5"/>
    <w:rsid w:val="00362C40"/>
    <w:rsid w:val="00364C61"/>
    <w:rsid w:val="00364E45"/>
    <w:rsid w:val="00365243"/>
    <w:rsid w:val="003658B2"/>
    <w:rsid w:val="003660C3"/>
    <w:rsid w:val="00366502"/>
    <w:rsid w:val="00367448"/>
    <w:rsid w:val="003674A3"/>
    <w:rsid w:val="0036760C"/>
    <w:rsid w:val="00367FE0"/>
    <w:rsid w:val="00370844"/>
    <w:rsid w:val="003710E3"/>
    <w:rsid w:val="00371FB8"/>
    <w:rsid w:val="00372232"/>
    <w:rsid w:val="0037326C"/>
    <w:rsid w:val="00373C98"/>
    <w:rsid w:val="00373F67"/>
    <w:rsid w:val="003741F9"/>
    <w:rsid w:val="003745FE"/>
    <w:rsid w:val="00374812"/>
    <w:rsid w:val="003760DB"/>
    <w:rsid w:val="00376598"/>
    <w:rsid w:val="003767F2"/>
    <w:rsid w:val="003777A0"/>
    <w:rsid w:val="003778C0"/>
    <w:rsid w:val="00377940"/>
    <w:rsid w:val="00377F86"/>
    <w:rsid w:val="00380173"/>
    <w:rsid w:val="0038082B"/>
    <w:rsid w:val="003808AB"/>
    <w:rsid w:val="003815E0"/>
    <w:rsid w:val="00381918"/>
    <w:rsid w:val="00381B07"/>
    <w:rsid w:val="00381B8F"/>
    <w:rsid w:val="0038226A"/>
    <w:rsid w:val="00382F4A"/>
    <w:rsid w:val="003833C9"/>
    <w:rsid w:val="00383B64"/>
    <w:rsid w:val="003843EC"/>
    <w:rsid w:val="003843F4"/>
    <w:rsid w:val="0038492A"/>
    <w:rsid w:val="00384B7D"/>
    <w:rsid w:val="0038507B"/>
    <w:rsid w:val="00385318"/>
    <w:rsid w:val="003858C2"/>
    <w:rsid w:val="00385969"/>
    <w:rsid w:val="00385A1D"/>
    <w:rsid w:val="00385A6F"/>
    <w:rsid w:val="00386191"/>
    <w:rsid w:val="00386A48"/>
    <w:rsid w:val="0038700B"/>
    <w:rsid w:val="003872D2"/>
    <w:rsid w:val="003872E5"/>
    <w:rsid w:val="00387B5D"/>
    <w:rsid w:val="00387DAA"/>
    <w:rsid w:val="00387EFD"/>
    <w:rsid w:val="00390B8B"/>
    <w:rsid w:val="00390D99"/>
    <w:rsid w:val="003922D2"/>
    <w:rsid w:val="00393370"/>
    <w:rsid w:val="003933BC"/>
    <w:rsid w:val="00393E8D"/>
    <w:rsid w:val="00394397"/>
    <w:rsid w:val="00394F8D"/>
    <w:rsid w:val="00395E91"/>
    <w:rsid w:val="00396283"/>
    <w:rsid w:val="00396635"/>
    <w:rsid w:val="00396AD7"/>
    <w:rsid w:val="00396CB2"/>
    <w:rsid w:val="00397ABA"/>
    <w:rsid w:val="003A0651"/>
    <w:rsid w:val="003A0B6E"/>
    <w:rsid w:val="003A0D8B"/>
    <w:rsid w:val="003A0FBF"/>
    <w:rsid w:val="003A1959"/>
    <w:rsid w:val="003A1DB9"/>
    <w:rsid w:val="003A1EF7"/>
    <w:rsid w:val="003A2069"/>
    <w:rsid w:val="003A3A3D"/>
    <w:rsid w:val="003A3FA7"/>
    <w:rsid w:val="003A49CB"/>
    <w:rsid w:val="003A504C"/>
    <w:rsid w:val="003A525A"/>
    <w:rsid w:val="003A52A2"/>
    <w:rsid w:val="003A5B2E"/>
    <w:rsid w:val="003A5CF6"/>
    <w:rsid w:val="003A601A"/>
    <w:rsid w:val="003A6110"/>
    <w:rsid w:val="003A6971"/>
    <w:rsid w:val="003A6D9C"/>
    <w:rsid w:val="003A6E43"/>
    <w:rsid w:val="003A70AE"/>
    <w:rsid w:val="003A78AE"/>
    <w:rsid w:val="003A7B54"/>
    <w:rsid w:val="003A7BC6"/>
    <w:rsid w:val="003B0246"/>
    <w:rsid w:val="003B086C"/>
    <w:rsid w:val="003B0B52"/>
    <w:rsid w:val="003B10A8"/>
    <w:rsid w:val="003B141F"/>
    <w:rsid w:val="003B165B"/>
    <w:rsid w:val="003B203D"/>
    <w:rsid w:val="003B2A88"/>
    <w:rsid w:val="003B2C8B"/>
    <w:rsid w:val="003B3201"/>
    <w:rsid w:val="003B3D52"/>
    <w:rsid w:val="003B417B"/>
    <w:rsid w:val="003B44EA"/>
    <w:rsid w:val="003B4F7B"/>
    <w:rsid w:val="003B522D"/>
    <w:rsid w:val="003B5586"/>
    <w:rsid w:val="003B5A32"/>
    <w:rsid w:val="003B5BD9"/>
    <w:rsid w:val="003B704B"/>
    <w:rsid w:val="003B76BA"/>
    <w:rsid w:val="003B7F09"/>
    <w:rsid w:val="003C04DE"/>
    <w:rsid w:val="003C0B0A"/>
    <w:rsid w:val="003C0E61"/>
    <w:rsid w:val="003C12BC"/>
    <w:rsid w:val="003C13B7"/>
    <w:rsid w:val="003C13C0"/>
    <w:rsid w:val="003C145A"/>
    <w:rsid w:val="003C1B1E"/>
    <w:rsid w:val="003C253B"/>
    <w:rsid w:val="003C2CD9"/>
    <w:rsid w:val="003C2E78"/>
    <w:rsid w:val="003C2FBF"/>
    <w:rsid w:val="003C3273"/>
    <w:rsid w:val="003C3A71"/>
    <w:rsid w:val="003C3ED2"/>
    <w:rsid w:val="003C4497"/>
    <w:rsid w:val="003C4852"/>
    <w:rsid w:val="003C4879"/>
    <w:rsid w:val="003C4E2E"/>
    <w:rsid w:val="003C511B"/>
    <w:rsid w:val="003C5B40"/>
    <w:rsid w:val="003C60A0"/>
    <w:rsid w:val="003C636F"/>
    <w:rsid w:val="003C63C0"/>
    <w:rsid w:val="003C7360"/>
    <w:rsid w:val="003C7901"/>
    <w:rsid w:val="003D050A"/>
    <w:rsid w:val="003D054E"/>
    <w:rsid w:val="003D06C2"/>
    <w:rsid w:val="003D0849"/>
    <w:rsid w:val="003D1872"/>
    <w:rsid w:val="003D1D98"/>
    <w:rsid w:val="003D1DDC"/>
    <w:rsid w:val="003D26FE"/>
    <w:rsid w:val="003D270D"/>
    <w:rsid w:val="003D29DE"/>
    <w:rsid w:val="003D3637"/>
    <w:rsid w:val="003D36AC"/>
    <w:rsid w:val="003D3BA4"/>
    <w:rsid w:val="003D4146"/>
    <w:rsid w:val="003D416D"/>
    <w:rsid w:val="003D4716"/>
    <w:rsid w:val="003D4804"/>
    <w:rsid w:val="003D4853"/>
    <w:rsid w:val="003D499C"/>
    <w:rsid w:val="003D4A1C"/>
    <w:rsid w:val="003D4AA0"/>
    <w:rsid w:val="003D52A8"/>
    <w:rsid w:val="003D5529"/>
    <w:rsid w:val="003D596D"/>
    <w:rsid w:val="003D5F8D"/>
    <w:rsid w:val="003D603E"/>
    <w:rsid w:val="003D6195"/>
    <w:rsid w:val="003D669F"/>
    <w:rsid w:val="003D69C7"/>
    <w:rsid w:val="003D6BD4"/>
    <w:rsid w:val="003D6BF6"/>
    <w:rsid w:val="003D7197"/>
    <w:rsid w:val="003D757E"/>
    <w:rsid w:val="003D7A5B"/>
    <w:rsid w:val="003D7FD4"/>
    <w:rsid w:val="003E0146"/>
    <w:rsid w:val="003E0228"/>
    <w:rsid w:val="003E02E9"/>
    <w:rsid w:val="003E0652"/>
    <w:rsid w:val="003E082D"/>
    <w:rsid w:val="003E09EF"/>
    <w:rsid w:val="003E10C3"/>
    <w:rsid w:val="003E215D"/>
    <w:rsid w:val="003E24EF"/>
    <w:rsid w:val="003E35B8"/>
    <w:rsid w:val="003E51A1"/>
    <w:rsid w:val="003E525A"/>
    <w:rsid w:val="003E585E"/>
    <w:rsid w:val="003E6865"/>
    <w:rsid w:val="003E6BB0"/>
    <w:rsid w:val="003E7300"/>
    <w:rsid w:val="003E740E"/>
    <w:rsid w:val="003E75A4"/>
    <w:rsid w:val="003E7ABA"/>
    <w:rsid w:val="003E7D19"/>
    <w:rsid w:val="003F0657"/>
    <w:rsid w:val="003F06B2"/>
    <w:rsid w:val="003F0A0C"/>
    <w:rsid w:val="003F0E4C"/>
    <w:rsid w:val="003F1208"/>
    <w:rsid w:val="003F1280"/>
    <w:rsid w:val="003F13A2"/>
    <w:rsid w:val="003F1557"/>
    <w:rsid w:val="003F19BE"/>
    <w:rsid w:val="003F1A96"/>
    <w:rsid w:val="003F1CBD"/>
    <w:rsid w:val="003F1D54"/>
    <w:rsid w:val="003F1E2D"/>
    <w:rsid w:val="003F3108"/>
    <w:rsid w:val="003F3363"/>
    <w:rsid w:val="003F34AF"/>
    <w:rsid w:val="003F3B61"/>
    <w:rsid w:val="003F3C73"/>
    <w:rsid w:val="003F3CDC"/>
    <w:rsid w:val="003F3EC2"/>
    <w:rsid w:val="003F4170"/>
    <w:rsid w:val="003F489D"/>
    <w:rsid w:val="003F49B4"/>
    <w:rsid w:val="003F4A4F"/>
    <w:rsid w:val="003F5925"/>
    <w:rsid w:val="003F6291"/>
    <w:rsid w:val="003F6353"/>
    <w:rsid w:val="003F63C4"/>
    <w:rsid w:val="003F6AE2"/>
    <w:rsid w:val="003F6FA3"/>
    <w:rsid w:val="003F7336"/>
    <w:rsid w:val="003F782F"/>
    <w:rsid w:val="003F7B56"/>
    <w:rsid w:val="003F7DFB"/>
    <w:rsid w:val="004001E2"/>
    <w:rsid w:val="00400B1D"/>
    <w:rsid w:val="00400B57"/>
    <w:rsid w:val="00400B61"/>
    <w:rsid w:val="00402582"/>
    <w:rsid w:val="00402672"/>
    <w:rsid w:val="00402FDC"/>
    <w:rsid w:val="004030DD"/>
    <w:rsid w:val="0040359A"/>
    <w:rsid w:val="00403686"/>
    <w:rsid w:val="00404604"/>
    <w:rsid w:val="00404E26"/>
    <w:rsid w:val="00404F7C"/>
    <w:rsid w:val="00405131"/>
    <w:rsid w:val="0040645D"/>
    <w:rsid w:val="00406488"/>
    <w:rsid w:val="004076C5"/>
    <w:rsid w:val="00407BE2"/>
    <w:rsid w:val="00410855"/>
    <w:rsid w:val="00410A11"/>
    <w:rsid w:val="00410FA7"/>
    <w:rsid w:val="004120E7"/>
    <w:rsid w:val="00412169"/>
    <w:rsid w:val="004121EB"/>
    <w:rsid w:val="004127D9"/>
    <w:rsid w:val="00412894"/>
    <w:rsid w:val="004129AD"/>
    <w:rsid w:val="00412AC3"/>
    <w:rsid w:val="004133F9"/>
    <w:rsid w:val="00413EFE"/>
    <w:rsid w:val="00414514"/>
    <w:rsid w:val="00414B1F"/>
    <w:rsid w:val="00414B5B"/>
    <w:rsid w:val="004153CD"/>
    <w:rsid w:val="004157F6"/>
    <w:rsid w:val="004158F5"/>
    <w:rsid w:val="004161BD"/>
    <w:rsid w:val="004164A6"/>
    <w:rsid w:val="004169A4"/>
    <w:rsid w:val="00416CA4"/>
    <w:rsid w:val="00416E04"/>
    <w:rsid w:val="004173CF"/>
    <w:rsid w:val="004175B7"/>
    <w:rsid w:val="004179E6"/>
    <w:rsid w:val="00417C16"/>
    <w:rsid w:val="00420668"/>
    <w:rsid w:val="0042068D"/>
    <w:rsid w:val="004209C2"/>
    <w:rsid w:val="00420AEC"/>
    <w:rsid w:val="0042129C"/>
    <w:rsid w:val="00421475"/>
    <w:rsid w:val="0042198D"/>
    <w:rsid w:val="004219E6"/>
    <w:rsid w:val="00423934"/>
    <w:rsid w:val="00423ACA"/>
    <w:rsid w:val="00423C4E"/>
    <w:rsid w:val="00423D7B"/>
    <w:rsid w:val="00423D85"/>
    <w:rsid w:val="00424198"/>
    <w:rsid w:val="00424389"/>
    <w:rsid w:val="00424DC6"/>
    <w:rsid w:val="0042511F"/>
    <w:rsid w:val="0042529B"/>
    <w:rsid w:val="00425575"/>
    <w:rsid w:val="00425707"/>
    <w:rsid w:val="004258C5"/>
    <w:rsid w:val="00425DE6"/>
    <w:rsid w:val="00425E29"/>
    <w:rsid w:val="00426250"/>
    <w:rsid w:val="004269BB"/>
    <w:rsid w:val="00426F5F"/>
    <w:rsid w:val="00427385"/>
    <w:rsid w:val="004273E5"/>
    <w:rsid w:val="0042790E"/>
    <w:rsid w:val="00427A54"/>
    <w:rsid w:val="00427E80"/>
    <w:rsid w:val="00430382"/>
    <w:rsid w:val="004315EB"/>
    <w:rsid w:val="004316E3"/>
    <w:rsid w:val="00431BFA"/>
    <w:rsid w:val="00431C31"/>
    <w:rsid w:val="00432085"/>
    <w:rsid w:val="00432468"/>
    <w:rsid w:val="00433231"/>
    <w:rsid w:val="004338D0"/>
    <w:rsid w:val="00433931"/>
    <w:rsid w:val="004339B1"/>
    <w:rsid w:val="00433A55"/>
    <w:rsid w:val="00433B65"/>
    <w:rsid w:val="00433E16"/>
    <w:rsid w:val="00434E61"/>
    <w:rsid w:val="00435D60"/>
    <w:rsid w:val="00435DEC"/>
    <w:rsid w:val="0043690F"/>
    <w:rsid w:val="00436A3B"/>
    <w:rsid w:val="00436AE1"/>
    <w:rsid w:val="0043713B"/>
    <w:rsid w:val="00437887"/>
    <w:rsid w:val="00437BBF"/>
    <w:rsid w:val="00437D24"/>
    <w:rsid w:val="00437DA3"/>
    <w:rsid w:val="00440426"/>
    <w:rsid w:val="00440765"/>
    <w:rsid w:val="00441444"/>
    <w:rsid w:val="004417FD"/>
    <w:rsid w:val="004426E3"/>
    <w:rsid w:val="004429C3"/>
    <w:rsid w:val="00442A78"/>
    <w:rsid w:val="00442DD7"/>
    <w:rsid w:val="004433D3"/>
    <w:rsid w:val="0044402F"/>
    <w:rsid w:val="00444CF2"/>
    <w:rsid w:val="0044534A"/>
    <w:rsid w:val="00445648"/>
    <w:rsid w:val="0044603E"/>
    <w:rsid w:val="004461B0"/>
    <w:rsid w:val="004466BA"/>
    <w:rsid w:val="00446DCB"/>
    <w:rsid w:val="00447DBA"/>
    <w:rsid w:val="00450123"/>
    <w:rsid w:val="0045041F"/>
    <w:rsid w:val="00450AFB"/>
    <w:rsid w:val="004514A1"/>
    <w:rsid w:val="00452822"/>
    <w:rsid w:val="00452D45"/>
    <w:rsid w:val="00453238"/>
    <w:rsid w:val="00453546"/>
    <w:rsid w:val="00453895"/>
    <w:rsid w:val="004543BB"/>
    <w:rsid w:val="00454922"/>
    <w:rsid w:val="00454C57"/>
    <w:rsid w:val="00455834"/>
    <w:rsid w:val="00455EFE"/>
    <w:rsid w:val="0045694F"/>
    <w:rsid w:val="00456FA9"/>
    <w:rsid w:val="00457021"/>
    <w:rsid w:val="004574C9"/>
    <w:rsid w:val="004606FF"/>
    <w:rsid w:val="004607EC"/>
    <w:rsid w:val="00460B86"/>
    <w:rsid w:val="00460E30"/>
    <w:rsid w:val="0046106B"/>
    <w:rsid w:val="00461112"/>
    <w:rsid w:val="00461275"/>
    <w:rsid w:val="004612AB"/>
    <w:rsid w:val="00461D76"/>
    <w:rsid w:val="00461E02"/>
    <w:rsid w:val="00461F21"/>
    <w:rsid w:val="0046227C"/>
    <w:rsid w:val="004629B0"/>
    <w:rsid w:val="00462BA7"/>
    <w:rsid w:val="00462CD0"/>
    <w:rsid w:val="00463918"/>
    <w:rsid w:val="00463A2C"/>
    <w:rsid w:val="00463AE0"/>
    <w:rsid w:val="00463CD9"/>
    <w:rsid w:val="0046440F"/>
    <w:rsid w:val="0046501F"/>
    <w:rsid w:val="004667E7"/>
    <w:rsid w:val="00467163"/>
    <w:rsid w:val="00467449"/>
    <w:rsid w:val="004676B7"/>
    <w:rsid w:val="004677E9"/>
    <w:rsid w:val="00467875"/>
    <w:rsid w:val="00467EC2"/>
    <w:rsid w:val="004701A2"/>
    <w:rsid w:val="004705C0"/>
    <w:rsid w:val="00471005"/>
    <w:rsid w:val="004710AE"/>
    <w:rsid w:val="0047120B"/>
    <w:rsid w:val="00471338"/>
    <w:rsid w:val="004715C5"/>
    <w:rsid w:val="0047173B"/>
    <w:rsid w:val="004719F7"/>
    <w:rsid w:val="00471E74"/>
    <w:rsid w:val="004721FF"/>
    <w:rsid w:val="00472C67"/>
    <w:rsid w:val="00472F5B"/>
    <w:rsid w:val="004734F3"/>
    <w:rsid w:val="00473B5A"/>
    <w:rsid w:val="00473FFC"/>
    <w:rsid w:val="00474D46"/>
    <w:rsid w:val="004755A2"/>
    <w:rsid w:val="0047575A"/>
    <w:rsid w:val="00475A72"/>
    <w:rsid w:val="00475FDC"/>
    <w:rsid w:val="00476416"/>
    <w:rsid w:val="00476422"/>
    <w:rsid w:val="00476ACE"/>
    <w:rsid w:val="00476E68"/>
    <w:rsid w:val="00476EBB"/>
    <w:rsid w:val="004771F1"/>
    <w:rsid w:val="004776D4"/>
    <w:rsid w:val="00477F49"/>
    <w:rsid w:val="00480109"/>
    <w:rsid w:val="004808AC"/>
    <w:rsid w:val="00480AB2"/>
    <w:rsid w:val="0048106B"/>
    <w:rsid w:val="004813FA"/>
    <w:rsid w:val="00481C8A"/>
    <w:rsid w:val="00481CD2"/>
    <w:rsid w:val="00481D3D"/>
    <w:rsid w:val="00481ED4"/>
    <w:rsid w:val="00481F5E"/>
    <w:rsid w:val="004822A5"/>
    <w:rsid w:val="0048251C"/>
    <w:rsid w:val="00482B46"/>
    <w:rsid w:val="00482CC9"/>
    <w:rsid w:val="00482DB2"/>
    <w:rsid w:val="00483624"/>
    <w:rsid w:val="0048370A"/>
    <w:rsid w:val="00483C79"/>
    <w:rsid w:val="004844BC"/>
    <w:rsid w:val="004845BB"/>
    <w:rsid w:val="00484815"/>
    <w:rsid w:val="00484BB9"/>
    <w:rsid w:val="00485581"/>
    <w:rsid w:val="00485B72"/>
    <w:rsid w:val="00485EB1"/>
    <w:rsid w:val="0048620A"/>
    <w:rsid w:val="0048674C"/>
    <w:rsid w:val="00486D82"/>
    <w:rsid w:val="00486D8B"/>
    <w:rsid w:val="00486FE1"/>
    <w:rsid w:val="004879C7"/>
    <w:rsid w:val="00490D5B"/>
    <w:rsid w:val="004911B4"/>
    <w:rsid w:val="00491A5E"/>
    <w:rsid w:val="00491B0F"/>
    <w:rsid w:val="00492FA1"/>
    <w:rsid w:val="004936DB"/>
    <w:rsid w:val="00494B0D"/>
    <w:rsid w:val="0049565D"/>
    <w:rsid w:val="004958E6"/>
    <w:rsid w:val="00495948"/>
    <w:rsid w:val="00496A05"/>
    <w:rsid w:val="00496D84"/>
    <w:rsid w:val="00496D9B"/>
    <w:rsid w:val="00496E3E"/>
    <w:rsid w:val="00497463"/>
    <w:rsid w:val="00497889"/>
    <w:rsid w:val="004A0277"/>
    <w:rsid w:val="004A0850"/>
    <w:rsid w:val="004A0A49"/>
    <w:rsid w:val="004A25CD"/>
    <w:rsid w:val="004A2A16"/>
    <w:rsid w:val="004A2D9B"/>
    <w:rsid w:val="004A3627"/>
    <w:rsid w:val="004A39E6"/>
    <w:rsid w:val="004A3FDD"/>
    <w:rsid w:val="004A4066"/>
    <w:rsid w:val="004A4191"/>
    <w:rsid w:val="004A4BB1"/>
    <w:rsid w:val="004A581C"/>
    <w:rsid w:val="004A6708"/>
    <w:rsid w:val="004A77A6"/>
    <w:rsid w:val="004B0BDD"/>
    <w:rsid w:val="004B13F1"/>
    <w:rsid w:val="004B189C"/>
    <w:rsid w:val="004B25F9"/>
    <w:rsid w:val="004B29F2"/>
    <w:rsid w:val="004B2C6E"/>
    <w:rsid w:val="004B2C87"/>
    <w:rsid w:val="004B3760"/>
    <w:rsid w:val="004B3ED9"/>
    <w:rsid w:val="004B4422"/>
    <w:rsid w:val="004B4498"/>
    <w:rsid w:val="004B4F47"/>
    <w:rsid w:val="004B589B"/>
    <w:rsid w:val="004B5DB4"/>
    <w:rsid w:val="004B601A"/>
    <w:rsid w:val="004B6142"/>
    <w:rsid w:val="004B6563"/>
    <w:rsid w:val="004B6DE6"/>
    <w:rsid w:val="004B7425"/>
    <w:rsid w:val="004B76BE"/>
    <w:rsid w:val="004B79E1"/>
    <w:rsid w:val="004B7A32"/>
    <w:rsid w:val="004C07B2"/>
    <w:rsid w:val="004C09F8"/>
    <w:rsid w:val="004C0A70"/>
    <w:rsid w:val="004C10B3"/>
    <w:rsid w:val="004C1336"/>
    <w:rsid w:val="004C1BB4"/>
    <w:rsid w:val="004C1EE1"/>
    <w:rsid w:val="004C1F58"/>
    <w:rsid w:val="004C2151"/>
    <w:rsid w:val="004C283C"/>
    <w:rsid w:val="004C2CE1"/>
    <w:rsid w:val="004C3B2B"/>
    <w:rsid w:val="004C3C78"/>
    <w:rsid w:val="004C3FA9"/>
    <w:rsid w:val="004C402A"/>
    <w:rsid w:val="004C452A"/>
    <w:rsid w:val="004C4787"/>
    <w:rsid w:val="004C4843"/>
    <w:rsid w:val="004C4AAF"/>
    <w:rsid w:val="004C4B6A"/>
    <w:rsid w:val="004C4F9A"/>
    <w:rsid w:val="004C52F3"/>
    <w:rsid w:val="004C54E2"/>
    <w:rsid w:val="004C57D1"/>
    <w:rsid w:val="004C5800"/>
    <w:rsid w:val="004C5C4F"/>
    <w:rsid w:val="004C5D79"/>
    <w:rsid w:val="004C5D87"/>
    <w:rsid w:val="004C6344"/>
    <w:rsid w:val="004C642B"/>
    <w:rsid w:val="004C6ADF"/>
    <w:rsid w:val="004C76CE"/>
    <w:rsid w:val="004C7A3D"/>
    <w:rsid w:val="004C7B96"/>
    <w:rsid w:val="004C7E10"/>
    <w:rsid w:val="004D028E"/>
    <w:rsid w:val="004D037A"/>
    <w:rsid w:val="004D03DD"/>
    <w:rsid w:val="004D076F"/>
    <w:rsid w:val="004D1A85"/>
    <w:rsid w:val="004D23D2"/>
    <w:rsid w:val="004D4ADA"/>
    <w:rsid w:val="004D4D9B"/>
    <w:rsid w:val="004D500C"/>
    <w:rsid w:val="004D567D"/>
    <w:rsid w:val="004D5695"/>
    <w:rsid w:val="004D5B93"/>
    <w:rsid w:val="004D5DC1"/>
    <w:rsid w:val="004D5EB5"/>
    <w:rsid w:val="004D61B7"/>
    <w:rsid w:val="004D71A7"/>
    <w:rsid w:val="004D74E4"/>
    <w:rsid w:val="004D7B70"/>
    <w:rsid w:val="004E0211"/>
    <w:rsid w:val="004E0AF2"/>
    <w:rsid w:val="004E0FBC"/>
    <w:rsid w:val="004E114E"/>
    <w:rsid w:val="004E23DE"/>
    <w:rsid w:val="004E2A2A"/>
    <w:rsid w:val="004E2C6E"/>
    <w:rsid w:val="004E30C7"/>
    <w:rsid w:val="004E3446"/>
    <w:rsid w:val="004E352E"/>
    <w:rsid w:val="004E35EB"/>
    <w:rsid w:val="004E3621"/>
    <w:rsid w:val="004E4321"/>
    <w:rsid w:val="004E4348"/>
    <w:rsid w:val="004E44F4"/>
    <w:rsid w:val="004E5883"/>
    <w:rsid w:val="004E5B31"/>
    <w:rsid w:val="004E611C"/>
    <w:rsid w:val="004E6E94"/>
    <w:rsid w:val="004E6F29"/>
    <w:rsid w:val="004E6F38"/>
    <w:rsid w:val="004E738D"/>
    <w:rsid w:val="004E759F"/>
    <w:rsid w:val="004E7F50"/>
    <w:rsid w:val="004F0058"/>
    <w:rsid w:val="004F0E81"/>
    <w:rsid w:val="004F159B"/>
    <w:rsid w:val="004F17E5"/>
    <w:rsid w:val="004F1A7D"/>
    <w:rsid w:val="004F3093"/>
    <w:rsid w:val="004F39EA"/>
    <w:rsid w:val="004F3C89"/>
    <w:rsid w:val="004F3CFE"/>
    <w:rsid w:val="004F3ED3"/>
    <w:rsid w:val="004F498D"/>
    <w:rsid w:val="004F4A81"/>
    <w:rsid w:val="004F4CED"/>
    <w:rsid w:val="004F4DD3"/>
    <w:rsid w:val="004F595C"/>
    <w:rsid w:val="004F5B34"/>
    <w:rsid w:val="004F5EDB"/>
    <w:rsid w:val="004F5FFD"/>
    <w:rsid w:val="004F6584"/>
    <w:rsid w:val="004F67D8"/>
    <w:rsid w:val="004F6ABE"/>
    <w:rsid w:val="004F6CA6"/>
    <w:rsid w:val="004F75DA"/>
    <w:rsid w:val="00500062"/>
    <w:rsid w:val="00500255"/>
    <w:rsid w:val="0050064C"/>
    <w:rsid w:val="005008D5"/>
    <w:rsid w:val="0050099B"/>
    <w:rsid w:val="00500A1E"/>
    <w:rsid w:val="0050148B"/>
    <w:rsid w:val="005020B7"/>
    <w:rsid w:val="00502670"/>
    <w:rsid w:val="005033BD"/>
    <w:rsid w:val="00504320"/>
    <w:rsid w:val="00504605"/>
    <w:rsid w:val="00504708"/>
    <w:rsid w:val="005048C5"/>
    <w:rsid w:val="00504A69"/>
    <w:rsid w:val="005055E6"/>
    <w:rsid w:val="00505A7B"/>
    <w:rsid w:val="00505F20"/>
    <w:rsid w:val="00506122"/>
    <w:rsid w:val="00506CD3"/>
    <w:rsid w:val="00506D78"/>
    <w:rsid w:val="005074DA"/>
    <w:rsid w:val="00507941"/>
    <w:rsid w:val="00507BCB"/>
    <w:rsid w:val="00507CEA"/>
    <w:rsid w:val="00507FF3"/>
    <w:rsid w:val="00510043"/>
    <w:rsid w:val="0051012A"/>
    <w:rsid w:val="005108ED"/>
    <w:rsid w:val="00510FD3"/>
    <w:rsid w:val="00511CC7"/>
    <w:rsid w:val="0051243D"/>
    <w:rsid w:val="005124B1"/>
    <w:rsid w:val="00512DEE"/>
    <w:rsid w:val="00512E66"/>
    <w:rsid w:val="0051321B"/>
    <w:rsid w:val="0051377B"/>
    <w:rsid w:val="005139ED"/>
    <w:rsid w:val="00513E73"/>
    <w:rsid w:val="00514F67"/>
    <w:rsid w:val="005151A6"/>
    <w:rsid w:val="005157B9"/>
    <w:rsid w:val="00515868"/>
    <w:rsid w:val="00516458"/>
    <w:rsid w:val="00516625"/>
    <w:rsid w:val="00516CBD"/>
    <w:rsid w:val="00517231"/>
    <w:rsid w:val="00517519"/>
    <w:rsid w:val="00517B1E"/>
    <w:rsid w:val="005201D7"/>
    <w:rsid w:val="00520256"/>
    <w:rsid w:val="0052042D"/>
    <w:rsid w:val="00520CB3"/>
    <w:rsid w:val="00520D9B"/>
    <w:rsid w:val="00520FB8"/>
    <w:rsid w:val="00521291"/>
    <w:rsid w:val="00521748"/>
    <w:rsid w:val="00521AEF"/>
    <w:rsid w:val="00521ED7"/>
    <w:rsid w:val="0052233C"/>
    <w:rsid w:val="005225F7"/>
    <w:rsid w:val="005225F9"/>
    <w:rsid w:val="00522E81"/>
    <w:rsid w:val="0052344B"/>
    <w:rsid w:val="005239BC"/>
    <w:rsid w:val="00523DAB"/>
    <w:rsid w:val="0052444F"/>
    <w:rsid w:val="005246C6"/>
    <w:rsid w:val="00524E53"/>
    <w:rsid w:val="00525B7F"/>
    <w:rsid w:val="00526BF0"/>
    <w:rsid w:val="00526E2C"/>
    <w:rsid w:val="00527249"/>
    <w:rsid w:val="0052743A"/>
    <w:rsid w:val="0053200B"/>
    <w:rsid w:val="005322D4"/>
    <w:rsid w:val="0053237F"/>
    <w:rsid w:val="00533113"/>
    <w:rsid w:val="00533793"/>
    <w:rsid w:val="00533A00"/>
    <w:rsid w:val="00534405"/>
    <w:rsid w:val="00534588"/>
    <w:rsid w:val="00534A57"/>
    <w:rsid w:val="00534E8E"/>
    <w:rsid w:val="005351C5"/>
    <w:rsid w:val="005359FF"/>
    <w:rsid w:val="0053626C"/>
    <w:rsid w:val="005364B9"/>
    <w:rsid w:val="00536EA5"/>
    <w:rsid w:val="005371D4"/>
    <w:rsid w:val="00537F34"/>
    <w:rsid w:val="0054041E"/>
    <w:rsid w:val="005406A3"/>
    <w:rsid w:val="00541274"/>
    <w:rsid w:val="005415B9"/>
    <w:rsid w:val="00541E0F"/>
    <w:rsid w:val="00542588"/>
    <w:rsid w:val="005425A1"/>
    <w:rsid w:val="005425AC"/>
    <w:rsid w:val="00542728"/>
    <w:rsid w:val="00542E21"/>
    <w:rsid w:val="00542E4B"/>
    <w:rsid w:val="00544151"/>
    <w:rsid w:val="00544C4E"/>
    <w:rsid w:val="00545ACF"/>
    <w:rsid w:val="00546194"/>
    <w:rsid w:val="0054636E"/>
    <w:rsid w:val="00546568"/>
    <w:rsid w:val="00547423"/>
    <w:rsid w:val="00547CF7"/>
    <w:rsid w:val="00547D7D"/>
    <w:rsid w:val="005500BB"/>
    <w:rsid w:val="00550BFF"/>
    <w:rsid w:val="00550C41"/>
    <w:rsid w:val="00550E82"/>
    <w:rsid w:val="00551293"/>
    <w:rsid w:val="0055179C"/>
    <w:rsid w:val="00551B40"/>
    <w:rsid w:val="0055211E"/>
    <w:rsid w:val="0055357B"/>
    <w:rsid w:val="00553675"/>
    <w:rsid w:val="00553DBB"/>
    <w:rsid w:val="00554920"/>
    <w:rsid w:val="00554AC7"/>
    <w:rsid w:val="00555FAD"/>
    <w:rsid w:val="005560E5"/>
    <w:rsid w:val="0055666F"/>
    <w:rsid w:val="005566F7"/>
    <w:rsid w:val="00556A62"/>
    <w:rsid w:val="00556B84"/>
    <w:rsid w:val="00556C23"/>
    <w:rsid w:val="00557CFB"/>
    <w:rsid w:val="00560152"/>
    <w:rsid w:val="00560268"/>
    <w:rsid w:val="00560EAD"/>
    <w:rsid w:val="00561175"/>
    <w:rsid w:val="00562475"/>
    <w:rsid w:val="00562523"/>
    <w:rsid w:val="00562737"/>
    <w:rsid w:val="00562794"/>
    <w:rsid w:val="00563209"/>
    <w:rsid w:val="0056355C"/>
    <w:rsid w:val="00563872"/>
    <w:rsid w:val="00563943"/>
    <w:rsid w:val="00563D3B"/>
    <w:rsid w:val="00564521"/>
    <w:rsid w:val="00564955"/>
    <w:rsid w:val="00566168"/>
    <w:rsid w:val="005669B2"/>
    <w:rsid w:val="00566A41"/>
    <w:rsid w:val="00566B16"/>
    <w:rsid w:val="00566E5B"/>
    <w:rsid w:val="00566E77"/>
    <w:rsid w:val="0056717E"/>
    <w:rsid w:val="005677BC"/>
    <w:rsid w:val="005678C8"/>
    <w:rsid w:val="005704DD"/>
    <w:rsid w:val="005715AA"/>
    <w:rsid w:val="00571E91"/>
    <w:rsid w:val="0057201D"/>
    <w:rsid w:val="0057246E"/>
    <w:rsid w:val="0057257B"/>
    <w:rsid w:val="005728A9"/>
    <w:rsid w:val="00572B4D"/>
    <w:rsid w:val="00572D13"/>
    <w:rsid w:val="005731BB"/>
    <w:rsid w:val="00573436"/>
    <w:rsid w:val="005742AC"/>
    <w:rsid w:val="0057471B"/>
    <w:rsid w:val="00574AE3"/>
    <w:rsid w:val="00574BF4"/>
    <w:rsid w:val="00575373"/>
    <w:rsid w:val="00575385"/>
    <w:rsid w:val="005755D3"/>
    <w:rsid w:val="00575819"/>
    <w:rsid w:val="00575C02"/>
    <w:rsid w:val="00575E25"/>
    <w:rsid w:val="00575EA1"/>
    <w:rsid w:val="0057646E"/>
    <w:rsid w:val="00577BBF"/>
    <w:rsid w:val="005801C5"/>
    <w:rsid w:val="0058081A"/>
    <w:rsid w:val="005809E4"/>
    <w:rsid w:val="00580BEF"/>
    <w:rsid w:val="0058158E"/>
    <w:rsid w:val="00581696"/>
    <w:rsid w:val="005816BA"/>
    <w:rsid w:val="005817DC"/>
    <w:rsid w:val="00581AE7"/>
    <w:rsid w:val="00581F94"/>
    <w:rsid w:val="0058294E"/>
    <w:rsid w:val="00582F22"/>
    <w:rsid w:val="005838E2"/>
    <w:rsid w:val="00585536"/>
    <w:rsid w:val="00585697"/>
    <w:rsid w:val="005857AD"/>
    <w:rsid w:val="00586108"/>
    <w:rsid w:val="005862DF"/>
    <w:rsid w:val="0058678D"/>
    <w:rsid w:val="005868F0"/>
    <w:rsid w:val="00586CFF"/>
    <w:rsid w:val="005871F6"/>
    <w:rsid w:val="00587377"/>
    <w:rsid w:val="00590878"/>
    <w:rsid w:val="00590EA1"/>
    <w:rsid w:val="00590FF3"/>
    <w:rsid w:val="00591334"/>
    <w:rsid w:val="005914A0"/>
    <w:rsid w:val="00591903"/>
    <w:rsid w:val="00591C33"/>
    <w:rsid w:val="00592274"/>
    <w:rsid w:val="0059288F"/>
    <w:rsid w:val="00592B20"/>
    <w:rsid w:val="0059340E"/>
    <w:rsid w:val="00593858"/>
    <w:rsid w:val="00594664"/>
    <w:rsid w:val="005947F4"/>
    <w:rsid w:val="00594AD5"/>
    <w:rsid w:val="005952AE"/>
    <w:rsid w:val="0059685F"/>
    <w:rsid w:val="005A0978"/>
    <w:rsid w:val="005A0A43"/>
    <w:rsid w:val="005A14B3"/>
    <w:rsid w:val="005A1A5F"/>
    <w:rsid w:val="005A20AF"/>
    <w:rsid w:val="005A23AC"/>
    <w:rsid w:val="005A2837"/>
    <w:rsid w:val="005A2861"/>
    <w:rsid w:val="005A30A5"/>
    <w:rsid w:val="005A4A6E"/>
    <w:rsid w:val="005A4D63"/>
    <w:rsid w:val="005A510E"/>
    <w:rsid w:val="005A53ED"/>
    <w:rsid w:val="005A57C3"/>
    <w:rsid w:val="005A5F38"/>
    <w:rsid w:val="005A6065"/>
    <w:rsid w:val="005A6156"/>
    <w:rsid w:val="005A62F1"/>
    <w:rsid w:val="005A662E"/>
    <w:rsid w:val="005A6E79"/>
    <w:rsid w:val="005A7FB4"/>
    <w:rsid w:val="005B030E"/>
    <w:rsid w:val="005B0407"/>
    <w:rsid w:val="005B0458"/>
    <w:rsid w:val="005B0771"/>
    <w:rsid w:val="005B0B99"/>
    <w:rsid w:val="005B12E4"/>
    <w:rsid w:val="005B1987"/>
    <w:rsid w:val="005B1F1F"/>
    <w:rsid w:val="005B2097"/>
    <w:rsid w:val="005B2375"/>
    <w:rsid w:val="005B2861"/>
    <w:rsid w:val="005B302E"/>
    <w:rsid w:val="005B37A2"/>
    <w:rsid w:val="005B3817"/>
    <w:rsid w:val="005B382B"/>
    <w:rsid w:val="005B38B0"/>
    <w:rsid w:val="005B3F80"/>
    <w:rsid w:val="005B410E"/>
    <w:rsid w:val="005B45EA"/>
    <w:rsid w:val="005B4978"/>
    <w:rsid w:val="005B5231"/>
    <w:rsid w:val="005B55E1"/>
    <w:rsid w:val="005B5945"/>
    <w:rsid w:val="005B5A9A"/>
    <w:rsid w:val="005B6A23"/>
    <w:rsid w:val="005B7248"/>
    <w:rsid w:val="005B7C57"/>
    <w:rsid w:val="005B7F90"/>
    <w:rsid w:val="005C080B"/>
    <w:rsid w:val="005C0EA0"/>
    <w:rsid w:val="005C1021"/>
    <w:rsid w:val="005C13AE"/>
    <w:rsid w:val="005C1401"/>
    <w:rsid w:val="005C16CA"/>
    <w:rsid w:val="005C1BB0"/>
    <w:rsid w:val="005C24AC"/>
    <w:rsid w:val="005C277C"/>
    <w:rsid w:val="005C2968"/>
    <w:rsid w:val="005C34F1"/>
    <w:rsid w:val="005C4014"/>
    <w:rsid w:val="005C4064"/>
    <w:rsid w:val="005C40A9"/>
    <w:rsid w:val="005C4227"/>
    <w:rsid w:val="005C4CA9"/>
    <w:rsid w:val="005C64A4"/>
    <w:rsid w:val="005C66D5"/>
    <w:rsid w:val="005C6A6B"/>
    <w:rsid w:val="005C6CB5"/>
    <w:rsid w:val="005C6DB3"/>
    <w:rsid w:val="005C7360"/>
    <w:rsid w:val="005C7454"/>
    <w:rsid w:val="005C764F"/>
    <w:rsid w:val="005D011E"/>
    <w:rsid w:val="005D03C1"/>
    <w:rsid w:val="005D16DE"/>
    <w:rsid w:val="005D1B5F"/>
    <w:rsid w:val="005D2199"/>
    <w:rsid w:val="005D22CA"/>
    <w:rsid w:val="005D2CB4"/>
    <w:rsid w:val="005D2EB3"/>
    <w:rsid w:val="005D360B"/>
    <w:rsid w:val="005D3BB0"/>
    <w:rsid w:val="005D499F"/>
    <w:rsid w:val="005D4A47"/>
    <w:rsid w:val="005D4C3A"/>
    <w:rsid w:val="005D4F42"/>
    <w:rsid w:val="005D507E"/>
    <w:rsid w:val="005D570E"/>
    <w:rsid w:val="005D5C32"/>
    <w:rsid w:val="005D5EB5"/>
    <w:rsid w:val="005D61AE"/>
    <w:rsid w:val="005D6270"/>
    <w:rsid w:val="005D65EE"/>
    <w:rsid w:val="005D6965"/>
    <w:rsid w:val="005D6AD8"/>
    <w:rsid w:val="005D6DFD"/>
    <w:rsid w:val="005D7004"/>
    <w:rsid w:val="005D7933"/>
    <w:rsid w:val="005D7D2B"/>
    <w:rsid w:val="005D7ECC"/>
    <w:rsid w:val="005D7F13"/>
    <w:rsid w:val="005E07D3"/>
    <w:rsid w:val="005E0BC1"/>
    <w:rsid w:val="005E1575"/>
    <w:rsid w:val="005E1ACF"/>
    <w:rsid w:val="005E1BB9"/>
    <w:rsid w:val="005E259E"/>
    <w:rsid w:val="005E2E02"/>
    <w:rsid w:val="005E3461"/>
    <w:rsid w:val="005E3DE0"/>
    <w:rsid w:val="005E4499"/>
    <w:rsid w:val="005E4896"/>
    <w:rsid w:val="005E4C3C"/>
    <w:rsid w:val="005E53D1"/>
    <w:rsid w:val="005E55D0"/>
    <w:rsid w:val="005E5797"/>
    <w:rsid w:val="005E5980"/>
    <w:rsid w:val="005E6307"/>
    <w:rsid w:val="005E670E"/>
    <w:rsid w:val="005E6E81"/>
    <w:rsid w:val="005E7D3E"/>
    <w:rsid w:val="005F029A"/>
    <w:rsid w:val="005F0322"/>
    <w:rsid w:val="005F19FF"/>
    <w:rsid w:val="005F1D92"/>
    <w:rsid w:val="005F2007"/>
    <w:rsid w:val="005F2858"/>
    <w:rsid w:val="005F28AA"/>
    <w:rsid w:val="005F3A30"/>
    <w:rsid w:val="005F3A4B"/>
    <w:rsid w:val="005F4B00"/>
    <w:rsid w:val="005F5024"/>
    <w:rsid w:val="005F5497"/>
    <w:rsid w:val="005F5D67"/>
    <w:rsid w:val="005F62AE"/>
    <w:rsid w:val="005F7261"/>
    <w:rsid w:val="005F7605"/>
    <w:rsid w:val="005F770D"/>
    <w:rsid w:val="00601E6B"/>
    <w:rsid w:val="0060216E"/>
    <w:rsid w:val="0060287D"/>
    <w:rsid w:val="00602B5A"/>
    <w:rsid w:val="006033BE"/>
    <w:rsid w:val="00603FE2"/>
    <w:rsid w:val="0060452F"/>
    <w:rsid w:val="0060479E"/>
    <w:rsid w:val="00604819"/>
    <w:rsid w:val="0060559E"/>
    <w:rsid w:val="00605E37"/>
    <w:rsid w:val="00606097"/>
    <w:rsid w:val="006063F7"/>
    <w:rsid w:val="006064FF"/>
    <w:rsid w:val="006070C3"/>
    <w:rsid w:val="00607A2E"/>
    <w:rsid w:val="00607D9F"/>
    <w:rsid w:val="0061022B"/>
    <w:rsid w:val="00610314"/>
    <w:rsid w:val="00611531"/>
    <w:rsid w:val="0061177F"/>
    <w:rsid w:val="00611C04"/>
    <w:rsid w:val="00611EFB"/>
    <w:rsid w:val="0061255B"/>
    <w:rsid w:val="006125B0"/>
    <w:rsid w:val="00613BE5"/>
    <w:rsid w:val="00613D02"/>
    <w:rsid w:val="00613F55"/>
    <w:rsid w:val="00614D9D"/>
    <w:rsid w:val="00615AC1"/>
    <w:rsid w:val="00615E55"/>
    <w:rsid w:val="00616061"/>
    <w:rsid w:val="00616239"/>
    <w:rsid w:val="0061643B"/>
    <w:rsid w:val="006164F7"/>
    <w:rsid w:val="00616E22"/>
    <w:rsid w:val="0061751B"/>
    <w:rsid w:val="006176A4"/>
    <w:rsid w:val="0062063A"/>
    <w:rsid w:val="00620734"/>
    <w:rsid w:val="00620765"/>
    <w:rsid w:val="00620B48"/>
    <w:rsid w:val="00620B64"/>
    <w:rsid w:val="00620BE8"/>
    <w:rsid w:val="00620D94"/>
    <w:rsid w:val="00621056"/>
    <w:rsid w:val="00621D8A"/>
    <w:rsid w:val="00622198"/>
    <w:rsid w:val="006228CB"/>
    <w:rsid w:val="00622A23"/>
    <w:rsid w:val="00622DC8"/>
    <w:rsid w:val="00622F95"/>
    <w:rsid w:val="0062316B"/>
    <w:rsid w:val="00623218"/>
    <w:rsid w:val="00623DBF"/>
    <w:rsid w:val="006240F3"/>
    <w:rsid w:val="006246F6"/>
    <w:rsid w:val="0062493C"/>
    <w:rsid w:val="00625077"/>
    <w:rsid w:val="006258FD"/>
    <w:rsid w:val="006265B5"/>
    <w:rsid w:val="006266E1"/>
    <w:rsid w:val="00626B12"/>
    <w:rsid w:val="00626C26"/>
    <w:rsid w:val="0063056F"/>
    <w:rsid w:val="00630894"/>
    <w:rsid w:val="00630AA0"/>
    <w:rsid w:val="00631BF1"/>
    <w:rsid w:val="0063260C"/>
    <w:rsid w:val="006333D6"/>
    <w:rsid w:val="00634379"/>
    <w:rsid w:val="0063488B"/>
    <w:rsid w:val="00634932"/>
    <w:rsid w:val="00634EC9"/>
    <w:rsid w:val="00635016"/>
    <w:rsid w:val="0063524A"/>
    <w:rsid w:val="00636096"/>
    <w:rsid w:val="00636240"/>
    <w:rsid w:val="00636A4D"/>
    <w:rsid w:val="00636C1A"/>
    <w:rsid w:val="0063765D"/>
    <w:rsid w:val="00637C70"/>
    <w:rsid w:val="00640005"/>
    <w:rsid w:val="00640043"/>
    <w:rsid w:val="00641176"/>
    <w:rsid w:val="006421D8"/>
    <w:rsid w:val="00642334"/>
    <w:rsid w:val="006429CE"/>
    <w:rsid w:val="00642B27"/>
    <w:rsid w:val="006435A0"/>
    <w:rsid w:val="00644508"/>
    <w:rsid w:val="0064477C"/>
    <w:rsid w:val="0064553B"/>
    <w:rsid w:val="006455FD"/>
    <w:rsid w:val="006460F2"/>
    <w:rsid w:val="006469E6"/>
    <w:rsid w:val="00646D93"/>
    <w:rsid w:val="006470F6"/>
    <w:rsid w:val="00647461"/>
    <w:rsid w:val="00650231"/>
    <w:rsid w:val="0065076D"/>
    <w:rsid w:val="00650940"/>
    <w:rsid w:val="00651191"/>
    <w:rsid w:val="0065126C"/>
    <w:rsid w:val="00651C6F"/>
    <w:rsid w:val="00652727"/>
    <w:rsid w:val="00652ABA"/>
    <w:rsid w:val="00652BDF"/>
    <w:rsid w:val="0065312E"/>
    <w:rsid w:val="00654983"/>
    <w:rsid w:val="00654FED"/>
    <w:rsid w:val="0065546B"/>
    <w:rsid w:val="00655890"/>
    <w:rsid w:val="00655E24"/>
    <w:rsid w:val="0065629F"/>
    <w:rsid w:val="00656828"/>
    <w:rsid w:val="00656923"/>
    <w:rsid w:val="006569D9"/>
    <w:rsid w:val="00656A80"/>
    <w:rsid w:val="00656F5A"/>
    <w:rsid w:val="00657717"/>
    <w:rsid w:val="00657DA1"/>
    <w:rsid w:val="006600CB"/>
    <w:rsid w:val="006603BF"/>
    <w:rsid w:val="0066134D"/>
    <w:rsid w:val="006617FE"/>
    <w:rsid w:val="006618FF"/>
    <w:rsid w:val="006619C6"/>
    <w:rsid w:val="006622D1"/>
    <w:rsid w:val="006630EB"/>
    <w:rsid w:val="00663AC7"/>
    <w:rsid w:val="00663B38"/>
    <w:rsid w:val="00663C42"/>
    <w:rsid w:val="00664459"/>
    <w:rsid w:val="00664465"/>
    <w:rsid w:val="00664FE3"/>
    <w:rsid w:val="00665325"/>
    <w:rsid w:val="0066555B"/>
    <w:rsid w:val="006658A7"/>
    <w:rsid w:val="00665BD1"/>
    <w:rsid w:val="00665D70"/>
    <w:rsid w:val="00665F3F"/>
    <w:rsid w:val="006662FE"/>
    <w:rsid w:val="00666398"/>
    <w:rsid w:val="00666E41"/>
    <w:rsid w:val="00667057"/>
    <w:rsid w:val="00667082"/>
    <w:rsid w:val="00667D70"/>
    <w:rsid w:val="00667EC9"/>
    <w:rsid w:val="006700C4"/>
    <w:rsid w:val="00670534"/>
    <w:rsid w:val="006705BF"/>
    <w:rsid w:val="0067066A"/>
    <w:rsid w:val="006708F1"/>
    <w:rsid w:val="00670F17"/>
    <w:rsid w:val="00670F44"/>
    <w:rsid w:val="00670F9C"/>
    <w:rsid w:val="006710BB"/>
    <w:rsid w:val="00671F05"/>
    <w:rsid w:val="00671F2D"/>
    <w:rsid w:val="00672027"/>
    <w:rsid w:val="0067219A"/>
    <w:rsid w:val="0067245D"/>
    <w:rsid w:val="006725FA"/>
    <w:rsid w:val="006730E9"/>
    <w:rsid w:val="00673645"/>
    <w:rsid w:val="006739DE"/>
    <w:rsid w:val="00673B38"/>
    <w:rsid w:val="00674231"/>
    <w:rsid w:val="00674354"/>
    <w:rsid w:val="006751C4"/>
    <w:rsid w:val="00675712"/>
    <w:rsid w:val="00675E84"/>
    <w:rsid w:val="00676249"/>
    <w:rsid w:val="0067663E"/>
    <w:rsid w:val="0067682A"/>
    <w:rsid w:val="0067748A"/>
    <w:rsid w:val="00677970"/>
    <w:rsid w:val="006805B3"/>
    <w:rsid w:val="006808D6"/>
    <w:rsid w:val="00680BF0"/>
    <w:rsid w:val="00680D79"/>
    <w:rsid w:val="00682269"/>
    <w:rsid w:val="00682977"/>
    <w:rsid w:val="00682C3E"/>
    <w:rsid w:val="00682E0A"/>
    <w:rsid w:val="00683247"/>
    <w:rsid w:val="0068377E"/>
    <w:rsid w:val="0068395F"/>
    <w:rsid w:val="006846BD"/>
    <w:rsid w:val="00684B14"/>
    <w:rsid w:val="00684C86"/>
    <w:rsid w:val="00685562"/>
    <w:rsid w:val="006857D5"/>
    <w:rsid w:val="00685D0F"/>
    <w:rsid w:val="00685F47"/>
    <w:rsid w:val="00686641"/>
    <w:rsid w:val="00686653"/>
    <w:rsid w:val="006868AC"/>
    <w:rsid w:val="006869D3"/>
    <w:rsid w:val="00686C77"/>
    <w:rsid w:val="00686E5B"/>
    <w:rsid w:val="0068716A"/>
    <w:rsid w:val="00687472"/>
    <w:rsid w:val="00687803"/>
    <w:rsid w:val="00687EC0"/>
    <w:rsid w:val="00687F88"/>
    <w:rsid w:val="00690EFF"/>
    <w:rsid w:val="00692825"/>
    <w:rsid w:val="00692892"/>
    <w:rsid w:val="00693107"/>
    <w:rsid w:val="006933DD"/>
    <w:rsid w:val="006936FA"/>
    <w:rsid w:val="00693CDE"/>
    <w:rsid w:val="00693E94"/>
    <w:rsid w:val="00694F72"/>
    <w:rsid w:val="00695239"/>
    <w:rsid w:val="006958E8"/>
    <w:rsid w:val="00695BC3"/>
    <w:rsid w:val="0069626E"/>
    <w:rsid w:val="00696B02"/>
    <w:rsid w:val="00696BA5"/>
    <w:rsid w:val="00696E0C"/>
    <w:rsid w:val="00697401"/>
    <w:rsid w:val="0069783F"/>
    <w:rsid w:val="006A0BB1"/>
    <w:rsid w:val="006A0D55"/>
    <w:rsid w:val="006A125C"/>
    <w:rsid w:val="006A13D0"/>
    <w:rsid w:val="006A26FB"/>
    <w:rsid w:val="006A2729"/>
    <w:rsid w:val="006A2B2B"/>
    <w:rsid w:val="006A2EBA"/>
    <w:rsid w:val="006A2F56"/>
    <w:rsid w:val="006A3D89"/>
    <w:rsid w:val="006A3E5E"/>
    <w:rsid w:val="006A4625"/>
    <w:rsid w:val="006A4C24"/>
    <w:rsid w:val="006A53D9"/>
    <w:rsid w:val="006A5665"/>
    <w:rsid w:val="006A5944"/>
    <w:rsid w:val="006A5B6C"/>
    <w:rsid w:val="006A5D2E"/>
    <w:rsid w:val="006A6958"/>
    <w:rsid w:val="006A6B75"/>
    <w:rsid w:val="006A798A"/>
    <w:rsid w:val="006A7B26"/>
    <w:rsid w:val="006A7C3B"/>
    <w:rsid w:val="006A7C7A"/>
    <w:rsid w:val="006B055E"/>
    <w:rsid w:val="006B06D5"/>
    <w:rsid w:val="006B0F4D"/>
    <w:rsid w:val="006B0FE6"/>
    <w:rsid w:val="006B1AA5"/>
    <w:rsid w:val="006B2E77"/>
    <w:rsid w:val="006B3834"/>
    <w:rsid w:val="006B3D62"/>
    <w:rsid w:val="006B4BEF"/>
    <w:rsid w:val="006B4FCF"/>
    <w:rsid w:val="006B5036"/>
    <w:rsid w:val="006B54BB"/>
    <w:rsid w:val="006B5824"/>
    <w:rsid w:val="006B5DD2"/>
    <w:rsid w:val="006B6A31"/>
    <w:rsid w:val="006B6D24"/>
    <w:rsid w:val="006B6E80"/>
    <w:rsid w:val="006B7368"/>
    <w:rsid w:val="006B7924"/>
    <w:rsid w:val="006B7DE2"/>
    <w:rsid w:val="006C12EA"/>
    <w:rsid w:val="006C1815"/>
    <w:rsid w:val="006C1F97"/>
    <w:rsid w:val="006C2089"/>
    <w:rsid w:val="006C25D9"/>
    <w:rsid w:val="006C293C"/>
    <w:rsid w:val="006C298C"/>
    <w:rsid w:val="006C2E6B"/>
    <w:rsid w:val="006C3005"/>
    <w:rsid w:val="006C39C8"/>
    <w:rsid w:val="006C41C3"/>
    <w:rsid w:val="006C41E8"/>
    <w:rsid w:val="006C47B7"/>
    <w:rsid w:val="006C4B49"/>
    <w:rsid w:val="006C4E16"/>
    <w:rsid w:val="006C606D"/>
    <w:rsid w:val="006C648E"/>
    <w:rsid w:val="006C65CE"/>
    <w:rsid w:val="006C6C63"/>
    <w:rsid w:val="006C7124"/>
    <w:rsid w:val="006C7317"/>
    <w:rsid w:val="006C7999"/>
    <w:rsid w:val="006D07F8"/>
    <w:rsid w:val="006D0859"/>
    <w:rsid w:val="006D0C33"/>
    <w:rsid w:val="006D0DD1"/>
    <w:rsid w:val="006D0ECD"/>
    <w:rsid w:val="006D10D7"/>
    <w:rsid w:val="006D13EB"/>
    <w:rsid w:val="006D16A6"/>
    <w:rsid w:val="006D1823"/>
    <w:rsid w:val="006D1FAB"/>
    <w:rsid w:val="006D22CB"/>
    <w:rsid w:val="006D24BD"/>
    <w:rsid w:val="006D2BEE"/>
    <w:rsid w:val="006D3142"/>
    <w:rsid w:val="006D47CE"/>
    <w:rsid w:val="006D506D"/>
    <w:rsid w:val="006D52B6"/>
    <w:rsid w:val="006D5580"/>
    <w:rsid w:val="006D5679"/>
    <w:rsid w:val="006D5F2F"/>
    <w:rsid w:val="006D6079"/>
    <w:rsid w:val="006D6818"/>
    <w:rsid w:val="006D6952"/>
    <w:rsid w:val="006D73E9"/>
    <w:rsid w:val="006D77D4"/>
    <w:rsid w:val="006D79DB"/>
    <w:rsid w:val="006D7C7D"/>
    <w:rsid w:val="006D7E2E"/>
    <w:rsid w:val="006E01B5"/>
    <w:rsid w:val="006E0732"/>
    <w:rsid w:val="006E0D67"/>
    <w:rsid w:val="006E0FCB"/>
    <w:rsid w:val="006E2522"/>
    <w:rsid w:val="006E278B"/>
    <w:rsid w:val="006E2BF7"/>
    <w:rsid w:val="006E2CDF"/>
    <w:rsid w:val="006E2F73"/>
    <w:rsid w:val="006E3115"/>
    <w:rsid w:val="006E3515"/>
    <w:rsid w:val="006E3A01"/>
    <w:rsid w:val="006E3EEE"/>
    <w:rsid w:val="006E3FF3"/>
    <w:rsid w:val="006E4248"/>
    <w:rsid w:val="006E427A"/>
    <w:rsid w:val="006E4CDD"/>
    <w:rsid w:val="006E4E38"/>
    <w:rsid w:val="006E500F"/>
    <w:rsid w:val="006E5572"/>
    <w:rsid w:val="006E5770"/>
    <w:rsid w:val="006E60CA"/>
    <w:rsid w:val="006E6402"/>
    <w:rsid w:val="006E6536"/>
    <w:rsid w:val="006E6FDD"/>
    <w:rsid w:val="006E7261"/>
    <w:rsid w:val="006E7732"/>
    <w:rsid w:val="006E77A4"/>
    <w:rsid w:val="006E7A34"/>
    <w:rsid w:val="006F0FB3"/>
    <w:rsid w:val="006F1294"/>
    <w:rsid w:val="006F13F9"/>
    <w:rsid w:val="006F144F"/>
    <w:rsid w:val="006F14A6"/>
    <w:rsid w:val="006F154A"/>
    <w:rsid w:val="006F1D22"/>
    <w:rsid w:val="006F1E38"/>
    <w:rsid w:val="006F210D"/>
    <w:rsid w:val="006F2B5C"/>
    <w:rsid w:val="006F46FA"/>
    <w:rsid w:val="006F575C"/>
    <w:rsid w:val="006F5804"/>
    <w:rsid w:val="006F5982"/>
    <w:rsid w:val="006F71CB"/>
    <w:rsid w:val="006F74AA"/>
    <w:rsid w:val="006F7B93"/>
    <w:rsid w:val="006F7C70"/>
    <w:rsid w:val="006F7D02"/>
    <w:rsid w:val="006F7EA4"/>
    <w:rsid w:val="00701278"/>
    <w:rsid w:val="007013AC"/>
    <w:rsid w:val="00701618"/>
    <w:rsid w:val="007016BE"/>
    <w:rsid w:val="00701AA1"/>
    <w:rsid w:val="00701C56"/>
    <w:rsid w:val="0070202F"/>
    <w:rsid w:val="0070211E"/>
    <w:rsid w:val="0070309A"/>
    <w:rsid w:val="007036DE"/>
    <w:rsid w:val="00704D4C"/>
    <w:rsid w:val="00705A14"/>
    <w:rsid w:val="00705A37"/>
    <w:rsid w:val="00705A73"/>
    <w:rsid w:val="007061E1"/>
    <w:rsid w:val="007064E0"/>
    <w:rsid w:val="007065F6"/>
    <w:rsid w:val="0070772D"/>
    <w:rsid w:val="007078F5"/>
    <w:rsid w:val="00707A1B"/>
    <w:rsid w:val="00710443"/>
    <w:rsid w:val="00710A73"/>
    <w:rsid w:val="00710E7C"/>
    <w:rsid w:val="00711021"/>
    <w:rsid w:val="0071142A"/>
    <w:rsid w:val="0071163E"/>
    <w:rsid w:val="00711A9E"/>
    <w:rsid w:val="0071275A"/>
    <w:rsid w:val="00712940"/>
    <w:rsid w:val="00712B12"/>
    <w:rsid w:val="00712D0E"/>
    <w:rsid w:val="007137AB"/>
    <w:rsid w:val="00714E9C"/>
    <w:rsid w:val="007156BD"/>
    <w:rsid w:val="00715DA4"/>
    <w:rsid w:val="0071666E"/>
    <w:rsid w:val="00717778"/>
    <w:rsid w:val="00717875"/>
    <w:rsid w:val="00717950"/>
    <w:rsid w:val="00717BBD"/>
    <w:rsid w:val="00717DEA"/>
    <w:rsid w:val="00717F0F"/>
    <w:rsid w:val="00720175"/>
    <w:rsid w:val="00720776"/>
    <w:rsid w:val="00720B66"/>
    <w:rsid w:val="00721000"/>
    <w:rsid w:val="00721668"/>
    <w:rsid w:val="00721AF9"/>
    <w:rsid w:val="00721BEC"/>
    <w:rsid w:val="00722624"/>
    <w:rsid w:val="0072281D"/>
    <w:rsid w:val="00722D55"/>
    <w:rsid w:val="007231B0"/>
    <w:rsid w:val="00723966"/>
    <w:rsid w:val="00723BE3"/>
    <w:rsid w:val="00723CB9"/>
    <w:rsid w:val="00724D2F"/>
    <w:rsid w:val="00725EC1"/>
    <w:rsid w:val="00725FA5"/>
    <w:rsid w:val="0072635C"/>
    <w:rsid w:val="007269A5"/>
    <w:rsid w:val="00727080"/>
    <w:rsid w:val="007274B3"/>
    <w:rsid w:val="00727BEE"/>
    <w:rsid w:val="00727CC0"/>
    <w:rsid w:val="0073070B"/>
    <w:rsid w:val="007308C6"/>
    <w:rsid w:val="00731323"/>
    <w:rsid w:val="00731561"/>
    <w:rsid w:val="007315FC"/>
    <w:rsid w:val="00731643"/>
    <w:rsid w:val="0073383D"/>
    <w:rsid w:val="00733B08"/>
    <w:rsid w:val="00734DDF"/>
    <w:rsid w:val="00735187"/>
    <w:rsid w:val="00735448"/>
    <w:rsid w:val="00735C14"/>
    <w:rsid w:val="00735E3F"/>
    <w:rsid w:val="00735F03"/>
    <w:rsid w:val="00736FB9"/>
    <w:rsid w:val="00737057"/>
    <w:rsid w:val="007372C0"/>
    <w:rsid w:val="007402BD"/>
    <w:rsid w:val="00740E71"/>
    <w:rsid w:val="0074150F"/>
    <w:rsid w:val="007418C5"/>
    <w:rsid w:val="00741938"/>
    <w:rsid w:val="007419FA"/>
    <w:rsid w:val="00741ADC"/>
    <w:rsid w:val="00741BA4"/>
    <w:rsid w:val="00741F5D"/>
    <w:rsid w:val="00742F61"/>
    <w:rsid w:val="00743329"/>
    <w:rsid w:val="0074380D"/>
    <w:rsid w:val="007438E3"/>
    <w:rsid w:val="0074394F"/>
    <w:rsid w:val="007449BF"/>
    <w:rsid w:val="0074532D"/>
    <w:rsid w:val="007457C1"/>
    <w:rsid w:val="00745C38"/>
    <w:rsid w:val="00745D0B"/>
    <w:rsid w:val="00746515"/>
    <w:rsid w:val="0074667F"/>
    <w:rsid w:val="00746BAF"/>
    <w:rsid w:val="0074741E"/>
    <w:rsid w:val="0074774B"/>
    <w:rsid w:val="007508C2"/>
    <w:rsid w:val="007510B3"/>
    <w:rsid w:val="007514A8"/>
    <w:rsid w:val="00751A3B"/>
    <w:rsid w:val="00751BBE"/>
    <w:rsid w:val="00751C0B"/>
    <w:rsid w:val="00752403"/>
    <w:rsid w:val="00752BEC"/>
    <w:rsid w:val="00752C26"/>
    <w:rsid w:val="00753194"/>
    <w:rsid w:val="00753676"/>
    <w:rsid w:val="00753CE7"/>
    <w:rsid w:val="007543C2"/>
    <w:rsid w:val="0075528F"/>
    <w:rsid w:val="007556D3"/>
    <w:rsid w:val="00755717"/>
    <w:rsid w:val="00755AA4"/>
    <w:rsid w:val="00755B74"/>
    <w:rsid w:val="00755DB5"/>
    <w:rsid w:val="00755EAC"/>
    <w:rsid w:val="007561B7"/>
    <w:rsid w:val="00757E25"/>
    <w:rsid w:val="00757EF7"/>
    <w:rsid w:val="007609F5"/>
    <w:rsid w:val="00761D86"/>
    <w:rsid w:val="00761D92"/>
    <w:rsid w:val="0076267C"/>
    <w:rsid w:val="00762D83"/>
    <w:rsid w:val="00762DFF"/>
    <w:rsid w:val="007631AC"/>
    <w:rsid w:val="0076365B"/>
    <w:rsid w:val="00763664"/>
    <w:rsid w:val="00764291"/>
    <w:rsid w:val="0076440D"/>
    <w:rsid w:val="00764A2B"/>
    <w:rsid w:val="00764C82"/>
    <w:rsid w:val="00764DCC"/>
    <w:rsid w:val="00764E43"/>
    <w:rsid w:val="00765339"/>
    <w:rsid w:val="007656C2"/>
    <w:rsid w:val="00765E1F"/>
    <w:rsid w:val="007666A7"/>
    <w:rsid w:val="007666C0"/>
    <w:rsid w:val="00767C4D"/>
    <w:rsid w:val="00770424"/>
    <w:rsid w:val="00770512"/>
    <w:rsid w:val="007705D1"/>
    <w:rsid w:val="007706C6"/>
    <w:rsid w:val="007706CE"/>
    <w:rsid w:val="007720F8"/>
    <w:rsid w:val="00773349"/>
    <w:rsid w:val="00773FE8"/>
    <w:rsid w:val="007744D5"/>
    <w:rsid w:val="007747B1"/>
    <w:rsid w:val="00774CF2"/>
    <w:rsid w:val="00774D3A"/>
    <w:rsid w:val="00774DD7"/>
    <w:rsid w:val="00774E99"/>
    <w:rsid w:val="0077506C"/>
    <w:rsid w:val="0077531D"/>
    <w:rsid w:val="00775432"/>
    <w:rsid w:val="007754B0"/>
    <w:rsid w:val="00775667"/>
    <w:rsid w:val="007756E0"/>
    <w:rsid w:val="007759FC"/>
    <w:rsid w:val="007761B4"/>
    <w:rsid w:val="00776343"/>
    <w:rsid w:val="007763E9"/>
    <w:rsid w:val="0077656E"/>
    <w:rsid w:val="00776B9E"/>
    <w:rsid w:val="00776E81"/>
    <w:rsid w:val="00777035"/>
    <w:rsid w:val="0077724E"/>
    <w:rsid w:val="0077754C"/>
    <w:rsid w:val="0077760A"/>
    <w:rsid w:val="00777C46"/>
    <w:rsid w:val="00780455"/>
    <w:rsid w:val="007807B4"/>
    <w:rsid w:val="00780962"/>
    <w:rsid w:val="00780F79"/>
    <w:rsid w:val="0078162A"/>
    <w:rsid w:val="0078170E"/>
    <w:rsid w:val="007818AD"/>
    <w:rsid w:val="00782994"/>
    <w:rsid w:val="00782B77"/>
    <w:rsid w:val="00782EA9"/>
    <w:rsid w:val="00783857"/>
    <w:rsid w:val="00784C26"/>
    <w:rsid w:val="00785163"/>
    <w:rsid w:val="007851E1"/>
    <w:rsid w:val="0078569A"/>
    <w:rsid w:val="007857F6"/>
    <w:rsid w:val="00785C08"/>
    <w:rsid w:val="00785DDD"/>
    <w:rsid w:val="0079059B"/>
    <w:rsid w:val="007906A1"/>
    <w:rsid w:val="00790991"/>
    <w:rsid w:val="00791B86"/>
    <w:rsid w:val="00791DA6"/>
    <w:rsid w:val="00791FB0"/>
    <w:rsid w:val="00791FD6"/>
    <w:rsid w:val="00792164"/>
    <w:rsid w:val="00792FB0"/>
    <w:rsid w:val="0079334F"/>
    <w:rsid w:val="0079344A"/>
    <w:rsid w:val="00793F5D"/>
    <w:rsid w:val="007941D5"/>
    <w:rsid w:val="00794227"/>
    <w:rsid w:val="00794886"/>
    <w:rsid w:val="00795327"/>
    <w:rsid w:val="007956C4"/>
    <w:rsid w:val="00795B4E"/>
    <w:rsid w:val="00795EF3"/>
    <w:rsid w:val="00795F90"/>
    <w:rsid w:val="00796372"/>
    <w:rsid w:val="0079687C"/>
    <w:rsid w:val="007968DE"/>
    <w:rsid w:val="00796AFB"/>
    <w:rsid w:val="007977DE"/>
    <w:rsid w:val="00797CB8"/>
    <w:rsid w:val="00797CE2"/>
    <w:rsid w:val="007A00E1"/>
    <w:rsid w:val="007A0949"/>
    <w:rsid w:val="007A0A62"/>
    <w:rsid w:val="007A0D29"/>
    <w:rsid w:val="007A0F9E"/>
    <w:rsid w:val="007A1011"/>
    <w:rsid w:val="007A12F8"/>
    <w:rsid w:val="007A154E"/>
    <w:rsid w:val="007A193F"/>
    <w:rsid w:val="007A1AFD"/>
    <w:rsid w:val="007A297B"/>
    <w:rsid w:val="007A2BCA"/>
    <w:rsid w:val="007A3926"/>
    <w:rsid w:val="007A4052"/>
    <w:rsid w:val="007A437F"/>
    <w:rsid w:val="007A4907"/>
    <w:rsid w:val="007A51CB"/>
    <w:rsid w:val="007A5523"/>
    <w:rsid w:val="007A5B3D"/>
    <w:rsid w:val="007A5D24"/>
    <w:rsid w:val="007A6F99"/>
    <w:rsid w:val="007A734E"/>
    <w:rsid w:val="007A7404"/>
    <w:rsid w:val="007A77D1"/>
    <w:rsid w:val="007B02AB"/>
    <w:rsid w:val="007B0560"/>
    <w:rsid w:val="007B12D1"/>
    <w:rsid w:val="007B12DA"/>
    <w:rsid w:val="007B1455"/>
    <w:rsid w:val="007B15F3"/>
    <w:rsid w:val="007B1829"/>
    <w:rsid w:val="007B216A"/>
    <w:rsid w:val="007B2294"/>
    <w:rsid w:val="007B256A"/>
    <w:rsid w:val="007B260C"/>
    <w:rsid w:val="007B2773"/>
    <w:rsid w:val="007B41FF"/>
    <w:rsid w:val="007B4ED5"/>
    <w:rsid w:val="007B50FE"/>
    <w:rsid w:val="007B57C8"/>
    <w:rsid w:val="007B60E8"/>
    <w:rsid w:val="007B6335"/>
    <w:rsid w:val="007B6C5B"/>
    <w:rsid w:val="007B6D47"/>
    <w:rsid w:val="007B6E59"/>
    <w:rsid w:val="007B6EAF"/>
    <w:rsid w:val="007B7F75"/>
    <w:rsid w:val="007C0283"/>
    <w:rsid w:val="007C03B3"/>
    <w:rsid w:val="007C0AE5"/>
    <w:rsid w:val="007C0CA5"/>
    <w:rsid w:val="007C1D5D"/>
    <w:rsid w:val="007C21F1"/>
    <w:rsid w:val="007C2AD1"/>
    <w:rsid w:val="007C3349"/>
    <w:rsid w:val="007C45E0"/>
    <w:rsid w:val="007C4692"/>
    <w:rsid w:val="007C46BF"/>
    <w:rsid w:val="007C4C46"/>
    <w:rsid w:val="007C5096"/>
    <w:rsid w:val="007C57BD"/>
    <w:rsid w:val="007C5D23"/>
    <w:rsid w:val="007C6075"/>
    <w:rsid w:val="007C60E7"/>
    <w:rsid w:val="007C6191"/>
    <w:rsid w:val="007C63CF"/>
    <w:rsid w:val="007C662C"/>
    <w:rsid w:val="007C6EF1"/>
    <w:rsid w:val="007C725E"/>
    <w:rsid w:val="007C7A1B"/>
    <w:rsid w:val="007C7DC2"/>
    <w:rsid w:val="007D0682"/>
    <w:rsid w:val="007D0AD8"/>
    <w:rsid w:val="007D0DAA"/>
    <w:rsid w:val="007D0E19"/>
    <w:rsid w:val="007D1848"/>
    <w:rsid w:val="007D1935"/>
    <w:rsid w:val="007D1BBF"/>
    <w:rsid w:val="007D1BFF"/>
    <w:rsid w:val="007D1D09"/>
    <w:rsid w:val="007D1D29"/>
    <w:rsid w:val="007D2074"/>
    <w:rsid w:val="007D20BA"/>
    <w:rsid w:val="007D20E9"/>
    <w:rsid w:val="007D2587"/>
    <w:rsid w:val="007D2B76"/>
    <w:rsid w:val="007D2F93"/>
    <w:rsid w:val="007D354F"/>
    <w:rsid w:val="007D3F47"/>
    <w:rsid w:val="007D459B"/>
    <w:rsid w:val="007D45A1"/>
    <w:rsid w:val="007D54A2"/>
    <w:rsid w:val="007D56C2"/>
    <w:rsid w:val="007D57F4"/>
    <w:rsid w:val="007D60FB"/>
    <w:rsid w:val="007D650F"/>
    <w:rsid w:val="007D6B2A"/>
    <w:rsid w:val="007D6D77"/>
    <w:rsid w:val="007D702F"/>
    <w:rsid w:val="007D7984"/>
    <w:rsid w:val="007D7C1D"/>
    <w:rsid w:val="007E03FD"/>
    <w:rsid w:val="007E04C7"/>
    <w:rsid w:val="007E0D0E"/>
    <w:rsid w:val="007E2A6B"/>
    <w:rsid w:val="007E2B6D"/>
    <w:rsid w:val="007E2D70"/>
    <w:rsid w:val="007E2D78"/>
    <w:rsid w:val="007E3014"/>
    <w:rsid w:val="007E3AA5"/>
    <w:rsid w:val="007E3C12"/>
    <w:rsid w:val="007E40D8"/>
    <w:rsid w:val="007E49C1"/>
    <w:rsid w:val="007E5FB9"/>
    <w:rsid w:val="007E5FF9"/>
    <w:rsid w:val="007E60EC"/>
    <w:rsid w:val="007E6F38"/>
    <w:rsid w:val="007E7481"/>
    <w:rsid w:val="007E77FD"/>
    <w:rsid w:val="007E798C"/>
    <w:rsid w:val="007E7A98"/>
    <w:rsid w:val="007E7CB0"/>
    <w:rsid w:val="007E7E26"/>
    <w:rsid w:val="007F013B"/>
    <w:rsid w:val="007F06BC"/>
    <w:rsid w:val="007F089F"/>
    <w:rsid w:val="007F0BA5"/>
    <w:rsid w:val="007F0C5D"/>
    <w:rsid w:val="007F0F15"/>
    <w:rsid w:val="007F0F55"/>
    <w:rsid w:val="007F1008"/>
    <w:rsid w:val="007F146C"/>
    <w:rsid w:val="007F1800"/>
    <w:rsid w:val="007F1AAC"/>
    <w:rsid w:val="007F1BFB"/>
    <w:rsid w:val="007F2CAB"/>
    <w:rsid w:val="007F30A2"/>
    <w:rsid w:val="007F3602"/>
    <w:rsid w:val="007F3B73"/>
    <w:rsid w:val="007F3FA6"/>
    <w:rsid w:val="007F47DB"/>
    <w:rsid w:val="007F4B15"/>
    <w:rsid w:val="007F50DA"/>
    <w:rsid w:val="007F568C"/>
    <w:rsid w:val="007F56D1"/>
    <w:rsid w:val="007F5A2B"/>
    <w:rsid w:val="007F64FA"/>
    <w:rsid w:val="007F6E28"/>
    <w:rsid w:val="007F7574"/>
    <w:rsid w:val="007F7FCF"/>
    <w:rsid w:val="00800CA7"/>
    <w:rsid w:val="00801507"/>
    <w:rsid w:val="00801B0D"/>
    <w:rsid w:val="00801B4F"/>
    <w:rsid w:val="008022DA"/>
    <w:rsid w:val="00802777"/>
    <w:rsid w:val="00802BC0"/>
    <w:rsid w:val="008031B5"/>
    <w:rsid w:val="00803829"/>
    <w:rsid w:val="0080482B"/>
    <w:rsid w:val="0080542E"/>
    <w:rsid w:val="0080543F"/>
    <w:rsid w:val="008056CA"/>
    <w:rsid w:val="008067BC"/>
    <w:rsid w:val="00807293"/>
    <w:rsid w:val="008100FD"/>
    <w:rsid w:val="008102F4"/>
    <w:rsid w:val="00810A91"/>
    <w:rsid w:val="00811DED"/>
    <w:rsid w:val="008120BC"/>
    <w:rsid w:val="0081239A"/>
    <w:rsid w:val="008125C6"/>
    <w:rsid w:val="00813067"/>
    <w:rsid w:val="00813B60"/>
    <w:rsid w:val="00813CF1"/>
    <w:rsid w:val="00813F4C"/>
    <w:rsid w:val="0081414F"/>
    <w:rsid w:val="008141F1"/>
    <w:rsid w:val="008151D0"/>
    <w:rsid w:val="00815221"/>
    <w:rsid w:val="008154B8"/>
    <w:rsid w:val="00815FC7"/>
    <w:rsid w:val="0081630E"/>
    <w:rsid w:val="008167EE"/>
    <w:rsid w:val="00816AA9"/>
    <w:rsid w:val="00816FB9"/>
    <w:rsid w:val="0081730F"/>
    <w:rsid w:val="0082015A"/>
    <w:rsid w:val="00820E11"/>
    <w:rsid w:val="008218C9"/>
    <w:rsid w:val="0082190B"/>
    <w:rsid w:val="00821950"/>
    <w:rsid w:val="008220AE"/>
    <w:rsid w:val="008222B0"/>
    <w:rsid w:val="00822994"/>
    <w:rsid w:val="00822A0A"/>
    <w:rsid w:val="00822DE8"/>
    <w:rsid w:val="008233FE"/>
    <w:rsid w:val="00823A01"/>
    <w:rsid w:val="00823C48"/>
    <w:rsid w:val="0082406F"/>
    <w:rsid w:val="00824935"/>
    <w:rsid w:val="00824D3A"/>
    <w:rsid w:val="00824EC3"/>
    <w:rsid w:val="00825102"/>
    <w:rsid w:val="008254A3"/>
    <w:rsid w:val="00825652"/>
    <w:rsid w:val="00826689"/>
    <w:rsid w:val="00826A49"/>
    <w:rsid w:val="00826BF1"/>
    <w:rsid w:val="00826FFA"/>
    <w:rsid w:val="00830138"/>
    <w:rsid w:val="00830C75"/>
    <w:rsid w:val="0083173B"/>
    <w:rsid w:val="0083192F"/>
    <w:rsid w:val="00831996"/>
    <w:rsid w:val="00831DA1"/>
    <w:rsid w:val="008327B8"/>
    <w:rsid w:val="00832C48"/>
    <w:rsid w:val="00832FD1"/>
    <w:rsid w:val="00832FD6"/>
    <w:rsid w:val="00833377"/>
    <w:rsid w:val="008333B6"/>
    <w:rsid w:val="00833549"/>
    <w:rsid w:val="008347D3"/>
    <w:rsid w:val="00834C30"/>
    <w:rsid w:val="00835112"/>
    <w:rsid w:val="00835294"/>
    <w:rsid w:val="008354D5"/>
    <w:rsid w:val="0083561D"/>
    <w:rsid w:val="00835EDD"/>
    <w:rsid w:val="0083662F"/>
    <w:rsid w:val="00836899"/>
    <w:rsid w:val="00837355"/>
    <w:rsid w:val="008373DB"/>
    <w:rsid w:val="008378AF"/>
    <w:rsid w:val="00840156"/>
    <w:rsid w:val="00840317"/>
    <w:rsid w:val="00840626"/>
    <w:rsid w:val="0084083A"/>
    <w:rsid w:val="00840AF4"/>
    <w:rsid w:val="00840B26"/>
    <w:rsid w:val="008417AD"/>
    <w:rsid w:val="00841C86"/>
    <w:rsid w:val="00842481"/>
    <w:rsid w:val="0084261E"/>
    <w:rsid w:val="00842668"/>
    <w:rsid w:val="008430B7"/>
    <w:rsid w:val="0084325D"/>
    <w:rsid w:val="008435CB"/>
    <w:rsid w:val="008437D3"/>
    <w:rsid w:val="00843831"/>
    <w:rsid w:val="0084389A"/>
    <w:rsid w:val="00843CE7"/>
    <w:rsid w:val="00843F4C"/>
    <w:rsid w:val="00844552"/>
    <w:rsid w:val="0084590D"/>
    <w:rsid w:val="00845E60"/>
    <w:rsid w:val="008463FC"/>
    <w:rsid w:val="00846E52"/>
    <w:rsid w:val="00846F29"/>
    <w:rsid w:val="00847E22"/>
    <w:rsid w:val="008501C2"/>
    <w:rsid w:val="008505E2"/>
    <w:rsid w:val="00850ECC"/>
    <w:rsid w:val="00850EF6"/>
    <w:rsid w:val="00850F4E"/>
    <w:rsid w:val="00851E94"/>
    <w:rsid w:val="00851EBF"/>
    <w:rsid w:val="0085237A"/>
    <w:rsid w:val="00852887"/>
    <w:rsid w:val="00852920"/>
    <w:rsid w:val="00853063"/>
    <w:rsid w:val="0085368C"/>
    <w:rsid w:val="00853BD3"/>
    <w:rsid w:val="00853FF4"/>
    <w:rsid w:val="008543DA"/>
    <w:rsid w:val="00854551"/>
    <w:rsid w:val="0085455E"/>
    <w:rsid w:val="0085471A"/>
    <w:rsid w:val="00855071"/>
    <w:rsid w:val="008556CF"/>
    <w:rsid w:val="00855942"/>
    <w:rsid w:val="00856258"/>
    <w:rsid w:val="00856816"/>
    <w:rsid w:val="0085725E"/>
    <w:rsid w:val="00857DFC"/>
    <w:rsid w:val="008609D8"/>
    <w:rsid w:val="00860A2B"/>
    <w:rsid w:val="00860FB6"/>
    <w:rsid w:val="00860FBE"/>
    <w:rsid w:val="00861066"/>
    <w:rsid w:val="008616D9"/>
    <w:rsid w:val="00862768"/>
    <w:rsid w:val="00862879"/>
    <w:rsid w:val="008628E9"/>
    <w:rsid w:val="00862A7F"/>
    <w:rsid w:val="00863259"/>
    <w:rsid w:val="008646E5"/>
    <w:rsid w:val="0086527F"/>
    <w:rsid w:val="00865C02"/>
    <w:rsid w:val="008660ED"/>
    <w:rsid w:val="008661F4"/>
    <w:rsid w:val="0086678D"/>
    <w:rsid w:val="008668B5"/>
    <w:rsid w:val="00866A58"/>
    <w:rsid w:val="00866F9F"/>
    <w:rsid w:val="00870799"/>
    <w:rsid w:val="0087085B"/>
    <w:rsid w:val="00870A35"/>
    <w:rsid w:val="00872024"/>
    <w:rsid w:val="008723C1"/>
    <w:rsid w:val="00872753"/>
    <w:rsid w:val="00873CD8"/>
    <w:rsid w:val="008741B0"/>
    <w:rsid w:val="008750AF"/>
    <w:rsid w:val="008753D3"/>
    <w:rsid w:val="0087564B"/>
    <w:rsid w:val="00875708"/>
    <w:rsid w:val="00875BE3"/>
    <w:rsid w:val="008765B2"/>
    <w:rsid w:val="008765EB"/>
    <w:rsid w:val="00876A63"/>
    <w:rsid w:val="00876AC0"/>
    <w:rsid w:val="00876F3C"/>
    <w:rsid w:val="00876F96"/>
    <w:rsid w:val="00877560"/>
    <w:rsid w:val="008779DA"/>
    <w:rsid w:val="00877BEE"/>
    <w:rsid w:val="00877F0C"/>
    <w:rsid w:val="00877FF5"/>
    <w:rsid w:val="00880AF5"/>
    <w:rsid w:val="0088120F"/>
    <w:rsid w:val="0088181F"/>
    <w:rsid w:val="00882291"/>
    <w:rsid w:val="00882569"/>
    <w:rsid w:val="008826C4"/>
    <w:rsid w:val="0088289C"/>
    <w:rsid w:val="00882C6E"/>
    <w:rsid w:val="00882DAA"/>
    <w:rsid w:val="00883366"/>
    <w:rsid w:val="0088359D"/>
    <w:rsid w:val="0088393D"/>
    <w:rsid w:val="00883F93"/>
    <w:rsid w:val="00884B45"/>
    <w:rsid w:val="00884B7A"/>
    <w:rsid w:val="00886C34"/>
    <w:rsid w:val="008874CD"/>
    <w:rsid w:val="00887846"/>
    <w:rsid w:val="008879D0"/>
    <w:rsid w:val="00887DBA"/>
    <w:rsid w:val="0089050B"/>
    <w:rsid w:val="00890FD4"/>
    <w:rsid w:val="008912AB"/>
    <w:rsid w:val="008915A7"/>
    <w:rsid w:val="008918B6"/>
    <w:rsid w:val="00892A2C"/>
    <w:rsid w:val="00892C65"/>
    <w:rsid w:val="00893AB7"/>
    <w:rsid w:val="00894A41"/>
    <w:rsid w:val="00895B2F"/>
    <w:rsid w:val="00895F7B"/>
    <w:rsid w:val="008962CF"/>
    <w:rsid w:val="00896A30"/>
    <w:rsid w:val="008A0032"/>
    <w:rsid w:val="008A06BF"/>
    <w:rsid w:val="008A0936"/>
    <w:rsid w:val="008A0BF0"/>
    <w:rsid w:val="008A0F87"/>
    <w:rsid w:val="008A100E"/>
    <w:rsid w:val="008A110D"/>
    <w:rsid w:val="008A11A0"/>
    <w:rsid w:val="008A19F6"/>
    <w:rsid w:val="008A1A0A"/>
    <w:rsid w:val="008A1CE9"/>
    <w:rsid w:val="008A2AE0"/>
    <w:rsid w:val="008A2C6F"/>
    <w:rsid w:val="008A2EA3"/>
    <w:rsid w:val="008A3019"/>
    <w:rsid w:val="008A35A0"/>
    <w:rsid w:val="008A3B2A"/>
    <w:rsid w:val="008A3BAA"/>
    <w:rsid w:val="008A505A"/>
    <w:rsid w:val="008A514F"/>
    <w:rsid w:val="008A532E"/>
    <w:rsid w:val="008A5459"/>
    <w:rsid w:val="008A56C8"/>
    <w:rsid w:val="008A5B5F"/>
    <w:rsid w:val="008A5DBB"/>
    <w:rsid w:val="008A6488"/>
    <w:rsid w:val="008A64DE"/>
    <w:rsid w:val="008A77DC"/>
    <w:rsid w:val="008A78AE"/>
    <w:rsid w:val="008A7FD2"/>
    <w:rsid w:val="008B029A"/>
    <w:rsid w:val="008B03EE"/>
    <w:rsid w:val="008B0A80"/>
    <w:rsid w:val="008B18FC"/>
    <w:rsid w:val="008B1916"/>
    <w:rsid w:val="008B1E71"/>
    <w:rsid w:val="008B2D3B"/>
    <w:rsid w:val="008B378C"/>
    <w:rsid w:val="008B379C"/>
    <w:rsid w:val="008B3A65"/>
    <w:rsid w:val="008B3D23"/>
    <w:rsid w:val="008B44B4"/>
    <w:rsid w:val="008B52F2"/>
    <w:rsid w:val="008B588A"/>
    <w:rsid w:val="008B5DE1"/>
    <w:rsid w:val="008B6025"/>
    <w:rsid w:val="008B6869"/>
    <w:rsid w:val="008B6D0A"/>
    <w:rsid w:val="008B6F96"/>
    <w:rsid w:val="008B7150"/>
    <w:rsid w:val="008B7240"/>
    <w:rsid w:val="008B77DF"/>
    <w:rsid w:val="008B7C67"/>
    <w:rsid w:val="008C0196"/>
    <w:rsid w:val="008C01AE"/>
    <w:rsid w:val="008C0201"/>
    <w:rsid w:val="008C09DE"/>
    <w:rsid w:val="008C0C03"/>
    <w:rsid w:val="008C18E9"/>
    <w:rsid w:val="008C1F0E"/>
    <w:rsid w:val="008C2367"/>
    <w:rsid w:val="008C27A7"/>
    <w:rsid w:val="008C2948"/>
    <w:rsid w:val="008C2F02"/>
    <w:rsid w:val="008C2F3D"/>
    <w:rsid w:val="008C38D4"/>
    <w:rsid w:val="008C3C96"/>
    <w:rsid w:val="008C4301"/>
    <w:rsid w:val="008C4355"/>
    <w:rsid w:val="008C63C5"/>
    <w:rsid w:val="008C66DE"/>
    <w:rsid w:val="008C6853"/>
    <w:rsid w:val="008C7033"/>
    <w:rsid w:val="008C756E"/>
    <w:rsid w:val="008C75E2"/>
    <w:rsid w:val="008C7B40"/>
    <w:rsid w:val="008C7B6E"/>
    <w:rsid w:val="008D00BD"/>
    <w:rsid w:val="008D0207"/>
    <w:rsid w:val="008D0D4A"/>
    <w:rsid w:val="008D102A"/>
    <w:rsid w:val="008D122D"/>
    <w:rsid w:val="008D153D"/>
    <w:rsid w:val="008D185C"/>
    <w:rsid w:val="008D1B58"/>
    <w:rsid w:val="008D213C"/>
    <w:rsid w:val="008D224C"/>
    <w:rsid w:val="008D2D9A"/>
    <w:rsid w:val="008D36D9"/>
    <w:rsid w:val="008D3983"/>
    <w:rsid w:val="008D3B28"/>
    <w:rsid w:val="008D3C26"/>
    <w:rsid w:val="008D3D4C"/>
    <w:rsid w:val="008D3E5F"/>
    <w:rsid w:val="008D4BAB"/>
    <w:rsid w:val="008D5608"/>
    <w:rsid w:val="008D5755"/>
    <w:rsid w:val="008D58AA"/>
    <w:rsid w:val="008D6395"/>
    <w:rsid w:val="008D6453"/>
    <w:rsid w:val="008D68F4"/>
    <w:rsid w:val="008D6BBF"/>
    <w:rsid w:val="008D7112"/>
    <w:rsid w:val="008D7246"/>
    <w:rsid w:val="008D75B8"/>
    <w:rsid w:val="008D794D"/>
    <w:rsid w:val="008D7A54"/>
    <w:rsid w:val="008D7DB6"/>
    <w:rsid w:val="008D7E80"/>
    <w:rsid w:val="008E07C7"/>
    <w:rsid w:val="008E0A80"/>
    <w:rsid w:val="008E0A98"/>
    <w:rsid w:val="008E0F31"/>
    <w:rsid w:val="008E10FE"/>
    <w:rsid w:val="008E11FC"/>
    <w:rsid w:val="008E12B7"/>
    <w:rsid w:val="008E148F"/>
    <w:rsid w:val="008E156C"/>
    <w:rsid w:val="008E2972"/>
    <w:rsid w:val="008E2AF0"/>
    <w:rsid w:val="008E2BD5"/>
    <w:rsid w:val="008E334F"/>
    <w:rsid w:val="008E34D4"/>
    <w:rsid w:val="008E3520"/>
    <w:rsid w:val="008E38E8"/>
    <w:rsid w:val="008E3D2A"/>
    <w:rsid w:val="008E425B"/>
    <w:rsid w:val="008E4571"/>
    <w:rsid w:val="008E4856"/>
    <w:rsid w:val="008E4D84"/>
    <w:rsid w:val="008E54F2"/>
    <w:rsid w:val="008E6298"/>
    <w:rsid w:val="008E679F"/>
    <w:rsid w:val="008E715E"/>
    <w:rsid w:val="008E71B9"/>
    <w:rsid w:val="008E77FC"/>
    <w:rsid w:val="008E7E69"/>
    <w:rsid w:val="008F02D0"/>
    <w:rsid w:val="008F16EF"/>
    <w:rsid w:val="008F1DB8"/>
    <w:rsid w:val="008F1DFF"/>
    <w:rsid w:val="008F1ED1"/>
    <w:rsid w:val="008F239A"/>
    <w:rsid w:val="008F26BF"/>
    <w:rsid w:val="008F2AD8"/>
    <w:rsid w:val="008F2DEA"/>
    <w:rsid w:val="008F2EAA"/>
    <w:rsid w:val="008F33B9"/>
    <w:rsid w:val="008F396D"/>
    <w:rsid w:val="008F441B"/>
    <w:rsid w:val="008F48DB"/>
    <w:rsid w:val="008F4E9E"/>
    <w:rsid w:val="008F4EBE"/>
    <w:rsid w:val="008F4FAC"/>
    <w:rsid w:val="008F606F"/>
    <w:rsid w:val="008F623B"/>
    <w:rsid w:val="008F696D"/>
    <w:rsid w:val="008F69F6"/>
    <w:rsid w:val="008F6F89"/>
    <w:rsid w:val="008F73B0"/>
    <w:rsid w:val="008F7CC0"/>
    <w:rsid w:val="008F7D8C"/>
    <w:rsid w:val="009008D9"/>
    <w:rsid w:val="00900ACF"/>
    <w:rsid w:val="00900B67"/>
    <w:rsid w:val="009010B4"/>
    <w:rsid w:val="009012FF"/>
    <w:rsid w:val="00901BB4"/>
    <w:rsid w:val="00901E90"/>
    <w:rsid w:val="00901F04"/>
    <w:rsid w:val="0090240A"/>
    <w:rsid w:val="00902BA6"/>
    <w:rsid w:val="00902E69"/>
    <w:rsid w:val="00903715"/>
    <w:rsid w:val="00903CD9"/>
    <w:rsid w:val="00903D75"/>
    <w:rsid w:val="00903F1E"/>
    <w:rsid w:val="00904C6F"/>
    <w:rsid w:val="009059CA"/>
    <w:rsid w:val="00905DBE"/>
    <w:rsid w:val="00906DE2"/>
    <w:rsid w:val="00907C1C"/>
    <w:rsid w:val="00910A20"/>
    <w:rsid w:val="00910D26"/>
    <w:rsid w:val="0091154E"/>
    <w:rsid w:val="00911EF2"/>
    <w:rsid w:val="00911FB6"/>
    <w:rsid w:val="0091234F"/>
    <w:rsid w:val="0091267A"/>
    <w:rsid w:val="00912B0F"/>
    <w:rsid w:val="009135CB"/>
    <w:rsid w:val="00913CB9"/>
    <w:rsid w:val="00913F23"/>
    <w:rsid w:val="00915627"/>
    <w:rsid w:val="0091628A"/>
    <w:rsid w:val="00916B90"/>
    <w:rsid w:val="00916C2D"/>
    <w:rsid w:val="00916CC7"/>
    <w:rsid w:val="0091705E"/>
    <w:rsid w:val="00917112"/>
    <w:rsid w:val="009171F9"/>
    <w:rsid w:val="0091729C"/>
    <w:rsid w:val="009172DB"/>
    <w:rsid w:val="00917E68"/>
    <w:rsid w:val="0092062C"/>
    <w:rsid w:val="00921B0C"/>
    <w:rsid w:val="00922450"/>
    <w:rsid w:val="00922C1F"/>
    <w:rsid w:val="00922EAF"/>
    <w:rsid w:val="009230DC"/>
    <w:rsid w:val="00924587"/>
    <w:rsid w:val="009245FA"/>
    <w:rsid w:val="00926934"/>
    <w:rsid w:val="009269ED"/>
    <w:rsid w:val="00926B75"/>
    <w:rsid w:val="00926E39"/>
    <w:rsid w:val="00926F45"/>
    <w:rsid w:val="009272E3"/>
    <w:rsid w:val="00927DBD"/>
    <w:rsid w:val="00927E1F"/>
    <w:rsid w:val="009303FC"/>
    <w:rsid w:val="009309D1"/>
    <w:rsid w:val="00930B6B"/>
    <w:rsid w:val="00930C57"/>
    <w:rsid w:val="00930C58"/>
    <w:rsid w:val="00930F43"/>
    <w:rsid w:val="00931517"/>
    <w:rsid w:val="0093195B"/>
    <w:rsid w:val="00931AE0"/>
    <w:rsid w:val="00931C36"/>
    <w:rsid w:val="00931E5D"/>
    <w:rsid w:val="0093219F"/>
    <w:rsid w:val="00932225"/>
    <w:rsid w:val="0093266A"/>
    <w:rsid w:val="00933321"/>
    <w:rsid w:val="00933A5B"/>
    <w:rsid w:val="009342AC"/>
    <w:rsid w:val="009348CE"/>
    <w:rsid w:val="00934F3F"/>
    <w:rsid w:val="0093549B"/>
    <w:rsid w:val="009356F2"/>
    <w:rsid w:val="00935BFE"/>
    <w:rsid w:val="00935D73"/>
    <w:rsid w:val="00935D8C"/>
    <w:rsid w:val="00936C8C"/>
    <w:rsid w:val="009377A2"/>
    <w:rsid w:val="00937A32"/>
    <w:rsid w:val="00937BEB"/>
    <w:rsid w:val="00940120"/>
    <w:rsid w:val="00940894"/>
    <w:rsid w:val="00940D87"/>
    <w:rsid w:val="00940FFB"/>
    <w:rsid w:val="00941007"/>
    <w:rsid w:val="009411AA"/>
    <w:rsid w:val="00941259"/>
    <w:rsid w:val="0094125F"/>
    <w:rsid w:val="00941269"/>
    <w:rsid w:val="00941863"/>
    <w:rsid w:val="00941B54"/>
    <w:rsid w:val="00941E88"/>
    <w:rsid w:val="009427C3"/>
    <w:rsid w:val="009439C6"/>
    <w:rsid w:val="00943CD3"/>
    <w:rsid w:val="00944320"/>
    <w:rsid w:val="00944A56"/>
    <w:rsid w:val="00944BD5"/>
    <w:rsid w:val="0094514D"/>
    <w:rsid w:val="009451EE"/>
    <w:rsid w:val="00945527"/>
    <w:rsid w:val="0094600A"/>
    <w:rsid w:val="00946EBE"/>
    <w:rsid w:val="00947600"/>
    <w:rsid w:val="00947B43"/>
    <w:rsid w:val="00947B83"/>
    <w:rsid w:val="00950410"/>
    <w:rsid w:val="00950D8F"/>
    <w:rsid w:val="00950DAC"/>
    <w:rsid w:val="0095151F"/>
    <w:rsid w:val="00951988"/>
    <w:rsid w:val="00951E80"/>
    <w:rsid w:val="00951F99"/>
    <w:rsid w:val="00952936"/>
    <w:rsid w:val="009531C0"/>
    <w:rsid w:val="00953FE3"/>
    <w:rsid w:val="00954027"/>
    <w:rsid w:val="00954395"/>
    <w:rsid w:val="009543D3"/>
    <w:rsid w:val="00954452"/>
    <w:rsid w:val="009548B0"/>
    <w:rsid w:val="00954B81"/>
    <w:rsid w:val="00955752"/>
    <w:rsid w:val="00955AB0"/>
    <w:rsid w:val="00955BF2"/>
    <w:rsid w:val="009560A4"/>
    <w:rsid w:val="0095612F"/>
    <w:rsid w:val="00956941"/>
    <w:rsid w:val="00956AA0"/>
    <w:rsid w:val="00956DF2"/>
    <w:rsid w:val="00957CC6"/>
    <w:rsid w:val="0096077B"/>
    <w:rsid w:val="009607D2"/>
    <w:rsid w:val="0096089B"/>
    <w:rsid w:val="00960961"/>
    <w:rsid w:val="00960A41"/>
    <w:rsid w:val="00960CC6"/>
    <w:rsid w:val="00961B96"/>
    <w:rsid w:val="00962917"/>
    <w:rsid w:val="00962A6B"/>
    <w:rsid w:val="00963191"/>
    <w:rsid w:val="009634AF"/>
    <w:rsid w:val="00963799"/>
    <w:rsid w:val="00963B63"/>
    <w:rsid w:val="00963FF5"/>
    <w:rsid w:val="009643CF"/>
    <w:rsid w:val="00964982"/>
    <w:rsid w:val="00964E00"/>
    <w:rsid w:val="0096591D"/>
    <w:rsid w:val="009668DD"/>
    <w:rsid w:val="00966C64"/>
    <w:rsid w:val="00967660"/>
    <w:rsid w:val="00967A75"/>
    <w:rsid w:val="00967E10"/>
    <w:rsid w:val="00967ED8"/>
    <w:rsid w:val="009711C1"/>
    <w:rsid w:val="009711F5"/>
    <w:rsid w:val="00971708"/>
    <w:rsid w:val="00971BDF"/>
    <w:rsid w:val="00971EE7"/>
    <w:rsid w:val="00971F3B"/>
    <w:rsid w:val="009729C2"/>
    <w:rsid w:val="00972BFE"/>
    <w:rsid w:val="00972CA2"/>
    <w:rsid w:val="00973EFD"/>
    <w:rsid w:val="009741FC"/>
    <w:rsid w:val="009742FD"/>
    <w:rsid w:val="0097497B"/>
    <w:rsid w:val="00974C65"/>
    <w:rsid w:val="00975386"/>
    <w:rsid w:val="009755F2"/>
    <w:rsid w:val="00975690"/>
    <w:rsid w:val="00975B79"/>
    <w:rsid w:val="00975F64"/>
    <w:rsid w:val="00976502"/>
    <w:rsid w:val="00976727"/>
    <w:rsid w:val="009770EF"/>
    <w:rsid w:val="00977C0E"/>
    <w:rsid w:val="00977C27"/>
    <w:rsid w:val="00977E7B"/>
    <w:rsid w:val="00977F3D"/>
    <w:rsid w:val="0098044D"/>
    <w:rsid w:val="00980571"/>
    <w:rsid w:val="00980C61"/>
    <w:rsid w:val="00980FA9"/>
    <w:rsid w:val="009812BD"/>
    <w:rsid w:val="00981302"/>
    <w:rsid w:val="009816F9"/>
    <w:rsid w:val="00981855"/>
    <w:rsid w:val="00982090"/>
    <w:rsid w:val="00982686"/>
    <w:rsid w:val="00983717"/>
    <w:rsid w:val="009843A1"/>
    <w:rsid w:val="00985003"/>
    <w:rsid w:val="009854F4"/>
    <w:rsid w:val="00985544"/>
    <w:rsid w:val="009856E0"/>
    <w:rsid w:val="00985D44"/>
    <w:rsid w:val="00985E3D"/>
    <w:rsid w:val="00985F44"/>
    <w:rsid w:val="009860F4"/>
    <w:rsid w:val="009868B9"/>
    <w:rsid w:val="00986A08"/>
    <w:rsid w:val="00987381"/>
    <w:rsid w:val="00987675"/>
    <w:rsid w:val="009879F9"/>
    <w:rsid w:val="009901DF"/>
    <w:rsid w:val="0099058A"/>
    <w:rsid w:val="009912CF"/>
    <w:rsid w:val="009921B8"/>
    <w:rsid w:val="0099221C"/>
    <w:rsid w:val="009924DC"/>
    <w:rsid w:val="009929DF"/>
    <w:rsid w:val="00992DBC"/>
    <w:rsid w:val="00992EB8"/>
    <w:rsid w:val="009932DD"/>
    <w:rsid w:val="00993303"/>
    <w:rsid w:val="00993C5A"/>
    <w:rsid w:val="00993EE0"/>
    <w:rsid w:val="0099407C"/>
    <w:rsid w:val="0099424D"/>
    <w:rsid w:val="00994865"/>
    <w:rsid w:val="0099497A"/>
    <w:rsid w:val="0099537C"/>
    <w:rsid w:val="009956F9"/>
    <w:rsid w:val="0099616F"/>
    <w:rsid w:val="009962AC"/>
    <w:rsid w:val="009962C5"/>
    <w:rsid w:val="0099651E"/>
    <w:rsid w:val="0099658C"/>
    <w:rsid w:val="00996A9E"/>
    <w:rsid w:val="00996FA7"/>
    <w:rsid w:val="0099755F"/>
    <w:rsid w:val="0099766B"/>
    <w:rsid w:val="009A0386"/>
    <w:rsid w:val="009A0708"/>
    <w:rsid w:val="009A0FCA"/>
    <w:rsid w:val="009A1741"/>
    <w:rsid w:val="009A19E6"/>
    <w:rsid w:val="009A2021"/>
    <w:rsid w:val="009A255C"/>
    <w:rsid w:val="009A2604"/>
    <w:rsid w:val="009A2618"/>
    <w:rsid w:val="009A27A3"/>
    <w:rsid w:val="009A2C89"/>
    <w:rsid w:val="009A3658"/>
    <w:rsid w:val="009A372E"/>
    <w:rsid w:val="009A3FB8"/>
    <w:rsid w:val="009A4567"/>
    <w:rsid w:val="009A4EC1"/>
    <w:rsid w:val="009A5765"/>
    <w:rsid w:val="009A578E"/>
    <w:rsid w:val="009A5BB5"/>
    <w:rsid w:val="009A63F1"/>
    <w:rsid w:val="009A696F"/>
    <w:rsid w:val="009A7176"/>
    <w:rsid w:val="009A783B"/>
    <w:rsid w:val="009A7B96"/>
    <w:rsid w:val="009B03E3"/>
    <w:rsid w:val="009B09F9"/>
    <w:rsid w:val="009B0ADA"/>
    <w:rsid w:val="009B0B0B"/>
    <w:rsid w:val="009B0CEA"/>
    <w:rsid w:val="009B0DF3"/>
    <w:rsid w:val="009B1402"/>
    <w:rsid w:val="009B1C10"/>
    <w:rsid w:val="009B1FFB"/>
    <w:rsid w:val="009B2A61"/>
    <w:rsid w:val="009B2CFD"/>
    <w:rsid w:val="009B31EB"/>
    <w:rsid w:val="009B34E1"/>
    <w:rsid w:val="009B4773"/>
    <w:rsid w:val="009B478D"/>
    <w:rsid w:val="009B48AC"/>
    <w:rsid w:val="009B5FF0"/>
    <w:rsid w:val="009B6091"/>
    <w:rsid w:val="009B6584"/>
    <w:rsid w:val="009B6B38"/>
    <w:rsid w:val="009B6D89"/>
    <w:rsid w:val="009B6DDF"/>
    <w:rsid w:val="009B6F9E"/>
    <w:rsid w:val="009B7F94"/>
    <w:rsid w:val="009C03B3"/>
    <w:rsid w:val="009C0A14"/>
    <w:rsid w:val="009C0AFE"/>
    <w:rsid w:val="009C0FD8"/>
    <w:rsid w:val="009C1197"/>
    <w:rsid w:val="009C1448"/>
    <w:rsid w:val="009C159A"/>
    <w:rsid w:val="009C1AAB"/>
    <w:rsid w:val="009C217D"/>
    <w:rsid w:val="009C2571"/>
    <w:rsid w:val="009C2DE7"/>
    <w:rsid w:val="009C33EE"/>
    <w:rsid w:val="009C41D2"/>
    <w:rsid w:val="009C4787"/>
    <w:rsid w:val="009C4818"/>
    <w:rsid w:val="009C4A44"/>
    <w:rsid w:val="009C51BA"/>
    <w:rsid w:val="009C52D3"/>
    <w:rsid w:val="009C5D38"/>
    <w:rsid w:val="009C6879"/>
    <w:rsid w:val="009C6F95"/>
    <w:rsid w:val="009C7919"/>
    <w:rsid w:val="009D0256"/>
    <w:rsid w:val="009D0388"/>
    <w:rsid w:val="009D04D9"/>
    <w:rsid w:val="009D1593"/>
    <w:rsid w:val="009D1774"/>
    <w:rsid w:val="009D1A32"/>
    <w:rsid w:val="009D203F"/>
    <w:rsid w:val="009D20A7"/>
    <w:rsid w:val="009D224F"/>
    <w:rsid w:val="009D2D59"/>
    <w:rsid w:val="009D2D7A"/>
    <w:rsid w:val="009D322C"/>
    <w:rsid w:val="009D3529"/>
    <w:rsid w:val="009D354C"/>
    <w:rsid w:val="009D41DF"/>
    <w:rsid w:val="009D421D"/>
    <w:rsid w:val="009D4403"/>
    <w:rsid w:val="009D4F06"/>
    <w:rsid w:val="009D5259"/>
    <w:rsid w:val="009D5895"/>
    <w:rsid w:val="009D5AF8"/>
    <w:rsid w:val="009D6B12"/>
    <w:rsid w:val="009D6C20"/>
    <w:rsid w:val="009D6DCA"/>
    <w:rsid w:val="009D7555"/>
    <w:rsid w:val="009E02CA"/>
    <w:rsid w:val="009E02EC"/>
    <w:rsid w:val="009E0340"/>
    <w:rsid w:val="009E0670"/>
    <w:rsid w:val="009E0B48"/>
    <w:rsid w:val="009E0BA2"/>
    <w:rsid w:val="009E0DAE"/>
    <w:rsid w:val="009E0DB5"/>
    <w:rsid w:val="009E0F64"/>
    <w:rsid w:val="009E194D"/>
    <w:rsid w:val="009E1ACB"/>
    <w:rsid w:val="009E2274"/>
    <w:rsid w:val="009E22AF"/>
    <w:rsid w:val="009E25B9"/>
    <w:rsid w:val="009E29F2"/>
    <w:rsid w:val="009E307B"/>
    <w:rsid w:val="009E37A9"/>
    <w:rsid w:val="009E39BF"/>
    <w:rsid w:val="009E3C86"/>
    <w:rsid w:val="009E438B"/>
    <w:rsid w:val="009E4A57"/>
    <w:rsid w:val="009E4F65"/>
    <w:rsid w:val="009E5005"/>
    <w:rsid w:val="009E549B"/>
    <w:rsid w:val="009E5E3F"/>
    <w:rsid w:val="009E665A"/>
    <w:rsid w:val="009E70DF"/>
    <w:rsid w:val="009E7BA8"/>
    <w:rsid w:val="009E7E6E"/>
    <w:rsid w:val="009E7E7B"/>
    <w:rsid w:val="009E7F68"/>
    <w:rsid w:val="009F0800"/>
    <w:rsid w:val="009F09D7"/>
    <w:rsid w:val="009F0E58"/>
    <w:rsid w:val="009F1120"/>
    <w:rsid w:val="009F1507"/>
    <w:rsid w:val="009F2D1B"/>
    <w:rsid w:val="009F2F9B"/>
    <w:rsid w:val="009F3055"/>
    <w:rsid w:val="009F35BC"/>
    <w:rsid w:val="009F3CFD"/>
    <w:rsid w:val="009F4A49"/>
    <w:rsid w:val="009F4BBE"/>
    <w:rsid w:val="009F50AB"/>
    <w:rsid w:val="009F50D3"/>
    <w:rsid w:val="009F6B94"/>
    <w:rsid w:val="009F6BE4"/>
    <w:rsid w:val="009F75FD"/>
    <w:rsid w:val="009F7712"/>
    <w:rsid w:val="009F7B63"/>
    <w:rsid w:val="009F7DC0"/>
    <w:rsid w:val="009F7F12"/>
    <w:rsid w:val="009F7FB7"/>
    <w:rsid w:val="00A00248"/>
    <w:rsid w:val="00A0080B"/>
    <w:rsid w:val="00A00BA0"/>
    <w:rsid w:val="00A00CDE"/>
    <w:rsid w:val="00A00D92"/>
    <w:rsid w:val="00A00F5E"/>
    <w:rsid w:val="00A0138C"/>
    <w:rsid w:val="00A021D3"/>
    <w:rsid w:val="00A02663"/>
    <w:rsid w:val="00A030CB"/>
    <w:rsid w:val="00A03695"/>
    <w:rsid w:val="00A0379A"/>
    <w:rsid w:val="00A03C34"/>
    <w:rsid w:val="00A04237"/>
    <w:rsid w:val="00A04399"/>
    <w:rsid w:val="00A04725"/>
    <w:rsid w:val="00A05147"/>
    <w:rsid w:val="00A05202"/>
    <w:rsid w:val="00A056F4"/>
    <w:rsid w:val="00A05993"/>
    <w:rsid w:val="00A0599D"/>
    <w:rsid w:val="00A05F0F"/>
    <w:rsid w:val="00A06A40"/>
    <w:rsid w:val="00A06B07"/>
    <w:rsid w:val="00A06B7C"/>
    <w:rsid w:val="00A1071D"/>
    <w:rsid w:val="00A10BDF"/>
    <w:rsid w:val="00A11074"/>
    <w:rsid w:val="00A11EA2"/>
    <w:rsid w:val="00A12194"/>
    <w:rsid w:val="00A12547"/>
    <w:rsid w:val="00A1257C"/>
    <w:rsid w:val="00A12648"/>
    <w:rsid w:val="00A132E6"/>
    <w:rsid w:val="00A13AE2"/>
    <w:rsid w:val="00A143EE"/>
    <w:rsid w:val="00A14C8E"/>
    <w:rsid w:val="00A152BA"/>
    <w:rsid w:val="00A15711"/>
    <w:rsid w:val="00A15819"/>
    <w:rsid w:val="00A16A79"/>
    <w:rsid w:val="00A1714E"/>
    <w:rsid w:val="00A173F9"/>
    <w:rsid w:val="00A17525"/>
    <w:rsid w:val="00A17699"/>
    <w:rsid w:val="00A17759"/>
    <w:rsid w:val="00A17946"/>
    <w:rsid w:val="00A17B60"/>
    <w:rsid w:val="00A212B2"/>
    <w:rsid w:val="00A21AFE"/>
    <w:rsid w:val="00A22371"/>
    <w:rsid w:val="00A224EE"/>
    <w:rsid w:val="00A225BB"/>
    <w:rsid w:val="00A22BE7"/>
    <w:rsid w:val="00A233E6"/>
    <w:rsid w:val="00A23BE0"/>
    <w:rsid w:val="00A23E0E"/>
    <w:rsid w:val="00A23EA2"/>
    <w:rsid w:val="00A23F42"/>
    <w:rsid w:val="00A23FBB"/>
    <w:rsid w:val="00A243DF"/>
    <w:rsid w:val="00A24E56"/>
    <w:rsid w:val="00A25112"/>
    <w:rsid w:val="00A255B7"/>
    <w:rsid w:val="00A25EFE"/>
    <w:rsid w:val="00A25F02"/>
    <w:rsid w:val="00A26546"/>
    <w:rsid w:val="00A2681F"/>
    <w:rsid w:val="00A26CAD"/>
    <w:rsid w:val="00A26DD3"/>
    <w:rsid w:val="00A2763C"/>
    <w:rsid w:val="00A27B30"/>
    <w:rsid w:val="00A27DC0"/>
    <w:rsid w:val="00A27E4E"/>
    <w:rsid w:val="00A30065"/>
    <w:rsid w:val="00A307A4"/>
    <w:rsid w:val="00A30843"/>
    <w:rsid w:val="00A30C15"/>
    <w:rsid w:val="00A30F27"/>
    <w:rsid w:val="00A31AA4"/>
    <w:rsid w:val="00A31BD1"/>
    <w:rsid w:val="00A32108"/>
    <w:rsid w:val="00A331D2"/>
    <w:rsid w:val="00A33592"/>
    <w:rsid w:val="00A33825"/>
    <w:rsid w:val="00A33C39"/>
    <w:rsid w:val="00A3483E"/>
    <w:rsid w:val="00A348AF"/>
    <w:rsid w:val="00A34A5A"/>
    <w:rsid w:val="00A34CC4"/>
    <w:rsid w:val="00A34D50"/>
    <w:rsid w:val="00A34F34"/>
    <w:rsid w:val="00A35062"/>
    <w:rsid w:val="00A357A3"/>
    <w:rsid w:val="00A35A0B"/>
    <w:rsid w:val="00A37AB5"/>
    <w:rsid w:val="00A404B3"/>
    <w:rsid w:val="00A40D7B"/>
    <w:rsid w:val="00A416BC"/>
    <w:rsid w:val="00A416E0"/>
    <w:rsid w:val="00A420C1"/>
    <w:rsid w:val="00A42123"/>
    <w:rsid w:val="00A42646"/>
    <w:rsid w:val="00A42E41"/>
    <w:rsid w:val="00A42E95"/>
    <w:rsid w:val="00A436DD"/>
    <w:rsid w:val="00A43BDF"/>
    <w:rsid w:val="00A43C37"/>
    <w:rsid w:val="00A447A6"/>
    <w:rsid w:val="00A4506C"/>
    <w:rsid w:val="00A4533D"/>
    <w:rsid w:val="00A459EB"/>
    <w:rsid w:val="00A463B7"/>
    <w:rsid w:val="00A468C7"/>
    <w:rsid w:val="00A47409"/>
    <w:rsid w:val="00A4749D"/>
    <w:rsid w:val="00A47753"/>
    <w:rsid w:val="00A47D81"/>
    <w:rsid w:val="00A47E5B"/>
    <w:rsid w:val="00A503CF"/>
    <w:rsid w:val="00A50569"/>
    <w:rsid w:val="00A505CC"/>
    <w:rsid w:val="00A50D4A"/>
    <w:rsid w:val="00A51367"/>
    <w:rsid w:val="00A516A9"/>
    <w:rsid w:val="00A51936"/>
    <w:rsid w:val="00A51F62"/>
    <w:rsid w:val="00A51FAF"/>
    <w:rsid w:val="00A521ED"/>
    <w:rsid w:val="00A52407"/>
    <w:rsid w:val="00A52738"/>
    <w:rsid w:val="00A542BF"/>
    <w:rsid w:val="00A54559"/>
    <w:rsid w:val="00A54AB6"/>
    <w:rsid w:val="00A54B1C"/>
    <w:rsid w:val="00A54E77"/>
    <w:rsid w:val="00A55580"/>
    <w:rsid w:val="00A55C0A"/>
    <w:rsid w:val="00A55FCA"/>
    <w:rsid w:val="00A5622B"/>
    <w:rsid w:val="00A56E2D"/>
    <w:rsid w:val="00A56EDF"/>
    <w:rsid w:val="00A56F65"/>
    <w:rsid w:val="00A570EB"/>
    <w:rsid w:val="00A5714E"/>
    <w:rsid w:val="00A573C3"/>
    <w:rsid w:val="00A57621"/>
    <w:rsid w:val="00A60CD2"/>
    <w:rsid w:val="00A60CDA"/>
    <w:rsid w:val="00A615CD"/>
    <w:rsid w:val="00A626C9"/>
    <w:rsid w:val="00A631F0"/>
    <w:rsid w:val="00A63231"/>
    <w:rsid w:val="00A634DC"/>
    <w:rsid w:val="00A63A68"/>
    <w:rsid w:val="00A63DFB"/>
    <w:rsid w:val="00A63EE2"/>
    <w:rsid w:val="00A63F2F"/>
    <w:rsid w:val="00A643AB"/>
    <w:rsid w:val="00A643AF"/>
    <w:rsid w:val="00A644DB"/>
    <w:rsid w:val="00A64540"/>
    <w:rsid w:val="00A65707"/>
    <w:rsid w:val="00A65A30"/>
    <w:rsid w:val="00A661A8"/>
    <w:rsid w:val="00A66565"/>
    <w:rsid w:val="00A668DC"/>
    <w:rsid w:val="00A66BE4"/>
    <w:rsid w:val="00A6788E"/>
    <w:rsid w:val="00A679F5"/>
    <w:rsid w:val="00A70731"/>
    <w:rsid w:val="00A70BB4"/>
    <w:rsid w:val="00A71078"/>
    <w:rsid w:val="00A7132D"/>
    <w:rsid w:val="00A7263E"/>
    <w:rsid w:val="00A73067"/>
    <w:rsid w:val="00A732A0"/>
    <w:rsid w:val="00A74355"/>
    <w:rsid w:val="00A74A3A"/>
    <w:rsid w:val="00A74A45"/>
    <w:rsid w:val="00A74CB4"/>
    <w:rsid w:val="00A751BB"/>
    <w:rsid w:val="00A75D16"/>
    <w:rsid w:val="00A75E59"/>
    <w:rsid w:val="00A76622"/>
    <w:rsid w:val="00A768AB"/>
    <w:rsid w:val="00A770F6"/>
    <w:rsid w:val="00A7758C"/>
    <w:rsid w:val="00A77876"/>
    <w:rsid w:val="00A803C4"/>
    <w:rsid w:val="00A804B3"/>
    <w:rsid w:val="00A80980"/>
    <w:rsid w:val="00A80C3C"/>
    <w:rsid w:val="00A81FFA"/>
    <w:rsid w:val="00A82061"/>
    <w:rsid w:val="00A824DC"/>
    <w:rsid w:val="00A82718"/>
    <w:rsid w:val="00A828A5"/>
    <w:rsid w:val="00A82946"/>
    <w:rsid w:val="00A82C54"/>
    <w:rsid w:val="00A83922"/>
    <w:rsid w:val="00A839DD"/>
    <w:rsid w:val="00A83A08"/>
    <w:rsid w:val="00A83F49"/>
    <w:rsid w:val="00A84B40"/>
    <w:rsid w:val="00A85034"/>
    <w:rsid w:val="00A85557"/>
    <w:rsid w:val="00A855D8"/>
    <w:rsid w:val="00A85776"/>
    <w:rsid w:val="00A858C3"/>
    <w:rsid w:val="00A86467"/>
    <w:rsid w:val="00A866FE"/>
    <w:rsid w:val="00A86D51"/>
    <w:rsid w:val="00A87307"/>
    <w:rsid w:val="00A87349"/>
    <w:rsid w:val="00A87A60"/>
    <w:rsid w:val="00A90138"/>
    <w:rsid w:val="00A909B9"/>
    <w:rsid w:val="00A918A6"/>
    <w:rsid w:val="00A92529"/>
    <w:rsid w:val="00A929F3"/>
    <w:rsid w:val="00A92A38"/>
    <w:rsid w:val="00A92B36"/>
    <w:rsid w:val="00A92C42"/>
    <w:rsid w:val="00A93064"/>
    <w:rsid w:val="00A9318E"/>
    <w:rsid w:val="00A93261"/>
    <w:rsid w:val="00A9367D"/>
    <w:rsid w:val="00A9374A"/>
    <w:rsid w:val="00A93B01"/>
    <w:rsid w:val="00A94593"/>
    <w:rsid w:val="00A946A3"/>
    <w:rsid w:val="00A94A8F"/>
    <w:rsid w:val="00A952C9"/>
    <w:rsid w:val="00A95870"/>
    <w:rsid w:val="00A95A38"/>
    <w:rsid w:val="00A95B63"/>
    <w:rsid w:val="00A95C37"/>
    <w:rsid w:val="00A95F30"/>
    <w:rsid w:val="00A962E4"/>
    <w:rsid w:val="00A96B43"/>
    <w:rsid w:val="00A96E8C"/>
    <w:rsid w:val="00A96F54"/>
    <w:rsid w:val="00A9747F"/>
    <w:rsid w:val="00A97A63"/>
    <w:rsid w:val="00A97B05"/>
    <w:rsid w:val="00AA031E"/>
    <w:rsid w:val="00AA0542"/>
    <w:rsid w:val="00AA10E7"/>
    <w:rsid w:val="00AA13D7"/>
    <w:rsid w:val="00AA1755"/>
    <w:rsid w:val="00AA1C9F"/>
    <w:rsid w:val="00AA1D7C"/>
    <w:rsid w:val="00AA2294"/>
    <w:rsid w:val="00AA2B69"/>
    <w:rsid w:val="00AA2C6F"/>
    <w:rsid w:val="00AA3655"/>
    <w:rsid w:val="00AA3B1A"/>
    <w:rsid w:val="00AA44B7"/>
    <w:rsid w:val="00AA490E"/>
    <w:rsid w:val="00AA492F"/>
    <w:rsid w:val="00AA4992"/>
    <w:rsid w:val="00AA49E0"/>
    <w:rsid w:val="00AA4B2D"/>
    <w:rsid w:val="00AA4E63"/>
    <w:rsid w:val="00AA4F8A"/>
    <w:rsid w:val="00AA5263"/>
    <w:rsid w:val="00AA5EC5"/>
    <w:rsid w:val="00AA625A"/>
    <w:rsid w:val="00AA67C2"/>
    <w:rsid w:val="00AA69DA"/>
    <w:rsid w:val="00AA6A16"/>
    <w:rsid w:val="00AA6FBB"/>
    <w:rsid w:val="00AA72BD"/>
    <w:rsid w:val="00AB0167"/>
    <w:rsid w:val="00AB0F67"/>
    <w:rsid w:val="00AB1513"/>
    <w:rsid w:val="00AB1B26"/>
    <w:rsid w:val="00AB20F9"/>
    <w:rsid w:val="00AB32DF"/>
    <w:rsid w:val="00AB3584"/>
    <w:rsid w:val="00AB360E"/>
    <w:rsid w:val="00AB364C"/>
    <w:rsid w:val="00AB379D"/>
    <w:rsid w:val="00AB46B9"/>
    <w:rsid w:val="00AB4EB6"/>
    <w:rsid w:val="00AB5509"/>
    <w:rsid w:val="00AB5985"/>
    <w:rsid w:val="00AB5AB7"/>
    <w:rsid w:val="00AB6126"/>
    <w:rsid w:val="00AB674E"/>
    <w:rsid w:val="00AB6AE3"/>
    <w:rsid w:val="00AB7734"/>
    <w:rsid w:val="00AC0E04"/>
    <w:rsid w:val="00AC1154"/>
    <w:rsid w:val="00AC1267"/>
    <w:rsid w:val="00AC159A"/>
    <w:rsid w:val="00AC1625"/>
    <w:rsid w:val="00AC2181"/>
    <w:rsid w:val="00AC347F"/>
    <w:rsid w:val="00AC3BFE"/>
    <w:rsid w:val="00AC44C3"/>
    <w:rsid w:val="00AC477F"/>
    <w:rsid w:val="00AC5065"/>
    <w:rsid w:val="00AC5E97"/>
    <w:rsid w:val="00AC5F52"/>
    <w:rsid w:val="00AC686D"/>
    <w:rsid w:val="00AC6BFF"/>
    <w:rsid w:val="00AC7146"/>
    <w:rsid w:val="00AC7209"/>
    <w:rsid w:val="00AC7375"/>
    <w:rsid w:val="00AC7CB9"/>
    <w:rsid w:val="00AC7EDF"/>
    <w:rsid w:val="00AD035C"/>
    <w:rsid w:val="00AD10F1"/>
    <w:rsid w:val="00AD178D"/>
    <w:rsid w:val="00AD17C6"/>
    <w:rsid w:val="00AD1F82"/>
    <w:rsid w:val="00AD2244"/>
    <w:rsid w:val="00AD26A6"/>
    <w:rsid w:val="00AD2DDB"/>
    <w:rsid w:val="00AD2E0C"/>
    <w:rsid w:val="00AD2ED7"/>
    <w:rsid w:val="00AD3242"/>
    <w:rsid w:val="00AD3417"/>
    <w:rsid w:val="00AD3446"/>
    <w:rsid w:val="00AD34A0"/>
    <w:rsid w:val="00AD3C94"/>
    <w:rsid w:val="00AD4193"/>
    <w:rsid w:val="00AD45BD"/>
    <w:rsid w:val="00AD520A"/>
    <w:rsid w:val="00AD5470"/>
    <w:rsid w:val="00AD5C7B"/>
    <w:rsid w:val="00AD5EE6"/>
    <w:rsid w:val="00AD631C"/>
    <w:rsid w:val="00AD65AB"/>
    <w:rsid w:val="00AD682F"/>
    <w:rsid w:val="00AD69BB"/>
    <w:rsid w:val="00AD7359"/>
    <w:rsid w:val="00AE00A4"/>
    <w:rsid w:val="00AE06E0"/>
    <w:rsid w:val="00AE0817"/>
    <w:rsid w:val="00AE0847"/>
    <w:rsid w:val="00AE08D8"/>
    <w:rsid w:val="00AE0BA2"/>
    <w:rsid w:val="00AE14ED"/>
    <w:rsid w:val="00AE192A"/>
    <w:rsid w:val="00AE1E2E"/>
    <w:rsid w:val="00AE24CB"/>
    <w:rsid w:val="00AE255D"/>
    <w:rsid w:val="00AE2D6E"/>
    <w:rsid w:val="00AE3038"/>
    <w:rsid w:val="00AE32FA"/>
    <w:rsid w:val="00AE3547"/>
    <w:rsid w:val="00AE3D62"/>
    <w:rsid w:val="00AE4160"/>
    <w:rsid w:val="00AE4AB5"/>
    <w:rsid w:val="00AE4D41"/>
    <w:rsid w:val="00AE50A0"/>
    <w:rsid w:val="00AE5F29"/>
    <w:rsid w:val="00AE6148"/>
    <w:rsid w:val="00AE6DC5"/>
    <w:rsid w:val="00AE7030"/>
    <w:rsid w:val="00AE772F"/>
    <w:rsid w:val="00AE7B14"/>
    <w:rsid w:val="00AF04D7"/>
    <w:rsid w:val="00AF0E75"/>
    <w:rsid w:val="00AF2110"/>
    <w:rsid w:val="00AF2E73"/>
    <w:rsid w:val="00AF2F58"/>
    <w:rsid w:val="00AF32FA"/>
    <w:rsid w:val="00AF3368"/>
    <w:rsid w:val="00AF3946"/>
    <w:rsid w:val="00AF404A"/>
    <w:rsid w:val="00AF40DC"/>
    <w:rsid w:val="00AF46BD"/>
    <w:rsid w:val="00AF4846"/>
    <w:rsid w:val="00AF49F2"/>
    <w:rsid w:val="00AF5127"/>
    <w:rsid w:val="00AF59C1"/>
    <w:rsid w:val="00AF5AFE"/>
    <w:rsid w:val="00AF6B64"/>
    <w:rsid w:val="00AF6B71"/>
    <w:rsid w:val="00AF6EE7"/>
    <w:rsid w:val="00AF73F5"/>
    <w:rsid w:val="00AF78ED"/>
    <w:rsid w:val="00AF7DB0"/>
    <w:rsid w:val="00AF7E32"/>
    <w:rsid w:val="00B00D48"/>
    <w:rsid w:val="00B017D7"/>
    <w:rsid w:val="00B018F7"/>
    <w:rsid w:val="00B01C70"/>
    <w:rsid w:val="00B0249A"/>
    <w:rsid w:val="00B025E9"/>
    <w:rsid w:val="00B028B5"/>
    <w:rsid w:val="00B032C7"/>
    <w:rsid w:val="00B0359C"/>
    <w:rsid w:val="00B04212"/>
    <w:rsid w:val="00B04723"/>
    <w:rsid w:val="00B050A4"/>
    <w:rsid w:val="00B06076"/>
    <w:rsid w:val="00B06EE9"/>
    <w:rsid w:val="00B10185"/>
    <w:rsid w:val="00B101FF"/>
    <w:rsid w:val="00B113A3"/>
    <w:rsid w:val="00B1159D"/>
    <w:rsid w:val="00B11767"/>
    <w:rsid w:val="00B11B57"/>
    <w:rsid w:val="00B11EE1"/>
    <w:rsid w:val="00B12051"/>
    <w:rsid w:val="00B12849"/>
    <w:rsid w:val="00B13C48"/>
    <w:rsid w:val="00B13E25"/>
    <w:rsid w:val="00B13F28"/>
    <w:rsid w:val="00B145FB"/>
    <w:rsid w:val="00B153BF"/>
    <w:rsid w:val="00B1558A"/>
    <w:rsid w:val="00B15CE8"/>
    <w:rsid w:val="00B16A2C"/>
    <w:rsid w:val="00B16A81"/>
    <w:rsid w:val="00B16C90"/>
    <w:rsid w:val="00B16D3E"/>
    <w:rsid w:val="00B1706C"/>
    <w:rsid w:val="00B203B1"/>
    <w:rsid w:val="00B20604"/>
    <w:rsid w:val="00B20D0A"/>
    <w:rsid w:val="00B20EAF"/>
    <w:rsid w:val="00B21177"/>
    <w:rsid w:val="00B21669"/>
    <w:rsid w:val="00B2187B"/>
    <w:rsid w:val="00B24B0B"/>
    <w:rsid w:val="00B24C58"/>
    <w:rsid w:val="00B26665"/>
    <w:rsid w:val="00B266C8"/>
    <w:rsid w:val="00B268B8"/>
    <w:rsid w:val="00B301C6"/>
    <w:rsid w:val="00B30B6D"/>
    <w:rsid w:val="00B314FD"/>
    <w:rsid w:val="00B315C7"/>
    <w:rsid w:val="00B31F4C"/>
    <w:rsid w:val="00B3240C"/>
    <w:rsid w:val="00B3254D"/>
    <w:rsid w:val="00B32660"/>
    <w:rsid w:val="00B33340"/>
    <w:rsid w:val="00B33F14"/>
    <w:rsid w:val="00B34816"/>
    <w:rsid w:val="00B348F2"/>
    <w:rsid w:val="00B34B3C"/>
    <w:rsid w:val="00B355EA"/>
    <w:rsid w:val="00B35B28"/>
    <w:rsid w:val="00B35EC9"/>
    <w:rsid w:val="00B36C10"/>
    <w:rsid w:val="00B36CE1"/>
    <w:rsid w:val="00B36D05"/>
    <w:rsid w:val="00B37404"/>
    <w:rsid w:val="00B37C1D"/>
    <w:rsid w:val="00B401FA"/>
    <w:rsid w:val="00B40ADE"/>
    <w:rsid w:val="00B412C9"/>
    <w:rsid w:val="00B4171F"/>
    <w:rsid w:val="00B41F72"/>
    <w:rsid w:val="00B420FD"/>
    <w:rsid w:val="00B4227F"/>
    <w:rsid w:val="00B426FA"/>
    <w:rsid w:val="00B42793"/>
    <w:rsid w:val="00B42893"/>
    <w:rsid w:val="00B43C2C"/>
    <w:rsid w:val="00B43EFD"/>
    <w:rsid w:val="00B44E1B"/>
    <w:rsid w:val="00B455E0"/>
    <w:rsid w:val="00B45985"/>
    <w:rsid w:val="00B45BD4"/>
    <w:rsid w:val="00B461D2"/>
    <w:rsid w:val="00B472DE"/>
    <w:rsid w:val="00B47359"/>
    <w:rsid w:val="00B47FC7"/>
    <w:rsid w:val="00B51A69"/>
    <w:rsid w:val="00B51C56"/>
    <w:rsid w:val="00B51F5E"/>
    <w:rsid w:val="00B52682"/>
    <w:rsid w:val="00B527C5"/>
    <w:rsid w:val="00B5308F"/>
    <w:rsid w:val="00B538E3"/>
    <w:rsid w:val="00B53FD9"/>
    <w:rsid w:val="00B54192"/>
    <w:rsid w:val="00B541DC"/>
    <w:rsid w:val="00B550D0"/>
    <w:rsid w:val="00B55195"/>
    <w:rsid w:val="00B55C00"/>
    <w:rsid w:val="00B5662F"/>
    <w:rsid w:val="00B56F82"/>
    <w:rsid w:val="00B57122"/>
    <w:rsid w:val="00B57138"/>
    <w:rsid w:val="00B57622"/>
    <w:rsid w:val="00B5798A"/>
    <w:rsid w:val="00B57FC1"/>
    <w:rsid w:val="00B6023B"/>
    <w:rsid w:val="00B609F4"/>
    <w:rsid w:val="00B6146D"/>
    <w:rsid w:val="00B61666"/>
    <w:rsid w:val="00B629A6"/>
    <w:rsid w:val="00B629D5"/>
    <w:rsid w:val="00B62E1E"/>
    <w:rsid w:val="00B62FE0"/>
    <w:rsid w:val="00B632E6"/>
    <w:rsid w:val="00B63C94"/>
    <w:rsid w:val="00B64B02"/>
    <w:rsid w:val="00B65563"/>
    <w:rsid w:val="00B6586A"/>
    <w:rsid w:val="00B66745"/>
    <w:rsid w:val="00B667D8"/>
    <w:rsid w:val="00B66F57"/>
    <w:rsid w:val="00B6744B"/>
    <w:rsid w:val="00B6747D"/>
    <w:rsid w:val="00B677FD"/>
    <w:rsid w:val="00B703A8"/>
    <w:rsid w:val="00B7047A"/>
    <w:rsid w:val="00B704D0"/>
    <w:rsid w:val="00B70DF2"/>
    <w:rsid w:val="00B70E99"/>
    <w:rsid w:val="00B713E1"/>
    <w:rsid w:val="00B71489"/>
    <w:rsid w:val="00B71B10"/>
    <w:rsid w:val="00B71F89"/>
    <w:rsid w:val="00B72589"/>
    <w:rsid w:val="00B725F5"/>
    <w:rsid w:val="00B72F56"/>
    <w:rsid w:val="00B73705"/>
    <w:rsid w:val="00B73804"/>
    <w:rsid w:val="00B74103"/>
    <w:rsid w:val="00B74383"/>
    <w:rsid w:val="00B74F96"/>
    <w:rsid w:val="00B75581"/>
    <w:rsid w:val="00B75698"/>
    <w:rsid w:val="00B7610D"/>
    <w:rsid w:val="00B7613D"/>
    <w:rsid w:val="00B761CB"/>
    <w:rsid w:val="00B766BD"/>
    <w:rsid w:val="00B76F3A"/>
    <w:rsid w:val="00B770A0"/>
    <w:rsid w:val="00B77387"/>
    <w:rsid w:val="00B77388"/>
    <w:rsid w:val="00B77602"/>
    <w:rsid w:val="00B77612"/>
    <w:rsid w:val="00B777B4"/>
    <w:rsid w:val="00B777FB"/>
    <w:rsid w:val="00B779B4"/>
    <w:rsid w:val="00B77AB4"/>
    <w:rsid w:val="00B77B4F"/>
    <w:rsid w:val="00B802DF"/>
    <w:rsid w:val="00B80B40"/>
    <w:rsid w:val="00B81328"/>
    <w:rsid w:val="00B82432"/>
    <w:rsid w:val="00B82598"/>
    <w:rsid w:val="00B82B68"/>
    <w:rsid w:val="00B82F93"/>
    <w:rsid w:val="00B841F2"/>
    <w:rsid w:val="00B84E09"/>
    <w:rsid w:val="00B84E96"/>
    <w:rsid w:val="00B852B3"/>
    <w:rsid w:val="00B854F1"/>
    <w:rsid w:val="00B85566"/>
    <w:rsid w:val="00B85D9D"/>
    <w:rsid w:val="00B85F7B"/>
    <w:rsid w:val="00B86054"/>
    <w:rsid w:val="00B860E6"/>
    <w:rsid w:val="00B869DD"/>
    <w:rsid w:val="00B869F3"/>
    <w:rsid w:val="00B90161"/>
    <w:rsid w:val="00B9022A"/>
    <w:rsid w:val="00B9046E"/>
    <w:rsid w:val="00B90681"/>
    <w:rsid w:val="00B90B51"/>
    <w:rsid w:val="00B91A99"/>
    <w:rsid w:val="00B91A9E"/>
    <w:rsid w:val="00B91B20"/>
    <w:rsid w:val="00B91EA3"/>
    <w:rsid w:val="00B92019"/>
    <w:rsid w:val="00B9227F"/>
    <w:rsid w:val="00B930B6"/>
    <w:rsid w:val="00B9350E"/>
    <w:rsid w:val="00B93574"/>
    <w:rsid w:val="00B93789"/>
    <w:rsid w:val="00B94123"/>
    <w:rsid w:val="00B9434F"/>
    <w:rsid w:val="00B947BA"/>
    <w:rsid w:val="00B947C5"/>
    <w:rsid w:val="00B9487D"/>
    <w:rsid w:val="00B94A46"/>
    <w:rsid w:val="00B94D45"/>
    <w:rsid w:val="00B94DF1"/>
    <w:rsid w:val="00B94ECE"/>
    <w:rsid w:val="00B95076"/>
    <w:rsid w:val="00B9559B"/>
    <w:rsid w:val="00B955CD"/>
    <w:rsid w:val="00B955FD"/>
    <w:rsid w:val="00B95FBC"/>
    <w:rsid w:val="00B9666F"/>
    <w:rsid w:val="00B966CE"/>
    <w:rsid w:val="00B96D64"/>
    <w:rsid w:val="00B96EC8"/>
    <w:rsid w:val="00B97446"/>
    <w:rsid w:val="00B97546"/>
    <w:rsid w:val="00BA01D6"/>
    <w:rsid w:val="00BA0251"/>
    <w:rsid w:val="00BA1206"/>
    <w:rsid w:val="00BA1242"/>
    <w:rsid w:val="00BA1498"/>
    <w:rsid w:val="00BA172B"/>
    <w:rsid w:val="00BA2091"/>
    <w:rsid w:val="00BA241D"/>
    <w:rsid w:val="00BA29C9"/>
    <w:rsid w:val="00BA2B18"/>
    <w:rsid w:val="00BA30C7"/>
    <w:rsid w:val="00BA342A"/>
    <w:rsid w:val="00BA407E"/>
    <w:rsid w:val="00BA424C"/>
    <w:rsid w:val="00BA4E82"/>
    <w:rsid w:val="00BA586F"/>
    <w:rsid w:val="00BA587D"/>
    <w:rsid w:val="00BA5B46"/>
    <w:rsid w:val="00BA5BAB"/>
    <w:rsid w:val="00BA64D4"/>
    <w:rsid w:val="00BA69E7"/>
    <w:rsid w:val="00BA6B05"/>
    <w:rsid w:val="00BA6FEB"/>
    <w:rsid w:val="00BA760D"/>
    <w:rsid w:val="00BA7759"/>
    <w:rsid w:val="00BA7F2D"/>
    <w:rsid w:val="00BB0DC3"/>
    <w:rsid w:val="00BB17F2"/>
    <w:rsid w:val="00BB2112"/>
    <w:rsid w:val="00BB219C"/>
    <w:rsid w:val="00BB21D4"/>
    <w:rsid w:val="00BB2604"/>
    <w:rsid w:val="00BB26FE"/>
    <w:rsid w:val="00BB384D"/>
    <w:rsid w:val="00BB3B4E"/>
    <w:rsid w:val="00BB45FA"/>
    <w:rsid w:val="00BB4D6C"/>
    <w:rsid w:val="00BB4FB8"/>
    <w:rsid w:val="00BB501A"/>
    <w:rsid w:val="00BB5906"/>
    <w:rsid w:val="00BB5DA8"/>
    <w:rsid w:val="00BB6556"/>
    <w:rsid w:val="00BB6D4D"/>
    <w:rsid w:val="00BB6EC2"/>
    <w:rsid w:val="00BB7449"/>
    <w:rsid w:val="00BB7C2F"/>
    <w:rsid w:val="00BB7E63"/>
    <w:rsid w:val="00BC0664"/>
    <w:rsid w:val="00BC0A01"/>
    <w:rsid w:val="00BC0C12"/>
    <w:rsid w:val="00BC0C26"/>
    <w:rsid w:val="00BC0FFD"/>
    <w:rsid w:val="00BC1016"/>
    <w:rsid w:val="00BC1E53"/>
    <w:rsid w:val="00BC234D"/>
    <w:rsid w:val="00BC23E2"/>
    <w:rsid w:val="00BC25A4"/>
    <w:rsid w:val="00BC2842"/>
    <w:rsid w:val="00BC2FC0"/>
    <w:rsid w:val="00BC4066"/>
    <w:rsid w:val="00BC44FE"/>
    <w:rsid w:val="00BC4964"/>
    <w:rsid w:val="00BC566B"/>
    <w:rsid w:val="00BC5A53"/>
    <w:rsid w:val="00BC6099"/>
    <w:rsid w:val="00BC6224"/>
    <w:rsid w:val="00BC632F"/>
    <w:rsid w:val="00BC651E"/>
    <w:rsid w:val="00BC66C8"/>
    <w:rsid w:val="00BC74D4"/>
    <w:rsid w:val="00BD00CC"/>
    <w:rsid w:val="00BD04AA"/>
    <w:rsid w:val="00BD0819"/>
    <w:rsid w:val="00BD0A27"/>
    <w:rsid w:val="00BD1CB8"/>
    <w:rsid w:val="00BD20CE"/>
    <w:rsid w:val="00BD2351"/>
    <w:rsid w:val="00BD2601"/>
    <w:rsid w:val="00BD2ADF"/>
    <w:rsid w:val="00BD2F1B"/>
    <w:rsid w:val="00BD3315"/>
    <w:rsid w:val="00BD375E"/>
    <w:rsid w:val="00BD3A65"/>
    <w:rsid w:val="00BD3DAD"/>
    <w:rsid w:val="00BD3FD3"/>
    <w:rsid w:val="00BD417D"/>
    <w:rsid w:val="00BD41B6"/>
    <w:rsid w:val="00BD42FE"/>
    <w:rsid w:val="00BD45BE"/>
    <w:rsid w:val="00BD4B6F"/>
    <w:rsid w:val="00BD4D78"/>
    <w:rsid w:val="00BD52E5"/>
    <w:rsid w:val="00BD5B1C"/>
    <w:rsid w:val="00BD5F93"/>
    <w:rsid w:val="00BD66DD"/>
    <w:rsid w:val="00BD70F3"/>
    <w:rsid w:val="00BD7986"/>
    <w:rsid w:val="00BE027C"/>
    <w:rsid w:val="00BE13C7"/>
    <w:rsid w:val="00BE154D"/>
    <w:rsid w:val="00BE35F3"/>
    <w:rsid w:val="00BE3BD4"/>
    <w:rsid w:val="00BE3FF7"/>
    <w:rsid w:val="00BE4048"/>
    <w:rsid w:val="00BE4164"/>
    <w:rsid w:val="00BE4661"/>
    <w:rsid w:val="00BE4954"/>
    <w:rsid w:val="00BE4AF9"/>
    <w:rsid w:val="00BE5119"/>
    <w:rsid w:val="00BE5CA9"/>
    <w:rsid w:val="00BE5D46"/>
    <w:rsid w:val="00BE5EDA"/>
    <w:rsid w:val="00BE6118"/>
    <w:rsid w:val="00BE6B96"/>
    <w:rsid w:val="00BE6BE0"/>
    <w:rsid w:val="00BE6E4A"/>
    <w:rsid w:val="00BE79E4"/>
    <w:rsid w:val="00BE7E16"/>
    <w:rsid w:val="00BF0EAB"/>
    <w:rsid w:val="00BF0FBC"/>
    <w:rsid w:val="00BF152E"/>
    <w:rsid w:val="00BF1ACA"/>
    <w:rsid w:val="00BF2696"/>
    <w:rsid w:val="00BF29C5"/>
    <w:rsid w:val="00BF2BA9"/>
    <w:rsid w:val="00BF2F25"/>
    <w:rsid w:val="00BF334D"/>
    <w:rsid w:val="00BF352A"/>
    <w:rsid w:val="00BF3CFE"/>
    <w:rsid w:val="00BF4419"/>
    <w:rsid w:val="00BF44B7"/>
    <w:rsid w:val="00BF58EF"/>
    <w:rsid w:val="00BF60EC"/>
    <w:rsid w:val="00BF6106"/>
    <w:rsid w:val="00BF6260"/>
    <w:rsid w:val="00BF662C"/>
    <w:rsid w:val="00BF67F6"/>
    <w:rsid w:val="00BF69BB"/>
    <w:rsid w:val="00BF6B2F"/>
    <w:rsid w:val="00BF6F40"/>
    <w:rsid w:val="00BF7152"/>
    <w:rsid w:val="00BF7666"/>
    <w:rsid w:val="00BF78B9"/>
    <w:rsid w:val="00BF7EFE"/>
    <w:rsid w:val="00C0001E"/>
    <w:rsid w:val="00C006B1"/>
    <w:rsid w:val="00C00E02"/>
    <w:rsid w:val="00C010A1"/>
    <w:rsid w:val="00C011D5"/>
    <w:rsid w:val="00C01696"/>
    <w:rsid w:val="00C01707"/>
    <w:rsid w:val="00C01A63"/>
    <w:rsid w:val="00C02B1C"/>
    <w:rsid w:val="00C02DD8"/>
    <w:rsid w:val="00C035AB"/>
    <w:rsid w:val="00C03758"/>
    <w:rsid w:val="00C03A50"/>
    <w:rsid w:val="00C03D04"/>
    <w:rsid w:val="00C042DD"/>
    <w:rsid w:val="00C04AB0"/>
    <w:rsid w:val="00C04D85"/>
    <w:rsid w:val="00C05013"/>
    <w:rsid w:val="00C053F1"/>
    <w:rsid w:val="00C054D2"/>
    <w:rsid w:val="00C05575"/>
    <w:rsid w:val="00C056E5"/>
    <w:rsid w:val="00C06153"/>
    <w:rsid w:val="00C0681A"/>
    <w:rsid w:val="00C06AFA"/>
    <w:rsid w:val="00C06F0B"/>
    <w:rsid w:val="00C070BE"/>
    <w:rsid w:val="00C07661"/>
    <w:rsid w:val="00C10275"/>
    <w:rsid w:val="00C10B4E"/>
    <w:rsid w:val="00C11205"/>
    <w:rsid w:val="00C11435"/>
    <w:rsid w:val="00C12165"/>
    <w:rsid w:val="00C1258D"/>
    <w:rsid w:val="00C12855"/>
    <w:rsid w:val="00C12E25"/>
    <w:rsid w:val="00C12E42"/>
    <w:rsid w:val="00C13381"/>
    <w:rsid w:val="00C13DDA"/>
    <w:rsid w:val="00C13E6E"/>
    <w:rsid w:val="00C13ED7"/>
    <w:rsid w:val="00C140AD"/>
    <w:rsid w:val="00C1495F"/>
    <w:rsid w:val="00C15857"/>
    <w:rsid w:val="00C15968"/>
    <w:rsid w:val="00C1607B"/>
    <w:rsid w:val="00C16080"/>
    <w:rsid w:val="00C165C1"/>
    <w:rsid w:val="00C167DD"/>
    <w:rsid w:val="00C1686C"/>
    <w:rsid w:val="00C16BE6"/>
    <w:rsid w:val="00C17107"/>
    <w:rsid w:val="00C17508"/>
    <w:rsid w:val="00C17715"/>
    <w:rsid w:val="00C17A94"/>
    <w:rsid w:val="00C17D5E"/>
    <w:rsid w:val="00C17FAC"/>
    <w:rsid w:val="00C20363"/>
    <w:rsid w:val="00C2065B"/>
    <w:rsid w:val="00C20D83"/>
    <w:rsid w:val="00C21357"/>
    <w:rsid w:val="00C216DF"/>
    <w:rsid w:val="00C21CEB"/>
    <w:rsid w:val="00C21FC8"/>
    <w:rsid w:val="00C22041"/>
    <w:rsid w:val="00C22DAB"/>
    <w:rsid w:val="00C236C8"/>
    <w:rsid w:val="00C23A62"/>
    <w:rsid w:val="00C23DA5"/>
    <w:rsid w:val="00C23E96"/>
    <w:rsid w:val="00C24BD3"/>
    <w:rsid w:val="00C24C97"/>
    <w:rsid w:val="00C24CF2"/>
    <w:rsid w:val="00C252AF"/>
    <w:rsid w:val="00C255D6"/>
    <w:rsid w:val="00C257B0"/>
    <w:rsid w:val="00C2608B"/>
    <w:rsid w:val="00C26171"/>
    <w:rsid w:val="00C26281"/>
    <w:rsid w:val="00C2655A"/>
    <w:rsid w:val="00C26B27"/>
    <w:rsid w:val="00C27702"/>
    <w:rsid w:val="00C27795"/>
    <w:rsid w:val="00C27CAC"/>
    <w:rsid w:val="00C30491"/>
    <w:rsid w:val="00C322B8"/>
    <w:rsid w:val="00C3315F"/>
    <w:rsid w:val="00C33366"/>
    <w:rsid w:val="00C339EC"/>
    <w:rsid w:val="00C33BD6"/>
    <w:rsid w:val="00C33BED"/>
    <w:rsid w:val="00C340C6"/>
    <w:rsid w:val="00C3485F"/>
    <w:rsid w:val="00C34A0F"/>
    <w:rsid w:val="00C34A50"/>
    <w:rsid w:val="00C350FE"/>
    <w:rsid w:val="00C35D98"/>
    <w:rsid w:val="00C36028"/>
    <w:rsid w:val="00C3638E"/>
    <w:rsid w:val="00C366DB"/>
    <w:rsid w:val="00C36913"/>
    <w:rsid w:val="00C36C17"/>
    <w:rsid w:val="00C3714F"/>
    <w:rsid w:val="00C402F9"/>
    <w:rsid w:val="00C41646"/>
    <w:rsid w:val="00C41799"/>
    <w:rsid w:val="00C41AE7"/>
    <w:rsid w:val="00C42079"/>
    <w:rsid w:val="00C426F9"/>
    <w:rsid w:val="00C427BE"/>
    <w:rsid w:val="00C42DAC"/>
    <w:rsid w:val="00C43360"/>
    <w:rsid w:val="00C43371"/>
    <w:rsid w:val="00C443A1"/>
    <w:rsid w:val="00C44513"/>
    <w:rsid w:val="00C447B7"/>
    <w:rsid w:val="00C453E8"/>
    <w:rsid w:val="00C458C3"/>
    <w:rsid w:val="00C45D1A"/>
    <w:rsid w:val="00C4609D"/>
    <w:rsid w:val="00C46B9E"/>
    <w:rsid w:val="00C46FCD"/>
    <w:rsid w:val="00C47058"/>
    <w:rsid w:val="00C473A6"/>
    <w:rsid w:val="00C47539"/>
    <w:rsid w:val="00C47D54"/>
    <w:rsid w:val="00C50C54"/>
    <w:rsid w:val="00C50F50"/>
    <w:rsid w:val="00C510DE"/>
    <w:rsid w:val="00C51205"/>
    <w:rsid w:val="00C5135B"/>
    <w:rsid w:val="00C51626"/>
    <w:rsid w:val="00C51BB8"/>
    <w:rsid w:val="00C52E58"/>
    <w:rsid w:val="00C538E0"/>
    <w:rsid w:val="00C539B4"/>
    <w:rsid w:val="00C53EF6"/>
    <w:rsid w:val="00C542AB"/>
    <w:rsid w:val="00C5437C"/>
    <w:rsid w:val="00C54427"/>
    <w:rsid w:val="00C5502C"/>
    <w:rsid w:val="00C5596A"/>
    <w:rsid w:val="00C55AA5"/>
    <w:rsid w:val="00C5627A"/>
    <w:rsid w:val="00C562B7"/>
    <w:rsid w:val="00C562C0"/>
    <w:rsid w:val="00C5653B"/>
    <w:rsid w:val="00C5655C"/>
    <w:rsid w:val="00C56B3A"/>
    <w:rsid w:val="00C56E80"/>
    <w:rsid w:val="00C56EB6"/>
    <w:rsid w:val="00C56EC8"/>
    <w:rsid w:val="00C5706C"/>
    <w:rsid w:val="00C5767F"/>
    <w:rsid w:val="00C57769"/>
    <w:rsid w:val="00C57984"/>
    <w:rsid w:val="00C6003F"/>
    <w:rsid w:val="00C60644"/>
    <w:rsid w:val="00C60909"/>
    <w:rsid w:val="00C61720"/>
    <w:rsid w:val="00C6176C"/>
    <w:rsid w:val="00C61E50"/>
    <w:rsid w:val="00C62D4E"/>
    <w:rsid w:val="00C62EB8"/>
    <w:rsid w:val="00C6321B"/>
    <w:rsid w:val="00C63A25"/>
    <w:rsid w:val="00C63B26"/>
    <w:rsid w:val="00C64215"/>
    <w:rsid w:val="00C64586"/>
    <w:rsid w:val="00C64E9D"/>
    <w:rsid w:val="00C651F8"/>
    <w:rsid w:val="00C65733"/>
    <w:rsid w:val="00C65B21"/>
    <w:rsid w:val="00C65CEB"/>
    <w:rsid w:val="00C66FCD"/>
    <w:rsid w:val="00C6701D"/>
    <w:rsid w:val="00C67DE1"/>
    <w:rsid w:val="00C706AC"/>
    <w:rsid w:val="00C70895"/>
    <w:rsid w:val="00C70A09"/>
    <w:rsid w:val="00C70D38"/>
    <w:rsid w:val="00C71730"/>
    <w:rsid w:val="00C71C71"/>
    <w:rsid w:val="00C721EB"/>
    <w:rsid w:val="00C731E8"/>
    <w:rsid w:val="00C74A9C"/>
    <w:rsid w:val="00C750F8"/>
    <w:rsid w:val="00C75253"/>
    <w:rsid w:val="00C754D7"/>
    <w:rsid w:val="00C75D2B"/>
    <w:rsid w:val="00C761EB"/>
    <w:rsid w:val="00C76E5B"/>
    <w:rsid w:val="00C770E9"/>
    <w:rsid w:val="00C77E4B"/>
    <w:rsid w:val="00C801DF"/>
    <w:rsid w:val="00C80C7D"/>
    <w:rsid w:val="00C81AC9"/>
    <w:rsid w:val="00C82256"/>
    <w:rsid w:val="00C8227F"/>
    <w:rsid w:val="00C82491"/>
    <w:rsid w:val="00C82659"/>
    <w:rsid w:val="00C826CE"/>
    <w:rsid w:val="00C82AAB"/>
    <w:rsid w:val="00C82B18"/>
    <w:rsid w:val="00C83391"/>
    <w:rsid w:val="00C83FA5"/>
    <w:rsid w:val="00C83FB0"/>
    <w:rsid w:val="00C840E3"/>
    <w:rsid w:val="00C853E0"/>
    <w:rsid w:val="00C8581B"/>
    <w:rsid w:val="00C85C8B"/>
    <w:rsid w:val="00C85DF3"/>
    <w:rsid w:val="00C85E79"/>
    <w:rsid w:val="00C863AE"/>
    <w:rsid w:val="00C87C81"/>
    <w:rsid w:val="00C87D25"/>
    <w:rsid w:val="00C900F7"/>
    <w:rsid w:val="00C90221"/>
    <w:rsid w:val="00C905D7"/>
    <w:rsid w:val="00C90942"/>
    <w:rsid w:val="00C9098B"/>
    <w:rsid w:val="00C910BF"/>
    <w:rsid w:val="00C91827"/>
    <w:rsid w:val="00C91DD7"/>
    <w:rsid w:val="00C91F78"/>
    <w:rsid w:val="00C92C85"/>
    <w:rsid w:val="00C92D64"/>
    <w:rsid w:val="00C93345"/>
    <w:rsid w:val="00C9357C"/>
    <w:rsid w:val="00C93A0C"/>
    <w:rsid w:val="00C94CB9"/>
    <w:rsid w:val="00C95040"/>
    <w:rsid w:val="00C95822"/>
    <w:rsid w:val="00C958C9"/>
    <w:rsid w:val="00C964BD"/>
    <w:rsid w:val="00C96930"/>
    <w:rsid w:val="00C96981"/>
    <w:rsid w:val="00C96D31"/>
    <w:rsid w:val="00C97A7D"/>
    <w:rsid w:val="00CA007C"/>
    <w:rsid w:val="00CA0348"/>
    <w:rsid w:val="00CA0846"/>
    <w:rsid w:val="00CA0F0B"/>
    <w:rsid w:val="00CA0FEF"/>
    <w:rsid w:val="00CA1638"/>
    <w:rsid w:val="00CA1694"/>
    <w:rsid w:val="00CA1BD6"/>
    <w:rsid w:val="00CA1ED2"/>
    <w:rsid w:val="00CA1F4A"/>
    <w:rsid w:val="00CA1F71"/>
    <w:rsid w:val="00CA21E5"/>
    <w:rsid w:val="00CA2B98"/>
    <w:rsid w:val="00CA2D0B"/>
    <w:rsid w:val="00CA3178"/>
    <w:rsid w:val="00CA441B"/>
    <w:rsid w:val="00CA46AF"/>
    <w:rsid w:val="00CA4FA9"/>
    <w:rsid w:val="00CA4FB5"/>
    <w:rsid w:val="00CA5190"/>
    <w:rsid w:val="00CA5D02"/>
    <w:rsid w:val="00CA618B"/>
    <w:rsid w:val="00CA6EC1"/>
    <w:rsid w:val="00CA6FFE"/>
    <w:rsid w:val="00CB0144"/>
    <w:rsid w:val="00CB0385"/>
    <w:rsid w:val="00CB13E7"/>
    <w:rsid w:val="00CB20AB"/>
    <w:rsid w:val="00CB2268"/>
    <w:rsid w:val="00CB2802"/>
    <w:rsid w:val="00CB3BF3"/>
    <w:rsid w:val="00CB3CB9"/>
    <w:rsid w:val="00CB516D"/>
    <w:rsid w:val="00CB5270"/>
    <w:rsid w:val="00CB52B7"/>
    <w:rsid w:val="00CB5339"/>
    <w:rsid w:val="00CB5882"/>
    <w:rsid w:val="00CB602B"/>
    <w:rsid w:val="00CB60E8"/>
    <w:rsid w:val="00CB6686"/>
    <w:rsid w:val="00CB7B7E"/>
    <w:rsid w:val="00CC023E"/>
    <w:rsid w:val="00CC0423"/>
    <w:rsid w:val="00CC050C"/>
    <w:rsid w:val="00CC066C"/>
    <w:rsid w:val="00CC0A7B"/>
    <w:rsid w:val="00CC1304"/>
    <w:rsid w:val="00CC1933"/>
    <w:rsid w:val="00CC1A50"/>
    <w:rsid w:val="00CC1D63"/>
    <w:rsid w:val="00CC2264"/>
    <w:rsid w:val="00CC2FFF"/>
    <w:rsid w:val="00CC36EA"/>
    <w:rsid w:val="00CC398E"/>
    <w:rsid w:val="00CC399A"/>
    <w:rsid w:val="00CC4744"/>
    <w:rsid w:val="00CC4DF8"/>
    <w:rsid w:val="00CC5151"/>
    <w:rsid w:val="00CC5454"/>
    <w:rsid w:val="00CC5517"/>
    <w:rsid w:val="00CC5524"/>
    <w:rsid w:val="00CC66E5"/>
    <w:rsid w:val="00CC6C21"/>
    <w:rsid w:val="00CD00CE"/>
    <w:rsid w:val="00CD0109"/>
    <w:rsid w:val="00CD0203"/>
    <w:rsid w:val="00CD0D80"/>
    <w:rsid w:val="00CD0EAD"/>
    <w:rsid w:val="00CD18FD"/>
    <w:rsid w:val="00CD19BA"/>
    <w:rsid w:val="00CD1AF7"/>
    <w:rsid w:val="00CD214A"/>
    <w:rsid w:val="00CD22A2"/>
    <w:rsid w:val="00CD2410"/>
    <w:rsid w:val="00CD2EE5"/>
    <w:rsid w:val="00CD3187"/>
    <w:rsid w:val="00CD3730"/>
    <w:rsid w:val="00CD4067"/>
    <w:rsid w:val="00CD40D3"/>
    <w:rsid w:val="00CD41BB"/>
    <w:rsid w:val="00CD5434"/>
    <w:rsid w:val="00CD57A6"/>
    <w:rsid w:val="00CD591B"/>
    <w:rsid w:val="00CD6207"/>
    <w:rsid w:val="00CD6724"/>
    <w:rsid w:val="00CD6B1F"/>
    <w:rsid w:val="00CD6E16"/>
    <w:rsid w:val="00CD7161"/>
    <w:rsid w:val="00CD72D8"/>
    <w:rsid w:val="00CD79A2"/>
    <w:rsid w:val="00CD7A5E"/>
    <w:rsid w:val="00CD7A76"/>
    <w:rsid w:val="00CD7E3B"/>
    <w:rsid w:val="00CE011F"/>
    <w:rsid w:val="00CE0B70"/>
    <w:rsid w:val="00CE0D68"/>
    <w:rsid w:val="00CE0F8A"/>
    <w:rsid w:val="00CE1147"/>
    <w:rsid w:val="00CE1AAA"/>
    <w:rsid w:val="00CE2131"/>
    <w:rsid w:val="00CE233F"/>
    <w:rsid w:val="00CE2367"/>
    <w:rsid w:val="00CE236A"/>
    <w:rsid w:val="00CE240B"/>
    <w:rsid w:val="00CE328D"/>
    <w:rsid w:val="00CE39D6"/>
    <w:rsid w:val="00CE4313"/>
    <w:rsid w:val="00CE472D"/>
    <w:rsid w:val="00CE565F"/>
    <w:rsid w:val="00CE5D73"/>
    <w:rsid w:val="00CE608A"/>
    <w:rsid w:val="00CE6370"/>
    <w:rsid w:val="00CE6720"/>
    <w:rsid w:val="00CE72CE"/>
    <w:rsid w:val="00CE7E7B"/>
    <w:rsid w:val="00CF065B"/>
    <w:rsid w:val="00CF0E26"/>
    <w:rsid w:val="00CF0E29"/>
    <w:rsid w:val="00CF1176"/>
    <w:rsid w:val="00CF126D"/>
    <w:rsid w:val="00CF1A38"/>
    <w:rsid w:val="00CF1CEF"/>
    <w:rsid w:val="00CF1DFB"/>
    <w:rsid w:val="00CF2159"/>
    <w:rsid w:val="00CF24BB"/>
    <w:rsid w:val="00CF2873"/>
    <w:rsid w:val="00CF2CCA"/>
    <w:rsid w:val="00CF33C9"/>
    <w:rsid w:val="00CF3438"/>
    <w:rsid w:val="00CF3D29"/>
    <w:rsid w:val="00CF3E1B"/>
    <w:rsid w:val="00CF3F97"/>
    <w:rsid w:val="00CF42E4"/>
    <w:rsid w:val="00CF4346"/>
    <w:rsid w:val="00CF4513"/>
    <w:rsid w:val="00CF4D6C"/>
    <w:rsid w:val="00CF4F4C"/>
    <w:rsid w:val="00CF5373"/>
    <w:rsid w:val="00CF5589"/>
    <w:rsid w:val="00CF57F7"/>
    <w:rsid w:val="00CF627B"/>
    <w:rsid w:val="00CF739D"/>
    <w:rsid w:val="00D00458"/>
    <w:rsid w:val="00D00721"/>
    <w:rsid w:val="00D0077E"/>
    <w:rsid w:val="00D016B0"/>
    <w:rsid w:val="00D0175D"/>
    <w:rsid w:val="00D01B28"/>
    <w:rsid w:val="00D01C9B"/>
    <w:rsid w:val="00D0258D"/>
    <w:rsid w:val="00D02A7E"/>
    <w:rsid w:val="00D02B21"/>
    <w:rsid w:val="00D03A97"/>
    <w:rsid w:val="00D03B4E"/>
    <w:rsid w:val="00D03B8C"/>
    <w:rsid w:val="00D040E9"/>
    <w:rsid w:val="00D04204"/>
    <w:rsid w:val="00D04403"/>
    <w:rsid w:val="00D044AF"/>
    <w:rsid w:val="00D0490C"/>
    <w:rsid w:val="00D04DE0"/>
    <w:rsid w:val="00D04EE9"/>
    <w:rsid w:val="00D055F6"/>
    <w:rsid w:val="00D05B4A"/>
    <w:rsid w:val="00D05DFD"/>
    <w:rsid w:val="00D065F5"/>
    <w:rsid w:val="00D072F6"/>
    <w:rsid w:val="00D10114"/>
    <w:rsid w:val="00D107A8"/>
    <w:rsid w:val="00D107B9"/>
    <w:rsid w:val="00D10EC7"/>
    <w:rsid w:val="00D11434"/>
    <w:rsid w:val="00D12138"/>
    <w:rsid w:val="00D122F9"/>
    <w:rsid w:val="00D12A39"/>
    <w:rsid w:val="00D12D7B"/>
    <w:rsid w:val="00D12DD4"/>
    <w:rsid w:val="00D135F7"/>
    <w:rsid w:val="00D13CC8"/>
    <w:rsid w:val="00D14266"/>
    <w:rsid w:val="00D15078"/>
    <w:rsid w:val="00D150DD"/>
    <w:rsid w:val="00D15547"/>
    <w:rsid w:val="00D15A03"/>
    <w:rsid w:val="00D161F9"/>
    <w:rsid w:val="00D1622F"/>
    <w:rsid w:val="00D165D6"/>
    <w:rsid w:val="00D16AD2"/>
    <w:rsid w:val="00D16DB5"/>
    <w:rsid w:val="00D16DD3"/>
    <w:rsid w:val="00D17074"/>
    <w:rsid w:val="00D1768A"/>
    <w:rsid w:val="00D17CBE"/>
    <w:rsid w:val="00D17DEF"/>
    <w:rsid w:val="00D20769"/>
    <w:rsid w:val="00D20CA2"/>
    <w:rsid w:val="00D20F46"/>
    <w:rsid w:val="00D20FC0"/>
    <w:rsid w:val="00D21A40"/>
    <w:rsid w:val="00D223EE"/>
    <w:rsid w:val="00D22538"/>
    <w:rsid w:val="00D239B7"/>
    <w:rsid w:val="00D23A72"/>
    <w:rsid w:val="00D23BBB"/>
    <w:rsid w:val="00D244A3"/>
    <w:rsid w:val="00D25B08"/>
    <w:rsid w:val="00D2696B"/>
    <w:rsid w:val="00D275DA"/>
    <w:rsid w:val="00D27ADD"/>
    <w:rsid w:val="00D27BAD"/>
    <w:rsid w:val="00D3060F"/>
    <w:rsid w:val="00D31636"/>
    <w:rsid w:val="00D318E3"/>
    <w:rsid w:val="00D31B06"/>
    <w:rsid w:val="00D31BCC"/>
    <w:rsid w:val="00D327D8"/>
    <w:rsid w:val="00D32BE4"/>
    <w:rsid w:val="00D33AEA"/>
    <w:rsid w:val="00D33B90"/>
    <w:rsid w:val="00D3451B"/>
    <w:rsid w:val="00D345A2"/>
    <w:rsid w:val="00D34797"/>
    <w:rsid w:val="00D34983"/>
    <w:rsid w:val="00D353DC"/>
    <w:rsid w:val="00D35C03"/>
    <w:rsid w:val="00D36838"/>
    <w:rsid w:val="00D36F77"/>
    <w:rsid w:val="00D372EE"/>
    <w:rsid w:val="00D376B6"/>
    <w:rsid w:val="00D40401"/>
    <w:rsid w:val="00D40476"/>
    <w:rsid w:val="00D40626"/>
    <w:rsid w:val="00D40A72"/>
    <w:rsid w:val="00D40E24"/>
    <w:rsid w:val="00D40FEB"/>
    <w:rsid w:val="00D41113"/>
    <w:rsid w:val="00D41774"/>
    <w:rsid w:val="00D417CE"/>
    <w:rsid w:val="00D41CD5"/>
    <w:rsid w:val="00D4226D"/>
    <w:rsid w:val="00D42C16"/>
    <w:rsid w:val="00D43182"/>
    <w:rsid w:val="00D43BC8"/>
    <w:rsid w:val="00D4485C"/>
    <w:rsid w:val="00D4497D"/>
    <w:rsid w:val="00D44CFD"/>
    <w:rsid w:val="00D45539"/>
    <w:rsid w:val="00D45668"/>
    <w:rsid w:val="00D45A4F"/>
    <w:rsid w:val="00D45CFE"/>
    <w:rsid w:val="00D4641F"/>
    <w:rsid w:val="00D47CE8"/>
    <w:rsid w:val="00D47E2C"/>
    <w:rsid w:val="00D50724"/>
    <w:rsid w:val="00D50E0C"/>
    <w:rsid w:val="00D511BB"/>
    <w:rsid w:val="00D5133E"/>
    <w:rsid w:val="00D51465"/>
    <w:rsid w:val="00D5149F"/>
    <w:rsid w:val="00D517DD"/>
    <w:rsid w:val="00D51A61"/>
    <w:rsid w:val="00D51A94"/>
    <w:rsid w:val="00D52494"/>
    <w:rsid w:val="00D524CC"/>
    <w:rsid w:val="00D524F7"/>
    <w:rsid w:val="00D52653"/>
    <w:rsid w:val="00D52687"/>
    <w:rsid w:val="00D52DFB"/>
    <w:rsid w:val="00D53012"/>
    <w:rsid w:val="00D5341D"/>
    <w:rsid w:val="00D53778"/>
    <w:rsid w:val="00D5405C"/>
    <w:rsid w:val="00D5508E"/>
    <w:rsid w:val="00D55298"/>
    <w:rsid w:val="00D556DD"/>
    <w:rsid w:val="00D55BD4"/>
    <w:rsid w:val="00D55D43"/>
    <w:rsid w:val="00D55DEE"/>
    <w:rsid w:val="00D56055"/>
    <w:rsid w:val="00D561A1"/>
    <w:rsid w:val="00D56B9A"/>
    <w:rsid w:val="00D571F4"/>
    <w:rsid w:val="00D57477"/>
    <w:rsid w:val="00D60068"/>
    <w:rsid w:val="00D60257"/>
    <w:rsid w:val="00D60603"/>
    <w:rsid w:val="00D60CC5"/>
    <w:rsid w:val="00D60D41"/>
    <w:rsid w:val="00D6151A"/>
    <w:rsid w:val="00D61AFF"/>
    <w:rsid w:val="00D620DD"/>
    <w:rsid w:val="00D625B4"/>
    <w:rsid w:val="00D625F7"/>
    <w:rsid w:val="00D6299E"/>
    <w:rsid w:val="00D63166"/>
    <w:rsid w:val="00D63431"/>
    <w:rsid w:val="00D63527"/>
    <w:rsid w:val="00D63D77"/>
    <w:rsid w:val="00D64039"/>
    <w:rsid w:val="00D64B6F"/>
    <w:rsid w:val="00D64B70"/>
    <w:rsid w:val="00D65034"/>
    <w:rsid w:val="00D65466"/>
    <w:rsid w:val="00D65F79"/>
    <w:rsid w:val="00D65FBB"/>
    <w:rsid w:val="00D668AA"/>
    <w:rsid w:val="00D66BDE"/>
    <w:rsid w:val="00D67231"/>
    <w:rsid w:val="00D672B2"/>
    <w:rsid w:val="00D6776A"/>
    <w:rsid w:val="00D67994"/>
    <w:rsid w:val="00D67C87"/>
    <w:rsid w:val="00D7042B"/>
    <w:rsid w:val="00D70724"/>
    <w:rsid w:val="00D71414"/>
    <w:rsid w:val="00D7144D"/>
    <w:rsid w:val="00D71DAF"/>
    <w:rsid w:val="00D7214A"/>
    <w:rsid w:val="00D728F0"/>
    <w:rsid w:val="00D7293B"/>
    <w:rsid w:val="00D72B4F"/>
    <w:rsid w:val="00D73277"/>
    <w:rsid w:val="00D7389D"/>
    <w:rsid w:val="00D73D8E"/>
    <w:rsid w:val="00D744DA"/>
    <w:rsid w:val="00D7453C"/>
    <w:rsid w:val="00D748AF"/>
    <w:rsid w:val="00D74B4A"/>
    <w:rsid w:val="00D74F96"/>
    <w:rsid w:val="00D75267"/>
    <w:rsid w:val="00D758F2"/>
    <w:rsid w:val="00D759B5"/>
    <w:rsid w:val="00D7621A"/>
    <w:rsid w:val="00D76F95"/>
    <w:rsid w:val="00D7731A"/>
    <w:rsid w:val="00D773FC"/>
    <w:rsid w:val="00D803BD"/>
    <w:rsid w:val="00D80540"/>
    <w:rsid w:val="00D80D65"/>
    <w:rsid w:val="00D80D93"/>
    <w:rsid w:val="00D80EF1"/>
    <w:rsid w:val="00D80F05"/>
    <w:rsid w:val="00D814AB"/>
    <w:rsid w:val="00D815B7"/>
    <w:rsid w:val="00D81B11"/>
    <w:rsid w:val="00D81C9B"/>
    <w:rsid w:val="00D8201C"/>
    <w:rsid w:val="00D82429"/>
    <w:rsid w:val="00D828DE"/>
    <w:rsid w:val="00D833F9"/>
    <w:rsid w:val="00D83517"/>
    <w:rsid w:val="00D838FE"/>
    <w:rsid w:val="00D83ABB"/>
    <w:rsid w:val="00D83DEE"/>
    <w:rsid w:val="00D84920"/>
    <w:rsid w:val="00D84A5D"/>
    <w:rsid w:val="00D854DC"/>
    <w:rsid w:val="00D85A2A"/>
    <w:rsid w:val="00D862A4"/>
    <w:rsid w:val="00D86543"/>
    <w:rsid w:val="00D866BB"/>
    <w:rsid w:val="00D8691C"/>
    <w:rsid w:val="00D8700D"/>
    <w:rsid w:val="00D87310"/>
    <w:rsid w:val="00D878CE"/>
    <w:rsid w:val="00D879A4"/>
    <w:rsid w:val="00D87B47"/>
    <w:rsid w:val="00D87FCB"/>
    <w:rsid w:val="00D9081E"/>
    <w:rsid w:val="00D90A9D"/>
    <w:rsid w:val="00D90C0A"/>
    <w:rsid w:val="00D91B6D"/>
    <w:rsid w:val="00D91F03"/>
    <w:rsid w:val="00D91F3C"/>
    <w:rsid w:val="00D92204"/>
    <w:rsid w:val="00D92A07"/>
    <w:rsid w:val="00D93070"/>
    <w:rsid w:val="00D930AD"/>
    <w:rsid w:val="00D935E3"/>
    <w:rsid w:val="00D93831"/>
    <w:rsid w:val="00D93D02"/>
    <w:rsid w:val="00D94064"/>
    <w:rsid w:val="00D9412F"/>
    <w:rsid w:val="00D942F7"/>
    <w:rsid w:val="00D94378"/>
    <w:rsid w:val="00D94387"/>
    <w:rsid w:val="00D9440B"/>
    <w:rsid w:val="00D9448C"/>
    <w:rsid w:val="00D94E33"/>
    <w:rsid w:val="00D9516E"/>
    <w:rsid w:val="00D951BD"/>
    <w:rsid w:val="00D97E10"/>
    <w:rsid w:val="00D97FEF"/>
    <w:rsid w:val="00DA0574"/>
    <w:rsid w:val="00DA2030"/>
    <w:rsid w:val="00DA25E3"/>
    <w:rsid w:val="00DA3320"/>
    <w:rsid w:val="00DA3559"/>
    <w:rsid w:val="00DA36D6"/>
    <w:rsid w:val="00DA3BBF"/>
    <w:rsid w:val="00DA4090"/>
    <w:rsid w:val="00DA5160"/>
    <w:rsid w:val="00DA5EEC"/>
    <w:rsid w:val="00DA6D40"/>
    <w:rsid w:val="00DA7424"/>
    <w:rsid w:val="00DA7497"/>
    <w:rsid w:val="00DA78BC"/>
    <w:rsid w:val="00DA7ED8"/>
    <w:rsid w:val="00DB02BC"/>
    <w:rsid w:val="00DB042E"/>
    <w:rsid w:val="00DB067B"/>
    <w:rsid w:val="00DB1ACC"/>
    <w:rsid w:val="00DB1C35"/>
    <w:rsid w:val="00DB21F7"/>
    <w:rsid w:val="00DB22F2"/>
    <w:rsid w:val="00DB232C"/>
    <w:rsid w:val="00DB2525"/>
    <w:rsid w:val="00DB3614"/>
    <w:rsid w:val="00DB3EAE"/>
    <w:rsid w:val="00DB4386"/>
    <w:rsid w:val="00DB493C"/>
    <w:rsid w:val="00DB4DA7"/>
    <w:rsid w:val="00DB4EE8"/>
    <w:rsid w:val="00DB52D3"/>
    <w:rsid w:val="00DB71C1"/>
    <w:rsid w:val="00DB7DE4"/>
    <w:rsid w:val="00DC1498"/>
    <w:rsid w:val="00DC1B53"/>
    <w:rsid w:val="00DC2A83"/>
    <w:rsid w:val="00DC2BF5"/>
    <w:rsid w:val="00DC2D48"/>
    <w:rsid w:val="00DC2E61"/>
    <w:rsid w:val="00DC30E0"/>
    <w:rsid w:val="00DC31B4"/>
    <w:rsid w:val="00DC31FB"/>
    <w:rsid w:val="00DC339C"/>
    <w:rsid w:val="00DC33C6"/>
    <w:rsid w:val="00DC37DA"/>
    <w:rsid w:val="00DC4573"/>
    <w:rsid w:val="00DC46A6"/>
    <w:rsid w:val="00DC49DB"/>
    <w:rsid w:val="00DC4D8F"/>
    <w:rsid w:val="00DC4EF1"/>
    <w:rsid w:val="00DC5102"/>
    <w:rsid w:val="00DC61C5"/>
    <w:rsid w:val="00DC6360"/>
    <w:rsid w:val="00DC7349"/>
    <w:rsid w:val="00DC7DD1"/>
    <w:rsid w:val="00DD0D6B"/>
    <w:rsid w:val="00DD128B"/>
    <w:rsid w:val="00DD19ED"/>
    <w:rsid w:val="00DD1C48"/>
    <w:rsid w:val="00DD1D83"/>
    <w:rsid w:val="00DD27DC"/>
    <w:rsid w:val="00DD3428"/>
    <w:rsid w:val="00DD34B1"/>
    <w:rsid w:val="00DD4260"/>
    <w:rsid w:val="00DD4ABC"/>
    <w:rsid w:val="00DD4B25"/>
    <w:rsid w:val="00DD5079"/>
    <w:rsid w:val="00DD54FB"/>
    <w:rsid w:val="00DD575C"/>
    <w:rsid w:val="00DD63E3"/>
    <w:rsid w:val="00DD791C"/>
    <w:rsid w:val="00DD79D6"/>
    <w:rsid w:val="00DE0E99"/>
    <w:rsid w:val="00DE15F2"/>
    <w:rsid w:val="00DE1C00"/>
    <w:rsid w:val="00DE1F82"/>
    <w:rsid w:val="00DE1FFB"/>
    <w:rsid w:val="00DE2485"/>
    <w:rsid w:val="00DE25A7"/>
    <w:rsid w:val="00DE2E09"/>
    <w:rsid w:val="00DE3149"/>
    <w:rsid w:val="00DE357F"/>
    <w:rsid w:val="00DE4050"/>
    <w:rsid w:val="00DE4090"/>
    <w:rsid w:val="00DE4966"/>
    <w:rsid w:val="00DE4ADE"/>
    <w:rsid w:val="00DE512D"/>
    <w:rsid w:val="00DE5278"/>
    <w:rsid w:val="00DE547C"/>
    <w:rsid w:val="00DE54FE"/>
    <w:rsid w:val="00DE5681"/>
    <w:rsid w:val="00DE5AB1"/>
    <w:rsid w:val="00DE655C"/>
    <w:rsid w:val="00DE6B54"/>
    <w:rsid w:val="00DE786A"/>
    <w:rsid w:val="00DF0427"/>
    <w:rsid w:val="00DF060E"/>
    <w:rsid w:val="00DF06D7"/>
    <w:rsid w:val="00DF17AB"/>
    <w:rsid w:val="00DF191E"/>
    <w:rsid w:val="00DF196C"/>
    <w:rsid w:val="00DF26E9"/>
    <w:rsid w:val="00DF3544"/>
    <w:rsid w:val="00DF36AA"/>
    <w:rsid w:val="00DF4087"/>
    <w:rsid w:val="00DF419A"/>
    <w:rsid w:val="00DF4638"/>
    <w:rsid w:val="00DF4D9E"/>
    <w:rsid w:val="00DF53F6"/>
    <w:rsid w:val="00DF6486"/>
    <w:rsid w:val="00DF73AE"/>
    <w:rsid w:val="00DF7CD6"/>
    <w:rsid w:val="00E0016D"/>
    <w:rsid w:val="00E00B11"/>
    <w:rsid w:val="00E00C1C"/>
    <w:rsid w:val="00E00DB1"/>
    <w:rsid w:val="00E013C8"/>
    <w:rsid w:val="00E0151B"/>
    <w:rsid w:val="00E01679"/>
    <w:rsid w:val="00E0183D"/>
    <w:rsid w:val="00E01A05"/>
    <w:rsid w:val="00E01A1D"/>
    <w:rsid w:val="00E01D9E"/>
    <w:rsid w:val="00E01F3C"/>
    <w:rsid w:val="00E02DB7"/>
    <w:rsid w:val="00E0352A"/>
    <w:rsid w:val="00E039EB"/>
    <w:rsid w:val="00E03B03"/>
    <w:rsid w:val="00E03E65"/>
    <w:rsid w:val="00E040B6"/>
    <w:rsid w:val="00E046B1"/>
    <w:rsid w:val="00E05042"/>
    <w:rsid w:val="00E05C1F"/>
    <w:rsid w:val="00E11002"/>
    <w:rsid w:val="00E112DC"/>
    <w:rsid w:val="00E114A1"/>
    <w:rsid w:val="00E1179C"/>
    <w:rsid w:val="00E1184C"/>
    <w:rsid w:val="00E118A5"/>
    <w:rsid w:val="00E11974"/>
    <w:rsid w:val="00E11C79"/>
    <w:rsid w:val="00E1271A"/>
    <w:rsid w:val="00E135E0"/>
    <w:rsid w:val="00E13A08"/>
    <w:rsid w:val="00E13BC5"/>
    <w:rsid w:val="00E14430"/>
    <w:rsid w:val="00E145A7"/>
    <w:rsid w:val="00E145E9"/>
    <w:rsid w:val="00E1514F"/>
    <w:rsid w:val="00E15495"/>
    <w:rsid w:val="00E154CD"/>
    <w:rsid w:val="00E15831"/>
    <w:rsid w:val="00E15A84"/>
    <w:rsid w:val="00E160E5"/>
    <w:rsid w:val="00E16758"/>
    <w:rsid w:val="00E17253"/>
    <w:rsid w:val="00E176D4"/>
    <w:rsid w:val="00E17E0C"/>
    <w:rsid w:val="00E202E8"/>
    <w:rsid w:val="00E2037E"/>
    <w:rsid w:val="00E20652"/>
    <w:rsid w:val="00E206F0"/>
    <w:rsid w:val="00E2109A"/>
    <w:rsid w:val="00E21647"/>
    <w:rsid w:val="00E21B92"/>
    <w:rsid w:val="00E21BAD"/>
    <w:rsid w:val="00E22117"/>
    <w:rsid w:val="00E2241A"/>
    <w:rsid w:val="00E23711"/>
    <w:rsid w:val="00E24289"/>
    <w:rsid w:val="00E2454A"/>
    <w:rsid w:val="00E2456F"/>
    <w:rsid w:val="00E24F2E"/>
    <w:rsid w:val="00E25692"/>
    <w:rsid w:val="00E265F7"/>
    <w:rsid w:val="00E2682A"/>
    <w:rsid w:val="00E26DCC"/>
    <w:rsid w:val="00E273C6"/>
    <w:rsid w:val="00E27426"/>
    <w:rsid w:val="00E27907"/>
    <w:rsid w:val="00E27EDB"/>
    <w:rsid w:val="00E27FBB"/>
    <w:rsid w:val="00E3072C"/>
    <w:rsid w:val="00E30F19"/>
    <w:rsid w:val="00E31617"/>
    <w:rsid w:val="00E31BE8"/>
    <w:rsid w:val="00E3212C"/>
    <w:rsid w:val="00E32424"/>
    <w:rsid w:val="00E324FA"/>
    <w:rsid w:val="00E328F8"/>
    <w:rsid w:val="00E32B2A"/>
    <w:rsid w:val="00E33951"/>
    <w:rsid w:val="00E33F52"/>
    <w:rsid w:val="00E33F65"/>
    <w:rsid w:val="00E34124"/>
    <w:rsid w:val="00E34AD1"/>
    <w:rsid w:val="00E34C67"/>
    <w:rsid w:val="00E34DBD"/>
    <w:rsid w:val="00E3500F"/>
    <w:rsid w:val="00E3520F"/>
    <w:rsid w:val="00E36856"/>
    <w:rsid w:val="00E36CD3"/>
    <w:rsid w:val="00E36F7A"/>
    <w:rsid w:val="00E36FA0"/>
    <w:rsid w:val="00E374C2"/>
    <w:rsid w:val="00E37931"/>
    <w:rsid w:val="00E379DD"/>
    <w:rsid w:val="00E37D80"/>
    <w:rsid w:val="00E37DB2"/>
    <w:rsid w:val="00E37DD8"/>
    <w:rsid w:val="00E406AB"/>
    <w:rsid w:val="00E40A51"/>
    <w:rsid w:val="00E40B49"/>
    <w:rsid w:val="00E40F14"/>
    <w:rsid w:val="00E41215"/>
    <w:rsid w:val="00E41773"/>
    <w:rsid w:val="00E41D23"/>
    <w:rsid w:val="00E41EAB"/>
    <w:rsid w:val="00E424F9"/>
    <w:rsid w:val="00E42B42"/>
    <w:rsid w:val="00E4369D"/>
    <w:rsid w:val="00E44A9B"/>
    <w:rsid w:val="00E44F4A"/>
    <w:rsid w:val="00E455B1"/>
    <w:rsid w:val="00E4596F"/>
    <w:rsid w:val="00E45C01"/>
    <w:rsid w:val="00E464C7"/>
    <w:rsid w:val="00E4652A"/>
    <w:rsid w:val="00E46612"/>
    <w:rsid w:val="00E46754"/>
    <w:rsid w:val="00E46C13"/>
    <w:rsid w:val="00E4772C"/>
    <w:rsid w:val="00E5019B"/>
    <w:rsid w:val="00E50A83"/>
    <w:rsid w:val="00E50CB7"/>
    <w:rsid w:val="00E51099"/>
    <w:rsid w:val="00E51240"/>
    <w:rsid w:val="00E515B6"/>
    <w:rsid w:val="00E52166"/>
    <w:rsid w:val="00E5224E"/>
    <w:rsid w:val="00E52AF6"/>
    <w:rsid w:val="00E52B14"/>
    <w:rsid w:val="00E52D17"/>
    <w:rsid w:val="00E531D4"/>
    <w:rsid w:val="00E53836"/>
    <w:rsid w:val="00E53B66"/>
    <w:rsid w:val="00E53C22"/>
    <w:rsid w:val="00E53E96"/>
    <w:rsid w:val="00E54100"/>
    <w:rsid w:val="00E54394"/>
    <w:rsid w:val="00E54D1A"/>
    <w:rsid w:val="00E55747"/>
    <w:rsid w:val="00E56419"/>
    <w:rsid w:val="00E564DB"/>
    <w:rsid w:val="00E56734"/>
    <w:rsid w:val="00E5683C"/>
    <w:rsid w:val="00E56937"/>
    <w:rsid w:val="00E569FE"/>
    <w:rsid w:val="00E56DB5"/>
    <w:rsid w:val="00E56F8C"/>
    <w:rsid w:val="00E571D3"/>
    <w:rsid w:val="00E57CF0"/>
    <w:rsid w:val="00E60902"/>
    <w:rsid w:val="00E61402"/>
    <w:rsid w:val="00E61FE2"/>
    <w:rsid w:val="00E62335"/>
    <w:rsid w:val="00E626E6"/>
    <w:rsid w:val="00E627CE"/>
    <w:rsid w:val="00E628FE"/>
    <w:rsid w:val="00E62A9A"/>
    <w:rsid w:val="00E630B8"/>
    <w:rsid w:val="00E631CC"/>
    <w:rsid w:val="00E63253"/>
    <w:rsid w:val="00E6363B"/>
    <w:rsid w:val="00E6375F"/>
    <w:rsid w:val="00E64581"/>
    <w:rsid w:val="00E64EC5"/>
    <w:rsid w:val="00E65372"/>
    <w:rsid w:val="00E65940"/>
    <w:rsid w:val="00E65A2E"/>
    <w:rsid w:val="00E66EAA"/>
    <w:rsid w:val="00E66F35"/>
    <w:rsid w:val="00E70921"/>
    <w:rsid w:val="00E70C84"/>
    <w:rsid w:val="00E712BF"/>
    <w:rsid w:val="00E71506"/>
    <w:rsid w:val="00E720C3"/>
    <w:rsid w:val="00E732F3"/>
    <w:rsid w:val="00E734B1"/>
    <w:rsid w:val="00E747D9"/>
    <w:rsid w:val="00E74FDF"/>
    <w:rsid w:val="00E76523"/>
    <w:rsid w:val="00E766EC"/>
    <w:rsid w:val="00E767EC"/>
    <w:rsid w:val="00E76AEF"/>
    <w:rsid w:val="00E76F4F"/>
    <w:rsid w:val="00E77203"/>
    <w:rsid w:val="00E7748C"/>
    <w:rsid w:val="00E77531"/>
    <w:rsid w:val="00E777C4"/>
    <w:rsid w:val="00E7788B"/>
    <w:rsid w:val="00E77D93"/>
    <w:rsid w:val="00E80831"/>
    <w:rsid w:val="00E82297"/>
    <w:rsid w:val="00E825AF"/>
    <w:rsid w:val="00E826DC"/>
    <w:rsid w:val="00E8327E"/>
    <w:rsid w:val="00E83EF7"/>
    <w:rsid w:val="00E843D2"/>
    <w:rsid w:val="00E84493"/>
    <w:rsid w:val="00E8462A"/>
    <w:rsid w:val="00E849F8"/>
    <w:rsid w:val="00E8549C"/>
    <w:rsid w:val="00E85D87"/>
    <w:rsid w:val="00E8653B"/>
    <w:rsid w:val="00E866FF"/>
    <w:rsid w:val="00E86A26"/>
    <w:rsid w:val="00E87427"/>
    <w:rsid w:val="00E874BA"/>
    <w:rsid w:val="00E87661"/>
    <w:rsid w:val="00E9093B"/>
    <w:rsid w:val="00E90A1C"/>
    <w:rsid w:val="00E917F7"/>
    <w:rsid w:val="00E91B4B"/>
    <w:rsid w:val="00E9318C"/>
    <w:rsid w:val="00E93960"/>
    <w:rsid w:val="00E93E1C"/>
    <w:rsid w:val="00E94201"/>
    <w:rsid w:val="00E94F0B"/>
    <w:rsid w:val="00E95482"/>
    <w:rsid w:val="00E95934"/>
    <w:rsid w:val="00E96158"/>
    <w:rsid w:val="00E9685F"/>
    <w:rsid w:val="00E9760C"/>
    <w:rsid w:val="00E976DD"/>
    <w:rsid w:val="00E97AB6"/>
    <w:rsid w:val="00E97BA9"/>
    <w:rsid w:val="00E97BC2"/>
    <w:rsid w:val="00EA066B"/>
    <w:rsid w:val="00EA1204"/>
    <w:rsid w:val="00EA1B51"/>
    <w:rsid w:val="00EA2446"/>
    <w:rsid w:val="00EA245B"/>
    <w:rsid w:val="00EA269C"/>
    <w:rsid w:val="00EA28B1"/>
    <w:rsid w:val="00EA3994"/>
    <w:rsid w:val="00EA3B3B"/>
    <w:rsid w:val="00EA4D4B"/>
    <w:rsid w:val="00EA5555"/>
    <w:rsid w:val="00EA55E6"/>
    <w:rsid w:val="00EA5616"/>
    <w:rsid w:val="00EA678D"/>
    <w:rsid w:val="00EA694A"/>
    <w:rsid w:val="00EA7D4E"/>
    <w:rsid w:val="00EB1B96"/>
    <w:rsid w:val="00EB2914"/>
    <w:rsid w:val="00EB2C7D"/>
    <w:rsid w:val="00EB2D2D"/>
    <w:rsid w:val="00EB4B15"/>
    <w:rsid w:val="00EB4DDE"/>
    <w:rsid w:val="00EB4E2F"/>
    <w:rsid w:val="00EB50AE"/>
    <w:rsid w:val="00EB55DF"/>
    <w:rsid w:val="00EB5F53"/>
    <w:rsid w:val="00EB6CA2"/>
    <w:rsid w:val="00EB6FEE"/>
    <w:rsid w:val="00EB74A2"/>
    <w:rsid w:val="00EB7722"/>
    <w:rsid w:val="00EB7799"/>
    <w:rsid w:val="00EC02ED"/>
    <w:rsid w:val="00EC0A3F"/>
    <w:rsid w:val="00EC0ABD"/>
    <w:rsid w:val="00EC0D18"/>
    <w:rsid w:val="00EC115F"/>
    <w:rsid w:val="00EC18DE"/>
    <w:rsid w:val="00EC1F46"/>
    <w:rsid w:val="00EC25A7"/>
    <w:rsid w:val="00EC27EC"/>
    <w:rsid w:val="00EC2C0F"/>
    <w:rsid w:val="00EC2FAD"/>
    <w:rsid w:val="00EC3699"/>
    <w:rsid w:val="00EC39EC"/>
    <w:rsid w:val="00EC3BD1"/>
    <w:rsid w:val="00EC4125"/>
    <w:rsid w:val="00EC4F67"/>
    <w:rsid w:val="00EC4FEE"/>
    <w:rsid w:val="00EC52DC"/>
    <w:rsid w:val="00EC62F5"/>
    <w:rsid w:val="00EC63AF"/>
    <w:rsid w:val="00EC6B48"/>
    <w:rsid w:val="00EC6CD9"/>
    <w:rsid w:val="00EC6EA7"/>
    <w:rsid w:val="00EC722C"/>
    <w:rsid w:val="00EC73B8"/>
    <w:rsid w:val="00EC7586"/>
    <w:rsid w:val="00EC75B1"/>
    <w:rsid w:val="00EC764F"/>
    <w:rsid w:val="00ED0C0E"/>
    <w:rsid w:val="00ED17DD"/>
    <w:rsid w:val="00ED2B53"/>
    <w:rsid w:val="00ED30F1"/>
    <w:rsid w:val="00ED38A5"/>
    <w:rsid w:val="00ED3D17"/>
    <w:rsid w:val="00ED401D"/>
    <w:rsid w:val="00ED4B7A"/>
    <w:rsid w:val="00ED4E62"/>
    <w:rsid w:val="00ED4F56"/>
    <w:rsid w:val="00ED50B8"/>
    <w:rsid w:val="00ED56F1"/>
    <w:rsid w:val="00ED570F"/>
    <w:rsid w:val="00ED5A2E"/>
    <w:rsid w:val="00ED5BC5"/>
    <w:rsid w:val="00ED5DDC"/>
    <w:rsid w:val="00ED5F02"/>
    <w:rsid w:val="00ED6534"/>
    <w:rsid w:val="00ED669E"/>
    <w:rsid w:val="00ED694D"/>
    <w:rsid w:val="00ED6AFB"/>
    <w:rsid w:val="00ED709A"/>
    <w:rsid w:val="00ED76DA"/>
    <w:rsid w:val="00EE0017"/>
    <w:rsid w:val="00EE0035"/>
    <w:rsid w:val="00EE0502"/>
    <w:rsid w:val="00EE09CF"/>
    <w:rsid w:val="00EE1322"/>
    <w:rsid w:val="00EE1662"/>
    <w:rsid w:val="00EE1893"/>
    <w:rsid w:val="00EE1CB4"/>
    <w:rsid w:val="00EE1E4D"/>
    <w:rsid w:val="00EE2183"/>
    <w:rsid w:val="00EE22E6"/>
    <w:rsid w:val="00EE286C"/>
    <w:rsid w:val="00EE3360"/>
    <w:rsid w:val="00EE3594"/>
    <w:rsid w:val="00EE543C"/>
    <w:rsid w:val="00EE5D76"/>
    <w:rsid w:val="00EE6AC6"/>
    <w:rsid w:val="00EE6DCF"/>
    <w:rsid w:val="00EE72CE"/>
    <w:rsid w:val="00EE745C"/>
    <w:rsid w:val="00EE78CA"/>
    <w:rsid w:val="00EE79D8"/>
    <w:rsid w:val="00EE7E86"/>
    <w:rsid w:val="00EF088C"/>
    <w:rsid w:val="00EF0B68"/>
    <w:rsid w:val="00EF0B94"/>
    <w:rsid w:val="00EF0E40"/>
    <w:rsid w:val="00EF1240"/>
    <w:rsid w:val="00EF1F44"/>
    <w:rsid w:val="00EF296A"/>
    <w:rsid w:val="00EF34B2"/>
    <w:rsid w:val="00EF3771"/>
    <w:rsid w:val="00EF383E"/>
    <w:rsid w:val="00EF39D1"/>
    <w:rsid w:val="00EF46EA"/>
    <w:rsid w:val="00EF5289"/>
    <w:rsid w:val="00EF579F"/>
    <w:rsid w:val="00EF61E9"/>
    <w:rsid w:val="00EF696B"/>
    <w:rsid w:val="00EF71C1"/>
    <w:rsid w:val="00EF780D"/>
    <w:rsid w:val="00F002C7"/>
    <w:rsid w:val="00F00353"/>
    <w:rsid w:val="00F008DD"/>
    <w:rsid w:val="00F0159C"/>
    <w:rsid w:val="00F016A5"/>
    <w:rsid w:val="00F02232"/>
    <w:rsid w:val="00F02328"/>
    <w:rsid w:val="00F02364"/>
    <w:rsid w:val="00F02A87"/>
    <w:rsid w:val="00F02C45"/>
    <w:rsid w:val="00F02F1C"/>
    <w:rsid w:val="00F03263"/>
    <w:rsid w:val="00F03422"/>
    <w:rsid w:val="00F03A97"/>
    <w:rsid w:val="00F03CDE"/>
    <w:rsid w:val="00F043AC"/>
    <w:rsid w:val="00F044AD"/>
    <w:rsid w:val="00F045CE"/>
    <w:rsid w:val="00F04BE6"/>
    <w:rsid w:val="00F04C30"/>
    <w:rsid w:val="00F0591B"/>
    <w:rsid w:val="00F05974"/>
    <w:rsid w:val="00F06173"/>
    <w:rsid w:val="00F06270"/>
    <w:rsid w:val="00F06884"/>
    <w:rsid w:val="00F06BB8"/>
    <w:rsid w:val="00F06CD4"/>
    <w:rsid w:val="00F06EAE"/>
    <w:rsid w:val="00F06F0A"/>
    <w:rsid w:val="00F07236"/>
    <w:rsid w:val="00F07290"/>
    <w:rsid w:val="00F07B06"/>
    <w:rsid w:val="00F07B1D"/>
    <w:rsid w:val="00F07DBD"/>
    <w:rsid w:val="00F10179"/>
    <w:rsid w:val="00F103CD"/>
    <w:rsid w:val="00F104FE"/>
    <w:rsid w:val="00F1148B"/>
    <w:rsid w:val="00F11A95"/>
    <w:rsid w:val="00F11B52"/>
    <w:rsid w:val="00F11E41"/>
    <w:rsid w:val="00F12705"/>
    <w:rsid w:val="00F12A2B"/>
    <w:rsid w:val="00F12E80"/>
    <w:rsid w:val="00F12FD3"/>
    <w:rsid w:val="00F13075"/>
    <w:rsid w:val="00F1337B"/>
    <w:rsid w:val="00F1349D"/>
    <w:rsid w:val="00F13894"/>
    <w:rsid w:val="00F13988"/>
    <w:rsid w:val="00F13A7B"/>
    <w:rsid w:val="00F14023"/>
    <w:rsid w:val="00F140A0"/>
    <w:rsid w:val="00F142A5"/>
    <w:rsid w:val="00F14637"/>
    <w:rsid w:val="00F148D4"/>
    <w:rsid w:val="00F14E59"/>
    <w:rsid w:val="00F15968"/>
    <w:rsid w:val="00F15972"/>
    <w:rsid w:val="00F15C43"/>
    <w:rsid w:val="00F160DB"/>
    <w:rsid w:val="00F16112"/>
    <w:rsid w:val="00F166E7"/>
    <w:rsid w:val="00F166F2"/>
    <w:rsid w:val="00F168BF"/>
    <w:rsid w:val="00F17132"/>
    <w:rsid w:val="00F17776"/>
    <w:rsid w:val="00F17B09"/>
    <w:rsid w:val="00F17BC2"/>
    <w:rsid w:val="00F17CC5"/>
    <w:rsid w:val="00F20664"/>
    <w:rsid w:val="00F20AAF"/>
    <w:rsid w:val="00F21321"/>
    <w:rsid w:val="00F21962"/>
    <w:rsid w:val="00F22558"/>
    <w:rsid w:val="00F22723"/>
    <w:rsid w:val="00F22F61"/>
    <w:rsid w:val="00F235FB"/>
    <w:rsid w:val="00F237AC"/>
    <w:rsid w:val="00F23A28"/>
    <w:rsid w:val="00F248A1"/>
    <w:rsid w:val="00F2497D"/>
    <w:rsid w:val="00F2507A"/>
    <w:rsid w:val="00F25AB9"/>
    <w:rsid w:val="00F2646C"/>
    <w:rsid w:val="00F269F2"/>
    <w:rsid w:val="00F26B0B"/>
    <w:rsid w:val="00F26F19"/>
    <w:rsid w:val="00F271AC"/>
    <w:rsid w:val="00F2739C"/>
    <w:rsid w:val="00F2743D"/>
    <w:rsid w:val="00F27531"/>
    <w:rsid w:val="00F307EA"/>
    <w:rsid w:val="00F31FCD"/>
    <w:rsid w:val="00F322A8"/>
    <w:rsid w:val="00F32700"/>
    <w:rsid w:val="00F3300E"/>
    <w:rsid w:val="00F33052"/>
    <w:rsid w:val="00F3327B"/>
    <w:rsid w:val="00F33638"/>
    <w:rsid w:val="00F33E00"/>
    <w:rsid w:val="00F33F49"/>
    <w:rsid w:val="00F34173"/>
    <w:rsid w:val="00F344A7"/>
    <w:rsid w:val="00F348BA"/>
    <w:rsid w:val="00F34D51"/>
    <w:rsid w:val="00F35264"/>
    <w:rsid w:val="00F35774"/>
    <w:rsid w:val="00F358D6"/>
    <w:rsid w:val="00F35DC7"/>
    <w:rsid w:val="00F360C2"/>
    <w:rsid w:val="00F364BC"/>
    <w:rsid w:val="00F368B1"/>
    <w:rsid w:val="00F3701E"/>
    <w:rsid w:val="00F3723E"/>
    <w:rsid w:val="00F373DA"/>
    <w:rsid w:val="00F3778B"/>
    <w:rsid w:val="00F37B20"/>
    <w:rsid w:val="00F37B67"/>
    <w:rsid w:val="00F40533"/>
    <w:rsid w:val="00F40568"/>
    <w:rsid w:val="00F40B02"/>
    <w:rsid w:val="00F40C45"/>
    <w:rsid w:val="00F41B24"/>
    <w:rsid w:val="00F42169"/>
    <w:rsid w:val="00F4271E"/>
    <w:rsid w:val="00F42AB5"/>
    <w:rsid w:val="00F42E43"/>
    <w:rsid w:val="00F42F82"/>
    <w:rsid w:val="00F42FB7"/>
    <w:rsid w:val="00F43089"/>
    <w:rsid w:val="00F43B63"/>
    <w:rsid w:val="00F44AEF"/>
    <w:rsid w:val="00F44B04"/>
    <w:rsid w:val="00F44D5D"/>
    <w:rsid w:val="00F45072"/>
    <w:rsid w:val="00F45258"/>
    <w:rsid w:val="00F452E5"/>
    <w:rsid w:val="00F4575A"/>
    <w:rsid w:val="00F45C1E"/>
    <w:rsid w:val="00F462B6"/>
    <w:rsid w:val="00F46B94"/>
    <w:rsid w:val="00F47963"/>
    <w:rsid w:val="00F5027A"/>
    <w:rsid w:val="00F504CE"/>
    <w:rsid w:val="00F50A6F"/>
    <w:rsid w:val="00F513EC"/>
    <w:rsid w:val="00F51617"/>
    <w:rsid w:val="00F51ED3"/>
    <w:rsid w:val="00F5209C"/>
    <w:rsid w:val="00F5295A"/>
    <w:rsid w:val="00F52E9C"/>
    <w:rsid w:val="00F530E9"/>
    <w:rsid w:val="00F53575"/>
    <w:rsid w:val="00F54AFB"/>
    <w:rsid w:val="00F550D5"/>
    <w:rsid w:val="00F55521"/>
    <w:rsid w:val="00F55A94"/>
    <w:rsid w:val="00F55C9F"/>
    <w:rsid w:val="00F56B9D"/>
    <w:rsid w:val="00F570DD"/>
    <w:rsid w:val="00F57B2A"/>
    <w:rsid w:val="00F60631"/>
    <w:rsid w:val="00F61F9F"/>
    <w:rsid w:val="00F62063"/>
    <w:rsid w:val="00F624BC"/>
    <w:rsid w:val="00F6266E"/>
    <w:rsid w:val="00F629FB"/>
    <w:rsid w:val="00F6333F"/>
    <w:rsid w:val="00F6344D"/>
    <w:rsid w:val="00F6366A"/>
    <w:rsid w:val="00F63773"/>
    <w:rsid w:val="00F6386F"/>
    <w:rsid w:val="00F639D9"/>
    <w:rsid w:val="00F63FF7"/>
    <w:rsid w:val="00F6414B"/>
    <w:rsid w:val="00F641D4"/>
    <w:rsid w:val="00F6482A"/>
    <w:rsid w:val="00F64964"/>
    <w:rsid w:val="00F64DD1"/>
    <w:rsid w:val="00F64E16"/>
    <w:rsid w:val="00F65279"/>
    <w:rsid w:val="00F652A4"/>
    <w:rsid w:val="00F657B9"/>
    <w:rsid w:val="00F65B4D"/>
    <w:rsid w:val="00F660C0"/>
    <w:rsid w:val="00F66110"/>
    <w:rsid w:val="00F66C7F"/>
    <w:rsid w:val="00F67878"/>
    <w:rsid w:val="00F67DB2"/>
    <w:rsid w:val="00F67EFF"/>
    <w:rsid w:val="00F70057"/>
    <w:rsid w:val="00F7076C"/>
    <w:rsid w:val="00F718C3"/>
    <w:rsid w:val="00F722D9"/>
    <w:rsid w:val="00F72796"/>
    <w:rsid w:val="00F73107"/>
    <w:rsid w:val="00F73161"/>
    <w:rsid w:val="00F7351E"/>
    <w:rsid w:val="00F735EB"/>
    <w:rsid w:val="00F73C6C"/>
    <w:rsid w:val="00F74681"/>
    <w:rsid w:val="00F746D5"/>
    <w:rsid w:val="00F74DAE"/>
    <w:rsid w:val="00F75215"/>
    <w:rsid w:val="00F755F5"/>
    <w:rsid w:val="00F75FDE"/>
    <w:rsid w:val="00F76A98"/>
    <w:rsid w:val="00F76C2A"/>
    <w:rsid w:val="00F76EAC"/>
    <w:rsid w:val="00F76FB8"/>
    <w:rsid w:val="00F7734B"/>
    <w:rsid w:val="00F80019"/>
    <w:rsid w:val="00F81677"/>
    <w:rsid w:val="00F820EB"/>
    <w:rsid w:val="00F826AA"/>
    <w:rsid w:val="00F82809"/>
    <w:rsid w:val="00F82A31"/>
    <w:rsid w:val="00F82E08"/>
    <w:rsid w:val="00F82FD0"/>
    <w:rsid w:val="00F83325"/>
    <w:rsid w:val="00F8350C"/>
    <w:rsid w:val="00F83D5F"/>
    <w:rsid w:val="00F83EE3"/>
    <w:rsid w:val="00F8562F"/>
    <w:rsid w:val="00F862B0"/>
    <w:rsid w:val="00F8675C"/>
    <w:rsid w:val="00F867AD"/>
    <w:rsid w:val="00F870A8"/>
    <w:rsid w:val="00F915AD"/>
    <w:rsid w:val="00F91F05"/>
    <w:rsid w:val="00F92044"/>
    <w:rsid w:val="00F9260B"/>
    <w:rsid w:val="00F92E61"/>
    <w:rsid w:val="00F92EFC"/>
    <w:rsid w:val="00F935D8"/>
    <w:rsid w:val="00F93D02"/>
    <w:rsid w:val="00F945FB"/>
    <w:rsid w:val="00F9480E"/>
    <w:rsid w:val="00F9652F"/>
    <w:rsid w:val="00F968F2"/>
    <w:rsid w:val="00F969AE"/>
    <w:rsid w:val="00F96C65"/>
    <w:rsid w:val="00F96CAD"/>
    <w:rsid w:val="00F97C0B"/>
    <w:rsid w:val="00FA0105"/>
    <w:rsid w:val="00FA0575"/>
    <w:rsid w:val="00FA1251"/>
    <w:rsid w:val="00FA1692"/>
    <w:rsid w:val="00FA22AE"/>
    <w:rsid w:val="00FA23D8"/>
    <w:rsid w:val="00FA2504"/>
    <w:rsid w:val="00FA27BE"/>
    <w:rsid w:val="00FA2CF1"/>
    <w:rsid w:val="00FA31FA"/>
    <w:rsid w:val="00FA399B"/>
    <w:rsid w:val="00FA492C"/>
    <w:rsid w:val="00FA54B1"/>
    <w:rsid w:val="00FA574E"/>
    <w:rsid w:val="00FA5778"/>
    <w:rsid w:val="00FA59FD"/>
    <w:rsid w:val="00FA628C"/>
    <w:rsid w:val="00FA6714"/>
    <w:rsid w:val="00FA6856"/>
    <w:rsid w:val="00FA6C37"/>
    <w:rsid w:val="00FA710B"/>
    <w:rsid w:val="00FA7B1F"/>
    <w:rsid w:val="00FB075E"/>
    <w:rsid w:val="00FB101E"/>
    <w:rsid w:val="00FB17DC"/>
    <w:rsid w:val="00FB28D9"/>
    <w:rsid w:val="00FB2AED"/>
    <w:rsid w:val="00FB2BFD"/>
    <w:rsid w:val="00FB3757"/>
    <w:rsid w:val="00FB3B19"/>
    <w:rsid w:val="00FB42F4"/>
    <w:rsid w:val="00FB4AAB"/>
    <w:rsid w:val="00FB4FB4"/>
    <w:rsid w:val="00FB5492"/>
    <w:rsid w:val="00FB562E"/>
    <w:rsid w:val="00FB6067"/>
    <w:rsid w:val="00FB61AE"/>
    <w:rsid w:val="00FB6A6C"/>
    <w:rsid w:val="00FB6A97"/>
    <w:rsid w:val="00FB7032"/>
    <w:rsid w:val="00FB768F"/>
    <w:rsid w:val="00FB78E7"/>
    <w:rsid w:val="00FC030A"/>
    <w:rsid w:val="00FC0A01"/>
    <w:rsid w:val="00FC0A1B"/>
    <w:rsid w:val="00FC0DC5"/>
    <w:rsid w:val="00FC0E4D"/>
    <w:rsid w:val="00FC1033"/>
    <w:rsid w:val="00FC215E"/>
    <w:rsid w:val="00FC2435"/>
    <w:rsid w:val="00FC2618"/>
    <w:rsid w:val="00FC314C"/>
    <w:rsid w:val="00FC36A3"/>
    <w:rsid w:val="00FC3A50"/>
    <w:rsid w:val="00FC3C78"/>
    <w:rsid w:val="00FC3ED3"/>
    <w:rsid w:val="00FC4C87"/>
    <w:rsid w:val="00FC4D80"/>
    <w:rsid w:val="00FC56B8"/>
    <w:rsid w:val="00FC5B73"/>
    <w:rsid w:val="00FC665E"/>
    <w:rsid w:val="00FC718E"/>
    <w:rsid w:val="00FC76D2"/>
    <w:rsid w:val="00FC7D15"/>
    <w:rsid w:val="00FC7E88"/>
    <w:rsid w:val="00FC7E9D"/>
    <w:rsid w:val="00FD001E"/>
    <w:rsid w:val="00FD0484"/>
    <w:rsid w:val="00FD0875"/>
    <w:rsid w:val="00FD19EB"/>
    <w:rsid w:val="00FD1CCF"/>
    <w:rsid w:val="00FD2027"/>
    <w:rsid w:val="00FD3353"/>
    <w:rsid w:val="00FD3358"/>
    <w:rsid w:val="00FD4200"/>
    <w:rsid w:val="00FD4966"/>
    <w:rsid w:val="00FD540D"/>
    <w:rsid w:val="00FD54E8"/>
    <w:rsid w:val="00FD59A1"/>
    <w:rsid w:val="00FD645F"/>
    <w:rsid w:val="00FE00DC"/>
    <w:rsid w:val="00FE0167"/>
    <w:rsid w:val="00FE02B2"/>
    <w:rsid w:val="00FE0588"/>
    <w:rsid w:val="00FE06F3"/>
    <w:rsid w:val="00FE0968"/>
    <w:rsid w:val="00FE0BE8"/>
    <w:rsid w:val="00FE195C"/>
    <w:rsid w:val="00FE195F"/>
    <w:rsid w:val="00FE1DBD"/>
    <w:rsid w:val="00FE22F2"/>
    <w:rsid w:val="00FE2490"/>
    <w:rsid w:val="00FE2658"/>
    <w:rsid w:val="00FE27EF"/>
    <w:rsid w:val="00FE28FC"/>
    <w:rsid w:val="00FE2B99"/>
    <w:rsid w:val="00FE3068"/>
    <w:rsid w:val="00FE39F7"/>
    <w:rsid w:val="00FE3AED"/>
    <w:rsid w:val="00FE3C78"/>
    <w:rsid w:val="00FE3D58"/>
    <w:rsid w:val="00FE46E2"/>
    <w:rsid w:val="00FE4B66"/>
    <w:rsid w:val="00FE4D03"/>
    <w:rsid w:val="00FE5D50"/>
    <w:rsid w:val="00FE6AB5"/>
    <w:rsid w:val="00FE6B71"/>
    <w:rsid w:val="00FE6F39"/>
    <w:rsid w:val="00FE761A"/>
    <w:rsid w:val="00FE767B"/>
    <w:rsid w:val="00FE7AC9"/>
    <w:rsid w:val="00FF02A3"/>
    <w:rsid w:val="00FF0997"/>
    <w:rsid w:val="00FF0DB2"/>
    <w:rsid w:val="00FF17C0"/>
    <w:rsid w:val="00FF1C53"/>
    <w:rsid w:val="00FF1C95"/>
    <w:rsid w:val="00FF25B6"/>
    <w:rsid w:val="00FF26E3"/>
    <w:rsid w:val="00FF2B39"/>
    <w:rsid w:val="00FF2C1E"/>
    <w:rsid w:val="00FF2EDB"/>
    <w:rsid w:val="00FF300F"/>
    <w:rsid w:val="00FF3734"/>
    <w:rsid w:val="00FF37A8"/>
    <w:rsid w:val="00FF382E"/>
    <w:rsid w:val="00FF3A4D"/>
    <w:rsid w:val="00FF3D87"/>
    <w:rsid w:val="00FF3DA2"/>
    <w:rsid w:val="00FF3F54"/>
    <w:rsid w:val="00FF4BA9"/>
    <w:rsid w:val="00FF4C13"/>
    <w:rsid w:val="00FF5414"/>
    <w:rsid w:val="00FF5ADA"/>
    <w:rsid w:val="00FF5D43"/>
    <w:rsid w:val="00FF646E"/>
    <w:rsid w:val="00FF66A3"/>
    <w:rsid w:val="00FF6B78"/>
    <w:rsid w:val="00FF6D7F"/>
    <w:rsid w:val="00FF73EB"/>
    <w:rsid w:val="00FF79B5"/>
    <w:rsid w:val="00FF7ECC"/>
    <w:rsid w:val="00FF7F99"/>
    <w:rsid w:val="017D07C4"/>
    <w:rsid w:val="022601C7"/>
    <w:rsid w:val="03076EF0"/>
    <w:rsid w:val="033F260A"/>
    <w:rsid w:val="03A833EB"/>
    <w:rsid w:val="03E62666"/>
    <w:rsid w:val="03F51722"/>
    <w:rsid w:val="0427117D"/>
    <w:rsid w:val="04AF01FB"/>
    <w:rsid w:val="05421ADE"/>
    <w:rsid w:val="05744C41"/>
    <w:rsid w:val="05B74E04"/>
    <w:rsid w:val="05F62C3F"/>
    <w:rsid w:val="06971EBA"/>
    <w:rsid w:val="06D23E0D"/>
    <w:rsid w:val="070A3F06"/>
    <w:rsid w:val="076C536F"/>
    <w:rsid w:val="07C30563"/>
    <w:rsid w:val="07EF1EE5"/>
    <w:rsid w:val="07F36D8D"/>
    <w:rsid w:val="081D7677"/>
    <w:rsid w:val="08501C7B"/>
    <w:rsid w:val="08560BD7"/>
    <w:rsid w:val="08E170F8"/>
    <w:rsid w:val="08FF661F"/>
    <w:rsid w:val="092C16B7"/>
    <w:rsid w:val="09603B45"/>
    <w:rsid w:val="09A04DFA"/>
    <w:rsid w:val="09F65125"/>
    <w:rsid w:val="0A273AD6"/>
    <w:rsid w:val="0A9D7935"/>
    <w:rsid w:val="0AD251AA"/>
    <w:rsid w:val="0AEA1B40"/>
    <w:rsid w:val="0B2327E2"/>
    <w:rsid w:val="0B2B50AD"/>
    <w:rsid w:val="0B872FF5"/>
    <w:rsid w:val="0B8A608D"/>
    <w:rsid w:val="0C7D54DD"/>
    <w:rsid w:val="0C8962DC"/>
    <w:rsid w:val="0CE45F36"/>
    <w:rsid w:val="0CED50DA"/>
    <w:rsid w:val="0D4A0B2F"/>
    <w:rsid w:val="0E297219"/>
    <w:rsid w:val="0E4502B3"/>
    <w:rsid w:val="0EAB1EE3"/>
    <w:rsid w:val="0F601D21"/>
    <w:rsid w:val="0FF81D85"/>
    <w:rsid w:val="103A2EA9"/>
    <w:rsid w:val="10853B45"/>
    <w:rsid w:val="10C9163A"/>
    <w:rsid w:val="114C2E8E"/>
    <w:rsid w:val="117A5602"/>
    <w:rsid w:val="11824A08"/>
    <w:rsid w:val="11F57240"/>
    <w:rsid w:val="121731F6"/>
    <w:rsid w:val="122D3086"/>
    <w:rsid w:val="12BB1131"/>
    <w:rsid w:val="12BC78AF"/>
    <w:rsid w:val="12D17F56"/>
    <w:rsid w:val="12EA0AC0"/>
    <w:rsid w:val="13445FC0"/>
    <w:rsid w:val="136E0D60"/>
    <w:rsid w:val="137F4B64"/>
    <w:rsid w:val="1413487F"/>
    <w:rsid w:val="14453652"/>
    <w:rsid w:val="1471220A"/>
    <w:rsid w:val="14935610"/>
    <w:rsid w:val="14D75986"/>
    <w:rsid w:val="1513012A"/>
    <w:rsid w:val="153E4BCA"/>
    <w:rsid w:val="155B66F3"/>
    <w:rsid w:val="15AA1F06"/>
    <w:rsid w:val="1642631D"/>
    <w:rsid w:val="169F19BB"/>
    <w:rsid w:val="16BA0498"/>
    <w:rsid w:val="16D23A20"/>
    <w:rsid w:val="170F7767"/>
    <w:rsid w:val="172E6491"/>
    <w:rsid w:val="17C90A7C"/>
    <w:rsid w:val="17EC6D88"/>
    <w:rsid w:val="180E389E"/>
    <w:rsid w:val="188A6ECA"/>
    <w:rsid w:val="18E16E85"/>
    <w:rsid w:val="193A341F"/>
    <w:rsid w:val="19652AAC"/>
    <w:rsid w:val="19AC0524"/>
    <w:rsid w:val="19C17287"/>
    <w:rsid w:val="1A2C0CF3"/>
    <w:rsid w:val="1A770022"/>
    <w:rsid w:val="1B0E2C71"/>
    <w:rsid w:val="1B227E7B"/>
    <w:rsid w:val="1B5C7895"/>
    <w:rsid w:val="1B941AD4"/>
    <w:rsid w:val="1C331705"/>
    <w:rsid w:val="1C35224C"/>
    <w:rsid w:val="1C7D34E8"/>
    <w:rsid w:val="1D4F705C"/>
    <w:rsid w:val="1D5E077E"/>
    <w:rsid w:val="1DB1505A"/>
    <w:rsid w:val="1DD41A45"/>
    <w:rsid w:val="1E802576"/>
    <w:rsid w:val="1EBA0450"/>
    <w:rsid w:val="1FBC2ABC"/>
    <w:rsid w:val="1FCF726A"/>
    <w:rsid w:val="1FDC12C1"/>
    <w:rsid w:val="1FF32DDF"/>
    <w:rsid w:val="2041029A"/>
    <w:rsid w:val="20683EEE"/>
    <w:rsid w:val="207C78C3"/>
    <w:rsid w:val="20EF11E0"/>
    <w:rsid w:val="21182DC4"/>
    <w:rsid w:val="212312E0"/>
    <w:rsid w:val="21545092"/>
    <w:rsid w:val="216C3894"/>
    <w:rsid w:val="221F2E6F"/>
    <w:rsid w:val="2302156A"/>
    <w:rsid w:val="23107476"/>
    <w:rsid w:val="238D359D"/>
    <w:rsid w:val="23D47E12"/>
    <w:rsid w:val="23FB7B30"/>
    <w:rsid w:val="2461192B"/>
    <w:rsid w:val="2485160D"/>
    <w:rsid w:val="251330FF"/>
    <w:rsid w:val="2528665C"/>
    <w:rsid w:val="254928A9"/>
    <w:rsid w:val="25621CE3"/>
    <w:rsid w:val="25654058"/>
    <w:rsid w:val="25714B12"/>
    <w:rsid w:val="2574729E"/>
    <w:rsid w:val="25FC4352"/>
    <w:rsid w:val="260D5FFF"/>
    <w:rsid w:val="269B5BA6"/>
    <w:rsid w:val="26AC0FE3"/>
    <w:rsid w:val="276B057D"/>
    <w:rsid w:val="27C95B24"/>
    <w:rsid w:val="28110ABB"/>
    <w:rsid w:val="281D5E61"/>
    <w:rsid w:val="28665DE8"/>
    <w:rsid w:val="28675F60"/>
    <w:rsid w:val="28881AFA"/>
    <w:rsid w:val="28912F73"/>
    <w:rsid w:val="28A15125"/>
    <w:rsid w:val="28AA222B"/>
    <w:rsid w:val="28B6120C"/>
    <w:rsid w:val="28E83B41"/>
    <w:rsid w:val="293E2A41"/>
    <w:rsid w:val="2981202B"/>
    <w:rsid w:val="2A7E3970"/>
    <w:rsid w:val="2B192361"/>
    <w:rsid w:val="2B28471E"/>
    <w:rsid w:val="2B33435A"/>
    <w:rsid w:val="2BF64366"/>
    <w:rsid w:val="2BF85D87"/>
    <w:rsid w:val="2C861273"/>
    <w:rsid w:val="2D1226D8"/>
    <w:rsid w:val="2D37296B"/>
    <w:rsid w:val="2D461C5C"/>
    <w:rsid w:val="2D7F7F89"/>
    <w:rsid w:val="2DF059E5"/>
    <w:rsid w:val="2E0A22C4"/>
    <w:rsid w:val="2E865209"/>
    <w:rsid w:val="2E9A18CE"/>
    <w:rsid w:val="2EF53BE9"/>
    <w:rsid w:val="2F425633"/>
    <w:rsid w:val="2FC10A8E"/>
    <w:rsid w:val="307401C2"/>
    <w:rsid w:val="310B6C23"/>
    <w:rsid w:val="316513E5"/>
    <w:rsid w:val="318A4A14"/>
    <w:rsid w:val="31B25CAD"/>
    <w:rsid w:val="31D66820"/>
    <w:rsid w:val="329821FA"/>
    <w:rsid w:val="32A62DF3"/>
    <w:rsid w:val="32DF6281"/>
    <w:rsid w:val="330E69FF"/>
    <w:rsid w:val="33962999"/>
    <w:rsid w:val="33BA1E40"/>
    <w:rsid w:val="33D95318"/>
    <w:rsid w:val="33FB7B2C"/>
    <w:rsid w:val="358C3B05"/>
    <w:rsid w:val="35B17DC1"/>
    <w:rsid w:val="366E06A5"/>
    <w:rsid w:val="36961BA3"/>
    <w:rsid w:val="3770438E"/>
    <w:rsid w:val="378B3228"/>
    <w:rsid w:val="382C689A"/>
    <w:rsid w:val="3858293D"/>
    <w:rsid w:val="38605710"/>
    <w:rsid w:val="388C7A99"/>
    <w:rsid w:val="3A32545E"/>
    <w:rsid w:val="3A931F89"/>
    <w:rsid w:val="3ACA4CA4"/>
    <w:rsid w:val="3B842468"/>
    <w:rsid w:val="3C0311BA"/>
    <w:rsid w:val="3CCF0BB2"/>
    <w:rsid w:val="3CE95B05"/>
    <w:rsid w:val="3D2758A4"/>
    <w:rsid w:val="3D302D4A"/>
    <w:rsid w:val="3D7C7CB5"/>
    <w:rsid w:val="3DAC517E"/>
    <w:rsid w:val="3DDC3376"/>
    <w:rsid w:val="3DDE3CF5"/>
    <w:rsid w:val="3E047890"/>
    <w:rsid w:val="3E131C35"/>
    <w:rsid w:val="3E24222C"/>
    <w:rsid w:val="3E495430"/>
    <w:rsid w:val="3E6E529D"/>
    <w:rsid w:val="3E8916CF"/>
    <w:rsid w:val="3EB513B7"/>
    <w:rsid w:val="3EF10E62"/>
    <w:rsid w:val="3F7171A7"/>
    <w:rsid w:val="3FA206A1"/>
    <w:rsid w:val="3FD44611"/>
    <w:rsid w:val="3FF467D9"/>
    <w:rsid w:val="3FFD2AA6"/>
    <w:rsid w:val="401A2155"/>
    <w:rsid w:val="40686F24"/>
    <w:rsid w:val="408F0007"/>
    <w:rsid w:val="40A221DA"/>
    <w:rsid w:val="413264EC"/>
    <w:rsid w:val="4196758C"/>
    <w:rsid w:val="41C7663B"/>
    <w:rsid w:val="41D12C03"/>
    <w:rsid w:val="42E234D9"/>
    <w:rsid w:val="42F26B44"/>
    <w:rsid w:val="433137CC"/>
    <w:rsid w:val="436037BB"/>
    <w:rsid w:val="439367BA"/>
    <w:rsid w:val="445352F5"/>
    <w:rsid w:val="447F27E4"/>
    <w:rsid w:val="4498224C"/>
    <w:rsid w:val="44AE36E0"/>
    <w:rsid w:val="44B225FA"/>
    <w:rsid w:val="44F20B1A"/>
    <w:rsid w:val="453460FF"/>
    <w:rsid w:val="453B6FB5"/>
    <w:rsid w:val="455A0708"/>
    <w:rsid w:val="45BB6370"/>
    <w:rsid w:val="464F6631"/>
    <w:rsid w:val="465D5366"/>
    <w:rsid w:val="46AA51C4"/>
    <w:rsid w:val="46D02A05"/>
    <w:rsid w:val="492B4F9B"/>
    <w:rsid w:val="49930974"/>
    <w:rsid w:val="49B6116E"/>
    <w:rsid w:val="4A6E6946"/>
    <w:rsid w:val="4A705AD5"/>
    <w:rsid w:val="4A75310B"/>
    <w:rsid w:val="4B2A252F"/>
    <w:rsid w:val="4B6E18DB"/>
    <w:rsid w:val="4B9C3AA9"/>
    <w:rsid w:val="4BC55091"/>
    <w:rsid w:val="4C151E7C"/>
    <w:rsid w:val="4C1D5F09"/>
    <w:rsid w:val="4C8F7B12"/>
    <w:rsid w:val="4C932782"/>
    <w:rsid w:val="4CC3632F"/>
    <w:rsid w:val="4CEA26A6"/>
    <w:rsid w:val="4D115274"/>
    <w:rsid w:val="4DCA1959"/>
    <w:rsid w:val="4E223181"/>
    <w:rsid w:val="4E3C4330"/>
    <w:rsid w:val="4F354C7F"/>
    <w:rsid w:val="4F6939F7"/>
    <w:rsid w:val="4FAF47C1"/>
    <w:rsid w:val="50093E70"/>
    <w:rsid w:val="50320C6D"/>
    <w:rsid w:val="50844312"/>
    <w:rsid w:val="511B2719"/>
    <w:rsid w:val="51782617"/>
    <w:rsid w:val="52005A19"/>
    <w:rsid w:val="52B00E60"/>
    <w:rsid w:val="532760A3"/>
    <w:rsid w:val="53543000"/>
    <w:rsid w:val="53685179"/>
    <w:rsid w:val="539D7376"/>
    <w:rsid w:val="53B14ECD"/>
    <w:rsid w:val="53BE3C22"/>
    <w:rsid w:val="53F817ED"/>
    <w:rsid w:val="54191F75"/>
    <w:rsid w:val="5419780A"/>
    <w:rsid w:val="55307398"/>
    <w:rsid w:val="56236118"/>
    <w:rsid w:val="564523C6"/>
    <w:rsid w:val="564D4072"/>
    <w:rsid w:val="564F5051"/>
    <w:rsid w:val="56700CFF"/>
    <w:rsid w:val="56B533DB"/>
    <w:rsid w:val="57024C68"/>
    <w:rsid w:val="573F5BB8"/>
    <w:rsid w:val="578E2EFD"/>
    <w:rsid w:val="57D52949"/>
    <w:rsid w:val="587476B3"/>
    <w:rsid w:val="58BF4C05"/>
    <w:rsid w:val="5A656046"/>
    <w:rsid w:val="5A727056"/>
    <w:rsid w:val="5A945FF5"/>
    <w:rsid w:val="5AF62905"/>
    <w:rsid w:val="5B3C2A80"/>
    <w:rsid w:val="5B8F3C1A"/>
    <w:rsid w:val="5BCD2DC9"/>
    <w:rsid w:val="5BEF69CA"/>
    <w:rsid w:val="5C3925A8"/>
    <w:rsid w:val="5C3C5E9B"/>
    <w:rsid w:val="5C487AB3"/>
    <w:rsid w:val="5C7E0924"/>
    <w:rsid w:val="5D236A25"/>
    <w:rsid w:val="5D76062F"/>
    <w:rsid w:val="5E476EBC"/>
    <w:rsid w:val="5E7F453A"/>
    <w:rsid w:val="5EA94883"/>
    <w:rsid w:val="5F3D64F8"/>
    <w:rsid w:val="5F487B2D"/>
    <w:rsid w:val="5F5D1F24"/>
    <w:rsid w:val="5F6D558B"/>
    <w:rsid w:val="5F7436FB"/>
    <w:rsid w:val="5F9E6345"/>
    <w:rsid w:val="5FAF756B"/>
    <w:rsid w:val="5FCA6B50"/>
    <w:rsid w:val="5FDE5F88"/>
    <w:rsid w:val="5FE70F2A"/>
    <w:rsid w:val="5FFB6779"/>
    <w:rsid w:val="604E7941"/>
    <w:rsid w:val="60844AAA"/>
    <w:rsid w:val="60C7094A"/>
    <w:rsid w:val="60E66C49"/>
    <w:rsid w:val="61147BD7"/>
    <w:rsid w:val="61F00FC3"/>
    <w:rsid w:val="626B5ED9"/>
    <w:rsid w:val="62D57469"/>
    <w:rsid w:val="634C5A3F"/>
    <w:rsid w:val="6351712F"/>
    <w:rsid w:val="63894C35"/>
    <w:rsid w:val="63A22D4E"/>
    <w:rsid w:val="63D06BD0"/>
    <w:rsid w:val="640530F6"/>
    <w:rsid w:val="6417515B"/>
    <w:rsid w:val="64430863"/>
    <w:rsid w:val="65302443"/>
    <w:rsid w:val="6537002E"/>
    <w:rsid w:val="65411461"/>
    <w:rsid w:val="65547B7A"/>
    <w:rsid w:val="656A746B"/>
    <w:rsid w:val="656E3E7D"/>
    <w:rsid w:val="657B75E7"/>
    <w:rsid w:val="65A308AC"/>
    <w:rsid w:val="67A1118F"/>
    <w:rsid w:val="67FB322A"/>
    <w:rsid w:val="681A60C8"/>
    <w:rsid w:val="683D2FA3"/>
    <w:rsid w:val="688F011F"/>
    <w:rsid w:val="68B23A55"/>
    <w:rsid w:val="68BC02B9"/>
    <w:rsid w:val="691738C8"/>
    <w:rsid w:val="69627235"/>
    <w:rsid w:val="696F1CF2"/>
    <w:rsid w:val="69912070"/>
    <w:rsid w:val="69F163D4"/>
    <w:rsid w:val="69FD46E9"/>
    <w:rsid w:val="6A0A22FC"/>
    <w:rsid w:val="6A726780"/>
    <w:rsid w:val="6AE06F91"/>
    <w:rsid w:val="6AEE6CE3"/>
    <w:rsid w:val="6B583D2A"/>
    <w:rsid w:val="6BF47270"/>
    <w:rsid w:val="6C0D76E0"/>
    <w:rsid w:val="6C4C4ACD"/>
    <w:rsid w:val="6CBA4FF8"/>
    <w:rsid w:val="6D424653"/>
    <w:rsid w:val="6D773C65"/>
    <w:rsid w:val="6EC505C0"/>
    <w:rsid w:val="6EF36344"/>
    <w:rsid w:val="6F7C47EF"/>
    <w:rsid w:val="701B08E6"/>
    <w:rsid w:val="704F5B87"/>
    <w:rsid w:val="70664983"/>
    <w:rsid w:val="706F4288"/>
    <w:rsid w:val="71940528"/>
    <w:rsid w:val="71BF68BD"/>
    <w:rsid w:val="71CB0272"/>
    <w:rsid w:val="72632174"/>
    <w:rsid w:val="72B87C4E"/>
    <w:rsid w:val="72E0674B"/>
    <w:rsid w:val="72F76CFD"/>
    <w:rsid w:val="72FC2146"/>
    <w:rsid w:val="733A6158"/>
    <w:rsid w:val="734C3220"/>
    <w:rsid w:val="73B813B8"/>
    <w:rsid w:val="73CE0486"/>
    <w:rsid w:val="73E419D6"/>
    <w:rsid w:val="74B202A8"/>
    <w:rsid w:val="751F7C29"/>
    <w:rsid w:val="75461F61"/>
    <w:rsid w:val="75463C4A"/>
    <w:rsid w:val="75501031"/>
    <w:rsid w:val="763F199A"/>
    <w:rsid w:val="769D32E7"/>
    <w:rsid w:val="76FA6E32"/>
    <w:rsid w:val="770519A8"/>
    <w:rsid w:val="770A2A27"/>
    <w:rsid w:val="77235C93"/>
    <w:rsid w:val="77AA311E"/>
    <w:rsid w:val="77B77009"/>
    <w:rsid w:val="77CA58A8"/>
    <w:rsid w:val="77D9047B"/>
    <w:rsid w:val="77E1553E"/>
    <w:rsid w:val="784629DB"/>
    <w:rsid w:val="784B09CE"/>
    <w:rsid w:val="792347AB"/>
    <w:rsid w:val="79450FE3"/>
    <w:rsid w:val="79793508"/>
    <w:rsid w:val="7A8B7734"/>
    <w:rsid w:val="7A9B18C0"/>
    <w:rsid w:val="7AD845A1"/>
    <w:rsid w:val="7BE006A2"/>
    <w:rsid w:val="7C9D55C8"/>
    <w:rsid w:val="7CA638E3"/>
    <w:rsid w:val="7CE46395"/>
    <w:rsid w:val="7D8C697F"/>
    <w:rsid w:val="7E3F5C3E"/>
    <w:rsid w:val="7E696229"/>
    <w:rsid w:val="7E801D1D"/>
    <w:rsid w:val="7F423A86"/>
    <w:rsid w:val="7F425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24"/>
    <w:qFormat/>
    <w:uiPriority w:val="0"/>
    <w:pPr>
      <w:keepNext/>
      <w:jc w:val="center"/>
      <w:outlineLvl w:val="0"/>
    </w:pPr>
    <w:rPr>
      <w:sz w:val="28"/>
      <w:szCs w:val="20"/>
    </w:rPr>
  </w:style>
  <w:style w:type="paragraph" w:styleId="4">
    <w:name w:val="heading 2"/>
    <w:basedOn w:val="1"/>
    <w:next w:val="1"/>
    <w:link w:val="67"/>
    <w:qFormat/>
    <w:uiPriority w:val="0"/>
    <w:pPr>
      <w:keepNext/>
      <w:keepLines/>
      <w:spacing w:before="260" w:after="260" w:line="416" w:lineRule="auto"/>
      <w:outlineLvl w:val="1"/>
    </w:pPr>
    <w:rPr>
      <w:rFonts w:ascii="Arial" w:hAnsi="Arial" w:eastAsia="黑体"/>
      <w:b/>
      <w:sz w:val="32"/>
      <w:szCs w:val="20"/>
    </w:rPr>
  </w:style>
  <w:style w:type="paragraph" w:styleId="5">
    <w:name w:val="heading 3"/>
    <w:basedOn w:val="1"/>
    <w:next w:val="1"/>
    <w:link w:val="65"/>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226"/>
    <w:qFormat/>
    <w:uiPriority w:val="0"/>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8">
    <w:name w:val="heading 6"/>
    <w:basedOn w:val="1"/>
    <w:next w:val="1"/>
    <w:link w:val="227"/>
    <w:qFormat/>
    <w:uiPriority w:val="0"/>
    <w:pPr>
      <w:keepNext/>
      <w:keepLines/>
      <w:widowControl/>
      <w:tabs>
        <w:tab w:val="left" w:pos="377"/>
        <w:tab w:val="left" w:pos="737"/>
      </w:tabs>
      <w:spacing w:before="240" w:after="64" w:line="319" w:lineRule="auto"/>
      <w:ind w:left="737" w:hanging="510"/>
      <w:outlineLvl w:val="5"/>
    </w:pPr>
    <w:rPr>
      <w:rFonts w:eastAsia="黑体"/>
      <w:bCs/>
      <w:kern w:val="0"/>
      <w:sz w:val="28"/>
      <w:szCs w:val="28"/>
    </w:rPr>
  </w:style>
  <w:style w:type="paragraph" w:styleId="9">
    <w:name w:val="heading 7"/>
    <w:basedOn w:val="1"/>
    <w:next w:val="1"/>
    <w:qFormat/>
    <w:uiPriority w:val="0"/>
    <w:pPr>
      <w:keepNext/>
      <w:keepLines/>
      <w:spacing w:before="240" w:after="64" w:line="320" w:lineRule="auto"/>
      <w:outlineLvl w:val="6"/>
    </w:pPr>
    <w:rPr>
      <w:b/>
      <w:bCs/>
      <w:sz w:val="24"/>
    </w:rPr>
  </w:style>
  <w:style w:type="paragraph" w:styleId="10">
    <w:name w:val="heading 8"/>
    <w:basedOn w:val="1"/>
    <w:next w:val="1"/>
    <w:link w:val="228"/>
    <w:qFormat/>
    <w:uiPriority w:val="0"/>
    <w:pPr>
      <w:keepNext/>
      <w:keepLines/>
      <w:widowControl/>
      <w:tabs>
        <w:tab w:val="left" w:pos="377"/>
        <w:tab w:val="left" w:pos="737"/>
      </w:tabs>
      <w:spacing w:before="240" w:after="64" w:line="319" w:lineRule="auto"/>
      <w:ind w:left="737" w:hanging="510"/>
      <w:outlineLvl w:val="7"/>
    </w:pPr>
    <w:rPr>
      <w:rFonts w:eastAsia="黑体"/>
      <w:kern w:val="0"/>
      <w:sz w:val="28"/>
      <w:szCs w:val="28"/>
    </w:rPr>
  </w:style>
  <w:style w:type="paragraph" w:styleId="11">
    <w:name w:val="heading 9"/>
    <w:basedOn w:val="1"/>
    <w:next w:val="1"/>
    <w:link w:val="229"/>
    <w:qFormat/>
    <w:uiPriority w:val="0"/>
    <w:pPr>
      <w:keepNext/>
      <w:keepLines/>
      <w:tabs>
        <w:tab w:val="left" w:pos="1584"/>
      </w:tabs>
      <w:snapToGrid w:val="0"/>
      <w:spacing w:before="240" w:after="64" w:line="360" w:lineRule="auto"/>
      <w:ind w:left="1584" w:hanging="1584"/>
      <w:outlineLvl w:val="8"/>
    </w:pPr>
    <w:rPr>
      <w:sz w:val="24"/>
      <w:szCs w:val="28"/>
    </w:rPr>
  </w:style>
  <w:style w:type="character" w:default="1" w:styleId="54">
    <w:name w:val="Default Paragraph Font"/>
    <w:semiHidden/>
    <w:unhideWhenUsed/>
    <w:qFormat/>
    <w:uiPriority w:val="1"/>
  </w:style>
  <w:style w:type="table" w:default="1" w:styleId="5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正文样式"/>
    <w:basedOn w:val="1"/>
    <w:link w:val="272"/>
    <w:qFormat/>
    <w:uiPriority w:val="0"/>
    <w:pPr>
      <w:adjustRightInd w:val="0"/>
      <w:snapToGrid w:val="0"/>
      <w:spacing w:line="520" w:lineRule="exact"/>
      <w:ind w:firstLine="562"/>
    </w:pPr>
    <w:rPr>
      <w:color w:val="000000"/>
      <w:sz w:val="28"/>
      <w:szCs w:val="28"/>
    </w:rPr>
  </w:style>
  <w:style w:type="paragraph" w:styleId="12">
    <w:name w:val="toc 7"/>
    <w:basedOn w:val="1"/>
    <w:next w:val="1"/>
    <w:qFormat/>
    <w:uiPriority w:val="0"/>
    <w:pPr>
      <w:ind w:left="2520" w:leftChars="1200"/>
    </w:pPr>
    <w:rPr>
      <w:rFonts w:ascii="宋体"/>
    </w:rPr>
  </w:style>
  <w:style w:type="paragraph" w:styleId="13">
    <w:name w:val="Note Heading"/>
    <w:basedOn w:val="1"/>
    <w:next w:val="1"/>
    <w:link w:val="241"/>
    <w:qFormat/>
    <w:uiPriority w:val="0"/>
    <w:pPr>
      <w:jc w:val="center"/>
    </w:pPr>
    <w:rPr>
      <w:rFonts w:ascii="宋体"/>
      <w:szCs w:val="21"/>
    </w:rPr>
  </w:style>
  <w:style w:type="paragraph" w:styleId="14">
    <w:name w:val="index 8"/>
    <w:basedOn w:val="1"/>
    <w:next w:val="1"/>
    <w:qFormat/>
    <w:uiPriority w:val="0"/>
    <w:pPr>
      <w:ind w:left="1400" w:leftChars="1400"/>
    </w:pPr>
    <w:rPr>
      <w:szCs w:val="20"/>
    </w:rPr>
  </w:style>
  <w:style w:type="paragraph" w:styleId="15">
    <w:name w:val="Normal Indent"/>
    <w:basedOn w:val="1"/>
    <w:link w:val="225"/>
    <w:qFormat/>
    <w:uiPriority w:val="0"/>
    <w:pPr>
      <w:ind w:firstLine="420" w:firstLineChars="200"/>
    </w:pPr>
  </w:style>
  <w:style w:type="paragraph" w:styleId="16">
    <w:name w:val="index 5"/>
    <w:basedOn w:val="1"/>
    <w:next w:val="1"/>
    <w:qFormat/>
    <w:uiPriority w:val="0"/>
    <w:pPr>
      <w:ind w:left="800" w:leftChars="800"/>
    </w:pPr>
    <w:rPr>
      <w:szCs w:val="20"/>
    </w:rPr>
  </w:style>
  <w:style w:type="paragraph" w:styleId="17">
    <w:name w:val="Document Map"/>
    <w:basedOn w:val="1"/>
    <w:semiHidden/>
    <w:qFormat/>
    <w:uiPriority w:val="0"/>
    <w:pPr>
      <w:shd w:val="clear" w:color="auto" w:fill="000080"/>
    </w:pPr>
  </w:style>
  <w:style w:type="paragraph" w:styleId="18">
    <w:name w:val="annotation text"/>
    <w:basedOn w:val="1"/>
    <w:link w:val="246"/>
    <w:qFormat/>
    <w:uiPriority w:val="0"/>
    <w:pPr>
      <w:widowControl/>
      <w:tabs>
        <w:tab w:val="left" w:pos="377"/>
      </w:tabs>
      <w:spacing w:line="360" w:lineRule="auto"/>
      <w:jc w:val="left"/>
    </w:pPr>
    <w:rPr>
      <w:rFonts w:ascii="宋体"/>
      <w:kern w:val="0"/>
      <w:sz w:val="24"/>
    </w:rPr>
  </w:style>
  <w:style w:type="paragraph" w:styleId="19">
    <w:name w:val="index 6"/>
    <w:basedOn w:val="1"/>
    <w:next w:val="1"/>
    <w:qFormat/>
    <w:uiPriority w:val="0"/>
    <w:pPr>
      <w:ind w:left="1000" w:leftChars="1000"/>
    </w:pPr>
    <w:rPr>
      <w:szCs w:val="20"/>
    </w:rPr>
  </w:style>
  <w:style w:type="paragraph" w:styleId="20">
    <w:name w:val="Salutation"/>
    <w:basedOn w:val="1"/>
    <w:next w:val="1"/>
    <w:qFormat/>
    <w:uiPriority w:val="0"/>
    <w:rPr>
      <w:sz w:val="24"/>
      <w:szCs w:val="20"/>
    </w:rPr>
  </w:style>
  <w:style w:type="paragraph" w:styleId="21">
    <w:name w:val="Body Text 3"/>
    <w:basedOn w:val="1"/>
    <w:qFormat/>
    <w:uiPriority w:val="0"/>
    <w:pPr>
      <w:spacing w:line="360" w:lineRule="auto"/>
    </w:pPr>
    <w:rPr>
      <w:sz w:val="24"/>
    </w:rPr>
  </w:style>
  <w:style w:type="paragraph" w:styleId="22">
    <w:name w:val="Body Text"/>
    <w:basedOn w:val="1"/>
    <w:link w:val="233"/>
    <w:qFormat/>
    <w:uiPriority w:val="0"/>
    <w:pPr>
      <w:spacing w:after="120"/>
    </w:pPr>
  </w:style>
  <w:style w:type="paragraph" w:styleId="23">
    <w:name w:val="Body Text Indent"/>
    <w:basedOn w:val="1"/>
    <w:next w:val="15"/>
    <w:qFormat/>
    <w:uiPriority w:val="0"/>
    <w:pPr>
      <w:ind w:firstLine="538" w:firstLineChars="192"/>
    </w:pPr>
    <w:rPr>
      <w:rFonts w:ascii="宋体" w:hAnsi="宋体"/>
      <w:color w:val="FF0000"/>
      <w:sz w:val="28"/>
      <w:szCs w:val="28"/>
    </w:rPr>
  </w:style>
  <w:style w:type="paragraph" w:styleId="24">
    <w:name w:val="Block Text"/>
    <w:basedOn w:val="1"/>
    <w:qFormat/>
    <w:uiPriority w:val="0"/>
    <w:pPr>
      <w:adjustRightInd w:val="0"/>
      <w:spacing w:line="360" w:lineRule="auto"/>
      <w:ind w:left="57" w:right="57" w:firstLine="539"/>
      <w:textAlignment w:val="baseline"/>
    </w:pPr>
    <w:rPr>
      <w:spacing w:val="20"/>
      <w:kern w:val="0"/>
      <w:sz w:val="24"/>
      <w:szCs w:val="20"/>
    </w:rPr>
  </w:style>
  <w:style w:type="paragraph" w:styleId="25">
    <w:name w:val="index 4"/>
    <w:basedOn w:val="1"/>
    <w:next w:val="1"/>
    <w:qFormat/>
    <w:uiPriority w:val="0"/>
    <w:pPr>
      <w:ind w:left="600" w:leftChars="600"/>
    </w:pPr>
    <w:rPr>
      <w:szCs w:val="20"/>
    </w:rPr>
  </w:style>
  <w:style w:type="paragraph" w:styleId="26">
    <w:name w:val="toc 5"/>
    <w:basedOn w:val="1"/>
    <w:next w:val="1"/>
    <w:qFormat/>
    <w:uiPriority w:val="0"/>
    <w:pPr>
      <w:ind w:left="840"/>
      <w:jc w:val="left"/>
    </w:pPr>
    <w:rPr>
      <w:sz w:val="18"/>
      <w:szCs w:val="18"/>
    </w:rPr>
  </w:style>
  <w:style w:type="paragraph" w:styleId="27">
    <w:name w:val="toc 3"/>
    <w:basedOn w:val="1"/>
    <w:next w:val="1"/>
    <w:qFormat/>
    <w:uiPriority w:val="39"/>
    <w:pPr>
      <w:ind w:left="840" w:leftChars="400"/>
    </w:pPr>
  </w:style>
  <w:style w:type="paragraph" w:styleId="28">
    <w:name w:val="Plain Text"/>
    <w:basedOn w:val="1"/>
    <w:link w:val="232"/>
    <w:qFormat/>
    <w:uiPriority w:val="0"/>
    <w:rPr>
      <w:rFonts w:ascii="宋体" w:hAnsi="Courier New"/>
      <w:szCs w:val="20"/>
    </w:rPr>
  </w:style>
  <w:style w:type="paragraph" w:styleId="29">
    <w:name w:val="toc 8"/>
    <w:basedOn w:val="1"/>
    <w:next w:val="1"/>
    <w:qFormat/>
    <w:uiPriority w:val="0"/>
    <w:pPr>
      <w:ind w:left="1470"/>
      <w:jc w:val="left"/>
    </w:pPr>
    <w:rPr>
      <w:sz w:val="18"/>
      <w:szCs w:val="18"/>
    </w:rPr>
  </w:style>
  <w:style w:type="paragraph" w:styleId="30">
    <w:name w:val="index 3"/>
    <w:basedOn w:val="1"/>
    <w:next w:val="1"/>
    <w:qFormat/>
    <w:uiPriority w:val="0"/>
    <w:pPr>
      <w:ind w:left="400" w:leftChars="400"/>
    </w:pPr>
    <w:rPr>
      <w:szCs w:val="20"/>
    </w:rPr>
  </w:style>
  <w:style w:type="paragraph" w:styleId="31">
    <w:name w:val="Date"/>
    <w:basedOn w:val="1"/>
    <w:next w:val="1"/>
    <w:qFormat/>
    <w:uiPriority w:val="0"/>
    <w:pPr>
      <w:adjustRightInd w:val="0"/>
      <w:spacing w:line="360" w:lineRule="auto"/>
      <w:textAlignment w:val="baseline"/>
    </w:pPr>
    <w:rPr>
      <w:rFonts w:ascii="宋体"/>
      <w:spacing w:val="10"/>
      <w:kern w:val="0"/>
      <w:sz w:val="28"/>
      <w:szCs w:val="20"/>
    </w:rPr>
  </w:style>
  <w:style w:type="paragraph" w:styleId="32">
    <w:name w:val="Body Text Indent 2"/>
    <w:basedOn w:val="1"/>
    <w:qFormat/>
    <w:uiPriority w:val="0"/>
    <w:pPr>
      <w:spacing w:after="120" w:line="480" w:lineRule="auto"/>
      <w:ind w:left="420" w:leftChars="200"/>
    </w:pPr>
  </w:style>
  <w:style w:type="paragraph" w:styleId="33">
    <w:name w:val="Balloon Text"/>
    <w:basedOn w:val="1"/>
    <w:link w:val="238"/>
    <w:qFormat/>
    <w:uiPriority w:val="0"/>
    <w:rPr>
      <w:sz w:val="18"/>
      <w:szCs w:val="18"/>
    </w:rPr>
  </w:style>
  <w:style w:type="paragraph" w:styleId="34">
    <w:name w:val="footer"/>
    <w:basedOn w:val="1"/>
    <w:link w:val="231"/>
    <w:qFormat/>
    <w:uiPriority w:val="0"/>
    <w:pPr>
      <w:tabs>
        <w:tab w:val="center" w:pos="4153"/>
        <w:tab w:val="right" w:pos="8306"/>
      </w:tabs>
      <w:snapToGrid w:val="0"/>
      <w:jc w:val="left"/>
    </w:pPr>
    <w:rPr>
      <w:sz w:val="18"/>
      <w:szCs w:val="18"/>
    </w:rPr>
  </w:style>
  <w:style w:type="paragraph" w:styleId="35">
    <w:name w:val="header"/>
    <w:basedOn w:val="1"/>
    <w:link w:val="230"/>
    <w:qFormat/>
    <w:uiPriority w:val="0"/>
    <w:pPr>
      <w:pBdr>
        <w:bottom w:val="single" w:color="auto" w:sz="6" w:space="1"/>
      </w:pBdr>
      <w:tabs>
        <w:tab w:val="center" w:pos="4153"/>
        <w:tab w:val="right" w:pos="8306"/>
      </w:tabs>
      <w:snapToGrid w:val="0"/>
      <w:jc w:val="center"/>
    </w:pPr>
    <w:rPr>
      <w:sz w:val="18"/>
      <w:szCs w:val="18"/>
    </w:rPr>
  </w:style>
  <w:style w:type="paragraph" w:styleId="36">
    <w:name w:val="toc 1"/>
    <w:basedOn w:val="1"/>
    <w:next w:val="1"/>
    <w:qFormat/>
    <w:uiPriority w:val="39"/>
    <w:pPr>
      <w:tabs>
        <w:tab w:val="right" w:leader="dot" w:pos="8302"/>
      </w:tabs>
      <w:adjustRightInd w:val="0"/>
      <w:snapToGrid w:val="0"/>
    </w:pPr>
    <w:rPr>
      <w:sz w:val="28"/>
    </w:rPr>
  </w:style>
  <w:style w:type="paragraph" w:styleId="37">
    <w:name w:val="toc 4"/>
    <w:basedOn w:val="1"/>
    <w:next w:val="1"/>
    <w:qFormat/>
    <w:uiPriority w:val="0"/>
    <w:pPr>
      <w:ind w:left="630"/>
      <w:jc w:val="left"/>
    </w:pPr>
    <w:rPr>
      <w:sz w:val="18"/>
      <w:szCs w:val="18"/>
    </w:rPr>
  </w:style>
  <w:style w:type="paragraph" w:styleId="38">
    <w:name w:val="toc 6"/>
    <w:basedOn w:val="1"/>
    <w:next w:val="1"/>
    <w:qFormat/>
    <w:uiPriority w:val="0"/>
    <w:pPr>
      <w:ind w:left="2100" w:leftChars="1000"/>
    </w:pPr>
    <w:rPr>
      <w:rFonts w:ascii="宋体"/>
    </w:rPr>
  </w:style>
  <w:style w:type="paragraph" w:styleId="39">
    <w:name w:val="Body Text Indent 3"/>
    <w:basedOn w:val="1"/>
    <w:qFormat/>
    <w:uiPriority w:val="0"/>
    <w:pPr>
      <w:spacing w:after="120"/>
      <w:ind w:left="420" w:leftChars="200"/>
    </w:pPr>
    <w:rPr>
      <w:sz w:val="16"/>
      <w:szCs w:val="16"/>
    </w:rPr>
  </w:style>
  <w:style w:type="paragraph" w:styleId="40">
    <w:name w:val="index 7"/>
    <w:basedOn w:val="1"/>
    <w:next w:val="1"/>
    <w:qFormat/>
    <w:uiPriority w:val="0"/>
    <w:pPr>
      <w:ind w:left="1200" w:leftChars="1200"/>
    </w:pPr>
    <w:rPr>
      <w:szCs w:val="20"/>
    </w:rPr>
  </w:style>
  <w:style w:type="paragraph" w:styleId="41">
    <w:name w:val="index 9"/>
    <w:basedOn w:val="1"/>
    <w:next w:val="1"/>
    <w:qFormat/>
    <w:uiPriority w:val="0"/>
    <w:pPr>
      <w:ind w:left="1600" w:leftChars="1600"/>
    </w:pPr>
    <w:rPr>
      <w:szCs w:val="20"/>
    </w:rPr>
  </w:style>
  <w:style w:type="paragraph" w:styleId="42">
    <w:name w:val="toc 2"/>
    <w:basedOn w:val="1"/>
    <w:next w:val="1"/>
    <w:qFormat/>
    <w:uiPriority w:val="39"/>
    <w:pPr>
      <w:tabs>
        <w:tab w:val="right" w:leader="dot" w:pos="8296"/>
      </w:tabs>
      <w:adjustRightInd w:val="0"/>
      <w:snapToGrid w:val="0"/>
      <w:spacing w:line="300" w:lineRule="auto"/>
      <w:ind w:left="200" w:leftChars="200"/>
    </w:pPr>
    <w:rPr>
      <w:bCs/>
      <w:sz w:val="24"/>
      <w:szCs w:val="28"/>
    </w:rPr>
  </w:style>
  <w:style w:type="paragraph" w:styleId="43">
    <w:name w:val="toc 9"/>
    <w:basedOn w:val="1"/>
    <w:next w:val="1"/>
    <w:qFormat/>
    <w:uiPriority w:val="0"/>
    <w:pPr>
      <w:ind w:left="1680"/>
      <w:jc w:val="left"/>
    </w:pPr>
    <w:rPr>
      <w:sz w:val="18"/>
      <w:szCs w:val="18"/>
    </w:rPr>
  </w:style>
  <w:style w:type="paragraph" w:styleId="44">
    <w:name w:val="Body Text 2"/>
    <w:basedOn w:val="1"/>
    <w:qFormat/>
    <w:uiPriority w:val="0"/>
    <w:rPr>
      <w:rFonts w:ascii="宋体" w:hAnsi="宋体"/>
      <w:sz w:val="24"/>
      <w:szCs w:val="21"/>
    </w:rPr>
  </w:style>
  <w:style w:type="paragraph" w:styleId="4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6">
    <w:name w:val="index 1"/>
    <w:basedOn w:val="1"/>
    <w:next w:val="1"/>
    <w:semiHidden/>
    <w:qFormat/>
    <w:uiPriority w:val="0"/>
    <w:pPr>
      <w:spacing w:line="360" w:lineRule="exact"/>
    </w:pPr>
    <w:rPr>
      <w:szCs w:val="20"/>
    </w:rPr>
  </w:style>
  <w:style w:type="paragraph" w:styleId="47">
    <w:name w:val="index 2"/>
    <w:basedOn w:val="1"/>
    <w:next w:val="1"/>
    <w:qFormat/>
    <w:uiPriority w:val="0"/>
    <w:pPr>
      <w:ind w:left="200" w:leftChars="200"/>
    </w:pPr>
    <w:rPr>
      <w:szCs w:val="20"/>
    </w:rPr>
  </w:style>
  <w:style w:type="paragraph" w:styleId="48">
    <w:name w:val="Title"/>
    <w:basedOn w:val="1"/>
    <w:link w:val="276"/>
    <w:qFormat/>
    <w:uiPriority w:val="0"/>
    <w:pPr>
      <w:spacing w:line="360" w:lineRule="auto"/>
      <w:jc w:val="center"/>
      <w:outlineLvl w:val="0"/>
    </w:pPr>
    <w:rPr>
      <w:rFonts w:ascii="宋体" w:hAnsi="Arial" w:cs="Arial"/>
      <w:b/>
      <w:bCs/>
      <w:sz w:val="32"/>
      <w:szCs w:val="18"/>
    </w:rPr>
  </w:style>
  <w:style w:type="paragraph" w:styleId="49">
    <w:name w:val="annotation subject"/>
    <w:basedOn w:val="18"/>
    <w:next w:val="18"/>
    <w:link w:val="247"/>
    <w:qFormat/>
    <w:uiPriority w:val="0"/>
    <w:rPr>
      <w:b/>
      <w:bCs/>
    </w:rPr>
  </w:style>
  <w:style w:type="paragraph" w:styleId="50">
    <w:name w:val="Body Text First Indent"/>
    <w:basedOn w:val="22"/>
    <w:qFormat/>
    <w:uiPriority w:val="0"/>
    <w:pPr>
      <w:spacing w:line="440" w:lineRule="atLeast"/>
      <w:ind w:firstLine="493"/>
    </w:pPr>
    <w:rPr>
      <w:spacing w:val="6"/>
      <w:w w:val="92"/>
      <w:kern w:val="24"/>
      <w:sz w:val="26"/>
      <w:szCs w:val="20"/>
    </w:rPr>
  </w:style>
  <w:style w:type="paragraph" w:styleId="51">
    <w:name w:val="Body Text First Indent 2"/>
    <w:basedOn w:val="23"/>
    <w:qFormat/>
    <w:uiPriority w:val="0"/>
    <w:pPr>
      <w:ind w:firstLine="420" w:firstLineChars="200"/>
    </w:pPr>
  </w:style>
  <w:style w:type="table" w:styleId="53">
    <w:name w:val="Table Grid"/>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qFormat/>
    <w:uiPriority w:val="0"/>
    <w:rPr>
      <w:b/>
      <w:bCs/>
    </w:rPr>
  </w:style>
  <w:style w:type="character" w:styleId="56">
    <w:name w:val="page number"/>
    <w:basedOn w:val="54"/>
    <w:qFormat/>
    <w:uiPriority w:val="0"/>
  </w:style>
  <w:style w:type="character" w:styleId="57">
    <w:name w:val="FollowedHyperlink"/>
    <w:qFormat/>
    <w:uiPriority w:val="99"/>
    <w:rPr>
      <w:color w:val="800080"/>
      <w:u w:val="single"/>
    </w:rPr>
  </w:style>
  <w:style w:type="character" w:styleId="58">
    <w:name w:val="Emphasis"/>
    <w:basedOn w:val="54"/>
    <w:qFormat/>
    <w:uiPriority w:val="0"/>
    <w:rPr>
      <w:i/>
    </w:rPr>
  </w:style>
  <w:style w:type="character" w:styleId="59">
    <w:name w:val="Hyperlink"/>
    <w:qFormat/>
    <w:uiPriority w:val="99"/>
    <w:rPr>
      <w:color w:val="0000FF"/>
      <w:u w:val="single"/>
    </w:rPr>
  </w:style>
  <w:style w:type="character" w:styleId="60">
    <w:name w:val="annotation reference"/>
    <w:qFormat/>
    <w:uiPriority w:val="0"/>
    <w:rPr>
      <w:sz w:val="21"/>
      <w:szCs w:val="21"/>
    </w:rPr>
  </w:style>
  <w:style w:type="paragraph" w:customStyle="1" w:styleId="61">
    <w:name w:val="Default"/>
    <w:link w:val="274"/>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62">
    <w:name w:val="标题1"/>
    <w:basedOn w:val="3"/>
    <w:link w:val="277"/>
    <w:qFormat/>
    <w:uiPriority w:val="0"/>
    <w:pPr>
      <w:keepLines/>
      <w:snapToGrid w:val="0"/>
      <w:spacing w:before="50" w:beforeLines="50" w:after="50" w:afterLines="50" w:line="360" w:lineRule="auto"/>
      <w:jc w:val="left"/>
    </w:pPr>
    <w:rPr>
      <w:rFonts w:eastAsia="黑体" w:cs="宋体"/>
      <w:b/>
      <w:kern w:val="44"/>
      <w:sz w:val="32"/>
    </w:rPr>
  </w:style>
  <w:style w:type="paragraph" w:customStyle="1" w:styleId="63">
    <w:name w:val="Normal Indent1"/>
    <w:basedOn w:val="1"/>
    <w:link w:val="275"/>
    <w:qFormat/>
    <w:uiPriority w:val="0"/>
    <w:pPr>
      <w:ind w:firstLine="420" w:firstLineChars="200"/>
    </w:pPr>
  </w:style>
  <w:style w:type="paragraph" w:customStyle="1" w:styleId="64">
    <w:name w:val="样式1"/>
    <w:basedOn w:val="22"/>
    <w:qFormat/>
    <w:uiPriority w:val="0"/>
    <w:pPr>
      <w:tabs>
        <w:tab w:val="left" w:pos="567"/>
      </w:tabs>
      <w:spacing w:line="360" w:lineRule="auto"/>
      <w:jc w:val="center"/>
    </w:pPr>
    <w:rPr>
      <w:sz w:val="24"/>
      <w:szCs w:val="20"/>
    </w:rPr>
  </w:style>
  <w:style w:type="character" w:customStyle="1" w:styleId="65">
    <w:name w:val="标题 3 字符"/>
    <w:link w:val="5"/>
    <w:qFormat/>
    <w:uiPriority w:val="0"/>
    <w:rPr>
      <w:b/>
      <w:bCs/>
      <w:kern w:val="2"/>
      <w:sz w:val="32"/>
      <w:szCs w:val="32"/>
    </w:rPr>
  </w:style>
  <w:style w:type="paragraph" w:customStyle="1" w:styleId="66">
    <w:name w:val="li_正文"/>
    <w:basedOn w:val="1"/>
    <w:link w:val="273"/>
    <w:qFormat/>
    <w:uiPriority w:val="0"/>
    <w:pPr>
      <w:tabs>
        <w:tab w:val="left" w:pos="2574"/>
      </w:tabs>
      <w:overflowPunct w:val="0"/>
      <w:topLinePunct/>
      <w:ind w:firstLine="480" w:firstLineChars="200"/>
      <w:jc w:val="left"/>
    </w:pPr>
    <w:rPr>
      <w:kern w:val="2"/>
      <w:sz w:val="28"/>
      <w:szCs w:val="28"/>
    </w:rPr>
  </w:style>
  <w:style w:type="character" w:customStyle="1" w:styleId="67">
    <w:name w:val="标题 2 字符"/>
    <w:link w:val="4"/>
    <w:qFormat/>
    <w:uiPriority w:val="0"/>
    <w:rPr>
      <w:rFonts w:ascii="Arial" w:hAnsi="Arial" w:eastAsia="黑体"/>
      <w:b/>
      <w:kern w:val="2"/>
      <w:sz w:val="32"/>
      <w:lang w:val="en-US" w:eastAsia="zh-CN" w:bidi="ar-SA"/>
    </w:rPr>
  </w:style>
  <w:style w:type="paragraph" w:customStyle="1" w:styleId="68">
    <w:name w:val="Char"/>
    <w:basedOn w:val="1"/>
    <w:link w:val="264"/>
    <w:qFormat/>
    <w:uiPriority w:val="0"/>
    <w:pPr>
      <w:spacing w:line="360" w:lineRule="auto"/>
    </w:pPr>
    <w:rPr>
      <w:sz w:val="24"/>
    </w:rPr>
  </w:style>
  <w:style w:type="paragraph" w:customStyle="1" w:styleId="69">
    <w:name w:val="In Table"/>
    <w:basedOn w:val="1"/>
    <w:qFormat/>
    <w:uiPriority w:val="0"/>
    <w:pPr>
      <w:tabs>
        <w:tab w:val="left" w:pos="2200"/>
        <w:tab w:val="left" w:pos="3960"/>
        <w:tab w:val="left" w:pos="5280"/>
      </w:tabs>
      <w:spacing w:before="96" w:after="96" w:line="0" w:lineRule="atLeast"/>
      <w:jc w:val="center"/>
    </w:pPr>
    <w:rPr>
      <w:rFonts w:ascii="Tahoma" w:hAnsi="Tahoma" w:eastAsia="华文中宋"/>
      <w:szCs w:val="20"/>
    </w:rPr>
  </w:style>
  <w:style w:type="paragraph" w:customStyle="1" w:styleId="70">
    <w:name w:val="表格内"/>
    <w:basedOn w:val="1"/>
    <w:qFormat/>
    <w:uiPriority w:val="0"/>
    <w:pPr>
      <w:adjustRightInd w:val="0"/>
      <w:spacing w:line="240" w:lineRule="atLeast"/>
      <w:jc w:val="center"/>
      <w:textAlignment w:val="baseline"/>
    </w:pPr>
    <w:rPr>
      <w:rFonts w:ascii="宋体"/>
      <w:kern w:val="0"/>
      <w:sz w:val="28"/>
      <w:szCs w:val="20"/>
    </w:rPr>
  </w:style>
  <w:style w:type="paragraph" w:customStyle="1" w:styleId="71">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2">
    <w:name w:val="表格1"/>
    <w:basedOn w:val="1"/>
    <w:qFormat/>
    <w:uiPriority w:val="0"/>
    <w:pPr>
      <w:adjustRightInd w:val="0"/>
      <w:jc w:val="center"/>
      <w:textAlignment w:val="baseline"/>
    </w:pPr>
    <w:rPr>
      <w:rFonts w:ascii="宋体"/>
      <w:kern w:val="0"/>
      <w:sz w:val="24"/>
      <w:szCs w:val="20"/>
    </w:rPr>
  </w:style>
  <w:style w:type="paragraph" w:customStyle="1" w:styleId="73">
    <w:name w:val="表格2"/>
    <w:basedOn w:val="1"/>
    <w:qFormat/>
    <w:uiPriority w:val="0"/>
    <w:pPr>
      <w:adjustRightInd w:val="0"/>
      <w:jc w:val="center"/>
      <w:textAlignment w:val="baseline"/>
    </w:pPr>
    <w:rPr>
      <w:rFonts w:ascii="宋体"/>
      <w:kern w:val="0"/>
      <w:szCs w:val="20"/>
    </w:rPr>
  </w:style>
  <w:style w:type="paragraph" w:customStyle="1" w:styleId="74">
    <w:name w:val="xl23"/>
    <w:basedOn w:val="1"/>
    <w:qFormat/>
    <w:uiPriority w:val="0"/>
    <w:pPr>
      <w:widowControl/>
      <w:spacing w:before="100" w:after="100"/>
      <w:jc w:val="center"/>
    </w:pPr>
    <w:rPr>
      <w:rFonts w:ascii="宋体" w:hAnsi="宋体"/>
      <w:kern w:val="0"/>
      <w:sz w:val="24"/>
      <w:szCs w:val="20"/>
    </w:rPr>
  </w:style>
  <w:style w:type="paragraph" w:customStyle="1" w:styleId="75">
    <w:name w:val="表内文字"/>
    <w:basedOn w:val="1"/>
    <w:qFormat/>
    <w:uiPriority w:val="0"/>
    <w:pPr>
      <w:widowControl/>
      <w:adjustRightInd w:val="0"/>
      <w:snapToGrid w:val="0"/>
      <w:jc w:val="center"/>
    </w:pPr>
    <w:rPr>
      <w:kern w:val="0"/>
      <w:sz w:val="24"/>
      <w:szCs w:val="20"/>
    </w:rPr>
  </w:style>
  <w:style w:type="paragraph" w:customStyle="1" w:styleId="76">
    <w:name w:val="BIG BOLD"/>
    <w:basedOn w:val="1"/>
    <w:qFormat/>
    <w:uiPriority w:val="0"/>
    <w:pPr>
      <w:tabs>
        <w:tab w:val="left" w:leader="underscore" w:pos="1134"/>
      </w:tabs>
    </w:pPr>
    <w:rPr>
      <w:szCs w:val="20"/>
    </w:rPr>
  </w:style>
  <w:style w:type="paragraph" w:customStyle="1" w:styleId="77">
    <w:name w:val="表内5"/>
    <w:basedOn w:val="15"/>
    <w:link w:val="234"/>
    <w:qFormat/>
    <w:uiPriority w:val="0"/>
    <w:pPr>
      <w:adjustRightInd w:val="0"/>
      <w:snapToGrid w:val="0"/>
      <w:ind w:firstLine="0" w:firstLineChars="0"/>
      <w:jc w:val="center"/>
    </w:pPr>
    <w:rPr>
      <w:rFonts w:ascii="宋体" w:hAnsi="宋体"/>
      <w:kern w:val="0"/>
      <w:szCs w:val="21"/>
    </w:rPr>
  </w:style>
  <w:style w:type="paragraph" w:customStyle="1" w:styleId="78">
    <w:name w:val="燕山正文"/>
    <w:basedOn w:val="1"/>
    <w:link w:val="235"/>
    <w:qFormat/>
    <w:uiPriority w:val="0"/>
    <w:pPr>
      <w:tabs>
        <w:tab w:val="left" w:pos="4680"/>
      </w:tabs>
      <w:adjustRightInd w:val="0"/>
      <w:snapToGrid w:val="0"/>
      <w:spacing w:line="360" w:lineRule="auto"/>
      <w:ind w:firstLine="560" w:firstLineChars="200"/>
    </w:pPr>
    <w:rPr>
      <w:rFonts w:ascii="宋体" w:hAnsi="宋体"/>
      <w:color w:val="000000"/>
      <w:sz w:val="28"/>
      <w:szCs w:val="28"/>
    </w:rPr>
  </w:style>
  <w:style w:type="paragraph" w:customStyle="1" w:styleId="79">
    <w:name w:val="安评节"/>
    <w:basedOn w:val="4"/>
    <w:qFormat/>
    <w:uiPriority w:val="0"/>
    <w:pPr>
      <w:tabs>
        <w:tab w:val="left" w:pos="567"/>
      </w:tabs>
      <w:overflowPunct w:val="0"/>
      <w:autoSpaceDE w:val="0"/>
      <w:autoSpaceDN w:val="0"/>
      <w:adjustRightInd w:val="0"/>
      <w:spacing w:before="120" w:after="120" w:line="360" w:lineRule="auto"/>
      <w:ind w:firstLine="200" w:firstLineChars="200"/>
      <w:jc w:val="center"/>
      <w:textAlignment w:val="baseline"/>
    </w:pPr>
    <w:rPr>
      <w:rFonts w:ascii="黑体" w:hAnsi="宋体" w:eastAsia="楷体_GB2312"/>
      <w:kern w:val="16"/>
      <w:szCs w:val="32"/>
    </w:rPr>
  </w:style>
  <w:style w:type="paragraph" w:customStyle="1" w:styleId="80">
    <w:name w:val="安评章"/>
    <w:basedOn w:val="3"/>
    <w:qFormat/>
    <w:uiPriority w:val="0"/>
    <w:pPr>
      <w:keepLines/>
      <w:tabs>
        <w:tab w:val="left" w:pos="567"/>
      </w:tabs>
      <w:overflowPunct w:val="0"/>
      <w:autoSpaceDE w:val="0"/>
      <w:autoSpaceDN w:val="0"/>
      <w:adjustRightInd w:val="0"/>
      <w:spacing w:before="100" w:after="100" w:line="360" w:lineRule="auto"/>
      <w:ind w:firstLine="562" w:firstLineChars="200"/>
      <w:textAlignment w:val="baseline"/>
    </w:pPr>
    <w:rPr>
      <w:rFonts w:ascii="宋体" w:hAnsi="宋体" w:eastAsia="黑体"/>
      <w:b/>
      <w:spacing w:val="20"/>
      <w:kern w:val="16"/>
      <w:sz w:val="32"/>
    </w:rPr>
  </w:style>
  <w:style w:type="paragraph" w:customStyle="1" w:styleId="81">
    <w:name w:val="节下项目标题"/>
    <w:basedOn w:val="1"/>
    <w:next w:val="1"/>
    <w:link w:val="236"/>
    <w:qFormat/>
    <w:uiPriority w:val="0"/>
    <w:pPr>
      <w:spacing w:line="360" w:lineRule="auto"/>
      <w:ind w:firstLine="200" w:firstLineChars="200"/>
      <w:jc w:val="left"/>
    </w:pPr>
    <w:rPr>
      <w:rFonts w:ascii="宋体" w:hAnsi="宋体" w:eastAsia="黑体"/>
      <w:b/>
      <w:sz w:val="28"/>
    </w:rPr>
  </w:style>
  <w:style w:type="paragraph" w:customStyle="1" w:styleId="82">
    <w:name w:val="表内序号"/>
    <w:basedOn w:val="1"/>
    <w:qFormat/>
    <w:uiPriority w:val="0"/>
    <w:pPr>
      <w:adjustRightInd w:val="0"/>
      <w:snapToGrid w:val="0"/>
      <w:spacing w:before="20" w:after="20"/>
      <w:jc w:val="center"/>
    </w:pPr>
    <w:rPr>
      <w:szCs w:val="20"/>
    </w:rPr>
  </w:style>
  <w:style w:type="paragraph" w:customStyle="1" w:styleId="83">
    <w:name w:val="表格标题"/>
    <w:basedOn w:val="1"/>
    <w:link w:val="237"/>
    <w:qFormat/>
    <w:uiPriority w:val="0"/>
    <w:pPr>
      <w:spacing w:line="360" w:lineRule="auto"/>
      <w:ind w:firstLine="200" w:firstLineChars="200"/>
      <w:jc w:val="center"/>
    </w:pPr>
    <w:rPr>
      <w:rFonts w:ascii="宋体" w:hAnsi="宋体"/>
      <w:spacing w:val="20"/>
      <w:sz w:val="24"/>
      <w:szCs w:val="20"/>
    </w:rPr>
  </w:style>
  <w:style w:type="paragraph" w:customStyle="1" w:styleId="84">
    <w:name w:val="Char Char Char Char Char Char1 Char"/>
    <w:basedOn w:val="1"/>
    <w:link w:val="278"/>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5">
    <w:name w:val="1"/>
    <w:basedOn w:val="1"/>
    <w:next w:val="28"/>
    <w:qFormat/>
    <w:uiPriority w:val="0"/>
    <w:rPr>
      <w:rFonts w:ascii="宋体" w:hAnsi="Courier New"/>
      <w:szCs w:val="21"/>
    </w:rPr>
  </w:style>
  <w:style w:type="paragraph" w:customStyle="1" w:styleId="86">
    <w:name w:val="样式 样式 首行缩进:  0.99 厘米 行距: 最小值 23 磅 + 行距: 最小值 24 磅"/>
    <w:basedOn w:val="1"/>
    <w:qFormat/>
    <w:uiPriority w:val="0"/>
    <w:pPr>
      <w:snapToGrid w:val="0"/>
      <w:spacing w:line="520" w:lineRule="atLeast"/>
      <w:ind w:firstLine="680"/>
    </w:pPr>
    <w:rPr>
      <w:spacing w:val="12"/>
      <w:kern w:val="24"/>
      <w:sz w:val="28"/>
      <w:szCs w:val="28"/>
    </w:rPr>
  </w:style>
  <w:style w:type="paragraph" w:customStyle="1" w:styleId="87">
    <w:name w:val="xl32"/>
    <w:basedOn w:val="1"/>
    <w:qFormat/>
    <w:uiPriority w:val="0"/>
    <w:pPr>
      <w:widowControl/>
      <w:pBdr>
        <w:left w:val="single" w:color="auto" w:sz="4" w:space="0"/>
      </w:pBdr>
      <w:tabs>
        <w:tab w:val="left" w:pos="720"/>
      </w:tabs>
      <w:adjustRightInd w:val="0"/>
      <w:snapToGrid w:val="0"/>
      <w:spacing w:before="100" w:after="100" w:line="360" w:lineRule="atLeast"/>
      <w:jc w:val="center"/>
      <w:textAlignment w:val="center"/>
    </w:pPr>
    <w:rPr>
      <w:rFonts w:ascii="Arial" w:hAnsi="Arial" w:eastAsia="Arial Unicode MS"/>
      <w:kern w:val="0"/>
      <w:sz w:val="24"/>
      <w:szCs w:val="20"/>
    </w:rPr>
  </w:style>
  <w:style w:type="paragraph" w:customStyle="1" w:styleId="88">
    <w:name w:val="表格"/>
    <w:basedOn w:val="1"/>
    <w:qFormat/>
    <w:uiPriority w:val="0"/>
    <w:pPr>
      <w:widowControl/>
      <w:jc w:val="center"/>
    </w:pPr>
    <w:rPr>
      <w:rFonts w:ascii="宋体" w:hAnsi="宋体"/>
      <w:snapToGrid w:val="0"/>
      <w:kern w:val="0"/>
      <w:sz w:val="24"/>
      <w:szCs w:val="21"/>
    </w:rPr>
  </w:style>
  <w:style w:type="paragraph" w:customStyle="1" w:styleId="89">
    <w:name w:val="样式3"/>
    <w:basedOn w:val="1"/>
    <w:qFormat/>
    <w:uiPriority w:val="0"/>
    <w:pPr>
      <w:adjustRightInd w:val="0"/>
      <w:spacing w:before="240" w:line="460" w:lineRule="exact"/>
      <w:jc w:val="left"/>
      <w:textAlignment w:val="baseline"/>
    </w:pPr>
    <w:rPr>
      <w:rFonts w:ascii="黑体" w:eastAsia="黑体"/>
      <w:kern w:val="0"/>
      <w:sz w:val="28"/>
      <w:szCs w:val="20"/>
    </w:rPr>
  </w:style>
  <w:style w:type="paragraph" w:customStyle="1" w:styleId="90">
    <w:name w:val="p1"/>
    <w:basedOn w:val="1"/>
    <w:qFormat/>
    <w:uiPriority w:val="0"/>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91">
    <w:name w:val="标三"/>
    <w:basedOn w:val="5"/>
    <w:qFormat/>
    <w:uiPriority w:val="0"/>
    <w:pPr>
      <w:spacing w:before="0" w:after="0" w:line="240" w:lineRule="auto"/>
      <w:jc w:val="center"/>
    </w:pPr>
    <w:rPr>
      <w:b w:val="0"/>
      <w:sz w:val="24"/>
      <w:szCs w:val="24"/>
    </w:rPr>
  </w:style>
  <w:style w:type="paragraph" w:customStyle="1" w:styleId="92">
    <w:name w:val="默认段落字体 Para Char Char Char Char Char Char Char"/>
    <w:basedOn w:val="1"/>
    <w:qFormat/>
    <w:uiPriority w:val="0"/>
    <w:pPr>
      <w:spacing w:line="360" w:lineRule="auto"/>
    </w:pPr>
    <w:rPr>
      <w:sz w:val="24"/>
    </w:rPr>
  </w:style>
  <w:style w:type="paragraph" w:customStyle="1" w:styleId="93">
    <w:name w:val="Char Char Char Char Char Char Char"/>
    <w:basedOn w:val="1"/>
    <w:qFormat/>
    <w:uiPriority w:val="0"/>
  </w:style>
  <w:style w:type="paragraph" w:customStyle="1" w:styleId="94">
    <w:name w:val="样式 正文 首行缩进:  2 字符 SL CON + (符号) 宋体 首行缩进:  2 字符"/>
    <w:basedOn w:val="1"/>
    <w:qFormat/>
    <w:uiPriority w:val="0"/>
    <w:pPr>
      <w:widowControl/>
      <w:tabs>
        <w:tab w:val="left" w:pos="377"/>
      </w:tabs>
      <w:spacing w:line="360" w:lineRule="auto"/>
      <w:ind w:firstLine="200" w:firstLineChars="200"/>
    </w:pPr>
    <w:rPr>
      <w:rFonts w:ascii="宋体" w:hAnsi="宋体" w:cs="宋体"/>
      <w:kern w:val="0"/>
      <w:sz w:val="28"/>
      <w:szCs w:val="20"/>
    </w:rPr>
  </w:style>
  <w:style w:type="paragraph" w:customStyle="1" w:styleId="95">
    <w:name w:val="样式 正文 首行缩进:  2 字符 SL CON + 首行缩进:  2 字符 + 首行缩进:  2 字符 + 首行缩..."/>
    <w:basedOn w:val="1"/>
    <w:qFormat/>
    <w:uiPriority w:val="0"/>
    <w:pPr>
      <w:widowControl/>
      <w:tabs>
        <w:tab w:val="left" w:pos="377"/>
      </w:tabs>
      <w:spacing w:line="360" w:lineRule="auto"/>
      <w:ind w:firstLine="560" w:firstLineChars="200"/>
    </w:pPr>
    <w:rPr>
      <w:rFonts w:ascii="宋体" w:cs="宋体"/>
      <w:kern w:val="0"/>
      <w:sz w:val="28"/>
      <w:szCs w:val="20"/>
    </w:rPr>
  </w:style>
  <w:style w:type="paragraph" w:customStyle="1" w:styleId="96">
    <w:name w:val="主标题 样式 小一 加粗 居中(SL CON)"/>
    <w:basedOn w:val="1"/>
    <w:qFormat/>
    <w:uiPriority w:val="0"/>
    <w:pPr>
      <w:widowControl/>
      <w:tabs>
        <w:tab w:val="left" w:pos="377"/>
      </w:tabs>
      <w:spacing w:line="360" w:lineRule="auto"/>
      <w:jc w:val="center"/>
    </w:pPr>
    <w:rPr>
      <w:rFonts w:ascii="宋体" w:cs="宋体"/>
      <w:b/>
      <w:bCs/>
      <w:kern w:val="0"/>
      <w:sz w:val="48"/>
      <w:szCs w:val="20"/>
    </w:rPr>
  </w:style>
  <w:style w:type="paragraph" w:customStyle="1" w:styleId="97">
    <w:name w:val="报告的名称 样式 宋体 小初号 加粗 居中(SL CON)"/>
    <w:basedOn w:val="1"/>
    <w:qFormat/>
    <w:uiPriority w:val="0"/>
    <w:pPr>
      <w:widowControl/>
      <w:tabs>
        <w:tab w:val="left" w:pos="377"/>
      </w:tabs>
      <w:spacing w:line="360" w:lineRule="auto"/>
      <w:jc w:val="center"/>
    </w:pPr>
    <w:rPr>
      <w:rFonts w:ascii="宋体" w:hAnsi="宋体" w:eastAsia="黑体" w:cs="宋体"/>
      <w:b/>
      <w:bCs/>
      <w:kern w:val="0"/>
      <w:sz w:val="72"/>
      <w:szCs w:val="20"/>
    </w:rPr>
  </w:style>
  <w:style w:type="paragraph" w:customStyle="1" w:styleId="98">
    <w:name w:val="日期时间 样式 四号 居中 行距: 1.5 倍行距(SL CON)"/>
    <w:basedOn w:val="1"/>
    <w:qFormat/>
    <w:uiPriority w:val="0"/>
    <w:pPr>
      <w:widowControl/>
      <w:tabs>
        <w:tab w:val="left" w:pos="377"/>
      </w:tabs>
      <w:spacing w:line="360" w:lineRule="auto"/>
      <w:jc w:val="center"/>
    </w:pPr>
    <w:rPr>
      <w:rFonts w:ascii="宋体" w:cs="宋体"/>
      <w:kern w:val="0"/>
      <w:sz w:val="28"/>
      <w:szCs w:val="28"/>
    </w:rPr>
  </w:style>
  <w:style w:type="paragraph" w:customStyle="1" w:styleId="99">
    <w:name w:val="样式 首行缩进:  1.7 厘米 行距: 1.5 倍行距"/>
    <w:basedOn w:val="1"/>
    <w:qFormat/>
    <w:uiPriority w:val="0"/>
    <w:pPr>
      <w:widowControl/>
      <w:tabs>
        <w:tab w:val="left" w:pos="377"/>
      </w:tabs>
      <w:spacing w:line="360" w:lineRule="auto"/>
      <w:ind w:firstLine="963"/>
    </w:pPr>
    <w:rPr>
      <w:rFonts w:ascii="宋体" w:cs="宋体"/>
      <w:kern w:val="0"/>
      <w:sz w:val="32"/>
      <w:szCs w:val="20"/>
    </w:rPr>
  </w:style>
  <w:style w:type="paragraph" w:customStyle="1" w:styleId="100">
    <w:name w:val="SL CON-项目编号"/>
    <w:basedOn w:val="1"/>
    <w:qFormat/>
    <w:uiPriority w:val="0"/>
    <w:pPr>
      <w:adjustRightInd w:val="0"/>
      <w:spacing w:line="360" w:lineRule="auto"/>
      <w:jc w:val="center"/>
      <w:textAlignment w:val="baseline"/>
    </w:pPr>
    <w:rPr>
      <w:rFonts w:ascii="宋体" w:cs="宋体"/>
      <w:kern w:val="0"/>
      <w:sz w:val="34"/>
      <w:szCs w:val="20"/>
    </w:rPr>
  </w:style>
  <w:style w:type="paragraph" w:customStyle="1" w:styleId="101">
    <w:name w:val="标题 2 SL CON"/>
    <w:basedOn w:val="1"/>
    <w:next w:val="1"/>
    <w:qFormat/>
    <w:uiPriority w:val="0"/>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paragraph" w:customStyle="1" w:styleId="102">
    <w:name w:val="图样式 居中 SL CON"/>
    <w:basedOn w:val="1"/>
    <w:qFormat/>
    <w:uiPriority w:val="0"/>
    <w:pPr>
      <w:widowControl/>
      <w:tabs>
        <w:tab w:val="left" w:pos="377"/>
      </w:tabs>
      <w:spacing w:line="360" w:lineRule="auto"/>
      <w:jc w:val="center"/>
    </w:pPr>
    <w:rPr>
      <w:rFonts w:ascii="宋体" w:cs="宋体"/>
      <w:kern w:val="0"/>
      <w:sz w:val="24"/>
      <w:szCs w:val="20"/>
    </w:rPr>
  </w:style>
  <w:style w:type="paragraph" w:customStyle="1" w:styleId="103">
    <w:name w:val="表（或图）标题 样式 宋体 小四号 居中 SL CON"/>
    <w:basedOn w:val="1"/>
    <w:qFormat/>
    <w:uiPriority w:val="0"/>
    <w:pPr>
      <w:widowControl/>
      <w:tabs>
        <w:tab w:val="left" w:pos="377"/>
      </w:tabs>
      <w:spacing w:before="100" w:beforeAutospacing="1" w:line="360" w:lineRule="auto"/>
      <w:jc w:val="center"/>
    </w:pPr>
    <w:rPr>
      <w:rFonts w:ascii="宋体" w:hAnsi="宋体" w:cs="宋体"/>
      <w:b/>
      <w:kern w:val="0"/>
      <w:sz w:val="24"/>
      <w:szCs w:val="20"/>
    </w:rPr>
  </w:style>
  <w:style w:type="paragraph" w:customStyle="1" w:styleId="104">
    <w:name w:val="正文 首行缩进:  2 字符 SL CON"/>
    <w:basedOn w:val="1"/>
    <w:qFormat/>
    <w:uiPriority w:val="0"/>
    <w:pPr>
      <w:widowControl/>
      <w:tabs>
        <w:tab w:val="left" w:pos="377"/>
      </w:tabs>
      <w:spacing w:line="360" w:lineRule="auto"/>
      <w:ind w:firstLine="200" w:firstLineChars="200"/>
    </w:pPr>
    <w:rPr>
      <w:rFonts w:ascii="宋体" w:cs="宋体"/>
      <w:kern w:val="0"/>
      <w:sz w:val="28"/>
    </w:rPr>
  </w:style>
  <w:style w:type="paragraph" w:customStyle="1" w:styleId="105">
    <w:name w:val="表内文字 样式 小四号 居中 行距: 单倍行距 SL CON"/>
    <w:basedOn w:val="1"/>
    <w:qFormat/>
    <w:uiPriority w:val="0"/>
    <w:pPr>
      <w:widowControl/>
      <w:tabs>
        <w:tab w:val="left" w:pos="377"/>
      </w:tabs>
      <w:jc w:val="center"/>
    </w:pPr>
    <w:rPr>
      <w:rFonts w:ascii="宋体" w:cs="宋体"/>
      <w:kern w:val="0"/>
      <w:sz w:val="24"/>
      <w:szCs w:val="21"/>
    </w:rPr>
  </w:style>
  <w:style w:type="paragraph" w:customStyle="1" w:styleId="106">
    <w:name w:val="公式书写 居中 段前: 6 磅 段后: 6 磅 SL CON"/>
    <w:basedOn w:val="1"/>
    <w:link w:val="243"/>
    <w:qFormat/>
    <w:uiPriority w:val="0"/>
    <w:pPr>
      <w:widowControl/>
      <w:tabs>
        <w:tab w:val="left" w:pos="377"/>
      </w:tabs>
      <w:spacing w:before="120" w:after="120" w:line="360" w:lineRule="auto"/>
      <w:jc w:val="center"/>
    </w:pPr>
    <w:rPr>
      <w:rFonts w:ascii="宋体" w:cs="宋体"/>
      <w:kern w:val="0"/>
      <w:sz w:val="24"/>
      <w:szCs w:val="20"/>
    </w:rPr>
  </w:style>
  <w:style w:type="paragraph" w:customStyle="1" w:styleId="107">
    <w:name w:val="公式书写（编号） 居中 段前: 6 磅 段后: 6 磅 SL CON + (符号) 宋体"/>
    <w:basedOn w:val="106"/>
    <w:link w:val="244"/>
    <w:qFormat/>
    <w:uiPriority w:val="0"/>
  </w:style>
  <w:style w:type="paragraph" w:customStyle="1" w:styleId="108">
    <w:name w:val="样式 (符号) 宋体"/>
    <w:basedOn w:val="1"/>
    <w:qFormat/>
    <w:uiPriority w:val="0"/>
    <w:pPr>
      <w:widowControl/>
      <w:tabs>
        <w:tab w:val="left" w:pos="377"/>
      </w:tabs>
      <w:spacing w:line="360" w:lineRule="auto"/>
      <w:ind w:firstLine="480" w:firstLineChars="200"/>
    </w:pPr>
    <w:rPr>
      <w:rFonts w:ascii="宋体" w:hAnsi="宋体" w:cs="宋体"/>
      <w:kern w:val="0"/>
      <w:sz w:val="28"/>
      <w:szCs w:val="20"/>
    </w:rPr>
  </w:style>
  <w:style w:type="paragraph" w:customStyle="1" w:styleId="109">
    <w:name w:val="样式 正文 首行缩进:  2 字符 SL CON + 首行缩进:  2 字符"/>
    <w:basedOn w:val="104"/>
    <w:qFormat/>
    <w:uiPriority w:val="0"/>
    <w:rPr>
      <w:szCs w:val="20"/>
    </w:rPr>
  </w:style>
  <w:style w:type="paragraph" w:customStyle="1" w:styleId="110">
    <w:name w:val="样式 样式 正文 首行缩进:  2 字符 SL CON + 首行缩进:  2 字符 + 首行缩进:  2 字符"/>
    <w:basedOn w:val="109"/>
    <w:qFormat/>
    <w:uiPriority w:val="0"/>
  </w:style>
  <w:style w:type="paragraph" w:customStyle="1" w:styleId="111">
    <w:name w:val="样式 标题 3 SL CON + 段前: 0.5 行"/>
    <w:basedOn w:val="1"/>
    <w:qFormat/>
    <w:uiPriority w:val="0"/>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paragraph" w:customStyle="1" w:styleId="112">
    <w:name w:val="Char Char Char Char Char Char Char Char Char Char"/>
    <w:basedOn w:val="1"/>
    <w:qFormat/>
    <w:uiPriority w:val="0"/>
    <w:pPr>
      <w:spacing w:line="360" w:lineRule="auto"/>
    </w:pPr>
    <w:rPr>
      <w:sz w:val="24"/>
    </w:rPr>
  </w:style>
  <w:style w:type="paragraph" w:customStyle="1" w:styleId="113">
    <w:name w:val="Char Char Char2 Char"/>
    <w:basedOn w:val="1"/>
    <w:qFormat/>
    <w:uiPriority w:val="0"/>
    <w:rPr>
      <w:rFonts w:ascii="Tahoma" w:hAnsi="Tahoma"/>
      <w:sz w:val="24"/>
      <w:szCs w:val="20"/>
    </w:rPr>
  </w:style>
  <w:style w:type="paragraph" w:customStyle="1" w:styleId="114">
    <w:name w:val="表内文字 SL CON + (符号)"/>
    <w:basedOn w:val="1"/>
    <w:qFormat/>
    <w:uiPriority w:val="0"/>
    <w:pPr>
      <w:widowControl/>
      <w:tabs>
        <w:tab w:val="left" w:pos="377"/>
      </w:tabs>
      <w:jc w:val="center"/>
    </w:pPr>
    <w:rPr>
      <w:rFonts w:ascii="宋体" w:cs="宋体"/>
      <w:kern w:val="0"/>
      <w:sz w:val="24"/>
      <w:szCs w:val="21"/>
    </w:rPr>
  </w:style>
  <w:style w:type="paragraph" w:customStyle="1" w:styleId="115">
    <w:name w:val="Char1 Char Char Char"/>
    <w:basedOn w:val="1"/>
    <w:qFormat/>
    <w:uiPriority w:val="0"/>
    <w:pPr>
      <w:spacing w:line="360" w:lineRule="auto"/>
    </w:pPr>
    <w:rPr>
      <w:sz w:val="24"/>
    </w:rPr>
  </w:style>
  <w:style w:type="paragraph" w:customStyle="1" w:styleId="116">
    <w:name w:val="样式 正文 首行缩进 SL CON"/>
    <w:basedOn w:val="110"/>
    <w:qFormat/>
    <w:uiPriority w:val="0"/>
    <w:pPr>
      <w:ind w:firstLine="560"/>
    </w:pPr>
  </w:style>
  <w:style w:type="paragraph" w:customStyle="1" w:styleId="117">
    <w:name w:val="标题 3 SL CON"/>
    <w:basedOn w:val="1"/>
    <w:next w:val="1"/>
    <w:qFormat/>
    <w:uiPriority w:val="0"/>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paragraph" w:customStyle="1" w:styleId="118">
    <w:name w:val="Char Char Char Char"/>
    <w:basedOn w:val="1"/>
    <w:semiHidden/>
    <w:qFormat/>
    <w:uiPriority w:val="0"/>
  </w:style>
  <w:style w:type="paragraph" w:customStyle="1" w:styleId="119">
    <w:name w:val="Char Char Char Char Char Char Char Char Char Char5"/>
    <w:basedOn w:val="1"/>
    <w:qFormat/>
    <w:uiPriority w:val="0"/>
    <w:pPr>
      <w:spacing w:line="360" w:lineRule="auto"/>
    </w:pPr>
    <w:rPr>
      <w:sz w:val="24"/>
    </w:rPr>
  </w:style>
  <w:style w:type="paragraph" w:customStyle="1" w:styleId="120">
    <w:name w:val="Char Char Char Char Char Char Char Char Char Char4"/>
    <w:basedOn w:val="1"/>
    <w:qFormat/>
    <w:uiPriority w:val="0"/>
    <w:pPr>
      <w:spacing w:line="360" w:lineRule="auto"/>
    </w:pPr>
    <w:rPr>
      <w:sz w:val="24"/>
    </w:rPr>
  </w:style>
  <w:style w:type="paragraph" w:customStyle="1" w:styleId="121">
    <w:name w:val="正文首行缩进1"/>
    <w:basedOn w:val="1"/>
    <w:qFormat/>
    <w:uiPriority w:val="0"/>
    <w:pPr>
      <w:spacing w:line="500" w:lineRule="exact"/>
      <w:ind w:firstLine="520" w:firstLineChars="200"/>
    </w:pPr>
    <w:rPr>
      <w:sz w:val="26"/>
    </w:rPr>
  </w:style>
  <w:style w:type="paragraph" w:customStyle="1" w:styleId="122">
    <w:name w:val="Char Char Char Char Char Char Char Char Char Char3"/>
    <w:basedOn w:val="1"/>
    <w:qFormat/>
    <w:uiPriority w:val="0"/>
    <w:pPr>
      <w:spacing w:line="360" w:lineRule="auto"/>
    </w:pPr>
    <w:rPr>
      <w:sz w:val="24"/>
    </w:rPr>
  </w:style>
  <w:style w:type="paragraph" w:customStyle="1" w:styleId="123">
    <w:name w:val="表（或图）标题 样式 宋体 五号 居中 SL CON"/>
    <w:basedOn w:val="1"/>
    <w:qFormat/>
    <w:uiPriority w:val="0"/>
    <w:pPr>
      <w:widowControl/>
      <w:tabs>
        <w:tab w:val="left" w:pos="377"/>
      </w:tabs>
      <w:spacing w:before="100" w:beforeAutospacing="1" w:line="360" w:lineRule="auto"/>
      <w:jc w:val="center"/>
    </w:pPr>
    <w:rPr>
      <w:rFonts w:ascii="宋体" w:hAnsi="宋体" w:cs="宋体"/>
      <w:b/>
      <w:kern w:val="0"/>
      <w:szCs w:val="20"/>
    </w:rPr>
  </w:style>
  <w:style w:type="paragraph" w:customStyle="1" w:styleId="124">
    <w:name w:val="Char Char Char Char Char Char Char Char Char Char2"/>
    <w:basedOn w:val="1"/>
    <w:qFormat/>
    <w:uiPriority w:val="0"/>
    <w:pPr>
      <w:spacing w:line="360" w:lineRule="auto"/>
    </w:pPr>
    <w:rPr>
      <w:sz w:val="24"/>
    </w:rPr>
  </w:style>
  <w:style w:type="paragraph" w:customStyle="1" w:styleId="125">
    <w:name w:val="Char Char Char Char Char Char Char Char Char Char1"/>
    <w:basedOn w:val="1"/>
    <w:qFormat/>
    <w:uiPriority w:val="0"/>
    <w:pPr>
      <w:spacing w:line="360" w:lineRule="auto"/>
    </w:pPr>
    <w:rPr>
      <w:sz w:val="24"/>
    </w:rPr>
  </w:style>
  <w:style w:type="paragraph" w:customStyle="1" w:styleId="126">
    <w:name w:val="列出段落1"/>
    <w:basedOn w:val="1"/>
    <w:qFormat/>
    <w:uiPriority w:val="0"/>
    <w:pPr>
      <w:ind w:firstLine="420" w:firstLineChars="200"/>
    </w:pPr>
  </w:style>
  <w:style w:type="paragraph" w:customStyle="1" w:styleId="127">
    <w:name w:val="样式2"/>
    <w:basedOn w:val="1"/>
    <w:qFormat/>
    <w:uiPriority w:val="0"/>
    <w:rPr>
      <w:rFonts w:ascii="宋体"/>
      <w:sz w:val="28"/>
      <w:szCs w:val="20"/>
    </w:rPr>
  </w:style>
  <w:style w:type="paragraph" w:customStyle="1" w:styleId="128">
    <w:name w:val="正文1"/>
    <w:basedOn w:val="1"/>
    <w:qFormat/>
    <w:uiPriority w:val="0"/>
    <w:pPr>
      <w:adjustRightInd w:val="0"/>
      <w:spacing w:after="120" w:line="360" w:lineRule="atLeast"/>
      <w:jc w:val="center"/>
      <w:textAlignment w:val="baseline"/>
    </w:pPr>
    <w:rPr>
      <w:kern w:val="0"/>
      <w:sz w:val="24"/>
      <w:szCs w:val="20"/>
    </w:rPr>
  </w:style>
  <w:style w:type="paragraph" w:customStyle="1" w:styleId="129">
    <w:name w:val="条(三级)"/>
    <w:basedOn w:val="1"/>
    <w:next w:val="1"/>
    <w:qFormat/>
    <w:uiPriority w:val="0"/>
    <w:pPr>
      <w:keepNext/>
      <w:keepLines/>
      <w:adjustRightInd w:val="0"/>
      <w:spacing w:line="460" w:lineRule="exact"/>
      <w:jc w:val="left"/>
      <w:textAlignment w:val="baseline"/>
    </w:pPr>
    <w:rPr>
      <w:rFonts w:hAnsi="Arial"/>
      <w:spacing w:val="3"/>
      <w:kern w:val="24"/>
      <w:sz w:val="24"/>
      <w:szCs w:val="20"/>
    </w:rPr>
  </w:style>
  <w:style w:type="paragraph" w:customStyle="1" w:styleId="130">
    <w:name w:val="Achievement"/>
    <w:basedOn w:val="22"/>
    <w:qFormat/>
    <w:uiPriority w:val="0"/>
    <w:pPr>
      <w:widowControl/>
      <w:numPr>
        <w:ilvl w:val="0"/>
        <w:numId w:val="1"/>
      </w:numPr>
      <w:spacing w:after="60" w:line="220" w:lineRule="atLeast"/>
      <w:ind w:right="-360"/>
      <w:jc w:val="left"/>
    </w:pPr>
    <w:rPr>
      <w:kern w:val="0"/>
      <w:sz w:val="20"/>
      <w:szCs w:val="20"/>
    </w:rPr>
  </w:style>
  <w:style w:type="paragraph" w:customStyle="1" w:styleId="131">
    <w:name w:val="Personal Info"/>
    <w:basedOn w:val="130"/>
    <w:qFormat/>
    <w:uiPriority w:val="0"/>
    <w:pPr>
      <w:spacing w:before="220"/>
    </w:pPr>
  </w:style>
  <w:style w:type="paragraph" w:customStyle="1" w:styleId="132">
    <w:name w:val="Address 1"/>
    <w:basedOn w:val="1"/>
    <w:qFormat/>
    <w:uiPriority w:val="0"/>
    <w:pPr>
      <w:framePr w:w="2400" w:wrap="notBeside" w:vAnchor="page" w:hAnchor="page" w:x="8065" w:y="1009" w:anchorLock="1"/>
      <w:widowControl/>
      <w:spacing w:line="200" w:lineRule="atLeast"/>
      <w:jc w:val="left"/>
    </w:pPr>
    <w:rPr>
      <w:kern w:val="0"/>
      <w:sz w:val="16"/>
      <w:szCs w:val="20"/>
    </w:rPr>
  </w:style>
  <w:style w:type="paragraph" w:customStyle="1" w:styleId="133">
    <w:name w:val="Address 2"/>
    <w:basedOn w:val="1"/>
    <w:qFormat/>
    <w:uiPriority w:val="0"/>
    <w:pPr>
      <w:framePr w:w="2405" w:wrap="notBeside" w:vAnchor="page" w:hAnchor="page" w:x="5761" w:y="1009" w:anchorLock="1"/>
      <w:widowControl/>
      <w:spacing w:line="200" w:lineRule="atLeast"/>
      <w:jc w:val="left"/>
    </w:pPr>
    <w:rPr>
      <w:kern w:val="0"/>
      <w:sz w:val="16"/>
      <w:szCs w:val="20"/>
    </w:rPr>
  </w:style>
  <w:style w:type="paragraph" w:customStyle="1" w:styleId="134">
    <w:name w:val="City/State"/>
    <w:basedOn w:val="22"/>
    <w:next w:val="22"/>
    <w:qFormat/>
    <w:uiPriority w:val="0"/>
    <w:pPr>
      <w:keepNext/>
      <w:widowControl/>
      <w:spacing w:after="220" w:line="220" w:lineRule="atLeast"/>
      <w:ind w:right="-360"/>
      <w:jc w:val="left"/>
    </w:pPr>
    <w:rPr>
      <w:kern w:val="0"/>
      <w:sz w:val="20"/>
      <w:szCs w:val="20"/>
    </w:rPr>
  </w:style>
  <w:style w:type="paragraph" w:customStyle="1" w:styleId="135">
    <w:name w:val="Company Name"/>
    <w:basedOn w:val="1"/>
    <w:next w:val="1"/>
    <w:qFormat/>
    <w:uiPriority w:val="0"/>
    <w:pPr>
      <w:widowControl/>
      <w:tabs>
        <w:tab w:val="left" w:pos="2160"/>
        <w:tab w:val="right" w:pos="6480"/>
      </w:tabs>
      <w:spacing w:before="220" w:after="40" w:line="220" w:lineRule="atLeast"/>
      <w:ind w:right="-360"/>
      <w:jc w:val="left"/>
    </w:pPr>
    <w:rPr>
      <w:kern w:val="0"/>
      <w:sz w:val="20"/>
      <w:szCs w:val="20"/>
    </w:rPr>
  </w:style>
  <w:style w:type="paragraph" w:customStyle="1" w:styleId="136">
    <w:name w:val="Company Name One"/>
    <w:basedOn w:val="135"/>
    <w:next w:val="1"/>
    <w:qFormat/>
    <w:uiPriority w:val="0"/>
  </w:style>
  <w:style w:type="paragraph" w:customStyle="1" w:styleId="137">
    <w:name w:val="Document Label"/>
    <w:basedOn w:val="1"/>
    <w:next w:val="1"/>
    <w:qFormat/>
    <w:uiPriority w:val="0"/>
    <w:pPr>
      <w:widowControl/>
      <w:spacing w:after="220"/>
      <w:ind w:right="-360"/>
      <w:jc w:val="left"/>
    </w:pPr>
    <w:rPr>
      <w:spacing w:val="-20"/>
      <w:kern w:val="0"/>
      <w:sz w:val="48"/>
      <w:szCs w:val="20"/>
    </w:rPr>
  </w:style>
  <w:style w:type="paragraph" w:customStyle="1" w:styleId="138">
    <w:name w:val="Header Base"/>
    <w:basedOn w:val="1"/>
    <w:qFormat/>
    <w:uiPriority w:val="0"/>
    <w:pPr>
      <w:widowControl/>
      <w:ind w:right="-360"/>
      <w:jc w:val="left"/>
    </w:pPr>
    <w:rPr>
      <w:kern w:val="0"/>
      <w:sz w:val="20"/>
      <w:szCs w:val="20"/>
    </w:rPr>
  </w:style>
  <w:style w:type="paragraph" w:customStyle="1" w:styleId="139">
    <w:name w:val="Heading Base"/>
    <w:basedOn w:val="22"/>
    <w:next w:val="22"/>
    <w:qFormat/>
    <w:uiPriority w:val="0"/>
    <w:pPr>
      <w:keepNext/>
      <w:keepLines/>
      <w:widowControl/>
      <w:spacing w:after="0" w:line="220" w:lineRule="atLeast"/>
      <w:ind w:right="-360"/>
      <w:jc w:val="left"/>
    </w:pPr>
    <w:rPr>
      <w:rFonts w:ascii="Arial" w:hAnsi="Arial"/>
      <w:spacing w:val="-4"/>
      <w:kern w:val="0"/>
      <w:sz w:val="18"/>
      <w:szCs w:val="20"/>
    </w:rPr>
  </w:style>
  <w:style w:type="paragraph" w:customStyle="1" w:styleId="140">
    <w:name w:val="Institution"/>
    <w:basedOn w:val="1"/>
    <w:next w:val="130"/>
    <w:qFormat/>
    <w:uiPriority w:val="0"/>
    <w:pPr>
      <w:widowControl/>
      <w:tabs>
        <w:tab w:val="left" w:pos="2160"/>
        <w:tab w:val="right" w:pos="6480"/>
      </w:tabs>
      <w:spacing w:before="220" w:after="60" w:line="220" w:lineRule="atLeast"/>
      <w:ind w:right="-360"/>
      <w:jc w:val="left"/>
    </w:pPr>
    <w:rPr>
      <w:kern w:val="0"/>
      <w:sz w:val="20"/>
      <w:szCs w:val="20"/>
    </w:rPr>
  </w:style>
  <w:style w:type="paragraph" w:customStyle="1" w:styleId="141">
    <w:name w:val="Job Title"/>
    <w:next w:val="130"/>
    <w:qFormat/>
    <w:uiPriority w:val="0"/>
    <w:pPr>
      <w:spacing w:after="40" w:line="220" w:lineRule="atLeast"/>
    </w:pPr>
    <w:rPr>
      <w:rFonts w:ascii="Arial" w:hAnsi="Arial" w:eastAsia="宋体" w:cs="Times New Roman"/>
      <w:b/>
      <w:spacing w:val="-10"/>
      <w:lang w:val="en-US" w:eastAsia="zh-CN" w:bidi="ar-SA"/>
    </w:rPr>
  </w:style>
  <w:style w:type="paragraph" w:customStyle="1" w:styleId="142">
    <w:name w:val="Name"/>
    <w:basedOn w:val="1"/>
    <w:next w:val="1"/>
    <w:qFormat/>
    <w:uiPriority w:val="0"/>
    <w:pPr>
      <w:widowControl/>
      <w:spacing w:after="440" w:line="240" w:lineRule="atLeast"/>
      <w:ind w:left="2160"/>
      <w:jc w:val="left"/>
    </w:pPr>
    <w:rPr>
      <w:spacing w:val="-20"/>
      <w:kern w:val="0"/>
      <w:sz w:val="48"/>
      <w:szCs w:val="20"/>
    </w:rPr>
  </w:style>
  <w:style w:type="paragraph" w:customStyle="1" w:styleId="143">
    <w:name w:val="No Title"/>
    <w:basedOn w:val="1"/>
    <w:qFormat/>
    <w:uiPriority w:val="0"/>
    <w:pPr>
      <w:widowControl/>
      <w:pBdr>
        <w:top w:val="single" w:color="FFFFFF" w:sz="6" w:space="2"/>
        <w:left w:val="single" w:color="FFFFFF" w:sz="6" w:space="2"/>
        <w:bottom w:val="single" w:color="FFFFFF" w:sz="6" w:space="2"/>
        <w:right w:val="single" w:color="FFFFFF" w:sz="6" w:space="2"/>
      </w:pBdr>
      <w:spacing w:before="120" w:line="280" w:lineRule="atLeast"/>
      <w:jc w:val="left"/>
    </w:pPr>
    <w:rPr>
      <w:rFonts w:ascii="Arial" w:hAnsi="Arial"/>
      <w:b/>
      <w:spacing w:val="-10"/>
      <w:kern w:val="0"/>
      <w:position w:val="7"/>
      <w:sz w:val="20"/>
      <w:szCs w:val="20"/>
    </w:rPr>
  </w:style>
  <w:style w:type="paragraph" w:customStyle="1" w:styleId="144">
    <w:name w:val="Objective"/>
    <w:basedOn w:val="1"/>
    <w:next w:val="22"/>
    <w:qFormat/>
    <w:uiPriority w:val="0"/>
    <w:pPr>
      <w:widowControl/>
      <w:spacing w:before="220" w:after="220" w:line="220" w:lineRule="atLeast"/>
      <w:jc w:val="left"/>
    </w:pPr>
    <w:rPr>
      <w:kern w:val="0"/>
      <w:sz w:val="20"/>
      <w:szCs w:val="20"/>
    </w:rPr>
  </w:style>
  <w:style w:type="paragraph" w:customStyle="1" w:styleId="145">
    <w:name w:val="Section Title"/>
    <w:basedOn w:val="1"/>
    <w:next w:val="1"/>
    <w:qFormat/>
    <w:uiPriority w:val="0"/>
    <w:pPr>
      <w:widowControl/>
      <w:pBdr>
        <w:top w:val="single" w:color="FFFFFF" w:sz="6" w:space="2"/>
        <w:left w:val="single" w:color="FFFFFF" w:sz="6" w:space="2"/>
        <w:bottom w:val="single" w:color="FFFFFF" w:sz="6" w:space="2"/>
        <w:right w:val="single" w:color="FFFFFF" w:sz="6" w:space="2"/>
      </w:pBdr>
      <w:shd w:val="pct10" w:color="auto" w:fill="auto"/>
      <w:spacing w:before="120" w:line="280" w:lineRule="atLeast"/>
      <w:jc w:val="left"/>
    </w:pPr>
    <w:rPr>
      <w:rFonts w:ascii="Arial" w:hAnsi="Arial"/>
      <w:b/>
      <w:spacing w:val="-10"/>
      <w:kern w:val="0"/>
      <w:position w:val="7"/>
      <w:sz w:val="20"/>
      <w:szCs w:val="20"/>
    </w:rPr>
  </w:style>
  <w:style w:type="paragraph" w:customStyle="1" w:styleId="146">
    <w:name w:val="Section Subtitle"/>
    <w:basedOn w:val="145"/>
    <w:next w:val="1"/>
    <w:qFormat/>
    <w:uiPriority w:val="0"/>
    <w:pPr>
      <w:pBdr>
        <w:top w:val="none" w:color="auto" w:sz="0" w:space="0"/>
      </w:pBdr>
    </w:pPr>
    <w:rPr>
      <w:b w:val="0"/>
      <w:spacing w:val="0"/>
      <w:position w:val="6"/>
    </w:rPr>
  </w:style>
  <w:style w:type="paragraph" w:customStyle="1" w:styleId="147">
    <w:name w:val="正文文本 21"/>
    <w:basedOn w:val="1"/>
    <w:qFormat/>
    <w:uiPriority w:val="0"/>
    <w:pPr>
      <w:adjustRightInd w:val="0"/>
      <w:ind w:firstLine="425"/>
      <w:textAlignment w:val="baseline"/>
    </w:pPr>
    <w:rPr>
      <w:szCs w:val="20"/>
    </w:rPr>
  </w:style>
  <w:style w:type="paragraph" w:customStyle="1" w:styleId="148">
    <w:name w:val="条(二级)"/>
    <w:basedOn w:val="4"/>
    <w:next w:val="129"/>
    <w:qFormat/>
    <w:uiPriority w:val="0"/>
    <w:pPr>
      <w:adjustRightInd w:val="0"/>
      <w:spacing w:before="0" w:after="0" w:line="460" w:lineRule="exact"/>
      <w:jc w:val="left"/>
      <w:textAlignment w:val="baseline"/>
      <w:outlineLvl w:val="9"/>
    </w:pPr>
    <w:rPr>
      <w:rFonts w:ascii="宋体" w:eastAsia="宋体"/>
      <w:spacing w:val="3"/>
      <w:kern w:val="24"/>
      <w:sz w:val="24"/>
    </w:rPr>
  </w:style>
  <w:style w:type="paragraph" w:customStyle="1" w:styleId="149">
    <w:name w:val="条(四级)"/>
    <w:basedOn w:val="129"/>
    <w:next w:val="1"/>
    <w:qFormat/>
    <w:uiPriority w:val="0"/>
  </w:style>
  <w:style w:type="paragraph" w:customStyle="1" w:styleId="150">
    <w:name w:val="条文1"/>
    <w:basedOn w:val="151"/>
    <w:qFormat/>
    <w:uiPriority w:val="0"/>
    <w:pPr>
      <w:numPr>
        <w:ilvl w:val="0"/>
        <w:numId w:val="2"/>
      </w:numPr>
      <w:ind w:left="907" w:hanging="425"/>
    </w:pPr>
  </w:style>
  <w:style w:type="paragraph" w:customStyle="1" w:styleId="151">
    <w:name w:val="段"/>
    <w:basedOn w:val="1"/>
    <w:qFormat/>
    <w:uiPriority w:val="0"/>
    <w:pPr>
      <w:adjustRightInd w:val="0"/>
      <w:spacing w:line="460" w:lineRule="exact"/>
      <w:ind w:firstLine="482"/>
      <w:jc w:val="left"/>
      <w:textAlignment w:val="baseline"/>
    </w:pPr>
    <w:rPr>
      <w:rFonts w:hAnsi="Arial"/>
      <w:spacing w:val="3"/>
      <w:kern w:val="24"/>
      <w:sz w:val="24"/>
      <w:szCs w:val="20"/>
    </w:rPr>
  </w:style>
  <w:style w:type="paragraph" w:customStyle="1" w:styleId="152">
    <w:name w:val="页号"/>
    <w:basedOn w:val="34"/>
    <w:qFormat/>
    <w:uiPriority w:val="0"/>
    <w:pPr>
      <w:tabs>
        <w:tab w:val="center" w:pos="4320"/>
        <w:tab w:val="right" w:pos="8640"/>
        <w:tab w:val="clear" w:pos="4153"/>
        <w:tab w:val="clear" w:pos="8306"/>
      </w:tabs>
      <w:adjustRightInd w:val="0"/>
      <w:snapToGrid/>
      <w:jc w:val="center"/>
      <w:textAlignment w:val="baseline"/>
    </w:pPr>
    <w:rPr>
      <w:rFonts w:hAnsi="Arial"/>
      <w:spacing w:val="3"/>
      <w:kern w:val="24"/>
      <w:sz w:val="24"/>
      <w:szCs w:val="20"/>
    </w:rPr>
  </w:style>
  <w:style w:type="paragraph" w:customStyle="1" w:styleId="153">
    <w:name w:val="列表延续 2"/>
    <w:basedOn w:val="1"/>
    <w:qFormat/>
    <w:uiPriority w:val="0"/>
    <w:pPr>
      <w:autoSpaceDE w:val="0"/>
      <w:autoSpaceDN w:val="0"/>
      <w:adjustRightInd w:val="0"/>
      <w:spacing w:line="360" w:lineRule="atLeast"/>
      <w:ind w:left="420" w:hanging="420"/>
      <w:jc w:val="left"/>
    </w:pPr>
    <w:rPr>
      <w:rFonts w:ascii="宋体" w:hAnsi="Tms Rmn"/>
      <w:spacing w:val="20"/>
      <w:kern w:val="0"/>
      <w:sz w:val="24"/>
      <w:szCs w:val="20"/>
    </w:rPr>
  </w:style>
  <w:style w:type="paragraph" w:customStyle="1" w:styleId="154">
    <w:name w:val="列表延续 21"/>
    <w:basedOn w:val="1"/>
    <w:qFormat/>
    <w:uiPriority w:val="0"/>
    <w:pPr>
      <w:autoSpaceDE w:val="0"/>
      <w:autoSpaceDN w:val="0"/>
      <w:adjustRightInd w:val="0"/>
      <w:spacing w:line="360" w:lineRule="atLeast"/>
      <w:ind w:left="840" w:hanging="420"/>
      <w:jc w:val="left"/>
    </w:pPr>
    <w:rPr>
      <w:rFonts w:ascii="宋体" w:hAnsi="Tms Rmn"/>
      <w:spacing w:val="20"/>
      <w:kern w:val="0"/>
      <w:sz w:val="24"/>
      <w:szCs w:val="20"/>
    </w:rPr>
  </w:style>
  <w:style w:type="paragraph" w:customStyle="1" w:styleId="155">
    <w:name w:val="章(一级)"/>
    <w:basedOn w:val="3"/>
    <w:next w:val="148"/>
    <w:qFormat/>
    <w:uiPriority w:val="0"/>
    <w:pPr>
      <w:tabs>
        <w:tab w:val="left" w:pos="915"/>
      </w:tabs>
      <w:adjustRightInd w:val="0"/>
      <w:spacing w:line="360" w:lineRule="auto"/>
      <w:jc w:val="left"/>
      <w:textAlignment w:val="baseline"/>
      <w:outlineLvl w:val="9"/>
    </w:pPr>
    <w:rPr>
      <w:rFonts w:ascii="宋体"/>
      <w:b/>
      <w:spacing w:val="20"/>
      <w:kern w:val="0"/>
      <w:sz w:val="24"/>
    </w:rPr>
  </w:style>
  <w:style w:type="paragraph" w:customStyle="1" w:styleId="156">
    <w:name w:val="条文2"/>
    <w:basedOn w:val="151"/>
    <w:qFormat/>
    <w:uiPriority w:val="0"/>
    <w:pPr>
      <w:ind w:left="1151" w:hanging="425"/>
    </w:pPr>
    <w:rPr>
      <w:rFonts w:ascii="宋体"/>
    </w:rPr>
  </w:style>
  <w:style w:type="paragraph" w:customStyle="1" w:styleId="157">
    <w:name w:val="档案号"/>
    <w:basedOn w:val="35"/>
    <w:qFormat/>
    <w:uiPriority w:val="0"/>
    <w:pPr>
      <w:pBdr>
        <w:bottom w:val="none" w:color="auto" w:sz="0" w:space="0"/>
      </w:pBdr>
      <w:tabs>
        <w:tab w:val="center" w:pos="4320"/>
        <w:tab w:val="right" w:pos="8640"/>
        <w:tab w:val="clear" w:pos="4153"/>
        <w:tab w:val="clear" w:pos="8306"/>
      </w:tabs>
      <w:adjustRightInd w:val="0"/>
      <w:snapToGrid/>
      <w:spacing w:line="460" w:lineRule="exact"/>
      <w:jc w:val="right"/>
      <w:textAlignment w:val="baseline"/>
    </w:pPr>
    <w:rPr>
      <w:rFonts w:ascii="宋体" w:hAnsi="Arial"/>
      <w:spacing w:val="3"/>
      <w:kern w:val="24"/>
      <w:sz w:val="24"/>
      <w:szCs w:val="20"/>
    </w:rPr>
  </w:style>
  <w:style w:type="paragraph" w:customStyle="1" w:styleId="158">
    <w:name w:val="正文2"/>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159">
    <w:name w:val="标题4"/>
    <w:basedOn w:val="5"/>
    <w:qFormat/>
    <w:uiPriority w:val="0"/>
    <w:pPr>
      <w:widowControl/>
      <w:adjustRightInd w:val="0"/>
      <w:snapToGrid w:val="0"/>
      <w:spacing w:before="0" w:after="0" w:line="360" w:lineRule="auto"/>
      <w:jc w:val="left"/>
    </w:pPr>
    <w:rPr>
      <w:b w:val="0"/>
      <w:bCs w:val="0"/>
      <w:snapToGrid w:val="0"/>
      <w:color w:val="000000"/>
      <w:spacing w:val="40"/>
      <w:kern w:val="0"/>
      <w:sz w:val="24"/>
      <w:szCs w:val="20"/>
    </w:rPr>
  </w:style>
  <w:style w:type="paragraph" w:customStyle="1" w:styleId="160">
    <w:name w:val="标题5"/>
    <w:basedOn w:val="159"/>
    <w:qFormat/>
    <w:uiPriority w:val="0"/>
    <w:pPr>
      <w:spacing w:line="240" w:lineRule="auto"/>
    </w:pPr>
    <w:rPr>
      <w:i/>
      <w:spacing w:val="0"/>
    </w:rPr>
  </w:style>
  <w:style w:type="paragraph" w:customStyle="1" w:styleId="161">
    <w:name w:val="普通 (Web)"/>
    <w:basedOn w:val="1"/>
    <w:qFormat/>
    <w:uiPriority w:val="0"/>
    <w:rPr>
      <w:sz w:val="24"/>
    </w:rPr>
  </w:style>
  <w:style w:type="paragraph" w:customStyle="1" w:styleId="162">
    <w:name w:val="xl24"/>
    <w:basedOn w:val="1"/>
    <w:qFormat/>
    <w:uiPriority w:val="0"/>
    <w:pPr>
      <w:widowControl/>
      <w:pBdr>
        <w:right w:val="single" w:color="auto" w:sz="4" w:space="0"/>
      </w:pBdr>
      <w:spacing w:before="100" w:after="100"/>
      <w:jc w:val="center"/>
    </w:pPr>
    <w:rPr>
      <w:rFonts w:ascii="Arial Unicode MS" w:hAnsi="Arial Unicode MS" w:eastAsia="Arial Unicode MS"/>
      <w:kern w:val="0"/>
      <w:sz w:val="24"/>
      <w:szCs w:val="20"/>
    </w:rPr>
  </w:style>
  <w:style w:type="paragraph" w:customStyle="1" w:styleId="163">
    <w:name w:val="样式4"/>
    <w:basedOn w:val="35"/>
    <w:qFormat/>
    <w:uiPriority w:val="0"/>
    <w:pPr>
      <w:pBdr>
        <w:bottom w:val="single" w:color="auto" w:sz="6" w:space="0"/>
      </w:pBdr>
      <w:tabs>
        <w:tab w:val="clear" w:pos="4153"/>
      </w:tabs>
    </w:pPr>
    <w:rPr>
      <w:szCs w:val="21"/>
    </w:rPr>
  </w:style>
  <w:style w:type="paragraph" w:customStyle="1" w:styleId="164">
    <w:name w:val="样式5"/>
    <w:basedOn w:val="1"/>
    <w:qFormat/>
    <w:uiPriority w:val="0"/>
    <w:pPr>
      <w:spacing w:line="400" w:lineRule="exact"/>
      <w:jc w:val="center"/>
    </w:pPr>
    <w:rPr>
      <w:rFonts w:ascii="宋体"/>
      <w:szCs w:val="21"/>
    </w:rPr>
  </w:style>
  <w:style w:type="paragraph" w:customStyle="1" w:styleId="165">
    <w:name w:val="样式6"/>
    <w:basedOn w:val="1"/>
    <w:qFormat/>
    <w:uiPriority w:val="0"/>
    <w:pPr>
      <w:spacing w:line="400" w:lineRule="exact"/>
      <w:jc w:val="center"/>
    </w:pPr>
    <w:rPr>
      <w:rFonts w:ascii="宋体"/>
      <w:szCs w:val="21"/>
    </w:rPr>
  </w:style>
  <w:style w:type="paragraph" w:customStyle="1" w:styleId="166">
    <w:name w:val="缩进正文"/>
    <w:basedOn w:val="23"/>
    <w:qFormat/>
    <w:uiPriority w:val="0"/>
    <w:pPr>
      <w:adjustRightInd w:val="0"/>
      <w:snapToGrid w:val="0"/>
      <w:spacing w:line="300" w:lineRule="auto"/>
      <w:ind w:firstLine="200" w:firstLineChars="200"/>
    </w:pPr>
    <w:rPr>
      <w:rFonts w:hAnsi="Times New Roman"/>
      <w:color w:val="auto"/>
      <w:szCs w:val="20"/>
    </w:rPr>
  </w:style>
  <w:style w:type="paragraph" w:customStyle="1" w:styleId="167">
    <w:name w:val="标准小四"/>
    <w:basedOn w:val="1"/>
    <w:qFormat/>
    <w:uiPriority w:val="0"/>
    <w:pPr>
      <w:spacing w:line="360" w:lineRule="auto"/>
      <w:ind w:firstLine="480" w:firstLineChars="200"/>
    </w:pPr>
    <w:rPr>
      <w:sz w:val="24"/>
      <w:szCs w:val="21"/>
    </w:rPr>
  </w:style>
  <w:style w:type="paragraph" w:customStyle="1" w:styleId="168">
    <w:name w:val="基准页眉样式"/>
    <w:basedOn w:val="22"/>
    <w:qFormat/>
    <w:uiPriority w:val="0"/>
    <w:pPr>
      <w:keepLines/>
      <w:widowControl/>
      <w:tabs>
        <w:tab w:val="center" w:pos="-18551"/>
        <w:tab w:val="right" w:pos="4320"/>
      </w:tabs>
      <w:spacing w:after="0" w:line="240" w:lineRule="atLeast"/>
      <w:jc w:val="center"/>
    </w:pPr>
    <w:rPr>
      <w:rFonts w:ascii="Garamond" w:hAnsi="Garamond"/>
      <w:smallCaps/>
      <w:spacing w:val="15"/>
      <w:kern w:val="0"/>
    </w:rPr>
  </w:style>
  <w:style w:type="paragraph" w:customStyle="1" w:styleId="169">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70">
    <w:name w:val="font0"/>
    <w:basedOn w:val="1"/>
    <w:qFormat/>
    <w:uiPriority w:val="0"/>
    <w:pPr>
      <w:widowControl/>
      <w:spacing w:before="100" w:beforeAutospacing="1" w:after="100" w:afterAutospacing="1"/>
      <w:jc w:val="left"/>
    </w:pPr>
    <w:rPr>
      <w:rFonts w:ascii="宋体" w:hAnsi="宋体"/>
      <w:kern w:val="0"/>
      <w:sz w:val="24"/>
    </w:rPr>
  </w:style>
  <w:style w:type="paragraph" w:customStyle="1" w:styleId="171">
    <w:name w:val="Char1"/>
    <w:basedOn w:val="1"/>
    <w:qFormat/>
    <w:uiPriority w:val="0"/>
  </w:style>
  <w:style w:type="paragraph" w:customStyle="1" w:styleId="172">
    <w:name w:val="表中字"/>
    <w:basedOn w:val="1"/>
    <w:qFormat/>
    <w:uiPriority w:val="0"/>
    <w:pPr>
      <w:ind w:left="-109" w:leftChars="-52" w:firstLine="42"/>
      <w:jc w:val="left"/>
      <w:textAlignment w:val="center"/>
    </w:pPr>
    <w:rPr>
      <w:rFonts w:ascii="宋体" w:hAnsi="宋体"/>
      <w:color w:val="000000"/>
      <w:kern w:val="0"/>
      <w:sz w:val="24"/>
      <w:szCs w:val="20"/>
    </w:rPr>
  </w:style>
  <w:style w:type="paragraph" w:customStyle="1" w:styleId="173">
    <w:name w:val="Char Char Char Char Char Char Char1"/>
    <w:basedOn w:val="1"/>
    <w:qFormat/>
    <w:uiPriority w:val="99"/>
    <w:pPr>
      <w:widowControl/>
      <w:spacing w:after="160" w:line="240" w:lineRule="exact"/>
      <w:jc w:val="left"/>
    </w:pPr>
    <w:rPr>
      <w:rFonts w:ascii="Verdana" w:hAnsi="Verdana"/>
      <w:kern w:val="0"/>
      <w:sz w:val="20"/>
      <w:szCs w:val="20"/>
      <w:lang w:eastAsia="en-US"/>
    </w:rPr>
  </w:style>
  <w:style w:type="paragraph" w:customStyle="1" w:styleId="174">
    <w:name w:val="样式 正文首缩2 + 首行缩进:  2 字符"/>
    <w:basedOn w:val="1"/>
    <w:qFormat/>
    <w:uiPriority w:val="0"/>
    <w:pPr>
      <w:spacing w:line="360" w:lineRule="auto"/>
      <w:jc w:val="center"/>
    </w:pPr>
    <w:rPr>
      <w:rFonts w:hAnsi="宋体"/>
      <w:b/>
      <w:kern w:val="0"/>
      <w:szCs w:val="21"/>
    </w:rPr>
  </w:style>
  <w:style w:type="paragraph" w:customStyle="1" w:styleId="175">
    <w:name w:val="正文缩进2字符"/>
    <w:basedOn w:val="1"/>
    <w:qFormat/>
    <w:uiPriority w:val="0"/>
    <w:pPr>
      <w:adjustRightInd w:val="0"/>
      <w:snapToGrid w:val="0"/>
      <w:spacing w:line="300" w:lineRule="auto"/>
      <w:ind w:firstLine="480" w:firstLineChars="200"/>
      <w:jc w:val="left"/>
    </w:pPr>
    <w:rPr>
      <w:snapToGrid w:val="0"/>
      <w:kern w:val="0"/>
      <w:sz w:val="24"/>
    </w:rPr>
  </w:style>
  <w:style w:type="paragraph" w:customStyle="1" w:styleId="176">
    <w:name w:val="样式 标题 2二级标题 + 黑体 四号 居中 右侧:  -0.12 厘米 行距: 1.5 倍行距"/>
    <w:basedOn w:val="4"/>
    <w:qFormat/>
    <w:uiPriority w:val="0"/>
    <w:pPr>
      <w:spacing w:before="240" w:after="240" w:line="360" w:lineRule="auto"/>
      <w:ind w:right="-70"/>
      <w:jc w:val="center"/>
    </w:pPr>
    <w:rPr>
      <w:rFonts w:ascii="宋体" w:hAnsi="宋体" w:eastAsia="宋体" w:cs="宋体"/>
      <w:sz w:val="24"/>
      <w:szCs w:val="24"/>
      <w:lang w:val="zh-CN"/>
    </w:rPr>
  </w:style>
  <w:style w:type="paragraph" w:customStyle="1" w:styleId="177">
    <w:name w:val="表"/>
    <w:basedOn w:val="1"/>
    <w:qFormat/>
    <w:uiPriority w:val="0"/>
    <w:pPr>
      <w:spacing w:line="300" w:lineRule="auto"/>
    </w:pPr>
    <w:rPr>
      <w:rFonts w:eastAsia="仿宋_GB2312"/>
      <w:bCs/>
      <w:sz w:val="24"/>
    </w:rPr>
  </w:style>
  <w:style w:type="paragraph" w:customStyle="1" w:styleId="178">
    <w:name w:val="表内正文"/>
    <w:basedOn w:val="1"/>
    <w:qFormat/>
    <w:uiPriority w:val="0"/>
    <w:rPr>
      <w:sz w:val="24"/>
      <w:szCs w:val="20"/>
    </w:rPr>
  </w:style>
  <w:style w:type="paragraph" w:customStyle="1" w:styleId="179">
    <w:name w:val="简单回函地址"/>
    <w:basedOn w:val="1"/>
    <w:qFormat/>
    <w:uiPriority w:val="0"/>
  </w:style>
  <w:style w:type="paragraph" w:customStyle="1" w:styleId="180">
    <w:name w:val="Char Char Char"/>
    <w:basedOn w:val="1"/>
    <w:qFormat/>
    <w:uiPriority w:val="0"/>
    <w:pPr>
      <w:autoSpaceDE w:val="0"/>
      <w:autoSpaceDN w:val="0"/>
      <w:adjustRightInd w:val="0"/>
      <w:snapToGrid w:val="0"/>
      <w:spacing w:before="50" w:after="50" w:line="360" w:lineRule="auto"/>
      <w:ind w:firstLine="560" w:firstLineChars="200"/>
    </w:pPr>
    <w:rPr>
      <w:rFonts w:eastAsia="仿宋_GB2312"/>
      <w:color w:val="000000"/>
      <w:sz w:val="24"/>
      <w:szCs w:val="20"/>
    </w:rPr>
  </w:style>
  <w:style w:type="paragraph" w:customStyle="1" w:styleId="181">
    <w:name w:val="Char1 Char Char1 Char Char Char Char"/>
    <w:basedOn w:val="1"/>
    <w:qFormat/>
    <w:uiPriority w:val="0"/>
  </w:style>
  <w:style w:type="paragraph" w:customStyle="1" w:styleId="182">
    <w:name w:val="样式7"/>
    <w:basedOn w:val="1"/>
    <w:qFormat/>
    <w:uiPriority w:val="0"/>
    <w:pPr>
      <w:jc w:val="center"/>
    </w:pPr>
    <w:rPr>
      <w:szCs w:val="20"/>
    </w:rPr>
  </w:style>
  <w:style w:type="paragraph" w:customStyle="1" w:styleId="183">
    <w:name w:val="样式8"/>
    <w:basedOn w:val="1"/>
    <w:qFormat/>
    <w:uiPriority w:val="0"/>
    <w:pPr>
      <w:pBdr>
        <w:bottom w:val="single" w:color="auto" w:sz="4" w:space="1"/>
      </w:pBdr>
    </w:pPr>
    <w:rPr>
      <w:szCs w:val="20"/>
    </w:rPr>
  </w:style>
  <w:style w:type="paragraph" w:customStyle="1" w:styleId="184">
    <w:name w:val="样式9"/>
    <w:basedOn w:val="1"/>
    <w:qFormat/>
    <w:uiPriority w:val="0"/>
    <w:rPr>
      <w:szCs w:val="20"/>
    </w:rPr>
  </w:style>
  <w:style w:type="paragraph" w:customStyle="1" w:styleId="185">
    <w:name w:val="Char2"/>
    <w:basedOn w:val="1"/>
    <w:qFormat/>
    <w:uiPriority w:val="0"/>
  </w:style>
  <w:style w:type="paragraph" w:customStyle="1" w:styleId="186">
    <w:name w:val="图"/>
    <w:basedOn w:val="1"/>
    <w:qFormat/>
    <w:uiPriority w:val="0"/>
    <w:pPr>
      <w:spacing w:before="120" w:beforeLines="50" w:after="240" w:afterLines="100" w:line="360" w:lineRule="auto"/>
      <w:jc w:val="center"/>
    </w:pPr>
    <w:rPr>
      <w:b/>
      <w:szCs w:val="21"/>
    </w:rPr>
  </w:style>
  <w:style w:type="paragraph" w:customStyle="1" w:styleId="18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8">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89">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2">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2"/>
      <w:szCs w:val="22"/>
    </w:rPr>
  </w:style>
  <w:style w:type="paragraph" w:customStyle="1" w:styleId="193">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4">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6">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7">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99">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黑体" w:hAnsi="黑体" w:eastAsia="黑体" w:cs="宋体"/>
      <w:color w:val="000000"/>
      <w:kern w:val="0"/>
      <w:sz w:val="20"/>
      <w:szCs w:val="20"/>
    </w:rPr>
  </w:style>
  <w:style w:type="paragraph" w:customStyle="1" w:styleId="200">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3">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4">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5">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kern w:val="0"/>
      <w:sz w:val="22"/>
      <w:szCs w:val="22"/>
    </w:rPr>
  </w:style>
  <w:style w:type="paragraph" w:customStyle="1" w:styleId="206">
    <w:name w:val="xl10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08">
    <w:name w:val="xl11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1">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3">
    <w:name w:val="xl11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4">
    <w:name w:val="xl11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5">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6">
    <w:name w:val="xl11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7">
    <w:name w:val="Char3"/>
    <w:basedOn w:val="1"/>
    <w:qFormat/>
    <w:uiPriority w:val="0"/>
    <w:pPr>
      <w:widowControl/>
      <w:spacing w:after="160" w:line="240" w:lineRule="exact"/>
      <w:jc w:val="left"/>
    </w:pPr>
    <w:rPr>
      <w:szCs w:val="20"/>
    </w:rPr>
  </w:style>
  <w:style w:type="paragraph" w:customStyle="1" w:styleId="218">
    <w:name w:val="正文缩进2"/>
    <w:basedOn w:val="1"/>
    <w:qFormat/>
    <w:uiPriority w:val="0"/>
    <w:pPr>
      <w:ind w:firstLine="420" w:firstLineChars="200"/>
    </w:pPr>
  </w:style>
  <w:style w:type="paragraph" w:customStyle="1" w:styleId="219">
    <w:name w:val="注释标题1"/>
    <w:basedOn w:val="1"/>
    <w:next w:val="1"/>
    <w:qFormat/>
    <w:uiPriority w:val="0"/>
    <w:pPr>
      <w:jc w:val="center"/>
    </w:pPr>
    <w:rPr>
      <w:rFonts w:ascii="宋体"/>
      <w:szCs w:val="21"/>
    </w:rPr>
  </w:style>
  <w:style w:type="paragraph" w:customStyle="1" w:styleId="220">
    <w:name w:val="正文缩进3"/>
    <w:basedOn w:val="1"/>
    <w:qFormat/>
    <w:uiPriority w:val="0"/>
    <w:pPr>
      <w:ind w:firstLine="420" w:firstLineChars="200"/>
    </w:pPr>
  </w:style>
  <w:style w:type="paragraph" w:customStyle="1" w:styleId="221">
    <w:name w:val="批注主题1"/>
    <w:basedOn w:val="18"/>
    <w:next w:val="18"/>
    <w:qFormat/>
    <w:uiPriority w:val="0"/>
    <w:rPr>
      <w:b/>
      <w:bCs/>
    </w:rPr>
  </w:style>
  <w:style w:type="paragraph" w:customStyle="1" w:styleId="222">
    <w:name w:val="正文缩进4"/>
    <w:basedOn w:val="1"/>
    <w:qFormat/>
    <w:uiPriority w:val="0"/>
    <w:pPr>
      <w:ind w:firstLine="420" w:firstLineChars="200"/>
    </w:pPr>
  </w:style>
  <w:style w:type="paragraph" w:customStyle="1" w:styleId="223">
    <w:name w:val="Char Char4"/>
    <w:basedOn w:val="1"/>
    <w:semiHidden/>
    <w:qFormat/>
    <w:uiPriority w:val="0"/>
    <w:pPr>
      <w:spacing w:line="360" w:lineRule="auto"/>
    </w:pPr>
    <w:rPr>
      <w:sz w:val="24"/>
    </w:rPr>
  </w:style>
  <w:style w:type="character" w:customStyle="1" w:styleId="224">
    <w:name w:val="标题 1 字符"/>
    <w:link w:val="3"/>
    <w:qFormat/>
    <w:uiPriority w:val="0"/>
    <w:rPr>
      <w:kern w:val="2"/>
      <w:sz w:val="28"/>
    </w:rPr>
  </w:style>
  <w:style w:type="character" w:customStyle="1" w:styleId="225">
    <w:name w:val="正文缩进 字符"/>
    <w:link w:val="15"/>
    <w:qFormat/>
    <w:locked/>
    <w:uiPriority w:val="0"/>
    <w:rPr>
      <w:kern w:val="2"/>
      <w:sz w:val="21"/>
      <w:szCs w:val="24"/>
    </w:rPr>
  </w:style>
  <w:style w:type="character" w:customStyle="1" w:styleId="226">
    <w:name w:val="标题 5 字符"/>
    <w:link w:val="7"/>
    <w:qFormat/>
    <w:uiPriority w:val="0"/>
    <w:rPr>
      <w:rFonts w:eastAsia="黑体"/>
      <w:bCs/>
      <w:sz w:val="28"/>
      <w:szCs w:val="28"/>
    </w:rPr>
  </w:style>
  <w:style w:type="character" w:customStyle="1" w:styleId="227">
    <w:name w:val="标题 6 字符"/>
    <w:link w:val="8"/>
    <w:qFormat/>
    <w:uiPriority w:val="0"/>
    <w:rPr>
      <w:rFonts w:eastAsia="黑体"/>
      <w:bCs/>
      <w:sz w:val="28"/>
      <w:szCs w:val="28"/>
    </w:rPr>
  </w:style>
  <w:style w:type="character" w:customStyle="1" w:styleId="228">
    <w:name w:val="标题 8 字符"/>
    <w:link w:val="10"/>
    <w:qFormat/>
    <w:uiPriority w:val="0"/>
    <w:rPr>
      <w:rFonts w:eastAsia="黑体"/>
      <w:sz w:val="28"/>
      <w:szCs w:val="28"/>
    </w:rPr>
  </w:style>
  <w:style w:type="character" w:customStyle="1" w:styleId="229">
    <w:name w:val="标题 9 字符"/>
    <w:link w:val="11"/>
    <w:qFormat/>
    <w:uiPriority w:val="0"/>
    <w:rPr>
      <w:kern w:val="2"/>
      <w:sz w:val="24"/>
      <w:szCs w:val="28"/>
    </w:rPr>
  </w:style>
  <w:style w:type="character" w:customStyle="1" w:styleId="230">
    <w:name w:val="页眉 字符"/>
    <w:link w:val="35"/>
    <w:qFormat/>
    <w:uiPriority w:val="0"/>
    <w:rPr>
      <w:kern w:val="2"/>
      <w:sz w:val="18"/>
      <w:szCs w:val="18"/>
    </w:rPr>
  </w:style>
  <w:style w:type="character" w:customStyle="1" w:styleId="231">
    <w:name w:val="页脚 字符"/>
    <w:link w:val="34"/>
    <w:qFormat/>
    <w:uiPriority w:val="0"/>
    <w:rPr>
      <w:kern w:val="2"/>
      <w:sz w:val="18"/>
      <w:szCs w:val="18"/>
    </w:rPr>
  </w:style>
  <w:style w:type="character" w:customStyle="1" w:styleId="232">
    <w:name w:val="纯文本 字符"/>
    <w:link w:val="28"/>
    <w:qFormat/>
    <w:uiPriority w:val="0"/>
    <w:rPr>
      <w:rFonts w:ascii="宋体" w:hAnsi="Courier New"/>
      <w:kern w:val="2"/>
      <w:sz w:val="21"/>
    </w:rPr>
  </w:style>
  <w:style w:type="character" w:customStyle="1" w:styleId="233">
    <w:name w:val="正文文本 字符"/>
    <w:link w:val="22"/>
    <w:qFormat/>
    <w:uiPriority w:val="0"/>
    <w:rPr>
      <w:kern w:val="2"/>
      <w:sz w:val="21"/>
      <w:szCs w:val="24"/>
    </w:rPr>
  </w:style>
  <w:style w:type="character" w:customStyle="1" w:styleId="234">
    <w:name w:val="表内5 Char"/>
    <w:link w:val="77"/>
    <w:qFormat/>
    <w:uiPriority w:val="0"/>
    <w:rPr>
      <w:rFonts w:ascii="宋体" w:hAnsi="宋体" w:eastAsia="宋体"/>
      <w:sz w:val="21"/>
      <w:szCs w:val="21"/>
      <w:lang w:val="en-US" w:eastAsia="zh-CN" w:bidi="ar-SA"/>
    </w:rPr>
  </w:style>
  <w:style w:type="character" w:customStyle="1" w:styleId="235">
    <w:name w:val="燕山正文 Char"/>
    <w:link w:val="78"/>
    <w:qFormat/>
    <w:uiPriority w:val="0"/>
    <w:rPr>
      <w:rFonts w:ascii="宋体" w:hAnsi="宋体" w:eastAsia="宋体"/>
      <w:color w:val="000000"/>
      <w:kern w:val="2"/>
      <w:sz w:val="28"/>
      <w:szCs w:val="28"/>
      <w:lang w:val="en-US" w:eastAsia="zh-CN" w:bidi="ar-SA"/>
    </w:rPr>
  </w:style>
  <w:style w:type="character" w:customStyle="1" w:styleId="236">
    <w:name w:val="节下项目标题 Char"/>
    <w:link w:val="81"/>
    <w:qFormat/>
    <w:uiPriority w:val="0"/>
    <w:rPr>
      <w:rFonts w:ascii="宋体" w:hAnsi="宋体" w:eastAsia="黑体"/>
      <w:b/>
      <w:kern w:val="2"/>
      <w:sz w:val="28"/>
      <w:szCs w:val="24"/>
      <w:lang w:val="en-US" w:eastAsia="zh-CN" w:bidi="ar-SA"/>
    </w:rPr>
  </w:style>
  <w:style w:type="character" w:customStyle="1" w:styleId="237">
    <w:name w:val="表格标题 Char"/>
    <w:link w:val="83"/>
    <w:qFormat/>
    <w:uiPriority w:val="0"/>
    <w:rPr>
      <w:rFonts w:ascii="宋体" w:hAnsi="宋体" w:eastAsia="宋体"/>
      <w:spacing w:val="20"/>
      <w:kern w:val="2"/>
      <w:sz w:val="24"/>
      <w:lang w:val="en-US" w:eastAsia="zh-CN" w:bidi="ar-SA"/>
    </w:rPr>
  </w:style>
  <w:style w:type="character" w:customStyle="1" w:styleId="238">
    <w:name w:val="批注框文本 字符"/>
    <w:link w:val="33"/>
    <w:qFormat/>
    <w:uiPriority w:val="0"/>
    <w:rPr>
      <w:kern w:val="2"/>
      <w:sz w:val="18"/>
      <w:szCs w:val="18"/>
    </w:rPr>
  </w:style>
  <w:style w:type="character" w:customStyle="1" w:styleId="239">
    <w:name w:val="已访问的超链接1"/>
    <w:qFormat/>
    <w:uiPriority w:val="0"/>
    <w:rPr>
      <w:color w:val="800080"/>
      <w:u w:val="single"/>
    </w:rPr>
  </w:style>
  <w:style w:type="character" w:customStyle="1" w:styleId="240">
    <w:name w:val="p11"/>
    <w:qFormat/>
    <w:uiPriority w:val="0"/>
    <w:rPr>
      <w:sz w:val="18"/>
      <w:szCs w:val="18"/>
    </w:rPr>
  </w:style>
  <w:style w:type="character" w:customStyle="1" w:styleId="241">
    <w:name w:val="注释标题 字符"/>
    <w:link w:val="13"/>
    <w:qFormat/>
    <w:uiPriority w:val="0"/>
    <w:rPr>
      <w:rFonts w:ascii="宋体" w:cs="宋体"/>
      <w:kern w:val="2"/>
      <w:sz w:val="21"/>
      <w:szCs w:val="21"/>
    </w:rPr>
  </w:style>
  <w:style w:type="character" w:customStyle="1" w:styleId="242">
    <w:name w:val="参考文献 黑体 小三 SL CON"/>
    <w:qFormat/>
    <w:uiPriority w:val="0"/>
    <w:rPr>
      <w:rFonts w:ascii="黑体" w:hAnsi="黑体" w:eastAsia="黑体"/>
      <w:sz w:val="30"/>
    </w:rPr>
  </w:style>
  <w:style w:type="character" w:customStyle="1" w:styleId="243">
    <w:name w:val="公式书写 居中 段前: 6 磅 段后: 6 磅 SL CON Char"/>
    <w:link w:val="106"/>
    <w:qFormat/>
    <w:uiPriority w:val="0"/>
    <w:rPr>
      <w:rFonts w:ascii="宋体" w:cs="宋体"/>
      <w:sz w:val="24"/>
    </w:rPr>
  </w:style>
  <w:style w:type="character" w:customStyle="1" w:styleId="244">
    <w:name w:val="公式书写（编号） 居中 段前: 6 磅 段后: 6 磅 SL CON + (符号) 宋体 Char"/>
    <w:link w:val="107"/>
    <w:qFormat/>
    <w:uiPriority w:val="0"/>
  </w:style>
  <w:style w:type="character" w:customStyle="1" w:styleId="245">
    <w:name w:val="style121"/>
    <w:qFormat/>
    <w:uiPriority w:val="0"/>
    <w:rPr>
      <w:rFonts w:hint="default" w:ascii="Arial" w:hAnsi="Arial" w:cs="Arial"/>
      <w:color w:val="333333"/>
      <w:sz w:val="23"/>
      <w:szCs w:val="23"/>
    </w:rPr>
  </w:style>
  <w:style w:type="character" w:customStyle="1" w:styleId="246">
    <w:name w:val="批注文字 字符"/>
    <w:link w:val="18"/>
    <w:qFormat/>
    <w:uiPriority w:val="0"/>
    <w:rPr>
      <w:rFonts w:ascii="宋体"/>
      <w:sz w:val="24"/>
      <w:szCs w:val="24"/>
    </w:rPr>
  </w:style>
  <w:style w:type="character" w:customStyle="1" w:styleId="247">
    <w:name w:val="批注主题 字符"/>
    <w:link w:val="49"/>
    <w:qFormat/>
    <w:uiPriority w:val="0"/>
    <w:rPr>
      <w:rFonts w:ascii="宋体"/>
      <w:b/>
      <w:bCs/>
      <w:sz w:val="24"/>
      <w:szCs w:val="24"/>
    </w:rPr>
  </w:style>
  <w:style w:type="character" w:customStyle="1" w:styleId="248">
    <w:name w:val="apple-style-span"/>
    <w:basedOn w:val="54"/>
    <w:qFormat/>
    <w:uiPriority w:val="0"/>
  </w:style>
  <w:style w:type="character" w:customStyle="1" w:styleId="249">
    <w:name w:val="纯文本 Char1"/>
    <w:qFormat/>
    <w:uiPriority w:val="0"/>
    <w:rPr>
      <w:rFonts w:ascii="宋体" w:hAnsi="Courier New"/>
      <w:kern w:val="2"/>
      <w:sz w:val="21"/>
    </w:rPr>
  </w:style>
  <w:style w:type="character" w:customStyle="1" w:styleId="250">
    <w:name w:val="Job"/>
    <w:basedOn w:val="54"/>
    <w:qFormat/>
    <w:uiPriority w:val="0"/>
  </w:style>
  <w:style w:type="character" w:customStyle="1" w:styleId="251">
    <w:name w:val="Lead-in Emphasis"/>
    <w:qFormat/>
    <w:uiPriority w:val="0"/>
    <w:rPr>
      <w:rFonts w:ascii="Arial" w:hAnsi="Arial"/>
      <w:b/>
      <w:spacing w:val="-8"/>
      <w:sz w:val="18"/>
    </w:rPr>
  </w:style>
  <w:style w:type="character" w:customStyle="1" w:styleId="252">
    <w:name w:val="label1"/>
    <w:basedOn w:val="54"/>
    <w:qFormat/>
    <w:uiPriority w:val="0"/>
  </w:style>
  <w:style w:type="character" w:customStyle="1" w:styleId="253">
    <w:name w:val="zw1"/>
    <w:qFormat/>
    <w:uiPriority w:val="0"/>
    <w:rPr>
      <w:rFonts w:hint="eastAsia" w:ascii="宋体" w:hAnsi="宋体" w:eastAsia="宋体"/>
      <w:sz w:val="22"/>
      <w:szCs w:val="22"/>
    </w:rPr>
  </w:style>
  <w:style w:type="character" w:customStyle="1" w:styleId="254">
    <w:name w:val="zw"/>
    <w:basedOn w:val="54"/>
    <w:qFormat/>
    <w:uiPriority w:val="0"/>
  </w:style>
  <w:style w:type="character" w:customStyle="1" w:styleId="255">
    <w:name w:val="bt21"/>
    <w:qFormat/>
    <w:uiPriority w:val="0"/>
    <w:rPr>
      <w:rFonts w:hint="eastAsia" w:ascii="黑体" w:eastAsia="黑体"/>
      <w:sz w:val="24"/>
      <w:szCs w:val="24"/>
    </w:rPr>
  </w:style>
  <w:style w:type="character" w:customStyle="1" w:styleId="256">
    <w:name w:val="newsitemtext1"/>
    <w:qFormat/>
    <w:uiPriority w:val="0"/>
    <w:rPr>
      <w:color w:val="000000"/>
      <w:sz w:val="28"/>
      <w:szCs w:val="28"/>
    </w:rPr>
  </w:style>
  <w:style w:type="character" w:customStyle="1" w:styleId="257">
    <w:name w:val="text1"/>
    <w:basedOn w:val="54"/>
    <w:qFormat/>
    <w:uiPriority w:val="0"/>
  </w:style>
  <w:style w:type="character" w:customStyle="1" w:styleId="258">
    <w:name w:val="style21"/>
    <w:qFormat/>
    <w:uiPriority w:val="0"/>
    <w:rPr>
      <w:b/>
      <w:bCs/>
      <w:sz w:val="27"/>
      <w:szCs w:val="27"/>
    </w:rPr>
  </w:style>
  <w:style w:type="character" w:customStyle="1" w:styleId="259">
    <w:name w:val="jian1"/>
    <w:basedOn w:val="54"/>
    <w:qFormat/>
    <w:uiPriority w:val="0"/>
  </w:style>
  <w:style w:type="paragraph" w:styleId="260">
    <w:name w:val="List Paragraph"/>
    <w:basedOn w:val="1"/>
    <w:link w:val="269"/>
    <w:qFormat/>
    <w:uiPriority w:val="34"/>
    <w:pPr>
      <w:ind w:firstLine="420" w:firstLineChars="200"/>
    </w:pPr>
    <w:rPr>
      <w:szCs w:val="20"/>
    </w:rPr>
  </w:style>
  <w:style w:type="paragraph" w:customStyle="1" w:styleId="261">
    <w:name w:val="列出段落2"/>
    <w:basedOn w:val="1"/>
    <w:qFormat/>
    <w:uiPriority w:val="34"/>
    <w:pPr>
      <w:ind w:firstLine="420" w:firstLineChars="200"/>
    </w:pPr>
    <w:rPr>
      <w:szCs w:val="20"/>
    </w:rPr>
  </w:style>
  <w:style w:type="character" w:customStyle="1" w:styleId="262">
    <w:name w:val="font01"/>
    <w:qFormat/>
    <w:uiPriority w:val="0"/>
    <w:rPr>
      <w:rFonts w:hint="eastAsia" w:ascii="宋体" w:hAnsi="宋体" w:eastAsia="宋体" w:cs="宋体"/>
      <w:color w:val="000000"/>
      <w:sz w:val="20"/>
      <w:szCs w:val="20"/>
      <w:u w:val="none"/>
    </w:rPr>
  </w:style>
  <w:style w:type="paragraph" w:customStyle="1" w:styleId="263">
    <w:name w:val="Char Char Char Char Char"/>
    <w:basedOn w:val="1"/>
    <w:qFormat/>
    <w:uiPriority w:val="0"/>
  </w:style>
  <w:style w:type="character" w:customStyle="1" w:styleId="264">
    <w:name w:val="Char Char1"/>
    <w:link w:val="68"/>
    <w:qFormat/>
    <w:uiPriority w:val="0"/>
    <w:rPr>
      <w:kern w:val="2"/>
      <w:sz w:val="24"/>
      <w:szCs w:val="24"/>
    </w:rPr>
  </w:style>
  <w:style w:type="paragraph" w:customStyle="1" w:styleId="265">
    <w:name w:val="正文缩进5"/>
    <w:basedOn w:val="1"/>
    <w:link w:val="266"/>
    <w:qFormat/>
    <w:uiPriority w:val="0"/>
    <w:pPr>
      <w:ind w:firstLine="420" w:firstLineChars="200"/>
    </w:pPr>
    <w:rPr>
      <w:lang w:val="zh-CN"/>
    </w:rPr>
  </w:style>
  <w:style w:type="character" w:customStyle="1" w:styleId="266">
    <w:name w:val="正文缩进 Char"/>
    <w:link w:val="265"/>
    <w:qFormat/>
    <w:uiPriority w:val="0"/>
    <w:rPr>
      <w:kern w:val="2"/>
      <w:sz w:val="21"/>
      <w:szCs w:val="24"/>
      <w:lang w:val="zh-CN" w:eastAsia="zh-CN"/>
    </w:rPr>
  </w:style>
  <w:style w:type="paragraph" w:customStyle="1" w:styleId="267">
    <w:name w:val="p0"/>
    <w:basedOn w:val="1"/>
    <w:qFormat/>
    <w:uiPriority w:val="0"/>
    <w:pPr>
      <w:widowControl/>
    </w:pPr>
    <w:rPr>
      <w:rFonts w:ascii="Calibri" w:hAnsi="Calibri" w:cs="Calibri"/>
      <w:kern w:val="0"/>
      <w:szCs w:val="21"/>
    </w:rPr>
  </w:style>
  <w:style w:type="paragraph" w:customStyle="1" w:styleId="268">
    <w:name w:val="p16"/>
    <w:basedOn w:val="1"/>
    <w:qFormat/>
    <w:uiPriority w:val="0"/>
    <w:pPr>
      <w:widowControl/>
      <w:jc w:val="center"/>
    </w:pPr>
    <w:rPr>
      <w:rFonts w:ascii="宋体" w:hAnsi="宋体" w:cs="宋体"/>
      <w:kern w:val="0"/>
      <w:szCs w:val="21"/>
    </w:rPr>
  </w:style>
  <w:style w:type="character" w:customStyle="1" w:styleId="269">
    <w:name w:val="列表段落 字符"/>
    <w:link w:val="260"/>
    <w:qFormat/>
    <w:uiPriority w:val="34"/>
    <w:rPr>
      <w:kern w:val="2"/>
      <w:sz w:val="21"/>
    </w:rPr>
  </w:style>
  <w:style w:type="table" w:customStyle="1" w:styleId="270">
    <w:name w:val="网格型1"/>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1">
    <w:name w:val="Table Paragraph"/>
    <w:basedOn w:val="1"/>
    <w:unhideWhenUsed/>
    <w:qFormat/>
    <w:uiPriority w:val="1"/>
    <w:pPr>
      <w:spacing w:beforeLines="0" w:afterLines="0"/>
    </w:pPr>
    <w:rPr>
      <w:rFonts w:hint="default"/>
      <w:sz w:val="24"/>
      <w:szCs w:val="24"/>
    </w:rPr>
  </w:style>
  <w:style w:type="character" w:customStyle="1" w:styleId="272">
    <w:name w:val="正文样式 Char"/>
    <w:link w:val="2"/>
    <w:qFormat/>
    <w:uiPriority w:val="0"/>
    <w:rPr>
      <w:color w:val="000000"/>
      <w:sz w:val="28"/>
      <w:szCs w:val="28"/>
    </w:rPr>
  </w:style>
  <w:style w:type="character" w:customStyle="1" w:styleId="273">
    <w:name w:val="li_正文 Char"/>
    <w:link w:val="66"/>
    <w:qFormat/>
    <w:uiPriority w:val="0"/>
    <w:rPr>
      <w:kern w:val="2"/>
      <w:sz w:val="28"/>
      <w:szCs w:val="28"/>
    </w:rPr>
  </w:style>
  <w:style w:type="character" w:customStyle="1" w:styleId="274">
    <w:name w:val="Default Char"/>
    <w:link w:val="61"/>
    <w:qFormat/>
    <w:uiPriority w:val="0"/>
    <w:rPr>
      <w:rFonts w:ascii="黑体" w:hAnsi="Calibri" w:eastAsia="黑体" w:cs="黑体"/>
      <w:color w:val="000000"/>
      <w:sz w:val="24"/>
      <w:szCs w:val="24"/>
      <w:lang w:val="en-US" w:eastAsia="zh-CN" w:bidi="ar-SA"/>
    </w:rPr>
  </w:style>
  <w:style w:type="character" w:customStyle="1" w:styleId="275">
    <w:name w:val="Normal Indent1 Char"/>
    <w:link w:val="63"/>
    <w:qFormat/>
    <w:uiPriority w:val="0"/>
  </w:style>
  <w:style w:type="character" w:customStyle="1" w:styleId="276">
    <w:name w:val="标题 Char"/>
    <w:link w:val="48"/>
    <w:qFormat/>
    <w:uiPriority w:val="0"/>
    <w:rPr>
      <w:rFonts w:ascii="宋体" w:hAnsi="Arial" w:cs="Arial"/>
      <w:b/>
      <w:bCs/>
      <w:sz w:val="32"/>
      <w:szCs w:val="18"/>
    </w:rPr>
  </w:style>
  <w:style w:type="character" w:customStyle="1" w:styleId="277">
    <w:name w:val="标题1 Char"/>
    <w:link w:val="62"/>
    <w:qFormat/>
    <w:uiPriority w:val="0"/>
    <w:rPr>
      <w:rFonts w:eastAsia="黑体" w:cs="宋体"/>
      <w:b/>
      <w:kern w:val="44"/>
      <w:sz w:val="32"/>
    </w:rPr>
  </w:style>
  <w:style w:type="character" w:customStyle="1" w:styleId="278">
    <w:name w:val="Char Char Char Char Char Char1 Char Char"/>
    <w:link w:val="84"/>
    <w:qFormat/>
    <w:uiPriority w:val="0"/>
    <w:rPr>
      <w:rFonts w:ascii="Arial" w:hAnsi="Arial" w:eastAsia="Times New Roman" w:cs="Verdana"/>
      <w:b/>
      <w:kern w:val="0"/>
      <w:sz w:val="24"/>
      <w:szCs w:val="20"/>
      <w:lang w:eastAsia="en-US"/>
    </w:rPr>
  </w:style>
  <w:style w:type="paragraph" w:customStyle="1" w:styleId="279">
    <w:name w:val="WordSection1_table_td_p"/>
    <w:basedOn w:val="1"/>
    <w:qFormat/>
    <w:uiPriority w:val="0"/>
    <w:rPr>
      <w:rFonts w:ascii="宋体" w:hAnsi="宋体" w:eastAsia="宋体" w:cs="宋体"/>
      <w:sz w:val="18"/>
      <w:szCs w:val="18"/>
    </w:rPr>
  </w:style>
  <w:style w:type="table" w:customStyle="1" w:styleId="280">
    <w:name w:val="table"/>
    <w:basedOn w:val="52"/>
    <w:qFormat/>
    <w:uiPriority w:val="0"/>
  </w:style>
  <w:style w:type="character" w:customStyle="1" w:styleId="281">
    <w:name w:val="WordSection1_table_td_p_span"/>
    <w:basedOn w:val="54"/>
    <w:qFormat/>
    <w:uiPriority w:val="0"/>
    <w:rPr>
      <w:rFonts w:ascii="宋体" w:hAnsi="宋体" w:eastAsia="宋体" w:cs="宋体"/>
      <w:sz w:val="18"/>
      <w:szCs w:val="18"/>
    </w:rPr>
  </w:style>
  <w:style w:type="character" w:customStyle="1" w:styleId="282">
    <w:name w:val="WordSection1_table_sup"/>
    <w:basedOn w:val="54"/>
    <w:qFormat/>
    <w:uiPriority w:val="0"/>
    <w:rPr>
      <w:rFonts w:ascii="宋体" w:hAnsi="宋体" w:eastAsia="宋体" w:cs="宋体"/>
      <w:color w:val="000000"/>
      <w:sz w:val="12"/>
      <w:szCs w:val="12"/>
    </w:rPr>
  </w:style>
  <w:style w:type="paragraph" w:customStyle="1" w:styleId="283">
    <w:name w:val="+正文"/>
    <w:basedOn w:val="1"/>
    <w:qFormat/>
    <w:uiPriority w:val="0"/>
    <w:pPr>
      <w:spacing w:before="120" w:beforeLines="50" w:line="360" w:lineRule="auto"/>
      <w:ind w:firstLine="560" w:firstLineChars="200"/>
      <w:jc w:val="left"/>
    </w:pPr>
    <w:rPr>
      <w:rFonts w:ascii="Times New Roman" w:hAnsi="Times New Roman" w:cs="Times New Roman"/>
      <w:sz w:val="28"/>
      <w:szCs w:val="28"/>
    </w:rPr>
  </w:style>
  <w:style w:type="character" w:customStyle="1" w:styleId="284">
    <w:name w:val="pic-number-div"/>
    <w:basedOn w:val="54"/>
    <w:qFormat/>
    <w:uiPriority w:val="0"/>
  </w:style>
  <w:style w:type="table" w:customStyle="1" w:styleId="285">
    <w:name w:val="Table Normal"/>
    <w:semiHidden/>
    <w:unhideWhenUsed/>
    <w:qFormat/>
    <w:uiPriority w:val="0"/>
    <w:tblPr>
      <w:tblCellMar>
        <w:top w:w="0" w:type="dxa"/>
        <w:left w:w="0" w:type="dxa"/>
        <w:bottom w:w="0" w:type="dxa"/>
        <w:right w:w="0" w:type="dxa"/>
      </w:tblCellMar>
    </w:tblPr>
  </w:style>
  <w:style w:type="paragraph" w:customStyle="1" w:styleId="286">
    <w:name w:val="111"/>
    <w:basedOn w:val="1"/>
    <w:qFormat/>
    <w:uiPriority w:val="0"/>
    <w:pPr>
      <w:adjustRightInd w:val="0"/>
      <w:spacing w:line="480" w:lineRule="exact"/>
      <w:ind w:left="-54" w:leftChars="-21" w:firstLine="200" w:firstLineChars="200"/>
      <w:jc w:val="left"/>
    </w:pPr>
    <w:rPr>
      <w:rFonts w:eastAsia="仿宋_GB2312"/>
      <w:b/>
      <w:snapToGrid w:val="0"/>
      <w:color w:val="000000"/>
      <w:spacing w:val="8"/>
      <w:kern w:val="0"/>
      <w:sz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1.jpeg"/><Relationship Id="rId26" Type="http://schemas.openxmlformats.org/officeDocument/2006/relationships/image" Target="media/image10.jpeg"/><Relationship Id="rId25" Type="http://schemas.openxmlformats.org/officeDocument/2006/relationships/image" Target="media/image9.jpeg"/><Relationship Id="rId24" Type="http://schemas.openxmlformats.org/officeDocument/2006/relationships/image" Target="media/image8.jpeg"/><Relationship Id="rId23" Type="http://schemas.openxmlformats.org/officeDocument/2006/relationships/image" Target="media/image7.png"/><Relationship Id="rId22" Type="http://schemas.openxmlformats.org/officeDocument/2006/relationships/image" Target="media/image6.png"/><Relationship Id="rId21" Type="http://schemas.openxmlformats.org/officeDocument/2006/relationships/image" Target="media/image5.jpeg"/><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jpeg"/><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800D7E-FFE7-49F9-ACF1-560430CB60D7}">
  <ds:schemaRefs/>
</ds:datastoreItem>
</file>

<file path=docProps/app.xml><?xml version="1.0" encoding="utf-8"?>
<Properties xmlns="http://schemas.openxmlformats.org/officeDocument/2006/extended-properties" xmlns:vt="http://schemas.openxmlformats.org/officeDocument/2006/docPropsVTypes">
  <Template>Normal.dotm</Template>
  <Company>sdip.com</Company>
  <Pages>487</Pages>
  <Words>81308</Words>
  <Characters>95164</Characters>
  <Lines>426</Lines>
  <Paragraphs>119</Paragraphs>
  <TotalTime>0</TotalTime>
  <ScaleCrop>false</ScaleCrop>
  <LinksUpToDate>false</LinksUpToDate>
  <CharactersWithSpaces>97266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2019-01-24T01:24:00Z</dcterms:created>
  <dc:creator>User</dc:creator>
  <cp:lastModifiedBy>邓</cp:lastModifiedBy>
  <cp:lastPrinted>2023-07-14T07:09:00Z</cp:lastPrinted>
  <dcterms:modified xsi:type="dcterms:W3CDTF">2023-08-14T02:41:59Z</dcterms:modified>
  <dc:title>前    言</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5B7B40D90B15499AB0E269C59AF5B757_13</vt:lpwstr>
  </property>
</Properties>
</file>