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88D22" w14:textId="77777777" w:rsidR="003D6A63" w:rsidRDefault="00000000">
      <w:pPr>
        <w:adjustRightInd w:val="0"/>
        <w:spacing w:line="360" w:lineRule="auto"/>
        <w:rPr>
          <w:b/>
          <w:bCs/>
          <w:sz w:val="24"/>
          <w:szCs w:val="20"/>
        </w:rPr>
      </w:pPr>
      <w:r>
        <w:rPr>
          <w:b/>
          <w:bCs/>
          <w:sz w:val="24"/>
          <w:szCs w:val="20"/>
        </w:rPr>
        <w:t>档案编号：</w:t>
      </w:r>
      <w:r>
        <w:rPr>
          <w:rFonts w:hint="eastAsia"/>
          <w:b/>
          <w:bCs/>
          <w:sz w:val="24"/>
          <w:szCs w:val="20"/>
        </w:rPr>
        <w:t>SH-2023-SY-XZPJ-0201</w:t>
      </w:r>
    </w:p>
    <w:p w14:paraId="4FCB36E1" w14:textId="77777777" w:rsidR="003D6A63" w:rsidRDefault="00000000">
      <w:pPr>
        <w:adjustRightInd w:val="0"/>
        <w:spacing w:line="360" w:lineRule="auto"/>
        <w:rPr>
          <w:b/>
          <w:bCs/>
          <w:sz w:val="24"/>
          <w:szCs w:val="20"/>
        </w:rPr>
      </w:pPr>
      <w:r>
        <w:rPr>
          <w:b/>
          <w:bCs/>
          <w:sz w:val="24"/>
          <w:szCs w:val="20"/>
        </w:rPr>
        <w:t>版</w:t>
      </w:r>
      <w:r>
        <w:rPr>
          <w:b/>
          <w:bCs/>
          <w:sz w:val="24"/>
          <w:szCs w:val="20"/>
        </w:rPr>
        <w:t xml:space="preserve">    </w:t>
      </w:r>
      <w:r>
        <w:rPr>
          <w:b/>
          <w:bCs/>
          <w:sz w:val="24"/>
          <w:szCs w:val="20"/>
        </w:rPr>
        <w:t>次：</w:t>
      </w:r>
      <w:r>
        <w:rPr>
          <w:rFonts w:hint="eastAsia"/>
          <w:b/>
          <w:bCs/>
          <w:sz w:val="24"/>
          <w:szCs w:val="20"/>
        </w:rPr>
        <w:t>6</w:t>
      </w:r>
    </w:p>
    <w:p w14:paraId="4205345F" w14:textId="77777777" w:rsidR="003D6A63" w:rsidRDefault="003D6A63">
      <w:pPr>
        <w:rPr>
          <w:b/>
          <w:bCs/>
          <w:sz w:val="44"/>
          <w:szCs w:val="44"/>
        </w:rPr>
      </w:pPr>
    </w:p>
    <w:p w14:paraId="5CB70A29" w14:textId="77777777" w:rsidR="003D6A63" w:rsidRDefault="003D6A63">
      <w:pPr>
        <w:spacing w:line="360" w:lineRule="auto"/>
        <w:jc w:val="center"/>
        <w:rPr>
          <w:b/>
          <w:bCs/>
          <w:sz w:val="44"/>
          <w:szCs w:val="44"/>
        </w:rPr>
      </w:pPr>
    </w:p>
    <w:p w14:paraId="750DA514" w14:textId="77777777" w:rsidR="003D6A63" w:rsidRDefault="00000000">
      <w:pPr>
        <w:pStyle w:val="35"/>
        <w:spacing w:before="0"/>
        <w:ind w:firstLine="0"/>
        <w:jc w:val="center"/>
        <w:rPr>
          <w:rFonts w:ascii="Times New Roman" w:hAnsi="Times New Roman"/>
          <w:b/>
          <w:sz w:val="44"/>
          <w:szCs w:val="44"/>
        </w:rPr>
      </w:pPr>
      <w:r>
        <w:rPr>
          <w:rFonts w:ascii="Times New Roman" w:hAnsi="Times New Roman" w:hint="eastAsia"/>
          <w:b/>
          <w:sz w:val="44"/>
          <w:szCs w:val="44"/>
        </w:rPr>
        <w:t>胜利油田中胜石油开发有限责任公司</w:t>
      </w:r>
    </w:p>
    <w:p w14:paraId="2782D678" w14:textId="77777777" w:rsidR="003D6A63" w:rsidRDefault="00000000">
      <w:pPr>
        <w:pStyle w:val="35"/>
        <w:spacing w:before="0"/>
        <w:ind w:firstLine="0"/>
        <w:jc w:val="center"/>
        <w:rPr>
          <w:rFonts w:ascii="Times New Roman" w:eastAsia="黑体" w:hAnsi="Times New Roman"/>
          <w:b/>
          <w:sz w:val="52"/>
          <w:szCs w:val="52"/>
        </w:rPr>
      </w:pPr>
      <w:r>
        <w:rPr>
          <w:rFonts w:ascii="Times New Roman" w:eastAsia="黑体" w:hAnsi="Times New Roman" w:hint="eastAsia"/>
          <w:b/>
          <w:sz w:val="52"/>
          <w:szCs w:val="52"/>
        </w:rPr>
        <w:t>安全现状评价报告</w:t>
      </w:r>
    </w:p>
    <w:p w14:paraId="616A8A24" w14:textId="77777777" w:rsidR="003D6A63" w:rsidRDefault="003D6A63">
      <w:pPr>
        <w:pStyle w:val="Default"/>
      </w:pPr>
    </w:p>
    <w:p w14:paraId="4F426B08" w14:textId="77777777" w:rsidR="003D6A63" w:rsidRDefault="003D6A63">
      <w:pPr>
        <w:pStyle w:val="affff0"/>
        <w:ind w:firstLineChars="0" w:firstLine="0"/>
        <w:rPr>
          <w:rFonts w:eastAsia="黑体"/>
          <w:b/>
          <w:bCs/>
          <w:kern w:val="0"/>
          <w:sz w:val="28"/>
          <w:szCs w:val="28"/>
        </w:rPr>
      </w:pPr>
    </w:p>
    <w:p w14:paraId="4210F796" w14:textId="77777777" w:rsidR="003D6A63" w:rsidRDefault="003D6A63">
      <w:pPr>
        <w:rPr>
          <w:rFonts w:eastAsia="黑体"/>
          <w:b/>
          <w:bCs/>
          <w:kern w:val="0"/>
          <w:sz w:val="28"/>
          <w:szCs w:val="28"/>
        </w:rPr>
      </w:pPr>
    </w:p>
    <w:p w14:paraId="1FF6FBA1" w14:textId="77777777" w:rsidR="003D6A63" w:rsidRDefault="003D6A63">
      <w:pPr>
        <w:pStyle w:val="Default"/>
        <w:rPr>
          <w:rFonts w:eastAsia="黑体"/>
          <w:b/>
          <w:bCs/>
          <w:sz w:val="28"/>
          <w:szCs w:val="28"/>
        </w:rPr>
      </w:pPr>
    </w:p>
    <w:p w14:paraId="61200390" w14:textId="77777777" w:rsidR="003D6A63" w:rsidRDefault="003D6A63">
      <w:pPr>
        <w:pStyle w:val="Default"/>
        <w:rPr>
          <w:rFonts w:eastAsia="黑体"/>
          <w:b/>
          <w:bCs/>
          <w:sz w:val="28"/>
          <w:szCs w:val="28"/>
        </w:rPr>
      </w:pPr>
    </w:p>
    <w:p w14:paraId="24358E5F" w14:textId="77777777" w:rsidR="003D6A63" w:rsidRDefault="003D6A63">
      <w:pPr>
        <w:pStyle w:val="Default"/>
        <w:rPr>
          <w:rFonts w:eastAsia="黑体"/>
          <w:b/>
          <w:bCs/>
          <w:sz w:val="28"/>
          <w:szCs w:val="28"/>
        </w:rPr>
      </w:pPr>
    </w:p>
    <w:p w14:paraId="35A38AEF" w14:textId="77777777" w:rsidR="003D6A63" w:rsidRDefault="003D6A63">
      <w:pPr>
        <w:pStyle w:val="Default"/>
        <w:rPr>
          <w:rFonts w:eastAsia="黑体"/>
          <w:b/>
          <w:bCs/>
          <w:sz w:val="28"/>
          <w:szCs w:val="28"/>
        </w:rPr>
      </w:pPr>
    </w:p>
    <w:p w14:paraId="5E15C40C" w14:textId="77777777" w:rsidR="003D6A63" w:rsidRDefault="003D6A63">
      <w:pPr>
        <w:pStyle w:val="Default"/>
        <w:rPr>
          <w:rFonts w:eastAsia="黑体"/>
          <w:b/>
          <w:bCs/>
          <w:sz w:val="28"/>
          <w:szCs w:val="28"/>
        </w:rPr>
      </w:pPr>
    </w:p>
    <w:p w14:paraId="040ED64E" w14:textId="77777777" w:rsidR="003D6A63" w:rsidRDefault="003D6A63">
      <w:pPr>
        <w:pStyle w:val="Default"/>
        <w:rPr>
          <w:rFonts w:eastAsia="黑体"/>
          <w:b/>
          <w:bCs/>
          <w:sz w:val="28"/>
          <w:szCs w:val="28"/>
        </w:rPr>
      </w:pPr>
    </w:p>
    <w:p w14:paraId="48402EED" w14:textId="77777777" w:rsidR="003D6A63" w:rsidRDefault="003D6A63">
      <w:pPr>
        <w:pStyle w:val="Default"/>
        <w:rPr>
          <w:rFonts w:eastAsia="黑体"/>
          <w:b/>
          <w:bCs/>
          <w:sz w:val="28"/>
          <w:szCs w:val="28"/>
        </w:rPr>
      </w:pPr>
    </w:p>
    <w:p w14:paraId="6155039A" w14:textId="77777777" w:rsidR="003D6A63" w:rsidRDefault="003D6A63">
      <w:pPr>
        <w:pStyle w:val="Default"/>
        <w:rPr>
          <w:rFonts w:eastAsia="黑体"/>
          <w:b/>
          <w:bCs/>
          <w:sz w:val="28"/>
          <w:szCs w:val="28"/>
        </w:rPr>
      </w:pPr>
    </w:p>
    <w:p w14:paraId="15780C0E" w14:textId="77777777" w:rsidR="003D6A63" w:rsidRDefault="003D6A63">
      <w:pPr>
        <w:pStyle w:val="Default"/>
        <w:rPr>
          <w:rFonts w:eastAsia="黑体"/>
          <w:b/>
          <w:bCs/>
          <w:sz w:val="28"/>
          <w:szCs w:val="28"/>
        </w:rPr>
      </w:pPr>
    </w:p>
    <w:p w14:paraId="39733826" w14:textId="77777777" w:rsidR="003D6A63" w:rsidRDefault="003D6A63">
      <w:pPr>
        <w:pStyle w:val="Default"/>
        <w:rPr>
          <w:rFonts w:eastAsia="黑体"/>
          <w:b/>
          <w:bCs/>
          <w:sz w:val="28"/>
          <w:szCs w:val="28"/>
        </w:rPr>
      </w:pPr>
    </w:p>
    <w:p w14:paraId="143DD316" w14:textId="77777777" w:rsidR="003D6A63" w:rsidRDefault="003D6A63">
      <w:pPr>
        <w:pStyle w:val="Default"/>
        <w:rPr>
          <w:rFonts w:eastAsia="黑体"/>
          <w:b/>
          <w:bCs/>
          <w:sz w:val="28"/>
          <w:szCs w:val="28"/>
        </w:rPr>
      </w:pPr>
    </w:p>
    <w:p w14:paraId="22D7BF32" w14:textId="77777777" w:rsidR="003D6A63" w:rsidRDefault="003D6A63">
      <w:pPr>
        <w:pStyle w:val="Default"/>
        <w:rPr>
          <w:rFonts w:eastAsia="黑体"/>
          <w:b/>
          <w:bCs/>
          <w:sz w:val="28"/>
          <w:szCs w:val="28"/>
        </w:rPr>
      </w:pPr>
    </w:p>
    <w:p w14:paraId="49CEB096" w14:textId="77777777" w:rsidR="003D6A63" w:rsidRDefault="003D6A63">
      <w:pPr>
        <w:pStyle w:val="Default"/>
        <w:rPr>
          <w:rFonts w:eastAsia="黑体"/>
          <w:b/>
          <w:bCs/>
          <w:sz w:val="28"/>
          <w:szCs w:val="28"/>
        </w:rPr>
      </w:pPr>
    </w:p>
    <w:p w14:paraId="19595904" w14:textId="77777777" w:rsidR="003D6A63" w:rsidRDefault="003D6A63">
      <w:pPr>
        <w:pStyle w:val="Default"/>
        <w:rPr>
          <w:rFonts w:eastAsia="黑体"/>
          <w:b/>
          <w:bCs/>
          <w:sz w:val="28"/>
          <w:szCs w:val="28"/>
        </w:rPr>
      </w:pPr>
    </w:p>
    <w:p w14:paraId="13B89EDC" w14:textId="77777777" w:rsidR="003D6A63" w:rsidRDefault="003D6A63">
      <w:pPr>
        <w:pStyle w:val="Default"/>
        <w:rPr>
          <w:rFonts w:eastAsia="黑体"/>
          <w:b/>
          <w:bCs/>
          <w:sz w:val="28"/>
          <w:szCs w:val="28"/>
        </w:rPr>
      </w:pPr>
    </w:p>
    <w:p w14:paraId="2CB31E70" w14:textId="77777777" w:rsidR="003D6A63" w:rsidRDefault="003D6A63">
      <w:pPr>
        <w:adjustRightInd w:val="0"/>
        <w:snapToGrid w:val="0"/>
        <w:jc w:val="center"/>
        <w:rPr>
          <w:b/>
          <w:kern w:val="0"/>
          <w:sz w:val="10"/>
          <w:szCs w:val="44"/>
        </w:rPr>
      </w:pPr>
    </w:p>
    <w:p w14:paraId="6EA37139" w14:textId="77777777" w:rsidR="003D6A63" w:rsidRDefault="003D6A63">
      <w:pPr>
        <w:pStyle w:val="Default"/>
      </w:pPr>
    </w:p>
    <w:p w14:paraId="0F3B7CF0" w14:textId="77777777" w:rsidR="003D6A63" w:rsidRDefault="00000000">
      <w:pPr>
        <w:adjustRightInd w:val="0"/>
        <w:snapToGrid w:val="0"/>
        <w:spacing w:beforeLines="50" w:before="120" w:line="520" w:lineRule="exact"/>
        <w:jc w:val="center"/>
        <w:rPr>
          <w:b/>
          <w:kern w:val="0"/>
          <w:sz w:val="44"/>
          <w:szCs w:val="44"/>
        </w:rPr>
      </w:pPr>
      <w:r>
        <w:rPr>
          <w:rFonts w:hint="eastAsia"/>
          <w:b/>
          <w:kern w:val="0"/>
          <w:sz w:val="44"/>
          <w:szCs w:val="44"/>
        </w:rPr>
        <w:t>山东实华安全技术有限公司</w:t>
      </w:r>
    </w:p>
    <w:p w14:paraId="7834C5F2" w14:textId="77777777" w:rsidR="003D6A63" w:rsidRDefault="00000000">
      <w:pPr>
        <w:adjustRightInd w:val="0"/>
        <w:snapToGrid w:val="0"/>
        <w:spacing w:beforeLines="50" w:before="120" w:line="520" w:lineRule="exact"/>
        <w:jc w:val="center"/>
        <w:rPr>
          <w:b/>
          <w:kern w:val="0"/>
          <w:sz w:val="32"/>
          <w:szCs w:val="32"/>
        </w:rPr>
      </w:pPr>
      <w:r>
        <w:rPr>
          <w:rFonts w:hint="eastAsia"/>
          <w:b/>
          <w:kern w:val="0"/>
          <w:sz w:val="32"/>
          <w:szCs w:val="32"/>
        </w:rPr>
        <w:t>资质证书编号：</w:t>
      </w:r>
      <w:r>
        <w:rPr>
          <w:rFonts w:hint="eastAsia"/>
          <w:b/>
          <w:kern w:val="0"/>
          <w:sz w:val="32"/>
          <w:szCs w:val="32"/>
        </w:rPr>
        <w:t>APJ-</w:t>
      </w:r>
      <w:r>
        <w:rPr>
          <w:rFonts w:hint="eastAsia"/>
          <w:b/>
          <w:kern w:val="0"/>
          <w:sz w:val="32"/>
          <w:szCs w:val="32"/>
        </w:rPr>
        <w:t>（鲁）</w:t>
      </w:r>
      <w:r>
        <w:rPr>
          <w:rFonts w:hint="eastAsia"/>
          <w:b/>
          <w:kern w:val="0"/>
          <w:sz w:val="32"/>
          <w:szCs w:val="32"/>
        </w:rPr>
        <w:t>-013</w:t>
      </w:r>
    </w:p>
    <w:p w14:paraId="1B9ACF0D" w14:textId="77777777" w:rsidR="003D6A63" w:rsidRDefault="00000000">
      <w:pPr>
        <w:spacing w:beforeLines="50" w:before="120" w:line="520" w:lineRule="exact"/>
        <w:jc w:val="center"/>
        <w:rPr>
          <w:b/>
          <w:bCs/>
          <w:sz w:val="32"/>
          <w:szCs w:val="32"/>
        </w:rPr>
        <w:sectPr w:rsidR="003D6A63">
          <w:pgSz w:w="11906" w:h="16838"/>
          <w:pgMar w:top="1417" w:right="1417" w:bottom="1417" w:left="1417" w:header="851" w:footer="851" w:gutter="0"/>
          <w:cols w:space="425"/>
          <w:docGrid w:linePitch="312" w:charSpace="-1489"/>
        </w:sectPr>
      </w:pPr>
      <w:r>
        <w:rPr>
          <w:b/>
          <w:bCs/>
          <w:sz w:val="32"/>
          <w:szCs w:val="32"/>
        </w:rPr>
        <w:t>二〇二</w:t>
      </w:r>
      <w:r>
        <w:rPr>
          <w:rFonts w:hint="eastAsia"/>
          <w:b/>
          <w:bCs/>
          <w:sz w:val="32"/>
          <w:szCs w:val="32"/>
        </w:rPr>
        <w:t>三</w:t>
      </w:r>
      <w:r>
        <w:rPr>
          <w:b/>
          <w:bCs/>
          <w:sz w:val="32"/>
          <w:szCs w:val="32"/>
        </w:rPr>
        <w:t>年</w:t>
      </w:r>
      <w:r>
        <w:rPr>
          <w:rFonts w:hint="eastAsia"/>
          <w:b/>
          <w:bCs/>
          <w:sz w:val="32"/>
          <w:szCs w:val="32"/>
        </w:rPr>
        <w:t>七</w:t>
      </w:r>
      <w:r>
        <w:rPr>
          <w:b/>
          <w:bCs/>
          <w:sz w:val="32"/>
          <w:szCs w:val="32"/>
        </w:rPr>
        <w:t>月</w:t>
      </w:r>
    </w:p>
    <w:p w14:paraId="1D05DC33" w14:textId="77777777" w:rsidR="003D6A63" w:rsidRDefault="003D6A63">
      <w:pPr>
        <w:ind w:firstLine="628"/>
        <w:jc w:val="center"/>
        <w:rPr>
          <w:b/>
          <w:bCs/>
          <w:sz w:val="32"/>
          <w:szCs w:val="32"/>
        </w:rPr>
        <w:sectPr w:rsidR="003D6A63">
          <w:pgSz w:w="11906" w:h="16838"/>
          <w:pgMar w:top="1417" w:right="1417" w:bottom="1417" w:left="1417" w:header="851" w:footer="850" w:gutter="0"/>
          <w:cols w:space="0"/>
          <w:docGrid w:linePitch="312"/>
        </w:sectPr>
      </w:pPr>
    </w:p>
    <w:p w14:paraId="72D71856" w14:textId="77777777" w:rsidR="003D6A63" w:rsidRDefault="003D6A63">
      <w:pPr>
        <w:pStyle w:val="35"/>
        <w:spacing w:before="624" w:after="312"/>
        <w:ind w:firstLine="0"/>
        <w:rPr>
          <w:rFonts w:ascii="Times New Roman" w:hAnsi="Times New Roman"/>
          <w:b/>
          <w:sz w:val="32"/>
          <w:szCs w:val="32"/>
        </w:rPr>
      </w:pPr>
      <w:bookmarkStart w:id="0" w:name="_Toc477265889"/>
      <w:bookmarkStart w:id="1" w:name="_Toc477270344"/>
      <w:bookmarkStart w:id="2" w:name="_Toc477275287"/>
    </w:p>
    <w:p w14:paraId="40CD8710" w14:textId="77777777" w:rsidR="003D6A63" w:rsidRDefault="00000000">
      <w:pPr>
        <w:pStyle w:val="35"/>
        <w:spacing w:before="624" w:after="312"/>
        <w:ind w:firstLine="0"/>
        <w:jc w:val="center"/>
        <w:rPr>
          <w:rFonts w:ascii="Times New Roman" w:hAnsi="Times New Roman"/>
          <w:b/>
          <w:sz w:val="32"/>
          <w:szCs w:val="32"/>
        </w:rPr>
      </w:pPr>
      <w:r>
        <w:rPr>
          <w:rFonts w:ascii="Times New Roman" w:hAnsi="Times New Roman" w:hint="eastAsia"/>
          <w:b/>
          <w:bCs/>
          <w:kern w:val="0"/>
          <w:sz w:val="32"/>
          <w:szCs w:val="32"/>
        </w:rPr>
        <w:t>胜利油田中胜石油开发有限责任公司</w:t>
      </w:r>
    </w:p>
    <w:p w14:paraId="27C35957" w14:textId="77777777" w:rsidR="003D6A63" w:rsidRDefault="00000000">
      <w:pPr>
        <w:pStyle w:val="35"/>
        <w:spacing w:before="0"/>
        <w:ind w:firstLine="0"/>
        <w:jc w:val="center"/>
        <w:rPr>
          <w:rFonts w:ascii="Times New Roman" w:hAnsi="Times New Roman"/>
          <w:b/>
          <w:bCs/>
          <w:kern w:val="0"/>
          <w:sz w:val="44"/>
          <w:szCs w:val="44"/>
        </w:rPr>
      </w:pPr>
      <w:r>
        <w:rPr>
          <w:rFonts w:ascii="Times New Roman" w:hAnsi="Times New Roman" w:hint="eastAsia"/>
          <w:b/>
          <w:bCs/>
          <w:kern w:val="0"/>
          <w:sz w:val="44"/>
          <w:szCs w:val="44"/>
        </w:rPr>
        <w:t>安全现状评价报告</w:t>
      </w:r>
    </w:p>
    <w:p w14:paraId="0C4720FF" w14:textId="77777777" w:rsidR="003D6A63" w:rsidRDefault="003D6A63">
      <w:pPr>
        <w:widowControl/>
        <w:spacing w:line="360" w:lineRule="auto"/>
        <w:jc w:val="center"/>
        <w:rPr>
          <w:kern w:val="0"/>
          <w:sz w:val="28"/>
          <w:szCs w:val="28"/>
        </w:rPr>
      </w:pPr>
    </w:p>
    <w:p w14:paraId="1FC98791" w14:textId="77777777" w:rsidR="003D6A63" w:rsidRDefault="003D6A63">
      <w:pPr>
        <w:widowControl/>
        <w:spacing w:line="360" w:lineRule="auto"/>
        <w:jc w:val="center"/>
        <w:rPr>
          <w:kern w:val="0"/>
          <w:sz w:val="28"/>
          <w:szCs w:val="28"/>
        </w:rPr>
      </w:pPr>
    </w:p>
    <w:p w14:paraId="1162909B" w14:textId="77777777" w:rsidR="003D6A63" w:rsidRDefault="003D6A63">
      <w:pPr>
        <w:widowControl/>
        <w:spacing w:line="360" w:lineRule="auto"/>
        <w:jc w:val="center"/>
        <w:rPr>
          <w:kern w:val="0"/>
          <w:sz w:val="28"/>
          <w:szCs w:val="28"/>
        </w:rPr>
      </w:pPr>
    </w:p>
    <w:p w14:paraId="0D52565D" w14:textId="77777777" w:rsidR="003D6A63" w:rsidRDefault="003D6A63">
      <w:pPr>
        <w:widowControl/>
        <w:spacing w:line="360" w:lineRule="auto"/>
        <w:jc w:val="center"/>
        <w:rPr>
          <w:kern w:val="0"/>
          <w:sz w:val="28"/>
          <w:szCs w:val="28"/>
        </w:rPr>
      </w:pPr>
    </w:p>
    <w:p w14:paraId="2AC7EF46" w14:textId="77777777" w:rsidR="003D6A63" w:rsidRDefault="003D6A63">
      <w:pPr>
        <w:pStyle w:val="Default"/>
        <w:rPr>
          <w:sz w:val="28"/>
          <w:szCs w:val="28"/>
        </w:rPr>
      </w:pPr>
    </w:p>
    <w:p w14:paraId="533320D4" w14:textId="77777777" w:rsidR="003D6A63" w:rsidRDefault="003D6A63">
      <w:pPr>
        <w:pStyle w:val="Default"/>
        <w:rPr>
          <w:sz w:val="28"/>
          <w:szCs w:val="28"/>
        </w:rPr>
      </w:pPr>
    </w:p>
    <w:p w14:paraId="6B7F3B08" w14:textId="77777777" w:rsidR="003D6A63" w:rsidRDefault="003D6A63">
      <w:pPr>
        <w:pStyle w:val="Default"/>
        <w:rPr>
          <w:sz w:val="28"/>
          <w:szCs w:val="28"/>
        </w:rPr>
      </w:pPr>
    </w:p>
    <w:tbl>
      <w:tblPr>
        <w:tblW w:w="1976" w:type="pct"/>
        <w:jc w:val="center"/>
        <w:tblCellMar>
          <w:left w:w="0" w:type="dxa"/>
          <w:right w:w="0" w:type="dxa"/>
        </w:tblCellMar>
        <w:tblLook w:val="04A0" w:firstRow="1" w:lastRow="0" w:firstColumn="1" w:lastColumn="0" w:noHBand="0" w:noVBand="1"/>
      </w:tblPr>
      <w:tblGrid>
        <w:gridCol w:w="1679"/>
        <w:gridCol w:w="1906"/>
      </w:tblGrid>
      <w:tr w:rsidR="003D6A63" w14:paraId="43147368" w14:textId="77777777">
        <w:trPr>
          <w:trHeight w:val="567"/>
          <w:jc w:val="center"/>
        </w:trPr>
        <w:tc>
          <w:tcPr>
            <w:tcW w:w="1697" w:type="dxa"/>
            <w:shd w:val="clear" w:color="auto" w:fill="auto"/>
            <w:vAlign w:val="center"/>
          </w:tcPr>
          <w:p w14:paraId="0B088FD4" w14:textId="77777777" w:rsidR="003D6A63" w:rsidRDefault="00000000">
            <w:pPr>
              <w:adjustRightInd w:val="0"/>
              <w:snapToGrid w:val="0"/>
              <w:jc w:val="center"/>
              <w:rPr>
                <w:kern w:val="0"/>
                <w:sz w:val="28"/>
                <w:szCs w:val="28"/>
              </w:rPr>
            </w:pPr>
            <w:r>
              <w:rPr>
                <w:kern w:val="0"/>
                <w:sz w:val="28"/>
                <w:szCs w:val="28"/>
              </w:rPr>
              <w:t>法定代表人：</w:t>
            </w:r>
          </w:p>
        </w:tc>
        <w:tc>
          <w:tcPr>
            <w:tcW w:w="1932" w:type="dxa"/>
            <w:shd w:val="clear" w:color="auto" w:fill="auto"/>
            <w:vAlign w:val="center"/>
          </w:tcPr>
          <w:p w14:paraId="62827D79" w14:textId="77777777" w:rsidR="003D6A63" w:rsidRDefault="00000000">
            <w:pPr>
              <w:adjustRightInd w:val="0"/>
              <w:snapToGrid w:val="0"/>
              <w:jc w:val="center"/>
              <w:rPr>
                <w:kern w:val="0"/>
                <w:sz w:val="28"/>
                <w:szCs w:val="28"/>
              </w:rPr>
            </w:pPr>
            <w:r>
              <w:rPr>
                <w:rFonts w:hint="eastAsia"/>
                <w:kern w:val="0"/>
                <w:sz w:val="28"/>
                <w:szCs w:val="28"/>
              </w:rPr>
              <w:t>任红艳</w:t>
            </w:r>
          </w:p>
        </w:tc>
      </w:tr>
      <w:tr w:rsidR="003D6A63" w14:paraId="3B97AB20" w14:textId="77777777">
        <w:trPr>
          <w:trHeight w:val="567"/>
          <w:jc w:val="center"/>
        </w:trPr>
        <w:tc>
          <w:tcPr>
            <w:tcW w:w="1697" w:type="dxa"/>
            <w:shd w:val="clear" w:color="auto" w:fill="auto"/>
            <w:vAlign w:val="center"/>
          </w:tcPr>
          <w:p w14:paraId="029C3E91" w14:textId="77777777" w:rsidR="003D6A63" w:rsidRDefault="00000000">
            <w:pPr>
              <w:adjustRightInd w:val="0"/>
              <w:snapToGrid w:val="0"/>
              <w:jc w:val="center"/>
              <w:rPr>
                <w:kern w:val="0"/>
                <w:sz w:val="28"/>
                <w:szCs w:val="28"/>
              </w:rPr>
            </w:pPr>
            <w:r>
              <w:rPr>
                <w:kern w:val="0"/>
                <w:sz w:val="28"/>
                <w:szCs w:val="28"/>
              </w:rPr>
              <w:t>技术负责人：</w:t>
            </w:r>
          </w:p>
        </w:tc>
        <w:tc>
          <w:tcPr>
            <w:tcW w:w="1932" w:type="dxa"/>
            <w:shd w:val="clear" w:color="auto" w:fill="auto"/>
            <w:vAlign w:val="center"/>
          </w:tcPr>
          <w:p w14:paraId="3F18F5BA" w14:textId="77777777" w:rsidR="003D6A63" w:rsidRDefault="00000000">
            <w:pPr>
              <w:adjustRightInd w:val="0"/>
              <w:snapToGrid w:val="0"/>
              <w:jc w:val="center"/>
              <w:rPr>
                <w:kern w:val="0"/>
                <w:sz w:val="28"/>
                <w:szCs w:val="28"/>
              </w:rPr>
            </w:pPr>
            <w:r>
              <w:rPr>
                <w:rFonts w:hint="eastAsia"/>
                <w:kern w:val="0"/>
                <w:sz w:val="28"/>
                <w:szCs w:val="28"/>
              </w:rPr>
              <w:t>安风菊</w:t>
            </w:r>
          </w:p>
        </w:tc>
      </w:tr>
      <w:tr w:rsidR="003D6A63" w14:paraId="37F1FAB9" w14:textId="77777777">
        <w:trPr>
          <w:trHeight w:val="567"/>
          <w:jc w:val="center"/>
        </w:trPr>
        <w:tc>
          <w:tcPr>
            <w:tcW w:w="1697" w:type="dxa"/>
            <w:shd w:val="clear" w:color="auto" w:fill="auto"/>
            <w:vAlign w:val="center"/>
          </w:tcPr>
          <w:p w14:paraId="448CD134" w14:textId="77777777" w:rsidR="003D6A63" w:rsidRDefault="00000000">
            <w:pPr>
              <w:adjustRightInd w:val="0"/>
              <w:snapToGrid w:val="0"/>
              <w:jc w:val="center"/>
              <w:rPr>
                <w:kern w:val="0"/>
                <w:sz w:val="28"/>
                <w:szCs w:val="28"/>
              </w:rPr>
            </w:pPr>
            <w:r>
              <w:rPr>
                <w:kern w:val="0"/>
                <w:sz w:val="28"/>
                <w:szCs w:val="28"/>
              </w:rPr>
              <w:t>项目负责人：</w:t>
            </w:r>
          </w:p>
        </w:tc>
        <w:tc>
          <w:tcPr>
            <w:tcW w:w="1932" w:type="dxa"/>
            <w:shd w:val="clear" w:color="auto" w:fill="auto"/>
            <w:vAlign w:val="center"/>
          </w:tcPr>
          <w:p w14:paraId="694284EA" w14:textId="77777777" w:rsidR="003D6A63" w:rsidRDefault="00000000">
            <w:pPr>
              <w:adjustRightInd w:val="0"/>
              <w:snapToGrid w:val="0"/>
              <w:jc w:val="center"/>
              <w:rPr>
                <w:kern w:val="0"/>
                <w:sz w:val="28"/>
                <w:szCs w:val="28"/>
              </w:rPr>
            </w:pPr>
            <w:r>
              <w:rPr>
                <w:rFonts w:hint="eastAsia"/>
                <w:kern w:val="0"/>
                <w:sz w:val="28"/>
                <w:szCs w:val="28"/>
              </w:rPr>
              <w:t>杨志刚</w:t>
            </w:r>
          </w:p>
        </w:tc>
      </w:tr>
    </w:tbl>
    <w:p w14:paraId="592C4C65" w14:textId="77777777" w:rsidR="003D6A63" w:rsidRDefault="003D6A63">
      <w:pPr>
        <w:widowControl/>
        <w:spacing w:line="360" w:lineRule="auto"/>
        <w:jc w:val="center"/>
        <w:rPr>
          <w:kern w:val="0"/>
          <w:sz w:val="28"/>
          <w:szCs w:val="28"/>
        </w:rPr>
      </w:pPr>
    </w:p>
    <w:p w14:paraId="137B9995" w14:textId="77777777" w:rsidR="003D6A63" w:rsidRDefault="003D6A63">
      <w:pPr>
        <w:widowControl/>
        <w:spacing w:line="360" w:lineRule="auto"/>
        <w:jc w:val="center"/>
        <w:rPr>
          <w:kern w:val="0"/>
          <w:sz w:val="28"/>
          <w:szCs w:val="28"/>
        </w:rPr>
      </w:pPr>
    </w:p>
    <w:p w14:paraId="07BFA945" w14:textId="77777777" w:rsidR="003D6A63" w:rsidRDefault="003D6A63">
      <w:pPr>
        <w:widowControl/>
        <w:spacing w:line="360" w:lineRule="auto"/>
        <w:jc w:val="center"/>
        <w:rPr>
          <w:kern w:val="0"/>
          <w:sz w:val="28"/>
          <w:szCs w:val="28"/>
        </w:rPr>
      </w:pPr>
    </w:p>
    <w:p w14:paraId="5ECD821F" w14:textId="77777777" w:rsidR="003D6A63" w:rsidRDefault="003D6A63">
      <w:pPr>
        <w:widowControl/>
        <w:spacing w:line="360" w:lineRule="auto"/>
        <w:jc w:val="center"/>
        <w:rPr>
          <w:kern w:val="0"/>
          <w:sz w:val="28"/>
          <w:szCs w:val="28"/>
        </w:rPr>
      </w:pPr>
    </w:p>
    <w:p w14:paraId="0D05D919" w14:textId="77777777" w:rsidR="003D6A63" w:rsidRDefault="003D6A63">
      <w:pPr>
        <w:adjustRightInd w:val="0"/>
        <w:snapToGrid w:val="0"/>
        <w:spacing w:line="360" w:lineRule="auto"/>
        <w:jc w:val="center"/>
        <w:rPr>
          <w:b/>
          <w:kern w:val="0"/>
        </w:rPr>
      </w:pPr>
    </w:p>
    <w:p w14:paraId="346654E5" w14:textId="77777777" w:rsidR="003D6A63" w:rsidRDefault="003D6A63">
      <w:pPr>
        <w:adjustRightInd w:val="0"/>
        <w:snapToGrid w:val="0"/>
        <w:spacing w:line="360" w:lineRule="auto"/>
        <w:jc w:val="center"/>
        <w:rPr>
          <w:b/>
          <w:kern w:val="0"/>
        </w:rPr>
      </w:pPr>
    </w:p>
    <w:p w14:paraId="54D3B39A" w14:textId="77777777" w:rsidR="003D6A63" w:rsidRDefault="003D6A63">
      <w:pPr>
        <w:adjustRightInd w:val="0"/>
        <w:snapToGrid w:val="0"/>
        <w:spacing w:line="360" w:lineRule="auto"/>
        <w:jc w:val="center"/>
        <w:rPr>
          <w:b/>
          <w:kern w:val="0"/>
        </w:rPr>
      </w:pPr>
    </w:p>
    <w:p w14:paraId="589DEFB0" w14:textId="77777777" w:rsidR="003D6A63" w:rsidRDefault="003D6A63">
      <w:pPr>
        <w:adjustRightInd w:val="0"/>
        <w:snapToGrid w:val="0"/>
        <w:spacing w:line="360" w:lineRule="auto"/>
        <w:jc w:val="center"/>
        <w:rPr>
          <w:b/>
          <w:kern w:val="0"/>
        </w:rPr>
      </w:pPr>
    </w:p>
    <w:p w14:paraId="3E011D7C" w14:textId="77777777" w:rsidR="003D6A63" w:rsidRDefault="003D6A63">
      <w:pPr>
        <w:adjustRightInd w:val="0"/>
        <w:snapToGrid w:val="0"/>
        <w:spacing w:line="360" w:lineRule="auto"/>
        <w:rPr>
          <w:b/>
          <w:kern w:val="0"/>
        </w:rPr>
      </w:pPr>
    </w:p>
    <w:p w14:paraId="4BD50320" w14:textId="77777777" w:rsidR="003D6A63" w:rsidRDefault="003D6A63">
      <w:pPr>
        <w:adjustRightInd w:val="0"/>
        <w:snapToGrid w:val="0"/>
        <w:spacing w:line="360" w:lineRule="auto"/>
        <w:rPr>
          <w:b/>
          <w:kern w:val="0"/>
        </w:rPr>
      </w:pPr>
    </w:p>
    <w:p w14:paraId="45E5BDBD" w14:textId="77777777" w:rsidR="003D6A63" w:rsidRDefault="00000000">
      <w:pPr>
        <w:adjustRightInd w:val="0"/>
        <w:snapToGrid w:val="0"/>
        <w:spacing w:line="360" w:lineRule="auto"/>
        <w:jc w:val="center"/>
        <w:rPr>
          <w:b/>
          <w:kern w:val="0"/>
          <w:sz w:val="24"/>
        </w:rPr>
        <w:sectPr w:rsidR="003D6A63">
          <w:pgSz w:w="11906" w:h="16838"/>
          <w:pgMar w:top="1417" w:right="1417" w:bottom="1417" w:left="1417" w:header="851" w:footer="851" w:gutter="0"/>
          <w:cols w:space="425"/>
          <w:docGrid w:linePitch="312" w:charSpace="-1489"/>
        </w:sectPr>
      </w:pPr>
      <w:r>
        <w:rPr>
          <w:rFonts w:hint="eastAsia"/>
          <w:b/>
          <w:kern w:val="0"/>
        </w:rPr>
        <w:t>报告完成日期：</w:t>
      </w:r>
      <w:r>
        <w:rPr>
          <w:rFonts w:hint="eastAsia"/>
          <w:b/>
          <w:kern w:val="0"/>
          <w:sz w:val="24"/>
        </w:rPr>
        <w:t>2023</w:t>
      </w:r>
      <w:r>
        <w:rPr>
          <w:rFonts w:hint="eastAsia"/>
          <w:b/>
          <w:kern w:val="0"/>
          <w:sz w:val="24"/>
        </w:rPr>
        <w:t>年</w:t>
      </w:r>
      <w:r>
        <w:rPr>
          <w:rFonts w:hint="eastAsia"/>
          <w:b/>
          <w:kern w:val="0"/>
          <w:sz w:val="24"/>
        </w:rPr>
        <w:t>7</w:t>
      </w:r>
      <w:r>
        <w:rPr>
          <w:rFonts w:hint="eastAsia"/>
          <w:b/>
          <w:kern w:val="0"/>
          <w:sz w:val="24"/>
        </w:rPr>
        <w:t>月</w:t>
      </w:r>
    </w:p>
    <w:p w14:paraId="19ACD0B5" w14:textId="77777777" w:rsidR="003D6A63" w:rsidRDefault="003D6A63">
      <w:pPr>
        <w:autoSpaceDE w:val="0"/>
        <w:autoSpaceDN w:val="0"/>
        <w:adjustRightInd w:val="0"/>
        <w:spacing w:line="360" w:lineRule="auto"/>
        <w:ind w:right="482" w:firstLineChars="200" w:firstLine="723"/>
        <w:jc w:val="center"/>
        <w:rPr>
          <w:b/>
          <w:sz w:val="36"/>
          <w:szCs w:val="36"/>
        </w:rPr>
        <w:sectPr w:rsidR="003D6A63">
          <w:pgSz w:w="11906" w:h="16838"/>
          <w:pgMar w:top="1417" w:right="1417" w:bottom="1417" w:left="1417" w:header="851" w:footer="851" w:gutter="0"/>
          <w:cols w:space="425"/>
          <w:docGrid w:linePitch="312" w:charSpace="-1489"/>
        </w:sectPr>
      </w:pPr>
    </w:p>
    <w:p w14:paraId="02C55A21" w14:textId="77777777" w:rsidR="003D6A63" w:rsidRDefault="00000000">
      <w:pPr>
        <w:adjustRightInd w:val="0"/>
        <w:spacing w:beforeLines="100" w:before="240" w:afterLines="100" w:after="240" w:line="360" w:lineRule="auto"/>
        <w:jc w:val="center"/>
        <w:rPr>
          <w:rFonts w:ascii="黑体" w:eastAsia="黑体" w:hAnsi="黑体"/>
          <w:sz w:val="32"/>
          <w:szCs w:val="32"/>
        </w:rPr>
      </w:pPr>
      <w:bookmarkStart w:id="3" w:name="_Toc20819"/>
      <w:bookmarkStart w:id="4" w:name="_Toc9555"/>
      <w:r>
        <w:rPr>
          <w:rFonts w:ascii="黑体" w:eastAsia="黑体" w:hAnsi="黑体"/>
          <w:sz w:val="32"/>
          <w:szCs w:val="32"/>
        </w:rPr>
        <w:lastRenderedPageBreak/>
        <w:t>前</w:t>
      </w:r>
      <w:r>
        <w:rPr>
          <w:rFonts w:ascii="黑体" w:eastAsia="黑体" w:hAnsi="黑体" w:hint="eastAsia"/>
          <w:sz w:val="32"/>
          <w:szCs w:val="32"/>
        </w:rPr>
        <w:t xml:space="preserve">  </w:t>
      </w:r>
      <w:r>
        <w:rPr>
          <w:rFonts w:ascii="黑体" w:eastAsia="黑体" w:hAnsi="黑体"/>
          <w:sz w:val="32"/>
          <w:szCs w:val="32"/>
        </w:rPr>
        <w:t>言</w:t>
      </w:r>
      <w:bookmarkEnd w:id="0"/>
      <w:bookmarkEnd w:id="1"/>
      <w:bookmarkEnd w:id="2"/>
      <w:bookmarkEnd w:id="3"/>
      <w:bookmarkEnd w:id="4"/>
    </w:p>
    <w:p w14:paraId="681F4494" w14:textId="77777777" w:rsidR="003D6A63" w:rsidRDefault="00000000">
      <w:pPr>
        <w:adjustRightInd w:val="0"/>
        <w:snapToGrid w:val="0"/>
        <w:spacing w:line="360" w:lineRule="auto"/>
        <w:ind w:firstLineChars="200" w:firstLine="480"/>
        <w:rPr>
          <w:sz w:val="24"/>
        </w:rPr>
      </w:pPr>
      <w:r>
        <w:rPr>
          <w:rFonts w:hint="eastAsia"/>
          <w:sz w:val="24"/>
        </w:rPr>
        <w:t>胜利油田中胜石油开发有限责任公司（以下简称“中胜公司”）成立于</w:t>
      </w:r>
      <w:r>
        <w:rPr>
          <w:rFonts w:hint="eastAsia"/>
          <w:sz w:val="24"/>
        </w:rPr>
        <w:t>1998</w:t>
      </w:r>
      <w:r>
        <w:rPr>
          <w:rFonts w:hint="eastAsia"/>
          <w:sz w:val="24"/>
        </w:rPr>
        <w:t>年</w:t>
      </w:r>
      <w:r>
        <w:rPr>
          <w:rFonts w:hint="eastAsia"/>
          <w:sz w:val="24"/>
        </w:rPr>
        <w:t>6</w:t>
      </w:r>
      <w:r>
        <w:rPr>
          <w:rFonts w:hint="eastAsia"/>
          <w:sz w:val="24"/>
        </w:rPr>
        <w:t>月</w:t>
      </w:r>
      <w:r>
        <w:rPr>
          <w:rFonts w:hint="eastAsia"/>
          <w:sz w:val="24"/>
        </w:rPr>
        <w:t>11</w:t>
      </w:r>
      <w:r>
        <w:rPr>
          <w:rFonts w:hint="eastAsia"/>
          <w:sz w:val="24"/>
        </w:rPr>
        <w:t>日，</w:t>
      </w:r>
      <w:r>
        <w:rPr>
          <w:sz w:val="24"/>
          <w:lang w:val="zh-CN"/>
        </w:rPr>
        <w:t>住所位于山东省东营市东营区</w:t>
      </w:r>
      <w:r>
        <w:rPr>
          <w:rFonts w:hint="eastAsia"/>
          <w:sz w:val="24"/>
        </w:rPr>
        <w:t>西四路</w:t>
      </w:r>
      <w:r>
        <w:rPr>
          <w:rFonts w:hint="eastAsia"/>
          <w:sz w:val="24"/>
        </w:rPr>
        <w:t>600</w:t>
      </w:r>
      <w:r>
        <w:rPr>
          <w:sz w:val="24"/>
          <w:lang w:val="zh-CN"/>
        </w:rPr>
        <w:t>号；公司法定代表人：</w:t>
      </w:r>
      <w:r>
        <w:rPr>
          <w:rFonts w:hint="eastAsia"/>
          <w:sz w:val="24"/>
        </w:rPr>
        <w:t>刘青峰</w:t>
      </w:r>
      <w:r>
        <w:rPr>
          <w:sz w:val="24"/>
          <w:lang w:val="zh-CN"/>
        </w:rPr>
        <w:t>；注册资本：</w:t>
      </w:r>
      <w:r>
        <w:rPr>
          <w:rFonts w:hint="eastAsia"/>
          <w:sz w:val="24"/>
        </w:rPr>
        <w:t>伍仟</w:t>
      </w:r>
      <w:r>
        <w:rPr>
          <w:sz w:val="24"/>
          <w:lang w:val="zh-CN"/>
        </w:rPr>
        <w:t>万元整。主要经营范围包括</w:t>
      </w:r>
      <w:r>
        <w:rPr>
          <w:rFonts w:hint="eastAsia"/>
          <w:sz w:val="24"/>
        </w:rPr>
        <w:t>难动用储量、远边井、石油技术开发；石油机械、机电产品（不含汽车）、油气化工产品（不含危险品）销售</w:t>
      </w:r>
      <w:r>
        <w:rPr>
          <w:sz w:val="24"/>
          <w:lang w:val="zh-CN"/>
        </w:rPr>
        <w:t>。</w:t>
      </w:r>
      <w:r>
        <w:rPr>
          <w:sz w:val="24"/>
        </w:rPr>
        <w:t>（依法须经批准的项目，经相关部门批准后方可开展经营活动）。</w:t>
      </w:r>
    </w:p>
    <w:p w14:paraId="1296E27F" w14:textId="77777777" w:rsidR="003D6A63" w:rsidRDefault="00000000">
      <w:pPr>
        <w:adjustRightInd w:val="0"/>
        <w:snapToGrid w:val="0"/>
        <w:spacing w:line="360" w:lineRule="auto"/>
        <w:ind w:firstLineChars="200" w:firstLine="480"/>
        <w:rPr>
          <w:sz w:val="24"/>
          <w:lang w:val="zh-CN"/>
        </w:rPr>
      </w:pPr>
      <w:r>
        <w:rPr>
          <w:rFonts w:hint="eastAsia"/>
          <w:sz w:val="24"/>
        </w:rPr>
        <w:t>中胜公司于</w:t>
      </w:r>
      <w:r>
        <w:rPr>
          <w:rFonts w:hint="eastAsia"/>
          <w:sz w:val="24"/>
        </w:rPr>
        <w:t>2017</w:t>
      </w:r>
      <w:r>
        <w:rPr>
          <w:rFonts w:hint="eastAsia"/>
          <w:sz w:val="24"/>
        </w:rPr>
        <w:t>年</w:t>
      </w:r>
      <w:r>
        <w:rPr>
          <w:rFonts w:hint="eastAsia"/>
          <w:sz w:val="24"/>
        </w:rPr>
        <w:t>8</w:t>
      </w:r>
      <w:r>
        <w:rPr>
          <w:rFonts w:hint="eastAsia"/>
          <w:sz w:val="24"/>
        </w:rPr>
        <w:t>月</w:t>
      </w:r>
      <w:r>
        <w:rPr>
          <w:rFonts w:hint="eastAsia"/>
          <w:sz w:val="24"/>
        </w:rPr>
        <w:t>6</w:t>
      </w:r>
      <w:r>
        <w:rPr>
          <w:rFonts w:hint="eastAsia"/>
          <w:sz w:val="24"/>
        </w:rPr>
        <w:t>日取得</w:t>
      </w:r>
      <w:r>
        <w:rPr>
          <w:rFonts w:hint="eastAsia"/>
          <w:sz w:val="24"/>
          <w:lang w:val="zh-CN"/>
        </w:rPr>
        <w:t>山东省安全生产监督管理局颁发的《安全生产许可证》，于</w:t>
      </w:r>
      <w:r>
        <w:rPr>
          <w:rFonts w:hint="eastAsia"/>
          <w:sz w:val="24"/>
        </w:rPr>
        <w:t>2020</w:t>
      </w:r>
      <w:r>
        <w:rPr>
          <w:rFonts w:hint="eastAsia"/>
          <w:sz w:val="24"/>
          <w:lang w:val="zh-CN"/>
        </w:rPr>
        <w:t>年</w:t>
      </w:r>
      <w:r>
        <w:rPr>
          <w:rFonts w:hint="eastAsia"/>
          <w:sz w:val="24"/>
        </w:rPr>
        <w:t>延期换证</w:t>
      </w:r>
      <w:r>
        <w:rPr>
          <w:rFonts w:hint="eastAsia"/>
          <w:sz w:val="24"/>
          <w:lang w:val="zh-CN"/>
        </w:rPr>
        <w:t>。</w:t>
      </w:r>
      <w:r>
        <w:rPr>
          <w:rFonts w:hint="eastAsia"/>
          <w:sz w:val="24"/>
        </w:rPr>
        <w:t>2020</w:t>
      </w:r>
      <w:r>
        <w:rPr>
          <w:rFonts w:hint="eastAsia"/>
          <w:sz w:val="24"/>
          <w:lang w:val="zh-CN"/>
        </w:rPr>
        <w:t>年批准的《安全生产许可证》编号为：（鲁）</w:t>
      </w:r>
      <w:r>
        <w:rPr>
          <w:rFonts w:hint="eastAsia"/>
          <w:sz w:val="24"/>
          <w:lang w:val="zh-CN"/>
        </w:rPr>
        <w:t>FM</w:t>
      </w:r>
      <w:r>
        <w:rPr>
          <w:rFonts w:hint="eastAsia"/>
          <w:sz w:val="24"/>
          <w:lang w:val="zh-CN"/>
        </w:rPr>
        <w:t>安许证字</w:t>
      </w:r>
      <w:r>
        <w:rPr>
          <w:rFonts w:hint="eastAsia"/>
          <w:sz w:val="24"/>
          <w:lang w:val="zh-CN"/>
        </w:rPr>
        <w:t>[20</w:t>
      </w:r>
      <w:r>
        <w:rPr>
          <w:rFonts w:hint="eastAsia"/>
          <w:sz w:val="24"/>
        </w:rPr>
        <w:t>20</w:t>
      </w:r>
      <w:r>
        <w:rPr>
          <w:rFonts w:hint="eastAsia"/>
          <w:sz w:val="24"/>
          <w:lang w:val="zh-CN"/>
        </w:rPr>
        <w:t>]00-0</w:t>
      </w:r>
      <w:r>
        <w:rPr>
          <w:rFonts w:hint="eastAsia"/>
          <w:sz w:val="24"/>
        </w:rPr>
        <w:t>077</w:t>
      </w:r>
      <w:r>
        <w:rPr>
          <w:rFonts w:hint="eastAsia"/>
          <w:sz w:val="24"/>
          <w:lang w:val="zh-CN"/>
        </w:rPr>
        <w:t>。</w:t>
      </w:r>
    </w:p>
    <w:p w14:paraId="417BEEDD" w14:textId="77777777" w:rsidR="003D6A63" w:rsidRDefault="00000000">
      <w:pPr>
        <w:adjustRightInd w:val="0"/>
        <w:snapToGrid w:val="0"/>
        <w:spacing w:line="360" w:lineRule="auto"/>
        <w:ind w:firstLineChars="200" w:firstLine="480"/>
        <w:rPr>
          <w:sz w:val="24"/>
        </w:rPr>
      </w:pPr>
      <w:r>
        <w:rPr>
          <w:rFonts w:hint="eastAsia"/>
          <w:sz w:val="24"/>
        </w:rPr>
        <w:t>根据《中华人民共和国安全生产法》</w:t>
      </w:r>
      <w:r>
        <w:rPr>
          <w:sz w:val="24"/>
        </w:rPr>
        <w:t>（主席令〔</w:t>
      </w:r>
      <w:r>
        <w:rPr>
          <w:sz w:val="24"/>
        </w:rPr>
        <w:t>2002</w:t>
      </w:r>
      <w:r>
        <w:rPr>
          <w:sz w:val="24"/>
        </w:rPr>
        <w:t>〕第</w:t>
      </w:r>
      <w:r>
        <w:rPr>
          <w:sz w:val="24"/>
        </w:rPr>
        <w:t>70</w:t>
      </w:r>
      <w:r>
        <w:rPr>
          <w:sz w:val="24"/>
        </w:rPr>
        <w:t>号发布，主席令〔</w:t>
      </w:r>
      <w:r>
        <w:rPr>
          <w:sz w:val="24"/>
        </w:rPr>
        <w:t>2009</w:t>
      </w:r>
      <w:r>
        <w:rPr>
          <w:sz w:val="24"/>
        </w:rPr>
        <w:t>〕第</w:t>
      </w:r>
      <w:r>
        <w:rPr>
          <w:sz w:val="24"/>
        </w:rPr>
        <w:t>18</w:t>
      </w:r>
      <w:r>
        <w:rPr>
          <w:sz w:val="24"/>
        </w:rPr>
        <w:t>号、主席令〔</w:t>
      </w:r>
      <w:r>
        <w:rPr>
          <w:sz w:val="24"/>
        </w:rPr>
        <w:t>2014</w:t>
      </w:r>
      <w:r>
        <w:rPr>
          <w:sz w:val="24"/>
        </w:rPr>
        <w:t>〕第</w:t>
      </w:r>
      <w:r>
        <w:rPr>
          <w:sz w:val="24"/>
        </w:rPr>
        <w:t>13</w:t>
      </w:r>
      <w:r>
        <w:rPr>
          <w:sz w:val="24"/>
        </w:rPr>
        <w:t>号、主席令〔</w:t>
      </w:r>
      <w:r>
        <w:rPr>
          <w:sz w:val="24"/>
        </w:rPr>
        <w:t>2021</w:t>
      </w:r>
      <w:r>
        <w:rPr>
          <w:sz w:val="24"/>
        </w:rPr>
        <w:t>〕第</w:t>
      </w:r>
      <w:r>
        <w:rPr>
          <w:sz w:val="24"/>
        </w:rPr>
        <w:t>88</w:t>
      </w:r>
      <w:r>
        <w:rPr>
          <w:sz w:val="24"/>
        </w:rPr>
        <w:t>号修正）</w:t>
      </w:r>
      <w:r>
        <w:rPr>
          <w:rFonts w:hint="eastAsia"/>
          <w:sz w:val="24"/>
        </w:rPr>
        <w:t>的规定，按照《安全生产许可证条例》（国务院令第</w:t>
      </w:r>
      <w:r>
        <w:rPr>
          <w:rFonts w:hint="eastAsia"/>
          <w:sz w:val="24"/>
        </w:rPr>
        <w:t>397</w:t>
      </w:r>
      <w:r>
        <w:rPr>
          <w:rFonts w:hint="eastAsia"/>
          <w:sz w:val="24"/>
        </w:rPr>
        <w:t>号发布，国务院令第</w:t>
      </w:r>
      <w:r>
        <w:rPr>
          <w:rFonts w:hint="eastAsia"/>
          <w:sz w:val="24"/>
        </w:rPr>
        <w:t>653</w:t>
      </w:r>
      <w:r>
        <w:rPr>
          <w:rFonts w:hint="eastAsia"/>
          <w:sz w:val="24"/>
        </w:rPr>
        <w:t>号修正）、《非煤矿矿山企业安全生产许可证实施办法》（国家安全生产监督管理总局令第</w:t>
      </w:r>
      <w:r>
        <w:rPr>
          <w:rFonts w:hint="eastAsia"/>
          <w:sz w:val="24"/>
        </w:rPr>
        <w:t>20</w:t>
      </w:r>
      <w:r>
        <w:rPr>
          <w:rFonts w:hint="eastAsia"/>
          <w:sz w:val="24"/>
        </w:rPr>
        <w:t>号发布，安监局令〔</w:t>
      </w:r>
      <w:r>
        <w:rPr>
          <w:rFonts w:hint="eastAsia"/>
          <w:sz w:val="24"/>
        </w:rPr>
        <w:t>2015</w:t>
      </w:r>
      <w:r>
        <w:rPr>
          <w:rFonts w:hint="eastAsia"/>
          <w:sz w:val="24"/>
        </w:rPr>
        <w:t>〕</w:t>
      </w:r>
      <w:r>
        <w:rPr>
          <w:rFonts w:hint="eastAsia"/>
          <w:sz w:val="24"/>
        </w:rPr>
        <w:t>78</w:t>
      </w:r>
      <w:r>
        <w:rPr>
          <w:rFonts w:hint="eastAsia"/>
          <w:sz w:val="24"/>
        </w:rPr>
        <w:t>号、应急部公告〔</w:t>
      </w:r>
      <w:r>
        <w:rPr>
          <w:rFonts w:hint="eastAsia"/>
          <w:sz w:val="24"/>
        </w:rPr>
        <w:t>2018</w:t>
      </w:r>
      <w:r>
        <w:rPr>
          <w:rFonts w:hint="eastAsia"/>
          <w:sz w:val="24"/>
        </w:rPr>
        <w:t>〕</w:t>
      </w:r>
      <w:r>
        <w:rPr>
          <w:rFonts w:hint="eastAsia"/>
          <w:sz w:val="24"/>
        </w:rPr>
        <w:t>12</w:t>
      </w:r>
      <w:r>
        <w:rPr>
          <w:rFonts w:hint="eastAsia"/>
          <w:sz w:val="24"/>
        </w:rPr>
        <w:t>号修正）具体规定，</w:t>
      </w:r>
      <w:r>
        <w:rPr>
          <w:sz w:val="24"/>
        </w:rPr>
        <w:t>为办理安全生产许可证，</w:t>
      </w:r>
      <w:r>
        <w:rPr>
          <w:rFonts w:hint="eastAsia"/>
          <w:sz w:val="24"/>
        </w:rPr>
        <w:t>中胜公司</w:t>
      </w:r>
      <w:r>
        <w:rPr>
          <w:sz w:val="24"/>
        </w:rPr>
        <w:t>委托我公司对其进行安全现状评价。</w:t>
      </w:r>
    </w:p>
    <w:p w14:paraId="4A876E20" w14:textId="77777777" w:rsidR="003D6A63" w:rsidRDefault="00000000">
      <w:pPr>
        <w:adjustRightInd w:val="0"/>
        <w:snapToGrid w:val="0"/>
        <w:spacing w:line="360" w:lineRule="auto"/>
        <w:ind w:firstLineChars="200" w:firstLine="480"/>
        <w:rPr>
          <w:sz w:val="24"/>
        </w:rPr>
      </w:pPr>
      <w:r>
        <w:rPr>
          <w:sz w:val="24"/>
        </w:rPr>
        <w:t>我公司接到委托后，成立了评价项目组，按照《安全评价通则》（</w:t>
      </w:r>
      <w:r>
        <w:rPr>
          <w:sz w:val="24"/>
        </w:rPr>
        <w:t>AQ8001-2007</w:t>
      </w:r>
      <w:r>
        <w:rPr>
          <w:sz w:val="24"/>
        </w:rPr>
        <w:t>）的要求，进行了资料与标准收集、现场调研、工程分析、危险与有害因素分析、定性评价，并在此基础上提出了安全对策措施建议，最后编制完成了本安全现状评价报告。</w:t>
      </w:r>
    </w:p>
    <w:p w14:paraId="4898934C" w14:textId="77777777" w:rsidR="003D6A63" w:rsidRDefault="00000000">
      <w:pPr>
        <w:adjustRightInd w:val="0"/>
        <w:snapToGrid w:val="0"/>
        <w:spacing w:line="360" w:lineRule="auto"/>
        <w:ind w:firstLineChars="200" w:firstLine="480"/>
        <w:rPr>
          <w:sz w:val="24"/>
        </w:rPr>
      </w:pPr>
      <w:r>
        <w:rPr>
          <w:sz w:val="24"/>
        </w:rPr>
        <w:t>此次安全评价工作，自始至终都得到了</w:t>
      </w:r>
      <w:r>
        <w:rPr>
          <w:rFonts w:hint="eastAsia"/>
          <w:sz w:val="24"/>
        </w:rPr>
        <w:t>中胜公司</w:t>
      </w:r>
      <w:r>
        <w:rPr>
          <w:sz w:val="24"/>
        </w:rPr>
        <w:t>领导和员工的大力支持和配合，在此表示衷心的感谢！</w:t>
      </w:r>
    </w:p>
    <w:p w14:paraId="2057A400" w14:textId="77777777" w:rsidR="003D6A63" w:rsidRDefault="003D6A63">
      <w:pPr>
        <w:pStyle w:val="Char30"/>
        <w:widowControl w:val="0"/>
        <w:adjustRightInd w:val="0"/>
        <w:snapToGrid w:val="0"/>
        <w:spacing w:after="0" w:line="360" w:lineRule="auto"/>
        <w:ind w:firstLineChars="200" w:firstLine="560"/>
        <w:rPr>
          <w:kern w:val="0"/>
          <w:sz w:val="28"/>
          <w:szCs w:val="28"/>
          <w:lang w:val="zh-CN"/>
        </w:rPr>
      </w:pPr>
    </w:p>
    <w:p w14:paraId="5D3B6239" w14:textId="77777777" w:rsidR="003D6A63" w:rsidRDefault="00000000">
      <w:pPr>
        <w:adjustRightInd w:val="0"/>
        <w:spacing w:line="360" w:lineRule="auto"/>
        <w:jc w:val="right"/>
        <w:rPr>
          <w:sz w:val="24"/>
        </w:rPr>
      </w:pPr>
      <w:r>
        <w:rPr>
          <w:rFonts w:hint="eastAsia"/>
          <w:sz w:val="24"/>
        </w:rPr>
        <w:t>评价项目组</w:t>
      </w:r>
    </w:p>
    <w:p w14:paraId="4A3416D3" w14:textId="77777777" w:rsidR="003D6A63" w:rsidRDefault="00000000">
      <w:pPr>
        <w:adjustRightInd w:val="0"/>
        <w:spacing w:line="360" w:lineRule="auto"/>
        <w:jc w:val="right"/>
        <w:rPr>
          <w:sz w:val="24"/>
        </w:rPr>
        <w:sectPr w:rsidR="003D6A63">
          <w:pgSz w:w="11906" w:h="16838"/>
          <w:pgMar w:top="1417" w:right="1417" w:bottom="1417" w:left="1417" w:header="851" w:footer="851" w:gutter="0"/>
          <w:cols w:space="425"/>
          <w:docGrid w:linePitch="312" w:charSpace="-1489"/>
        </w:sectPr>
      </w:pPr>
      <w:r>
        <w:rPr>
          <w:rFonts w:hint="eastAsia"/>
          <w:sz w:val="24"/>
        </w:rPr>
        <w:t>2023</w:t>
      </w:r>
      <w:r>
        <w:rPr>
          <w:rFonts w:hint="eastAsia"/>
          <w:sz w:val="24"/>
        </w:rPr>
        <w:t>年</w:t>
      </w:r>
      <w:r>
        <w:rPr>
          <w:rFonts w:hint="eastAsia"/>
          <w:sz w:val="24"/>
        </w:rPr>
        <w:t>7</w:t>
      </w:r>
      <w:r>
        <w:rPr>
          <w:rFonts w:hint="eastAsia"/>
          <w:sz w:val="24"/>
        </w:rPr>
        <w:t>月</w:t>
      </w:r>
    </w:p>
    <w:p w14:paraId="4B5C68A1" w14:textId="77777777" w:rsidR="003D6A63" w:rsidRDefault="003D6A63">
      <w:pPr>
        <w:pStyle w:val="affffd"/>
      </w:pPr>
    </w:p>
    <w:p w14:paraId="3326C95F" w14:textId="77777777" w:rsidR="003D6A63" w:rsidRDefault="003D6A63">
      <w:pPr>
        <w:ind w:firstLine="628"/>
        <w:jc w:val="center"/>
        <w:rPr>
          <w:b/>
          <w:bCs/>
          <w:sz w:val="32"/>
          <w:szCs w:val="32"/>
        </w:rPr>
      </w:pPr>
    </w:p>
    <w:p w14:paraId="72081607" w14:textId="77777777" w:rsidR="003D6A63" w:rsidRDefault="003D6A63">
      <w:pPr>
        <w:ind w:firstLine="628"/>
        <w:jc w:val="center"/>
        <w:rPr>
          <w:b/>
          <w:bCs/>
          <w:sz w:val="32"/>
          <w:szCs w:val="32"/>
        </w:rPr>
        <w:sectPr w:rsidR="003D6A63">
          <w:pgSz w:w="11906" w:h="16838"/>
          <w:pgMar w:top="1417" w:right="1417" w:bottom="1417" w:left="1417" w:header="851" w:footer="851" w:gutter="0"/>
          <w:cols w:space="425"/>
          <w:docGrid w:linePitch="312" w:charSpace="-1489"/>
        </w:sectPr>
      </w:pPr>
    </w:p>
    <w:p w14:paraId="3B42068D" w14:textId="77777777" w:rsidR="003D6A63" w:rsidRDefault="00000000">
      <w:pPr>
        <w:pStyle w:val="nlw5"/>
        <w:spacing w:before="120" w:after="120"/>
        <w:jc w:val="center"/>
        <w:rPr>
          <w:rFonts w:ascii="Times New Roman" w:hAnsi="Times New Roman"/>
          <w:sz w:val="32"/>
          <w:szCs w:val="32"/>
        </w:rPr>
      </w:pPr>
      <w:bookmarkStart w:id="5" w:name="_Toc477270345"/>
      <w:bookmarkStart w:id="6" w:name="_Toc477275288"/>
      <w:r>
        <w:rPr>
          <w:rFonts w:ascii="Times New Roman" w:hAnsi="Times New Roman"/>
          <w:sz w:val="32"/>
          <w:szCs w:val="32"/>
        </w:rPr>
        <w:lastRenderedPageBreak/>
        <w:t>目</w:t>
      </w:r>
      <w:r>
        <w:rPr>
          <w:rFonts w:ascii="Times New Roman" w:hAnsi="Times New Roman" w:hint="eastAsia"/>
          <w:sz w:val="32"/>
          <w:szCs w:val="32"/>
        </w:rPr>
        <w:t xml:space="preserve">  </w:t>
      </w:r>
      <w:r>
        <w:rPr>
          <w:rFonts w:ascii="Times New Roman" w:hAnsi="Times New Roman"/>
          <w:sz w:val="32"/>
          <w:szCs w:val="32"/>
        </w:rPr>
        <w:t>录</w:t>
      </w:r>
      <w:bookmarkEnd w:id="5"/>
      <w:bookmarkEnd w:id="6"/>
    </w:p>
    <w:sdt>
      <w:sdtPr>
        <w:rPr>
          <w:sz w:val="21"/>
          <w:lang w:val="zh-CN"/>
        </w:rPr>
        <w:id w:val="-578977894"/>
        <w:docPartObj>
          <w:docPartGallery w:val="Table of Contents"/>
          <w:docPartUnique/>
        </w:docPartObj>
      </w:sdtPr>
      <w:sdtEndPr>
        <w:rPr>
          <w:sz w:val="32"/>
          <w:lang w:val="en-US"/>
        </w:rPr>
      </w:sdtEndPr>
      <w:sdtContent>
        <w:p w14:paraId="6F021A60" w14:textId="77777777" w:rsidR="003D6A63" w:rsidRDefault="00000000">
          <w:pPr>
            <w:pStyle w:val="TOC1"/>
            <w:adjustRightInd w:val="0"/>
            <w:snapToGrid w:val="0"/>
            <w:spacing w:line="380" w:lineRule="exact"/>
            <w:rPr>
              <w:rFonts w:ascii="宋体" w:eastAsia="宋体" w:hAnsi="宋体" w:cs="宋体"/>
              <w:sz w:val="21"/>
              <w:szCs w:val="21"/>
            </w:rPr>
          </w:pPr>
          <w:r>
            <w:rPr>
              <w:rFonts w:eastAsia="宋体"/>
              <w:sz w:val="21"/>
              <w:szCs w:val="21"/>
            </w:rPr>
            <w:fldChar w:fldCharType="begin"/>
          </w:r>
          <w:r>
            <w:rPr>
              <w:rFonts w:eastAsia="宋体"/>
              <w:sz w:val="21"/>
              <w:szCs w:val="21"/>
            </w:rPr>
            <w:instrText xml:space="preserve"> TOC \o "1-2" \h \z \u </w:instrText>
          </w:r>
          <w:r>
            <w:rPr>
              <w:rFonts w:eastAsia="宋体"/>
              <w:sz w:val="21"/>
              <w:szCs w:val="21"/>
            </w:rPr>
            <w:fldChar w:fldCharType="separate"/>
          </w:r>
          <w:hyperlink w:anchor="_Toc13193" w:history="1">
            <w:r>
              <w:rPr>
                <w:rFonts w:ascii="宋体" w:eastAsia="宋体" w:hAnsi="宋体" w:cs="宋体" w:hint="eastAsia"/>
                <w:b/>
                <w:bCs/>
                <w:sz w:val="21"/>
                <w:szCs w:val="21"/>
              </w:rPr>
              <w:t>1  概述</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_Toc13193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w:t>
            </w:r>
            <w:r>
              <w:rPr>
                <w:rFonts w:ascii="宋体" w:eastAsia="宋体" w:hAnsi="宋体" w:cs="宋体" w:hint="eastAsia"/>
                <w:b/>
                <w:bCs/>
                <w:sz w:val="21"/>
                <w:szCs w:val="21"/>
              </w:rPr>
              <w:fldChar w:fldCharType="end"/>
            </w:r>
          </w:hyperlink>
        </w:p>
        <w:p w14:paraId="3EBAB5D5"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31968" w:history="1">
            <w:r>
              <w:rPr>
                <w:rFonts w:ascii="宋体" w:eastAsia="宋体" w:hAnsi="宋体" w:cs="宋体" w:hint="eastAsia"/>
                <w:sz w:val="21"/>
                <w:szCs w:val="21"/>
              </w:rPr>
              <w:t>1.1  评价目的</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_Toc31968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1</w:t>
            </w:r>
            <w:r>
              <w:rPr>
                <w:rFonts w:ascii="宋体" w:eastAsia="宋体" w:hAnsi="宋体" w:cs="宋体" w:hint="eastAsia"/>
                <w:sz w:val="21"/>
                <w:szCs w:val="21"/>
              </w:rPr>
              <w:fldChar w:fldCharType="end"/>
            </w:r>
          </w:hyperlink>
        </w:p>
        <w:p w14:paraId="1BDE8805"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9521" w:history="1">
            <w:r>
              <w:rPr>
                <w:rFonts w:ascii="宋体" w:eastAsia="宋体" w:hAnsi="宋体" w:cs="宋体" w:hint="eastAsia"/>
                <w:sz w:val="21"/>
                <w:szCs w:val="21"/>
              </w:rPr>
              <w:t>1.2  评价范围</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_Toc9521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1</w:t>
            </w:r>
            <w:r>
              <w:rPr>
                <w:rFonts w:ascii="宋体" w:eastAsia="宋体" w:hAnsi="宋体" w:cs="宋体" w:hint="eastAsia"/>
                <w:sz w:val="21"/>
                <w:szCs w:val="21"/>
              </w:rPr>
              <w:fldChar w:fldCharType="end"/>
            </w:r>
          </w:hyperlink>
        </w:p>
        <w:p w14:paraId="4314E0E9"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31855" w:history="1">
            <w:r>
              <w:rPr>
                <w:rFonts w:ascii="宋体" w:eastAsia="宋体" w:hAnsi="宋体" w:cs="宋体" w:hint="eastAsia"/>
                <w:sz w:val="21"/>
                <w:szCs w:val="21"/>
              </w:rPr>
              <w:t>1.3  评价依据</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_Toc31855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1</w:t>
            </w:r>
            <w:r>
              <w:rPr>
                <w:rFonts w:ascii="宋体" w:eastAsia="宋体" w:hAnsi="宋体" w:cs="宋体" w:hint="eastAsia"/>
                <w:sz w:val="21"/>
                <w:szCs w:val="21"/>
              </w:rPr>
              <w:fldChar w:fldCharType="end"/>
            </w:r>
          </w:hyperlink>
        </w:p>
        <w:p w14:paraId="13053439"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11925" w:history="1">
            <w:r>
              <w:rPr>
                <w:rFonts w:ascii="宋体" w:eastAsia="宋体" w:hAnsi="宋体" w:cs="宋体" w:hint="eastAsia"/>
                <w:sz w:val="21"/>
                <w:szCs w:val="21"/>
              </w:rPr>
              <w:t>1.4  评价程序</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_Toc11925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8</w:t>
            </w:r>
            <w:r>
              <w:rPr>
                <w:rFonts w:ascii="宋体" w:eastAsia="宋体" w:hAnsi="宋体" w:cs="宋体" w:hint="eastAsia"/>
                <w:sz w:val="21"/>
                <w:szCs w:val="21"/>
              </w:rPr>
              <w:fldChar w:fldCharType="end"/>
            </w:r>
          </w:hyperlink>
        </w:p>
        <w:p w14:paraId="49B11F8F" w14:textId="77777777" w:rsidR="003D6A63" w:rsidRDefault="00000000">
          <w:pPr>
            <w:pStyle w:val="TOC1"/>
            <w:tabs>
              <w:tab w:val="clear" w:pos="9070"/>
              <w:tab w:val="right" w:leader="dot" w:pos="9072"/>
            </w:tabs>
            <w:spacing w:line="380" w:lineRule="exact"/>
            <w:rPr>
              <w:rFonts w:ascii="宋体" w:eastAsia="宋体" w:hAnsi="宋体" w:cs="宋体"/>
              <w:sz w:val="21"/>
              <w:szCs w:val="21"/>
            </w:rPr>
          </w:pPr>
          <w:hyperlink w:anchor="_Toc14127" w:history="1">
            <w:r>
              <w:rPr>
                <w:rFonts w:ascii="宋体" w:eastAsia="宋体" w:hAnsi="宋体" w:cs="宋体" w:hint="eastAsia"/>
                <w:b/>
                <w:bCs/>
                <w:kern w:val="44"/>
                <w:sz w:val="21"/>
                <w:szCs w:val="21"/>
              </w:rPr>
              <w:t xml:space="preserve">2  </w:t>
            </w:r>
            <w:r>
              <w:rPr>
                <w:rFonts w:ascii="宋体" w:eastAsia="宋体" w:hAnsi="宋体" w:cs="宋体" w:hint="eastAsia"/>
                <w:b/>
                <w:bCs/>
                <w:sz w:val="21"/>
                <w:szCs w:val="21"/>
              </w:rPr>
              <w:t>项目概况</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_Toc14127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10</w:t>
            </w:r>
            <w:r>
              <w:rPr>
                <w:rFonts w:ascii="宋体" w:eastAsia="宋体" w:hAnsi="宋体" w:cs="宋体" w:hint="eastAsia"/>
                <w:b/>
                <w:bCs/>
                <w:sz w:val="21"/>
                <w:szCs w:val="21"/>
              </w:rPr>
              <w:fldChar w:fldCharType="end"/>
            </w:r>
          </w:hyperlink>
        </w:p>
        <w:p w14:paraId="2B149B46"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11314" w:history="1">
            <w:r>
              <w:rPr>
                <w:rFonts w:ascii="宋体" w:eastAsia="宋体" w:hAnsi="宋体" w:cs="宋体" w:hint="eastAsia"/>
                <w:sz w:val="21"/>
                <w:szCs w:val="21"/>
              </w:rPr>
              <w:t>2.1  企业基本情况</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_Toc11314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10</w:t>
            </w:r>
            <w:r>
              <w:rPr>
                <w:rFonts w:ascii="宋体" w:eastAsia="宋体" w:hAnsi="宋体" w:cs="宋体" w:hint="eastAsia"/>
                <w:sz w:val="21"/>
                <w:szCs w:val="21"/>
              </w:rPr>
              <w:fldChar w:fldCharType="end"/>
            </w:r>
          </w:hyperlink>
        </w:p>
        <w:p w14:paraId="50959C9A"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7397" w:history="1">
            <w:r>
              <w:rPr>
                <w:rFonts w:ascii="宋体" w:eastAsia="宋体" w:hAnsi="宋体" w:cs="宋体" w:hint="eastAsia"/>
                <w:sz w:val="21"/>
                <w:szCs w:val="21"/>
              </w:rPr>
              <w:t>2.2  油气田基本情况</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_Toc7397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14</w:t>
            </w:r>
            <w:r>
              <w:rPr>
                <w:rFonts w:ascii="宋体" w:eastAsia="宋体" w:hAnsi="宋体" w:cs="宋体" w:hint="eastAsia"/>
                <w:sz w:val="21"/>
                <w:szCs w:val="21"/>
              </w:rPr>
              <w:fldChar w:fldCharType="end"/>
            </w:r>
          </w:hyperlink>
        </w:p>
        <w:p w14:paraId="16A5A76D"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9992" w:history="1">
            <w:r>
              <w:rPr>
                <w:rFonts w:ascii="宋体" w:eastAsia="宋体" w:hAnsi="宋体" w:cs="宋体" w:hint="eastAsia"/>
                <w:sz w:val="21"/>
                <w:szCs w:val="21"/>
              </w:rPr>
              <w:t>2.3  设备设施及生产作业现状</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_Toc9992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15</w:t>
            </w:r>
            <w:r>
              <w:rPr>
                <w:rFonts w:ascii="宋体" w:eastAsia="宋体" w:hAnsi="宋体" w:cs="宋体" w:hint="eastAsia"/>
                <w:sz w:val="21"/>
                <w:szCs w:val="21"/>
              </w:rPr>
              <w:fldChar w:fldCharType="end"/>
            </w:r>
          </w:hyperlink>
        </w:p>
        <w:p w14:paraId="6C14AE27"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20890" w:history="1">
            <w:r>
              <w:rPr>
                <w:rFonts w:ascii="宋体" w:eastAsia="宋体" w:hAnsi="宋体" w:cs="宋体" w:hint="eastAsia"/>
                <w:sz w:val="21"/>
                <w:szCs w:val="21"/>
              </w:rPr>
              <w:t>2.4  安全管理情况现状</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_Toc20890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21</w:t>
            </w:r>
            <w:r>
              <w:rPr>
                <w:rFonts w:ascii="宋体" w:eastAsia="宋体" w:hAnsi="宋体" w:cs="宋体" w:hint="eastAsia"/>
                <w:sz w:val="21"/>
                <w:szCs w:val="21"/>
              </w:rPr>
              <w:fldChar w:fldCharType="end"/>
            </w:r>
          </w:hyperlink>
        </w:p>
        <w:p w14:paraId="7069F8CA"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7646" w:history="1">
            <w:r>
              <w:rPr>
                <w:rFonts w:ascii="宋体" w:eastAsia="宋体" w:hAnsi="宋体" w:cs="宋体" w:hint="eastAsia"/>
                <w:sz w:val="21"/>
                <w:szCs w:val="21"/>
              </w:rPr>
              <w:t>2.5  重大变更情况</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_Toc7646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22</w:t>
            </w:r>
            <w:r>
              <w:rPr>
                <w:rFonts w:ascii="宋体" w:eastAsia="宋体" w:hAnsi="宋体" w:cs="宋体" w:hint="eastAsia"/>
                <w:sz w:val="21"/>
                <w:szCs w:val="21"/>
              </w:rPr>
              <w:fldChar w:fldCharType="end"/>
            </w:r>
          </w:hyperlink>
        </w:p>
        <w:p w14:paraId="2C7A4982"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8279" w:history="1">
            <w:r>
              <w:rPr>
                <w:rFonts w:ascii="宋体" w:eastAsia="宋体" w:hAnsi="宋体" w:cs="宋体" w:hint="eastAsia"/>
                <w:b/>
                <w:bCs/>
                <w:sz w:val="21"/>
                <w:szCs w:val="21"/>
              </w:rPr>
              <w:t>3  主要危险、有害因素辨识与分析</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_Toc8279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24</w:t>
            </w:r>
            <w:r>
              <w:rPr>
                <w:rFonts w:ascii="宋体" w:eastAsia="宋体" w:hAnsi="宋体" w:cs="宋体" w:hint="eastAsia"/>
                <w:b/>
                <w:bCs/>
                <w:sz w:val="21"/>
                <w:szCs w:val="21"/>
              </w:rPr>
              <w:fldChar w:fldCharType="end"/>
            </w:r>
          </w:hyperlink>
        </w:p>
        <w:p w14:paraId="6A62B7E5"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16782" w:history="1">
            <w:r>
              <w:rPr>
                <w:rFonts w:ascii="宋体" w:eastAsia="宋体" w:hAnsi="宋体" w:cs="宋体" w:hint="eastAsia"/>
                <w:sz w:val="21"/>
                <w:szCs w:val="21"/>
              </w:rPr>
              <w:t>3.1  主要危险、有害物质特性</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_Toc16782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24</w:t>
            </w:r>
            <w:r>
              <w:rPr>
                <w:rFonts w:ascii="宋体" w:eastAsia="宋体" w:hAnsi="宋体" w:cs="宋体" w:hint="eastAsia"/>
                <w:sz w:val="21"/>
                <w:szCs w:val="21"/>
              </w:rPr>
              <w:fldChar w:fldCharType="end"/>
            </w:r>
          </w:hyperlink>
        </w:p>
        <w:p w14:paraId="6835CAD1"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2230" w:history="1">
            <w:r>
              <w:rPr>
                <w:rFonts w:ascii="宋体" w:eastAsia="宋体" w:hAnsi="宋体" w:cs="宋体" w:hint="eastAsia"/>
                <w:sz w:val="21"/>
                <w:szCs w:val="21"/>
              </w:rPr>
              <w:t>3.2  生产作业危险、有害因素识别</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_Toc2230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27</w:t>
            </w:r>
            <w:r>
              <w:rPr>
                <w:rFonts w:ascii="宋体" w:eastAsia="宋体" w:hAnsi="宋体" w:cs="宋体" w:hint="eastAsia"/>
                <w:sz w:val="21"/>
                <w:szCs w:val="21"/>
              </w:rPr>
              <w:fldChar w:fldCharType="end"/>
            </w:r>
          </w:hyperlink>
        </w:p>
        <w:p w14:paraId="72B2B314"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1225" w:history="1">
            <w:r>
              <w:rPr>
                <w:rFonts w:ascii="宋体" w:eastAsia="宋体" w:hAnsi="宋体" w:cs="宋体" w:hint="eastAsia"/>
                <w:sz w:val="21"/>
                <w:szCs w:val="21"/>
              </w:rPr>
              <w:t>3.3  设备设施危险、有害因素分析</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_Toc1225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33</w:t>
            </w:r>
            <w:r>
              <w:rPr>
                <w:rFonts w:ascii="宋体" w:eastAsia="宋体" w:hAnsi="宋体" w:cs="宋体" w:hint="eastAsia"/>
                <w:sz w:val="21"/>
                <w:szCs w:val="21"/>
              </w:rPr>
              <w:fldChar w:fldCharType="end"/>
            </w:r>
          </w:hyperlink>
        </w:p>
        <w:p w14:paraId="4C8CE978"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26137" w:history="1">
            <w:r>
              <w:rPr>
                <w:rFonts w:ascii="宋体" w:eastAsia="宋体" w:hAnsi="宋体" w:cs="宋体" w:hint="eastAsia"/>
                <w:sz w:val="21"/>
                <w:szCs w:val="21"/>
                <w:lang w:val="zh-CN"/>
              </w:rPr>
              <w:t>3.</w:t>
            </w:r>
            <w:r>
              <w:rPr>
                <w:rFonts w:ascii="宋体" w:eastAsia="宋体" w:hAnsi="宋体" w:cs="宋体" w:hint="eastAsia"/>
                <w:sz w:val="21"/>
                <w:szCs w:val="21"/>
              </w:rPr>
              <w:t>4</w:t>
            </w:r>
            <w:r>
              <w:rPr>
                <w:rFonts w:ascii="宋体" w:eastAsia="宋体" w:hAnsi="宋体" w:cs="宋体" w:hint="eastAsia"/>
                <w:sz w:val="21"/>
                <w:szCs w:val="21"/>
                <w:lang w:val="zh-CN"/>
              </w:rPr>
              <w:t xml:space="preserve"> </w:t>
            </w:r>
            <w:r>
              <w:rPr>
                <w:rFonts w:ascii="宋体" w:eastAsia="宋体" w:hAnsi="宋体" w:cs="宋体" w:hint="eastAsia"/>
                <w:sz w:val="21"/>
                <w:szCs w:val="21"/>
              </w:rPr>
              <w:t xml:space="preserve"> 公用工程及辅助生产设施危险、有害因素分析</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_Toc26137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42</w:t>
            </w:r>
            <w:r>
              <w:rPr>
                <w:rFonts w:ascii="宋体" w:eastAsia="宋体" w:hAnsi="宋体" w:cs="宋体" w:hint="eastAsia"/>
                <w:sz w:val="21"/>
                <w:szCs w:val="21"/>
              </w:rPr>
              <w:fldChar w:fldCharType="end"/>
            </w:r>
          </w:hyperlink>
        </w:p>
        <w:p w14:paraId="54E58D50"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8957" w:history="1">
            <w:r>
              <w:rPr>
                <w:rFonts w:ascii="宋体" w:eastAsia="宋体" w:hAnsi="宋体" w:cs="宋体" w:hint="eastAsia"/>
                <w:sz w:val="21"/>
                <w:szCs w:val="21"/>
                <w:lang w:val="zh-CN"/>
              </w:rPr>
              <w:t>3.5  社会环境和自然条件影响分析</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_Toc8957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44</w:t>
            </w:r>
            <w:r>
              <w:rPr>
                <w:rFonts w:ascii="宋体" w:eastAsia="宋体" w:hAnsi="宋体" w:cs="宋体" w:hint="eastAsia"/>
                <w:sz w:val="21"/>
                <w:szCs w:val="21"/>
              </w:rPr>
              <w:fldChar w:fldCharType="end"/>
            </w:r>
          </w:hyperlink>
        </w:p>
        <w:p w14:paraId="056B2569"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25993" w:history="1">
            <w:r>
              <w:rPr>
                <w:rFonts w:ascii="宋体" w:eastAsia="宋体" w:hAnsi="宋体" w:cs="宋体" w:hint="eastAsia"/>
                <w:sz w:val="21"/>
                <w:szCs w:val="21"/>
              </w:rPr>
              <w:t>3.6  重大危险源辨识</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_Toc25993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46</w:t>
            </w:r>
            <w:r>
              <w:rPr>
                <w:rFonts w:ascii="宋体" w:eastAsia="宋体" w:hAnsi="宋体" w:cs="宋体" w:hint="eastAsia"/>
                <w:sz w:val="21"/>
                <w:szCs w:val="21"/>
              </w:rPr>
              <w:fldChar w:fldCharType="end"/>
            </w:r>
          </w:hyperlink>
        </w:p>
        <w:p w14:paraId="7A86DD78"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7985" w:history="1">
            <w:r>
              <w:rPr>
                <w:rFonts w:ascii="宋体" w:eastAsia="宋体" w:hAnsi="宋体" w:cs="宋体" w:hint="eastAsia"/>
                <w:sz w:val="21"/>
                <w:szCs w:val="21"/>
              </w:rPr>
              <w:t>3.7  危险、有害因素辨识与分析汇总</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_Toc7985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48</w:t>
            </w:r>
            <w:r>
              <w:rPr>
                <w:rFonts w:ascii="宋体" w:eastAsia="宋体" w:hAnsi="宋体" w:cs="宋体" w:hint="eastAsia"/>
                <w:sz w:val="21"/>
                <w:szCs w:val="21"/>
              </w:rPr>
              <w:fldChar w:fldCharType="end"/>
            </w:r>
          </w:hyperlink>
        </w:p>
        <w:p w14:paraId="22EB4ADE" w14:textId="77777777" w:rsidR="003D6A63" w:rsidRDefault="00000000">
          <w:pPr>
            <w:pStyle w:val="TOC1"/>
            <w:tabs>
              <w:tab w:val="clear" w:pos="9070"/>
              <w:tab w:val="right" w:leader="dot" w:pos="9072"/>
            </w:tabs>
            <w:spacing w:line="380" w:lineRule="exact"/>
            <w:rPr>
              <w:rFonts w:ascii="宋体" w:eastAsia="宋体" w:hAnsi="宋体" w:cs="宋体"/>
              <w:sz w:val="21"/>
              <w:szCs w:val="21"/>
            </w:rPr>
          </w:pPr>
          <w:hyperlink w:anchor="_Toc26498" w:history="1">
            <w:r>
              <w:rPr>
                <w:rFonts w:ascii="宋体" w:eastAsia="宋体" w:hAnsi="宋体" w:cs="宋体" w:hint="eastAsia"/>
                <w:b/>
                <w:bCs/>
                <w:sz w:val="21"/>
                <w:szCs w:val="21"/>
              </w:rPr>
              <w:t>4  评价单元的划分及评价方法的选择</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_Toc26498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49</w:t>
            </w:r>
            <w:r>
              <w:rPr>
                <w:rFonts w:ascii="宋体" w:eastAsia="宋体" w:hAnsi="宋体" w:cs="宋体" w:hint="eastAsia"/>
                <w:b/>
                <w:bCs/>
                <w:sz w:val="21"/>
                <w:szCs w:val="21"/>
              </w:rPr>
              <w:fldChar w:fldCharType="end"/>
            </w:r>
          </w:hyperlink>
        </w:p>
        <w:p w14:paraId="37A3ED4F"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802" w:history="1">
            <w:r>
              <w:rPr>
                <w:rFonts w:ascii="宋体" w:eastAsia="宋体" w:hAnsi="宋体" w:cs="宋体" w:hint="eastAsia"/>
                <w:sz w:val="21"/>
                <w:szCs w:val="21"/>
              </w:rPr>
              <w:t>4.1  评价单元的划分</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_Toc802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49</w:t>
            </w:r>
            <w:r>
              <w:rPr>
                <w:rFonts w:ascii="宋体" w:eastAsia="宋体" w:hAnsi="宋体" w:cs="宋体" w:hint="eastAsia"/>
                <w:sz w:val="21"/>
                <w:szCs w:val="21"/>
              </w:rPr>
              <w:fldChar w:fldCharType="end"/>
            </w:r>
          </w:hyperlink>
        </w:p>
        <w:p w14:paraId="26D3AE31"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5438" w:history="1">
            <w:r>
              <w:rPr>
                <w:rFonts w:ascii="宋体" w:eastAsia="宋体" w:hAnsi="宋体" w:cs="宋体" w:hint="eastAsia"/>
                <w:sz w:val="21"/>
                <w:szCs w:val="21"/>
              </w:rPr>
              <w:t>4.2  评价方法的选择</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_Toc5438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50</w:t>
            </w:r>
            <w:r>
              <w:rPr>
                <w:rFonts w:ascii="宋体" w:eastAsia="宋体" w:hAnsi="宋体" w:cs="宋体" w:hint="eastAsia"/>
                <w:sz w:val="21"/>
                <w:szCs w:val="21"/>
              </w:rPr>
              <w:fldChar w:fldCharType="end"/>
            </w:r>
          </w:hyperlink>
        </w:p>
        <w:p w14:paraId="21CE5403" w14:textId="77777777" w:rsidR="003D6A63" w:rsidRDefault="00000000">
          <w:pPr>
            <w:pStyle w:val="TOC1"/>
            <w:tabs>
              <w:tab w:val="clear" w:pos="9070"/>
              <w:tab w:val="right" w:leader="dot" w:pos="9072"/>
            </w:tabs>
            <w:spacing w:line="380" w:lineRule="exact"/>
            <w:rPr>
              <w:rFonts w:ascii="宋体" w:eastAsia="宋体" w:hAnsi="宋体" w:cs="宋体"/>
              <w:sz w:val="21"/>
              <w:szCs w:val="21"/>
            </w:rPr>
          </w:pPr>
          <w:hyperlink w:anchor="_Toc10209" w:history="1">
            <w:r>
              <w:rPr>
                <w:rFonts w:ascii="宋体" w:eastAsia="宋体" w:hAnsi="宋体" w:cs="宋体" w:hint="eastAsia"/>
                <w:b/>
                <w:bCs/>
                <w:sz w:val="21"/>
                <w:szCs w:val="21"/>
              </w:rPr>
              <w:t>5  设备设施及生产作业单元评价</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_Toc10209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51</w:t>
            </w:r>
            <w:r>
              <w:rPr>
                <w:rFonts w:ascii="宋体" w:eastAsia="宋体" w:hAnsi="宋体" w:cs="宋体" w:hint="eastAsia"/>
                <w:b/>
                <w:bCs/>
                <w:sz w:val="21"/>
                <w:szCs w:val="21"/>
              </w:rPr>
              <w:fldChar w:fldCharType="end"/>
            </w:r>
          </w:hyperlink>
        </w:p>
        <w:p w14:paraId="0379B223"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27967" w:history="1">
            <w:r>
              <w:rPr>
                <w:rFonts w:ascii="宋体" w:eastAsia="宋体" w:hAnsi="宋体" w:cs="宋体" w:hint="eastAsia"/>
                <w:sz w:val="21"/>
                <w:szCs w:val="21"/>
              </w:rPr>
              <w:t>5.1  采油系统单元</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_Toc27967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51</w:t>
            </w:r>
            <w:r>
              <w:rPr>
                <w:rFonts w:ascii="宋体" w:eastAsia="宋体" w:hAnsi="宋体" w:cs="宋体" w:hint="eastAsia"/>
                <w:sz w:val="21"/>
                <w:szCs w:val="21"/>
              </w:rPr>
              <w:fldChar w:fldCharType="end"/>
            </w:r>
          </w:hyperlink>
        </w:p>
        <w:p w14:paraId="6EB3A148"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23744" w:history="1">
            <w:r>
              <w:rPr>
                <w:rFonts w:ascii="宋体" w:eastAsia="宋体" w:hAnsi="宋体" w:cs="宋体" w:hint="eastAsia"/>
                <w:sz w:val="21"/>
                <w:szCs w:val="21"/>
              </w:rPr>
              <w:t>5.2  注入系统</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_Toc23744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54</w:t>
            </w:r>
            <w:r>
              <w:rPr>
                <w:rFonts w:ascii="宋体" w:eastAsia="宋体" w:hAnsi="宋体" w:cs="宋体" w:hint="eastAsia"/>
                <w:sz w:val="21"/>
                <w:szCs w:val="21"/>
              </w:rPr>
              <w:fldChar w:fldCharType="end"/>
            </w:r>
          </w:hyperlink>
        </w:p>
        <w:p w14:paraId="7C3F4CAD"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26909" w:history="1">
            <w:r>
              <w:rPr>
                <w:rFonts w:ascii="宋体" w:eastAsia="宋体" w:hAnsi="宋体" w:cs="宋体" w:hint="eastAsia"/>
                <w:sz w:val="21"/>
                <w:szCs w:val="21"/>
              </w:rPr>
              <w:t>5.3  油气集输系统单元</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_Toc26909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56</w:t>
            </w:r>
            <w:r>
              <w:rPr>
                <w:rFonts w:ascii="宋体" w:eastAsia="宋体" w:hAnsi="宋体" w:cs="宋体" w:hint="eastAsia"/>
                <w:sz w:val="21"/>
                <w:szCs w:val="21"/>
              </w:rPr>
              <w:fldChar w:fldCharType="end"/>
            </w:r>
          </w:hyperlink>
        </w:p>
        <w:p w14:paraId="236D7D10" w14:textId="77777777" w:rsidR="003D6A63" w:rsidRDefault="00000000">
          <w:pPr>
            <w:pStyle w:val="TOC1"/>
            <w:tabs>
              <w:tab w:val="clear" w:pos="9070"/>
              <w:tab w:val="right" w:leader="dot" w:pos="9072"/>
            </w:tabs>
            <w:spacing w:line="380" w:lineRule="exact"/>
            <w:rPr>
              <w:rFonts w:ascii="宋体" w:eastAsia="宋体" w:hAnsi="宋体" w:cs="宋体"/>
              <w:sz w:val="21"/>
              <w:szCs w:val="21"/>
            </w:rPr>
          </w:pPr>
          <w:hyperlink w:anchor="_Toc9813" w:history="1">
            <w:r>
              <w:rPr>
                <w:rFonts w:ascii="宋体" w:eastAsia="宋体" w:hAnsi="宋体" w:cs="宋体" w:hint="eastAsia"/>
                <w:b/>
                <w:bCs/>
                <w:sz w:val="21"/>
                <w:szCs w:val="21"/>
              </w:rPr>
              <w:t>6  安全管理单元评价</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_Toc9813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65</w:t>
            </w:r>
            <w:r>
              <w:rPr>
                <w:rFonts w:ascii="宋体" w:eastAsia="宋体" w:hAnsi="宋体" w:cs="宋体" w:hint="eastAsia"/>
                <w:b/>
                <w:bCs/>
                <w:sz w:val="21"/>
                <w:szCs w:val="21"/>
              </w:rPr>
              <w:fldChar w:fldCharType="end"/>
            </w:r>
          </w:hyperlink>
        </w:p>
        <w:p w14:paraId="3A639E2A"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12013" w:history="1">
            <w:r>
              <w:rPr>
                <w:rFonts w:ascii="宋体" w:eastAsia="宋体" w:hAnsi="宋体" w:cs="宋体" w:hint="eastAsia"/>
                <w:sz w:val="21"/>
                <w:szCs w:val="21"/>
              </w:rPr>
              <w:t>6.1  安全管理现状评价</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_Toc12013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65</w:t>
            </w:r>
            <w:r>
              <w:rPr>
                <w:rFonts w:ascii="宋体" w:eastAsia="宋体" w:hAnsi="宋体" w:cs="宋体" w:hint="eastAsia"/>
                <w:sz w:val="21"/>
                <w:szCs w:val="21"/>
              </w:rPr>
              <w:fldChar w:fldCharType="end"/>
            </w:r>
          </w:hyperlink>
        </w:p>
        <w:p w14:paraId="1AB77273"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24278" w:history="1">
            <w:r>
              <w:rPr>
                <w:rFonts w:ascii="宋体" w:eastAsia="宋体" w:hAnsi="宋体" w:cs="宋体" w:hint="eastAsia"/>
                <w:sz w:val="21"/>
                <w:szCs w:val="21"/>
              </w:rPr>
              <w:t>6.2  安全检查表</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_Toc24278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93</w:t>
            </w:r>
            <w:r>
              <w:rPr>
                <w:rFonts w:ascii="宋体" w:eastAsia="宋体" w:hAnsi="宋体" w:cs="宋体" w:hint="eastAsia"/>
                <w:sz w:val="21"/>
                <w:szCs w:val="21"/>
              </w:rPr>
              <w:fldChar w:fldCharType="end"/>
            </w:r>
          </w:hyperlink>
        </w:p>
        <w:p w14:paraId="0AAE5A4E"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4795" w:history="1">
            <w:r>
              <w:rPr>
                <w:rFonts w:ascii="宋体" w:eastAsia="宋体" w:hAnsi="宋体" w:cs="宋体" w:hint="eastAsia"/>
                <w:sz w:val="21"/>
                <w:szCs w:val="21"/>
              </w:rPr>
              <w:t>6.3  安全生产条件及重大安全风险隐患分析评价</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_Toc4795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102</w:t>
            </w:r>
            <w:r>
              <w:rPr>
                <w:rFonts w:ascii="宋体" w:eastAsia="宋体" w:hAnsi="宋体" w:cs="宋体" w:hint="eastAsia"/>
                <w:sz w:val="21"/>
                <w:szCs w:val="21"/>
              </w:rPr>
              <w:fldChar w:fldCharType="end"/>
            </w:r>
          </w:hyperlink>
        </w:p>
        <w:p w14:paraId="5DCB2279" w14:textId="77777777" w:rsidR="003D6A63" w:rsidRDefault="00000000">
          <w:pPr>
            <w:pStyle w:val="TOC1"/>
            <w:tabs>
              <w:tab w:val="clear" w:pos="9070"/>
              <w:tab w:val="right" w:leader="dot" w:pos="9072"/>
            </w:tabs>
            <w:spacing w:line="380" w:lineRule="exact"/>
            <w:rPr>
              <w:rFonts w:ascii="宋体" w:eastAsia="宋体" w:hAnsi="宋体" w:cs="宋体"/>
              <w:sz w:val="21"/>
              <w:szCs w:val="21"/>
            </w:rPr>
          </w:pPr>
          <w:hyperlink w:anchor="_Toc2591" w:history="1">
            <w:r>
              <w:rPr>
                <w:rFonts w:ascii="宋体" w:eastAsia="宋体" w:hAnsi="宋体" w:cs="宋体" w:hint="eastAsia"/>
                <w:b/>
                <w:bCs/>
                <w:sz w:val="21"/>
                <w:szCs w:val="21"/>
              </w:rPr>
              <w:t>7  事故案例</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_Toc2591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106</w:t>
            </w:r>
            <w:r>
              <w:rPr>
                <w:rFonts w:ascii="宋体" w:eastAsia="宋体" w:hAnsi="宋体" w:cs="宋体" w:hint="eastAsia"/>
                <w:b/>
                <w:bCs/>
                <w:sz w:val="21"/>
                <w:szCs w:val="21"/>
              </w:rPr>
              <w:fldChar w:fldCharType="end"/>
            </w:r>
          </w:hyperlink>
        </w:p>
        <w:p w14:paraId="54F66861"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4328" w:history="1">
            <w:r>
              <w:rPr>
                <w:rFonts w:ascii="宋体" w:eastAsia="宋体" w:hAnsi="宋体" w:cs="宋体" w:hint="eastAsia"/>
                <w:sz w:val="21"/>
                <w:szCs w:val="21"/>
              </w:rPr>
              <w:t>7.1  未停机进防护栏，平衡块击中致人死亡</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_Toc4328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106</w:t>
            </w:r>
            <w:r>
              <w:rPr>
                <w:rFonts w:ascii="宋体" w:eastAsia="宋体" w:hAnsi="宋体" w:cs="宋体" w:hint="eastAsia"/>
                <w:sz w:val="21"/>
                <w:szCs w:val="21"/>
              </w:rPr>
              <w:fldChar w:fldCharType="end"/>
            </w:r>
          </w:hyperlink>
        </w:p>
        <w:p w14:paraId="0C0F24B6"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801" w:history="1">
            <w:r>
              <w:rPr>
                <w:rFonts w:ascii="宋体" w:eastAsia="宋体" w:hAnsi="宋体" w:cs="宋体" w:hint="eastAsia"/>
                <w:sz w:val="21"/>
                <w:szCs w:val="21"/>
              </w:rPr>
              <w:t>7.2  设备磨损留隐患，油品泄漏着大火</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_Toc801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106</w:t>
            </w:r>
            <w:r>
              <w:rPr>
                <w:rFonts w:ascii="宋体" w:eastAsia="宋体" w:hAnsi="宋体" w:cs="宋体" w:hint="eastAsia"/>
                <w:sz w:val="21"/>
                <w:szCs w:val="21"/>
              </w:rPr>
              <w:fldChar w:fldCharType="end"/>
            </w:r>
          </w:hyperlink>
        </w:p>
        <w:p w14:paraId="3C001AEE" w14:textId="77777777" w:rsidR="003D6A63" w:rsidRDefault="00000000">
          <w:pPr>
            <w:pStyle w:val="TOC1"/>
            <w:tabs>
              <w:tab w:val="clear" w:pos="9070"/>
              <w:tab w:val="right" w:leader="dot" w:pos="9072"/>
            </w:tabs>
            <w:spacing w:line="380" w:lineRule="exact"/>
            <w:rPr>
              <w:rFonts w:ascii="宋体" w:eastAsia="宋体" w:hAnsi="宋体" w:cs="宋体"/>
              <w:sz w:val="21"/>
              <w:szCs w:val="21"/>
            </w:rPr>
          </w:pPr>
          <w:hyperlink w:anchor="_Toc28782" w:history="1">
            <w:r>
              <w:rPr>
                <w:rFonts w:ascii="宋体" w:eastAsia="宋体" w:hAnsi="宋体" w:cs="宋体" w:hint="eastAsia"/>
                <w:b/>
                <w:bCs/>
                <w:sz w:val="21"/>
                <w:szCs w:val="21"/>
              </w:rPr>
              <w:t>8  安全对策措施</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_Toc28782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108</w:t>
            </w:r>
            <w:r>
              <w:rPr>
                <w:rFonts w:ascii="宋体" w:eastAsia="宋体" w:hAnsi="宋体" w:cs="宋体" w:hint="eastAsia"/>
                <w:b/>
                <w:bCs/>
                <w:sz w:val="21"/>
                <w:szCs w:val="21"/>
              </w:rPr>
              <w:fldChar w:fldCharType="end"/>
            </w:r>
          </w:hyperlink>
        </w:p>
        <w:p w14:paraId="6B15FADE"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5514" w:history="1">
            <w:r>
              <w:rPr>
                <w:rFonts w:ascii="宋体" w:eastAsia="宋体" w:hAnsi="宋体" w:cs="宋体" w:hint="eastAsia"/>
                <w:bCs w:val="0"/>
                <w:sz w:val="21"/>
                <w:szCs w:val="21"/>
              </w:rPr>
              <w:t>8.1  安全对策措施</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_Toc5514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108</w:t>
            </w:r>
            <w:r>
              <w:rPr>
                <w:rFonts w:ascii="宋体" w:eastAsia="宋体" w:hAnsi="宋体" w:cs="宋体" w:hint="eastAsia"/>
                <w:sz w:val="21"/>
                <w:szCs w:val="21"/>
              </w:rPr>
              <w:fldChar w:fldCharType="end"/>
            </w:r>
          </w:hyperlink>
        </w:p>
        <w:p w14:paraId="454611C1"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29789" w:history="1">
            <w:r>
              <w:rPr>
                <w:rFonts w:ascii="宋体" w:eastAsia="宋体" w:hAnsi="宋体" w:cs="宋体" w:hint="eastAsia"/>
                <w:bCs w:val="0"/>
                <w:sz w:val="21"/>
                <w:szCs w:val="21"/>
              </w:rPr>
              <w:t>8.2  安全管理建议</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_Toc29789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118</w:t>
            </w:r>
            <w:r>
              <w:rPr>
                <w:rFonts w:ascii="宋体" w:eastAsia="宋体" w:hAnsi="宋体" w:cs="宋体" w:hint="eastAsia"/>
                <w:sz w:val="21"/>
                <w:szCs w:val="21"/>
              </w:rPr>
              <w:fldChar w:fldCharType="end"/>
            </w:r>
          </w:hyperlink>
        </w:p>
        <w:p w14:paraId="2C2403BD"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28130" w:history="1">
            <w:r>
              <w:rPr>
                <w:rFonts w:ascii="宋体" w:eastAsia="宋体" w:hAnsi="宋体" w:cs="宋体" w:hint="eastAsia"/>
                <w:b/>
                <w:bCs/>
                <w:sz w:val="21"/>
                <w:szCs w:val="21"/>
              </w:rPr>
              <w:t>9  安全评价结论</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_Toc28130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120</w:t>
            </w:r>
            <w:r>
              <w:rPr>
                <w:rFonts w:ascii="宋体" w:eastAsia="宋体" w:hAnsi="宋体" w:cs="宋体" w:hint="eastAsia"/>
                <w:b/>
                <w:bCs/>
                <w:sz w:val="21"/>
                <w:szCs w:val="21"/>
              </w:rPr>
              <w:fldChar w:fldCharType="end"/>
            </w:r>
          </w:hyperlink>
        </w:p>
        <w:p w14:paraId="7CB02F57" w14:textId="77777777" w:rsidR="003D6A63" w:rsidRDefault="00000000">
          <w:pPr>
            <w:pStyle w:val="TOC1"/>
            <w:tabs>
              <w:tab w:val="clear" w:pos="9070"/>
              <w:tab w:val="right" w:leader="dot" w:pos="9072"/>
            </w:tabs>
            <w:spacing w:line="380" w:lineRule="exact"/>
            <w:rPr>
              <w:rFonts w:ascii="宋体" w:eastAsia="宋体" w:hAnsi="宋体" w:cs="宋体"/>
              <w:sz w:val="21"/>
              <w:szCs w:val="21"/>
            </w:rPr>
          </w:pPr>
          <w:hyperlink w:anchor="_Toc32260" w:history="1">
            <w:r>
              <w:rPr>
                <w:rFonts w:ascii="宋体" w:eastAsia="宋体" w:hAnsi="宋体" w:cs="宋体" w:hint="eastAsia"/>
                <w:b/>
                <w:bCs/>
                <w:sz w:val="21"/>
                <w:szCs w:val="21"/>
              </w:rPr>
              <w:t>10  与被评价单位交换意见的情况</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_Toc32260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121</w:t>
            </w:r>
            <w:r>
              <w:rPr>
                <w:rFonts w:ascii="宋体" w:eastAsia="宋体" w:hAnsi="宋体" w:cs="宋体" w:hint="eastAsia"/>
                <w:b/>
                <w:bCs/>
                <w:sz w:val="21"/>
                <w:szCs w:val="21"/>
              </w:rPr>
              <w:fldChar w:fldCharType="end"/>
            </w:r>
          </w:hyperlink>
        </w:p>
        <w:p w14:paraId="0E1519F7"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23420" w:history="1">
            <w:r>
              <w:rPr>
                <w:rFonts w:ascii="宋体" w:eastAsia="宋体" w:hAnsi="宋体" w:cs="宋体" w:hint="eastAsia"/>
                <w:sz w:val="21"/>
                <w:szCs w:val="21"/>
              </w:rPr>
              <w:t>附表1  原油的危险、有害特性</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_Toc23420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122</w:t>
            </w:r>
            <w:r>
              <w:rPr>
                <w:rFonts w:ascii="宋体" w:eastAsia="宋体" w:hAnsi="宋体" w:cs="宋体" w:hint="eastAsia"/>
                <w:sz w:val="21"/>
                <w:szCs w:val="21"/>
              </w:rPr>
              <w:fldChar w:fldCharType="end"/>
            </w:r>
          </w:hyperlink>
        </w:p>
        <w:p w14:paraId="5A91C7DC" w14:textId="77777777" w:rsidR="003D6A63" w:rsidRDefault="00000000">
          <w:pPr>
            <w:pStyle w:val="TOC2"/>
            <w:tabs>
              <w:tab w:val="clear" w:pos="9070"/>
              <w:tab w:val="right" w:leader="dot" w:pos="9072"/>
            </w:tabs>
            <w:spacing w:line="380" w:lineRule="exact"/>
            <w:rPr>
              <w:rFonts w:ascii="宋体" w:eastAsia="宋体" w:hAnsi="宋体" w:cs="宋体"/>
              <w:sz w:val="21"/>
              <w:szCs w:val="21"/>
            </w:rPr>
          </w:pPr>
          <w:hyperlink w:anchor="_Toc19879" w:history="1">
            <w:r>
              <w:rPr>
                <w:rFonts w:ascii="宋体" w:eastAsia="宋体" w:hAnsi="宋体" w:cs="宋体" w:hint="eastAsia"/>
                <w:sz w:val="21"/>
                <w:szCs w:val="21"/>
              </w:rPr>
              <w:t>附表2  天然气的危险、有害特性</w:t>
            </w:r>
            <w:r>
              <w:rPr>
                <w:rFonts w:ascii="宋体" w:eastAsia="宋体" w:hAnsi="宋体" w:cs="宋体" w:hint="eastAsia"/>
                <w:sz w:val="21"/>
                <w:szCs w:val="21"/>
              </w:rPr>
              <w:tab/>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PAGEREF _Toc19879 \h </w:instrText>
            </w:r>
            <w:r>
              <w:rPr>
                <w:rFonts w:ascii="宋体" w:eastAsia="宋体" w:hAnsi="宋体" w:cs="宋体" w:hint="eastAsia"/>
                <w:sz w:val="21"/>
                <w:szCs w:val="21"/>
              </w:rPr>
            </w:r>
            <w:r>
              <w:rPr>
                <w:rFonts w:ascii="宋体" w:eastAsia="宋体" w:hAnsi="宋体" w:cs="宋体" w:hint="eastAsia"/>
                <w:sz w:val="21"/>
                <w:szCs w:val="21"/>
              </w:rPr>
              <w:fldChar w:fldCharType="separate"/>
            </w:r>
            <w:r>
              <w:rPr>
                <w:rFonts w:ascii="宋体" w:eastAsia="宋体" w:hAnsi="宋体" w:cs="宋体" w:hint="eastAsia"/>
                <w:sz w:val="21"/>
                <w:szCs w:val="21"/>
              </w:rPr>
              <w:t>124</w:t>
            </w:r>
            <w:r>
              <w:rPr>
                <w:rFonts w:ascii="宋体" w:eastAsia="宋体" w:hAnsi="宋体" w:cs="宋体" w:hint="eastAsia"/>
                <w:sz w:val="21"/>
                <w:szCs w:val="21"/>
              </w:rPr>
              <w:fldChar w:fldCharType="end"/>
            </w:r>
          </w:hyperlink>
        </w:p>
        <w:p w14:paraId="25AD266E"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31457" w:history="1">
            <w:r>
              <w:rPr>
                <w:rFonts w:ascii="宋体" w:eastAsia="宋体" w:hAnsi="宋体" w:cs="宋体" w:hint="eastAsia"/>
                <w:b/>
                <w:bCs/>
                <w:sz w:val="21"/>
                <w:szCs w:val="21"/>
              </w:rPr>
              <w:t>附件1 营业执照</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_Toc31457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126</w:t>
            </w:r>
            <w:r>
              <w:rPr>
                <w:rFonts w:ascii="宋体" w:eastAsia="宋体" w:hAnsi="宋体" w:cs="宋体" w:hint="eastAsia"/>
                <w:b/>
                <w:bCs/>
                <w:sz w:val="21"/>
                <w:szCs w:val="21"/>
              </w:rPr>
              <w:fldChar w:fldCharType="end"/>
            </w:r>
          </w:hyperlink>
        </w:p>
        <w:p w14:paraId="7EA805D3"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21665" w:history="1">
            <w:r>
              <w:rPr>
                <w:rFonts w:ascii="宋体" w:eastAsia="宋体" w:hAnsi="宋体" w:cs="宋体" w:hint="eastAsia"/>
                <w:b/>
                <w:bCs/>
                <w:sz w:val="21"/>
                <w:szCs w:val="21"/>
              </w:rPr>
              <w:t>附件2 采矿许可证</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_Toc21665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127</w:t>
            </w:r>
            <w:r>
              <w:rPr>
                <w:rFonts w:ascii="宋体" w:eastAsia="宋体" w:hAnsi="宋体" w:cs="宋体" w:hint="eastAsia"/>
                <w:b/>
                <w:bCs/>
                <w:sz w:val="21"/>
                <w:szCs w:val="21"/>
              </w:rPr>
              <w:fldChar w:fldCharType="end"/>
            </w:r>
          </w:hyperlink>
        </w:p>
        <w:p w14:paraId="0EF474E1"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16770" w:history="1">
            <w:r>
              <w:rPr>
                <w:rFonts w:ascii="宋体" w:eastAsia="宋体" w:hAnsi="宋体" w:cs="宋体" w:hint="eastAsia"/>
                <w:b/>
                <w:bCs/>
                <w:sz w:val="21"/>
                <w:szCs w:val="21"/>
              </w:rPr>
              <w:t>附件3 安全生产许可证</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_Toc16770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139</w:t>
            </w:r>
            <w:r>
              <w:rPr>
                <w:rFonts w:ascii="宋体" w:eastAsia="宋体" w:hAnsi="宋体" w:cs="宋体" w:hint="eastAsia"/>
                <w:b/>
                <w:bCs/>
                <w:sz w:val="21"/>
                <w:szCs w:val="21"/>
              </w:rPr>
              <w:fldChar w:fldCharType="end"/>
            </w:r>
          </w:hyperlink>
        </w:p>
        <w:p w14:paraId="53348DB7"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23336" w:history="1">
            <w:r>
              <w:rPr>
                <w:rFonts w:ascii="宋体" w:eastAsia="宋体" w:hAnsi="宋体" w:cs="宋体" w:hint="eastAsia"/>
                <w:b/>
                <w:bCs/>
                <w:sz w:val="21"/>
                <w:szCs w:val="21"/>
              </w:rPr>
              <w:t>附件4 成立安全管理机构及安全管理人员的文件</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_Toc23336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140</w:t>
            </w:r>
            <w:r>
              <w:rPr>
                <w:rFonts w:ascii="宋体" w:eastAsia="宋体" w:hAnsi="宋体" w:cs="宋体" w:hint="eastAsia"/>
                <w:b/>
                <w:bCs/>
                <w:sz w:val="21"/>
                <w:szCs w:val="21"/>
              </w:rPr>
              <w:fldChar w:fldCharType="end"/>
            </w:r>
          </w:hyperlink>
        </w:p>
        <w:p w14:paraId="222D853E"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14108" w:history="1">
            <w:r>
              <w:rPr>
                <w:rFonts w:ascii="宋体" w:eastAsia="宋体" w:hAnsi="宋体" w:cs="宋体" w:hint="eastAsia"/>
                <w:b/>
                <w:bCs/>
                <w:sz w:val="21"/>
                <w:szCs w:val="21"/>
              </w:rPr>
              <w:t>附件5 安全总监任命、工程师证书及备案文件</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_Toc14108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144</w:t>
            </w:r>
            <w:r>
              <w:rPr>
                <w:rFonts w:ascii="宋体" w:eastAsia="宋体" w:hAnsi="宋体" w:cs="宋体" w:hint="eastAsia"/>
                <w:b/>
                <w:bCs/>
                <w:sz w:val="21"/>
                <w:szCs w:val="21"/>
              </w:rPr>
              <w:fldChar w:fldCharType="end"/>
            </w:r>
          </w:hyperlink>
        </w:p>
        <w:p w14:paraId="475D543E"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18621" w:history="1">
            <w:r>
              <w:rPr>
                <w:rFonts w:ascii="宋体" w:eastAsia="宋体" w:hAnsi="宋体" w:cs="宋体" w:hint="eastAsia"/>
                <w:b/>
                <w:bCs/>
                <w:sz w:val="21"/>
                <w:szCs w:val="21"/>
              </w:rPr>
              <w:t>附件6 注册安全工程师证书及注册信息</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_Toc18621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151</w:t>
            </w:r>
            <w:r>
              <w:rPr>
                <w:rFonts w:ascii="宋体" w:eastAsia="宋体" w:hAnsi="宋体" w:cs="宋体" w:hint="eastAsia"/>
                <w:b/>
                <w:bCs/>
                <w:sz w:val="21"/>
                <w:szCs w:val="21"/>
              </w:rPr>
              <w:fldChar w:fldCharType="end"/>
            </w:r>
          </w:hyperlink>
        </w:p>
        <w:p w14:paraId="6275BB9E"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32347" w:history="1">
            <w:r>
              <w:rPr>
                <w:rFonts w:ascii="宋体" w:eastAsia="宋体" w:hAnsi="宋体" w:cs="宋体" w:hint="eastAsia"/>
                <w:b/>
                <w:bCs/>
                <w:sz w:val="21"/>
                <w:szCs w:val="21"/>
              </w:rPr>
              <w:t>附件7 主要负责人、安全管理人员合格证</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_Toc32347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154</w:t>
            </w:r>
            <w:r>
              <w:rPr>
                <w:rFonts w:ascii="宋体" w:eastAsia="宋体" w:hAnsi="宋体" w:cs="宋体" w:hint="eastAsia"/>
                <w:b/>
                <w:bCs/>
                <w:sz w:val="21"/>
                <w:szCs w:val="21"/>
              </w:rPr>
              <w:fldChar w:fldCharType="end"/>
            </w:r>
          </w:hyperlink>
        </w:p>
        <w:p w14:paraId="59AB8838"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21239" w:history="1">
            <w:r>
              <w:rPr>
                <w:rFonts w:ascii="宋体" w:eastAsia="宋体" w:hAnsi="宋体" w:cs="宋体" w:hint="eastAsia"/>
                <w:b/>
                <w:bCs/>
                <w:sz w:val="21"/>
                <w:szCs w:val="21"/>
              </w:rPr>
              <w:t>附件8 单位工伤保险参保证明</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_Toc21239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155</w:t>
            </w:r>
            <w:r>
              <w:rPr>
                <w:rFonts w:ascii="宋体" w:eastAsia="宋体" w:hAnsi="宋体" w:cs="宋体" w:hint="eastAsia"/>
                <w:b/>
                <w:bCs/>
                <w:sz w:val="21"/>
                <w:szCs w:val="21"/>
              </w:rPr>
              <w:fldChar w:fldCharType="end"/>
            </w:r>
          </w:hyperlink>
        </w:p>
        <w:p w14:paraId="2495B4CC"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15780" w:history="1">
            <w:r>
              <w:rPr>
                <w:rFonts w:ascii="宋体" w:eastAsia="宋体" w:hAnsi="宋体" w:cs="宋体" w:hint="eastAsia"/>
                <w:b/>
                <w:bCs/>
                <w:sz w:val="21"/>
                <w:szCs w:val="21"/>
              </w:rPr>
              <w:t>附件9 安全生产责任险有关证明</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_Toc15780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178</w:t>
            </w:r>
            <w:r>
              <w:rPr>
                <w:rFonts w:ascii="宋体" w:eastAsia="宋体" w:hAnsi="宋体" w:cs="宋体" w:hint="eastAsia"/>
                <w:b/>
                <w:bCs/>
                <w:sz w:val="21"/>
                <w:szCs w:val="21"/>
              </w:rPr>
              <w:fldChar w:fldCharType="end"/>
            </w:r>
          </w:hyperlink>
        </w:p>
        <w:p w14:paraId="1E45B188"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8063" w:history="1">
            <w:r>
              <w:rPr>
                <w:rFonts w:ascii="宋体" w:eastAsia="宋体" w:hAnsi="宋体" w:cs="宋体" w:hint="eastAsia"/>
                <w:b/>
                <w:bCs/>
                <w:sz w:val="21"/>
                <w:szCs w:val="21"/>
              </w:rPr>
              <w:t>附件10 生产安全事故应急救援预案备案证明</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_Toc8063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180</w:t>
            </w:r>
            <w:r>
              <w:rPr>
                <w:rFonts w:ascii="宋体" w:eastAsia="宋体" w:hAnsi="宋体" w:cs="宋体" w:hint="eastAsia"/>
                <w:b/>
                <w:bCs/>
                <w:sz w:val="21"/>
                <w:szCs w:val="21"/>
              </w:rPr>
              <w:fldChar w:fldCharType="end"/>
            </w:r>
          </w:hyperlink>
        </w:p>
        <w:p w14:paraId="72B86374"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28697" w:history="1">
            <w:r>
              <w:rPr>
                <w:rFonts w:ascii="宋体" w:eastAsia="宋体" w:hAnsi="宋体" w:cs="宋体" w:hint="eastAsia"/>
                <w:b/>
                <w:bCs/>
                <w:sz w:val="21"/>
                <w:szCs w:val="21"/>
              </w:rPr>
              <w:t>附件11 成立应急组织机构文件</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_Toc28697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181</w:t>
            </w:r>
            <w:r>
              <w:rPr>
                <w:rFonts w:ascii="宋体" w:eastAsia="宋体" w:hAnsi="宋体" w:cs="宋体" w:hint="eastAsia"/>
                <w:b/>
                <w:bCs/>
                <w:sz w:val="21"/>
                <w:szCs w:val="21"/>
              </w:rPr>
              <w:fldChar w:fldCharType="end"/>
            </w:r>
          </w:hyperlink>
        </w:p>
        <w:p w14:paraId="26CC4A0F"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13779" w:history="1">
            <w:r>
              <w:rPr>
                <w:rFonts w:ascii="宋体" w:eastAsia="宋体" w:hAnsi="宋体" w:cs="宋体" w:hint="eastAsia"/>
                <w:b/>
                <w:bCs/>
                <w:sz w:val="21"/>
                <w:szCs w:val="21"/>
              </w:rPr>
              <w:t>附件12  应急预案演练计划及记录（节选）</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_Toc13779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183</w:t>
            </w:r>
            <w:r>
              <w:rPr>
                <w:rFonts w:ascii="宋体" w:eastAsia="宋体" w:hAnsi="宋体" w:cs="宋体" w:hint="eastAsia"/>
                <w:b/>
                <w:bCs/>
                <w:sz w:val="21"/>
                <w:szCs w:val="21"/>
              </w:rPr>
              <w:fldChar w:fldCharType="end"/>
            </w:r>
          </w:hyperlink>
        </w:p>
        <w:p w14:paraId="0641F11A"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21566" w:history="1">
            <w:r>
              <w:rPr>
                <w:rFonts w:ascii="宋体" w:eastAsia="宋体" w:hAnsi="宋体" w:cs="宋体" w:hint="eastAsia"/>
                <w:b/>
                <w:bCs/>
                <w:sz w:val="21"/>
                <w:szCs w:val="21"/>
              </w:rPr>
              <w:t>附件13 应急救援协议</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_Toc21566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200</w:t>
            </w:r>
            <w:r>
              <w:rPr>
                <w:rFonts w:ascii="宋体" w:eastAsia="宋体" w:hAnsi="宋体" w:cs="宋体" w:hint="eastAsia"/>
                <w:b/>
                <w:bCs/>
                <w:sz w:val="21"/>
                <w:szCs w:val="21"/>
              </w:rPr>
              <w:fldChar w:fldCharType="end"/>
            </w:r>
          </w:hyperlink>
        </w:p>
        <w:p w14:paraId="2ACB2925"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1148" w:history="1">
            <w:r>
              <w:rPr>
                <w:rFonts w:ascii="宋体" w:eastAsia="宋体" w:hAnsi="宋体" w:cs="宋体" w:hint="eastAsia"/>
                <w:b/>
                <w:bCs/>
                <w:sz w:val="21"/>
                <w:szCs w:val="21"/>
              </w:rPr>
              <w:t>附件14 应急物资检查记录</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_Toc1148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208</w:t>
            </w:r>
            <w:r>
              <w:rPr>
                <w:rFonts w:ascii="宋体" w:eastAsia="宋体" w:hAnsi="宋体" w:cs="宋体" w:hint="eastAsia"/>
                <w:b/>
                <w:bCs/>
                <w:sz w:val="21"/>
                <w:szCs w:val="21"/>
              </w:rPr>
              <w:fldChar w:fldCharType="end"/>
            </w:r>
          </w:hyperlink>
        </w:p>
        <w:p w14:paraId="4EF63AD8"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13404" w:history="1">
            <w:r>
              <w:rPr>
                <w:rFonts w:ascii="宋体" w:eastAsia="宋体" w:hAnsi="宋体" w:cs="宋体" w:hint="eastAsia"/>
                <w:b/>
                <w:bCs/>
                <w:sz w:val="21"/>
                <w:szCs w:val="21"/>
              </w:rPr>
              <w:t>附件15  安全生产责任制、规章制度、操作规程目录</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_Toc13404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212</w:t>
            </w:r>
            <w:r>
              <w:rPr>
                <w:rFonts w:ascii="宋体" w:eastAsia="宋体" w:hAnsi="宋体" w:cs="宋体" w:hint="eastAsia"/>
                <w:b/>
                <w:bCs/>
                <w:sz w:val="21"/>
                <w:szCs w:val="21"/>
              </w:rPr>
              <w:fldChar w:fldCharType="end"/>
            </w:r>
          </w:hyperlink>
        </w:p>
        <w:p w14:paraId="573C5878"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4205" w:history="1">
            <w:r>
              <w:rPr>
                <w:rFonts w:ascii="宋体" w:eastAsia="宋体" w:hAnsi="宋体" w:cs="宋体" w:hint="eastAsia"/>
                <w:b/>
                <w:bCs/>
                <w:sz w:val="21"/>
                <w:szCs w:val="21"/>
              </w:rPr>
              <w:t>附件16 专业化公司劳务承揽合同及特种作业人员证书（部分）</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_Toc4205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225</w:t>
            </w:r>
            <w:r>
              <w:rPr>
                <w:rFonts w:ascii="宋体" w:eastAsia="宋体" w:hAnsi="宋体" w:cs="宋体" w:hint="eastAsia"/>
                <w:b/>
                <w:bCs/>
                <w:sz w:val="21"/>
                <w:szCs w:val="21"/>
              </w:rPr>
              <w:fldChar w:fldCharType="end"/>
            </w:r>
          </w:hyperlink>
        </w:p>
        <w:p w14:paraId="411AD1EE"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16350" w:history="1">
            <w:r>
              <w:rPr>
                <w:rFonts w:ascii="宋体" w:eastAsia="宋体" w:hAnsi="宋体" w:cs="宋体" w:hint="eastAsia"/>
                <w:b/>
                <w:bCs/>
                <w:sz w:val="21"/>
                <w:szCs w:val="21"/>
              </w:rPr>
              <w:t>附件17 井控人员证件（部分）</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_Toc16350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257</w:t>
            </w:r>
            <w:r>
              <w:rPr>
                <w:rFonts w:ascii="宋体" w:eastAsia="宋体" w:hAnsi="宋体" w:cs="宋体" w:hint="eastAsia"/>
                <w:b/>
                <w:bCs/>
                <w:sz w:val="21"/>
                <w:szCs w:val="21"/>
              </w:rPr>
              <w:fldChar w:fldCharType="end"/>
            </w:r>
          </w:hyperlink>
        </w:p>
        <w:p w14:paraId="3CF4653D"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2799" w:history="1">
            <w:r>
              <w:rPr>
                <w:rFonts w:ascii="宋体" w:eastAsia="宋体" w:hAnsi="宋体" w:cs="宋体" w:hint="eastAsia"/>
                <w:b/>
                <w:bCs/>
                <w:sz w:val="21"/>
                <w:szCs w:val="21"/>
              </w:rPr>
              <w:t>附件18 特种设备安全管理人员证书（部分）</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_Toc2799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258</w:t>
            </w:r>
            <w:r>
              <w:rPr>
                <w:rFonts w:ascii="宋体" w:eastAsia="宋体" w:hAnsi="宋体" w:cs="宋体" w:hint="eastAsia"/>
                <w:b/>
                <w:bCs/>
                <w:sz w:val="21"/>
                <w:szCs w:val="21"/>
              </w:rPr>
              <w:fldChar w:fldCharType="end"/>
            </w:r>
          </w:hyperlink>
        </w:p>
        <w:p w14:paraId="06DC9D78"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23512" w:history="1">
            <w:r>
              <w:rPr>
                <w:rFonts w:ascii="宋体" w:eastAsia="宋体" w:hAnsi="宋体" w:cs="宋体" w:hint="eastAsia"/>
                <w:b/>
                <w:bCs/>
                <w:sz w:val="21"/>
                <w:szCs w:val="21"/>
              </w:rPr>
              <w:t>附件19 安全生产投入</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_Toc23512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260</w:t>
            </w:r>
            <w:r>
              <w:rPr>
                <w:rFonts w:ascii="宋体" w:eastAsia="宋体" w:hAnsi="宋体" w:cs="宋体" w:hint="eastAsia"/>
                <w:b/>
                <w:bCs/>
                <w:sz w:val="21"/>
                <w:szCs w:val="21"/>
              </w:rPr>
              <w:fldChar w:fldCharType="end"/>
            </w:r>
          </w:hyperlink>
        </w:p>
        <w:p w14:paraId="5891C2EF"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24989" w:history="1">
            <w:r>
              <w:rPr>
                <w:rFonts w:ascii="宋体" w:eastAsia="宋体" w:hAnsi="宋体" w:cs="宋体" w:hint="eastAsia"/>
                <w:b/>
                <w:bCs/>
                <w:sz w:val="21"/>
                <w:szCs w:val="21"/>
              </w:rPr>
              <w:t>附件20 劳动保护用品发放记录</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_Toc24989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267</w:t>
            </w:r>
            <w:r>
              <w:rPr>
                <w:rFonts w:ascii="宋体" w:eastAsia="宋体" w:hAnsi="宋体" w:cs="宋体" w:hint="eastAsia"/>
                <w:b/>
                <w:bCs/>
                <w:sz w:val="21"/>
                <w:szCs w:val="21"/>
              </w:rPr>
              <w:fldChar w:fldCharType="end"/>
            </w:r>
          </w:hyperlink>
        </w:p>
        <w:p w14:paraId="6AF02975"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16179" w:history="1">
            <w:r>
              <w:rPr>
                <w:rFonts w:ascii="宋体" w:eastAsia="宋体" w:hAnsi="宋体" w:cs="宋体" w:hint="eastAsia"/>
                <w:b/>
                <w:bCs/>
                <w:sz w:val="21"/>
                <w:szCs w:val="21"/>
              </w:rPr>
              <w:t>附件21 特种设备设施检测检验证书（部分）</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_Toc16179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272</w:t>
            </w:r>
            <w:r>
              <w:rPr>
                <w:rFonts w:ascii="宋体" w:eastAsia="宋体" w:hAnsi="宋体" w:cs="宋体" w:hint="eastAsia"/>
                <w:b/>
                <w:bCs/>
                <w:sz w:val="21"/>
                <w:szCs w:val="21"/>
              </w:rPr>
              <w:fldChar w:fldCharType="end"/>
            </w:r>
          </w:hyperlink>
        </w:p>
        <w:p w14:paraId="1A735728"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27359" w:history="1">
            <w:r>
              <w:rPr>
                <w:rFonts w:ascii="宋体" w:eastAsia="宋体" w:hAnsi="宋体" w:cs="宋体" w:hint="eastAsia"/>
                <w:b/>
                <w:bCs/>
                <w:sz w:val="21"/>
                <w:szCs w:val="21"/>
              </w:rPr>
              <w:t>附件22 压力表、安全阀等设备设施检测检验报告（部分）</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_Toc27359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278</w:t>
            </w:r>
            <w:r>
              <w:rPr>
                <w:rFonts w:ascii="宋体" w:eastAsia="宋体" w:hAnsi="宋体" w:cs="宋体" w:hint="eastAsia"/>
                <w:b/>
                <w:bCs/>
                <w:sz w:val="21"/>
                <w:szCs w:val="21"/>
              </w:rPr>
              <w:fldChar w:fldCharType="end"/>
            </w:r>
          </w:hyperlink>
        </w:p>
        <w:p w14:paraId="55E35180"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27414" w:history="1">
            <w:r>
              <w:rPr>
                <w:rFonts w:ascii="宋体" w:eastAsia="宋体" w:hAnsi="宋体" w:cs="宋体" w:hint="eastAsia"/>
                <w:b/>
                <w:bCs/>
                <w:sz w:val="21"/>
                <w:szCs w:val="21"/>
              </w:rPr>
              <w:t>附件23 防雷检测报告</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_Toc27414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284</w:t>
            </w:r>
            <w:r>
              <w:rPr>
                <w:rFonts w:ascii="宋体" w:eastAsia="宋体" w:hAnsi="宋体" w:cs="宋体" w:hint="eastAsia"/>
                <w:b/>
                <w:bCs/>
                <w:sz w:val="21"/>
                <w:szCs w:val="21"/>
              </w:rPr>
              <w:fldChar w:fldCharType="end"/>
            </w:r>
          </w:hyperlink>
        </w:p>
        <w:p w14:paraId="0CBA8FA4"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23792" w:history="1">
            <w:r>
              <w:rPr>
                <w:rFonts w:ascii="宋体" w:eastAsia="宋体" w:hAnsi="宋体" w:cs="宋体" w:hint="eastAsia"/>
                <w:b/>
                <w:bCs/>
                <w:sz w:val="21"/>
                <w:szCs w:val="21"/>
              </w:rPr>
              <w:t>附件24 原油天然气检测报告</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_Toc23792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297</w:t>
            </w:r>
            <w:r>
              <w:rPr>
                <w:rFonts w:ascii="宋体" w:eastAsia="宋体" w:hAnsi="宋体" w:cs="宋体" w:hint="eastAsia"/>
                <w:b/>
                <w:bCs/>
                <w:sz w:val="21"/>
                <w:szCs w:val="21"/>
              </w:rPr>
              <w:fldChar w:fldCharType="end"/>
            </w:r>
          </w:hyperlink>
        </w:p>
        <w:p w14:paraId="6C254EE2"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21555" w:history="1">
            <w:r>
              <w:rPr>
                <w:rFonts w:ascii="宋体" w:eastAsia="宋体" w:hAnsi="宋体" w:cs="宋体" w:hint="eastAsia"/>
                <w:b/>
                <w:bCs/>
                <w:sz w:val="21"/>
                <w:szCs w:val="21"/>
              </w:rPr>
              <w:t>附件25 特殊作业许可票证（部分）</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_Toc21555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300</w:t>
            </w:r>
            <w:r>
              <w:rPr>
                <w:rFonts w:ascii="宋体" w:eastAsia="宋体" w:hAnsi="宋体" w:cs="宋体" w:hint="eastAsia"/>
                <w:b/>
                <w:bCs/>
                <w:sz w:val="21"/>
                <w:szCs w:val="21"/>
              </w:rPr>
              <w:fldChar w:fldCharType="end"/>
            </w:r>
          </w:hyperlink>
        </w:p>
        <w:p w14:paraId="6E5018CD" w14:textId="77777777" w:rsidR="003D6A63" w:rsidRDefault="00000000">
          <w:pPr>
            <w:pStyle w:val="TOC1"/>
            <w:tabs>
              <w:tab w:val="clear" w:pos="9070"/>
              <w:tab w:val="right" w:leader="dot" w:pos="9072"/>
            </w:tabs>
            <w:spacing w:line="380" w:lineRule="exact"/>
            <w:rPr>
              <w:rFonts w:ascii="宋体" w:eastAsia="宋体" w:hAnsi="宋体" w:cs="宋体"/>
              <w:b/>
              <w:bCs/>
              <w:sz w:val="21"/>
              <w:szCs w:val="21"/>
            </w:rPr>
          </w:pPr>
          <w:hyperlink w:anchor="_Toc27572" w:history="1">
            <w:r>
              <w:rPr>
                <w:rFonts w:ascii="宋体" w:eastAsia="宋体" w:hAnsi="宋体" w:cs="宋体" w:hint="eastAsia"/>
                <w:b/>
                <w:bCs/>
                <w:sz w:val="21"/>
                <w:szCs w:val="21"/>
              </w:rPr>
              <w:t>附件26 承包商资料（部分）</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_Toc27572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304</w:t>
            </w:r>
            <w:r>
              <w:rPr>
                <w:rFonts w:ascii="宋体" w:eastAsia="宋体" w:hAnsi="宋体" w:cs="宋体" w:hint="eastAsia"/>
                <w:b/>
                <w:bCs/>
                <w:sz w:val="21"/>
                <w:szCs w:val="21"/>
              </w:rPr>
              <w:fldChar w:fldCharType="end"/>
            </w:r>
          </w:hyperlink>
        </w:p>
        <w:p w14:paraId="11D47579" w14:textId="77777777" w:rsidR="003D6A63" w:rsidRDefault="00000000">
          <w:pPr>
            <w:pStyle w:val="TOC1"/>
            <w:tabs>
              <w:tab w:val="clear" w:pos="9070"/>
              <w:tab w:val="right" w:leader="dot" w:pos="9072"/>
            </w:tabs>
            <w:spacing w:line="380" w:lineRule="exact"/>
            <w:rPr>
              <w:sz w:val="21"/>
              <w:szCs w:val="21"/>
            </w:rPr>
          </w:pPr>
          <w:hyperlink w:anchor="_Toc30253" w:history="1">
            <w:r>
              <w:rPr>
                <w:rFonts w:ascii="宋体" w:eastAsia="宋体" w:hAnsi="宋体" w:cs="宋体" w:hint="eastAsia"/>
                <w:b/>
                <w:bCs/>
                <w:sz w:val="21"/>
                <w:szCs w:val="21"/>
              </w:rPr>
              <w:t>附件27 现场问题整改复查说明</w:t>
            </w:r>
            <w:r>
              <w:rPr>
                <w:rFonts w:ascii="宋体" w:eastAsia="宋体" w:hAnsi="宋体" w:cs="宋体" w:hint="eastAsia"/>
                <w:b/>
                <w:bCs/>
                <w:sz w:val="21"/>
                <w:szCs w:val="21"/>
              </w:rPr>
              <w:tab/>
            </w: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PAGEREF _Toc30253 \h </w:instrText>
            </w:r>
            <w:r>
              <w:rPr>
                <w:rFonts w:ascii="宋体" w:eastAsia="宋体" w:hAnsi="宋体" w:cs="宋体" w:hint="eastAsia"/>
                <w:b/>
                <w:bCs/>
                <w:sz w:val="21"/>
                <w:szCs w:val="21"/>
              </w:rPr>
            </w:r>
            <w:r>
              <w:rPr>
                <w:rFonts w:ascii="宋体" w:eastAsia="宋体" w:hAnsi="宋体" w:cs="宋体" w:hint="eastAsia"/>
                <w:b/>
                <w:bCs/>
                <w:sz w:val="21"/>
                <w:szCs w:val="21"/>
              </w:rPr>
              <w:fldChar w:fldCharType="separate"/>
            </w:r>
            <w:r>
              <w:rPr>
                <w:rFonts w:ascii="宋体" w:eastAsia="宋体" w:hAnsi="宋体" w:cs="宋体" w:hint="eastAsia"/>
                <w:b/>
                <w:bCs/>
                <w:sz w:val="21"/>
                <w:szCs w:val="21"/>
              </w:rPr>
              <w:t>312</w:t>
            </w:r>
            <w:r>
              <w:rPr>
                <w:rFonts w:ascii="宋体" w:eastAsia="宋体" w:hAnsi="宋体" w:cs="宋体" w:hint="eastAsia"/>
                <w:b/>
                <w:bCs/>
                <w:sz w:val="21"/>
                <w:szCs w:val="21"/>
              </w:rPr>
              <w:fldChar w:fldCharType="end"/>
            </w:r>
          </w:hyperlink>
        </w:p>
        <w:p w14:paraId="1EAB6652" w14:textId="77777777" w:rsidR="003D6A63" w:rsidRDefault="00000000">
          <w:pPr>
            <w:pStyle w:val="TOC1"/>
            <w:adjustRightInd w:val="0"/>
            <w:snapToGrid w:val="0"/>
            <w:spacing w:line="380" w:lineRule="exact"/>
          </w:pPr>
          <w:r>
            <w:rPr>
              <w:rFonts w:eastAsia="宋体"/>
              <w:sz w:val="21"/>
              <w:szCs w:val="21"/>
            </w:rPr>
            <w:fldChar w:fldCharType="end"/>
          </w:r>
        </w:p>
      </w:sdtContent>
    </w:sdt>
    <w:p w14:paraId="30811695" w14:textId="77777777" w:rsidR="003D6A63" w:rsidRDefault="003D6A63">
      <w:pPr>
        <w:pStyle w:val="Default"/>
        <w:sectPr w:rsidR="003D6A63">
          <w:headerReference w:type="default" r:id="rId9"/>
          <w:footerReference w:type="default" r:id="rId10"/>
          <w:pgSz w:w="11906" w:h="16838"/>
          <w:pgMar w:top="1417" w:right="1417" w:bottom="1417" w:left="1417" w:header="1077" w:footer="964" w:gutter="0"/>
          <w:pgNumType w:start="1"/>
          <w:cols w:space="0"/>
          <w:docGrid w:linePitch="312"/>
        </w:sectPr>
      </w:pPr>
    </w:p>
    <w:p w14:paraId="634C0DD8" w14:textId="77777777" w:rsidR="003D6A63" w:rsidRDefault="00000000">
      <w:pPr>
        <w:pStyle w:val="1"/>
        <w:keepNext w:val="0"/>
        <w:keepLines w:val="0"/>
        <w:adjustRightInd w:val="0"/>
        <w:snapToGrid w:val="0"/>
        <w:spacing w:beforeLines="100" w:before="240" w:afterLines="100" w:after="240" w:line="360" w:lineRule="auto"/>
        <w:ind w:firstLine="200"/>
        <w:rPr>
          <w:rFonts w:eastAsia="黑体"/>
          <w:b w:val="0"/>
          <w:spacing w:val="0"/>
        </w:rPr>
      </w:pPr>
      <w:bookmarkStart w:id="7" w:name="_Toc259305271"/>
      <w:bookmarkStart w:id="8" w:name="_Toc259394923"/>
      <w:bookmarkStart w:id="9" w:name="_Toc301155250"/>
      <w:bookmarkStart w:id="10" w:name="_Toc13193"/>
      <w:r>
        <w:rPr>
          <w:rFonts w:eastAsia="黑体" w:hint="eastAsia"/>
          <w:b w:val="0"/>
          <w:spacing w:val="0"/>
        </w:rPr>
        <w:lastRenderedPageBreak/>
        <w:t xml:space="preserve">1  </w:t>
      </w:r>
      <w:bookmarkEnd w:id="7"/>
      <w:bookmarkEnd w:id="8"/>
      <w:bookmarkEnd w:id="9"/>
      <w:r>
        <w:rPr>
          <w:rFonts w:eastAsia="黑体" w:hint="eastAsia"/>
          <w:b w:val="0"/>
          <w:spacing w:val="0"/>
        </w:rPr>
        <w:t>概述</w:t>
      </w:r>
      <w:bookmarkEnd w:id="10"/>
    </w:p>
    <w:p w14:paraId="77BC0EC0" w14:textId="77777777" w:rsidR="003D6A63" w:rsidRDefault="00000000">
      <w:pPr>
        <w:pStyle w:val="2"/>
        <w:keepNext w:val="0"/>
        <w:keepLines w:val="0"/>
        <w:adjustRightInd w:val="0"/>
        <w:snapToGrid w:val="0"/>
        <w:spacing w:before="0" w:after="0" w:line="360" w:lineRule="auto"/>
        <w:ind w:firstLine="200"/>
        <w:rPr>
          <w:rFonts w:ascii="Times New Roman" w:hAnsi="Times New Roman"/>
          <w:b w:val="0"/>
          <w:spacing w:val="0"/>
          <w:sz w:val="28"/>
        </w:rPr>
      </w:pPr>
      <w:bookmarkStart w:id="11" w:name="_Toc301155251"/>
      <w:bookmarkStart w:id="12" w:name="_Toc145324033"/>
      <w:bookmarkStart w:id="13" w:name="_Toc259394924"/>
      <w:bookmarkStart w:id="14" w:name="_Toc259305272"/>
      <w:bookmarkStart w:id="15" w:name="_Toc31968"/>
      <w:bookmarkStart w:id="16" w:name="_Toc99389523"/>
      <w:bookmarkStart w:id="17" w:name="_Toc99444399"/>
      <w:r>
        <w:rPr>
          <w:rFonts w:ascii="Times New Roman" w:hAnsi="Times New Roman" w:hint="eastAsia"/>
          <w:b w:val="0"/>
          <w:spacing w:val="0"/>
          <w:sz w:val="28"/>
        </w:rPr>
        <w:t xml:space="preserve">1.1  </w:t>
      </w:r>
      <w:r>
        <w:rPr>
          <w:rFonts w:ascii="Times New Roman" w:hAnsi="Times New Roman" w:hint="eastAsia"/>
          <w:b w:val="0"/>
          <w:spacing w:val="0"/>
          <w:sz w:val="28"/>
        </w:rPr>
        <w:t>评价目的</w:t>
      </w:r>
      <w:bookmarkEnd w:id="11"/>
      <w:bookmarkEnd w:id="12"/>
      <w:bookmarkEnd w:id="13"/>
      <w:bookmarkEnd w:id="14"/>
      <w:bookmarkEnd w:id="15"/>
      <w:bookmarkEnd w:id="16"/>
      <w:bookmarkEnd w:id="17"/>
    </w:p>
    <w:p w14:paraId="048EE28D" w14:textId="77777777" w:rsidR="003D6A63" w:rsidRDefault="00000000">
      <w:pPr>
        <w:adjustRightInd w:val="0"/>
        <w:snapToGrid w:val="0"/>
        <w:spacing w:line="360" w:lineRule="auto"/>
        <w:ind w:firstLineChars="100" w:firstLine="240"/>
        <w:rPr>
          <w:color w:val="000000" w:themeColor="text1"/>
          <w:sz w:val="24"/>
        </w:rPr>
      </w:pPr>
      <w:bookmarkStart w:id="18" w:name="_Toc99389525"/>
      <w:bookmarkStart w:id="19" w:name="_Toc259394925"/>
      <w:bookmarkStart w:id="20" w:name="_Toc259305273"/>
      <w:bookmarkStart w:id="21" w:name="_Toc145324034"/>
      <w:bookmarkStart w:id="22" w:name="_Toc99444401"/>
      <w:r>
        <w:rPr>
          <w:rFonts w:hint="eastAsia"/>
          <w:color w:val="000000" w:themeColor="text1"/>
          <w:sz w:val="24"/>
        </w:rPr>
        <w:t>（</w:t>
      </w:r>
      <w:r>
        <w:rPr>
          <w:rFonts w:hint="eastAsia"/>
          <w:color w:val="000000" w:themeColor="text1"/>
          <w:sz w:val="24"/>
        </w:rPr>
        <w:t>1</w:t>
      </w:r>
      <w:r>
        <w:rPr>
          <w:rFonts w:hint="eastAsia"/>
          <w:color w:val="000000" w:themeColor="text1"/>
          <w:sz w:val="24"/>
        </w:rPr>
        <w:t>）</w:t>
      </w:r>
      <w:r>
        <w:rPr>
          <w:color w:val="000000" w:themeColor="text1"/>
          <w:sz w:val="24"/>
        </w:rPr>
        <w:t>按照《安全生产许可证条例》（</w:t>
      </w:r>
      <w:r>
        <w:rPr>
          <w:rFonts w:hint="eastAsia"/>
          <w:color w:val="000000" w:themeColor="text1"/>
          <w:sz w:val="24"/>
        </w:rPr>
        <w:t>国务院令第</w:t>
      </w:r>
      <w:r>
        <w:rPr>
          <w:rFonts w:hint="eastAsia"/>
          <w:color w:val="000000" w:themeColor="text1"/>
          <w:sz w:val="24"/>
        </w:rPr>
        <w:t>397</w:t>
      </w:r>
      <w:r>
        <w:rPr>
          <w:rFonts w:hint="eastAsia"/>
          <w:color w:val="000000" w:themeColor="text1"/>
          <w:sz w:val="24"/>
        </w:rPr>
        <w:t>号发布，国务院令第</w:t>
      </w:r>
      <w:r>
        <w:rPr>
          <w:rFonts w:hint="eastAsia"/>
          <w:color w:val="000000" w:themeColor="text1"/>
          <w:sz w:val="24"/>
        </w:rPr>
        <w:t>653</w:t>
      </w:r>
      <w:r>
        <w:rPr>
          <w:rFonts w:hint="eastAsia"/>
          <w:color w:val="000000" w:themeColor="text1"/>
          <w:sz w:val="24"/>
        </w:rPr>
        <w:t>号修正</w:t>
      </w:r>
      <w:r>
        <w:rPr>
          <w:color w:val="000000" w:themeColor="text1"/>
          <w:sz w:val="24"/>
        </w:rPr>
        <w:t>）、《非煤矿矿山企业安全生产许可证实施办法》（</w:t>
      </w:r>
      <w:r>
        <w:rPr>
          <w:rFonts w:hint="eastAsia"/>
          <w:color w:val="000000" w:themeColor="text1"/>
          <w:sz w:val="24"/>
        </w:rPr>
        <w:t>国家安全生产监督管理总局令第</w:t>
      </w:r>
      <w:r>
        <w:rPr>
          <w:rFonts w:hint="eastAsia"/>
          <w:color w:val="000000" w:themeColor="text1"/>
          <w:sz w:val="24"/>
        </w:rPr>
        <w:t>20</w:t>
      </w:r>
      <w:r>
        <w:rPr>
          <w:rFonts w:hint="eastAsia"/>
          <w:color w:val="000000" w:themeColor="text1"/>
          <w:sz w:val="24"/>
        </w:rPr>
        <w:t>号发布，安监局令〔</w:t>
      </w:r>
      <w:r>
        <w:rPr>
          <w:rFonts w:hint="eastAsia"/>
          <w:color w:val="000000" w:themeColor="text1"/>
          <w:sz w:val="24"/>
        </w:rPr>
        <w:t>2015</w:t>
      </w:r>
      <w:r>
        <w:rPr>
          <w:rFonts w:hint="eastAsia"/>
          <w:color w:val="000000" w:themeColor="text1"/>
          <w:sz w:val="24"/>
        </w:rPr>
        <w:t>〕</w:t>
      </w:r>
      <w:r>
        <w:rPr>
          <w:rFonts w:hint="eastAsia"/>
          <w:color w:val="000000" w:themeColor="text1"/>
          <w:sz w:val="24"/>
        </w:rPr>
        <w:t>78</w:t>
      </w:r>
      <w:r>
        <w:rPr>
          <w:rFonts w:hint="eastAsia"/>
          <w:color w:val="000000" w:themeColor="text1"/>
          <w:sz w:val="24"/>
        </w:rPr>
        <w:t>号、应急部公告〔</w:t>
      </w:r>
      <w:r>
        <w:rPr>
          <w:rFonts w:hint="eastAsia"/>
          <w:color w:val="000000" w:themeColor="text1"/>
          <w:sz w:val="24"/>
        </w:rPr>
        <w:t>2018</w:t>
      </w:r>
      <w:r>
        <w:rPr>
          <w:rFonts w:hint="eastAsia"/>
          <w:color w:val="000000" w:themeColor="text1"/>
          <w:sz w:val="24"/>
        </w:rPr>
        <w:t>〕</w:t>
      </w:r>
      <w:r>
        <w:rPr>
          <w:rFonts w:hint="eastAsia"/>
          <w:color w:val="000000" w:themeColor="text1"/>
          <w:sz w:val="24"/>
        </w:rPr>
        <w:t>12</w:t>
      </w:r>
      <w:r>
        <w:rPr>
          <w:rFonts w:hint="eastAsia"/>
          <w:color w:val="000000" w:themeColor="text1"/>
          <w:sz w:val="24"/>
        </w:rPr>
        <w:t>号修正</w:t>
      </w:r>
      <w:r>
        <w:rPr>
          <w:color w:val="000000" w:themeColor="text1"/>
          <w:sz w:val="24"/>
        </w:rPr>
        <w:t>）的规定，陆上石油天然气企业必须进行安全现状评价，通过评价做出</w:t>
      </w:r>
      <w:r>
        <w:rPr>
          <w:rFonts w:hint="eastAsia"/>
          <w:color w:val="000000" w:themeColor="text1"/>
          <w:sz w:val="24"/>
        </w:rPr>
        <w:t>客观的评价</w:t>
      </w:r>
      <w:r>
        <w:rPr>
          <w:color w:val="000000" w:themeColor="text1"/>
          <w:sz w:val="24"/>
        </w:rPr>
        <w:t>明确被评价单位是否具备陆上石油天然气企业的各项安全生产条件，为应急管理部门实施监督管理提供依据。</w:t>
      </w:r>
    </w:p>
    <w:p w14:paraId="7895E601" w14:textId="77777777" w:rsidR="003D6A63" w:rsidRDefault="00000000">
      <w:pPr>
        <w:adjustRightInd w:val="0"/>
        <w:snapToGrid w:val="0"/>
        <w:spacing w:line="360" w:lineRule="auto"/>
        <w:ind w:firstLineChars="100" w:firstLine="240"/>
        <w:rPr>
          <w:color w:val="000000" w:themeColor="text1"/>
          <w:sz w:val="24"/>
        </w:rPr>
      </w:pPr>
      <w:r>
        <w:rPr>
          <w:rFonts w:hint="eastAsia"/>
          <w:color w:val="000000" w:themeColor="text1"/>
          <w:sz w:val="24"/>
        </w:rPr>
        <w:t>（</w:t>
      </w:r>
      <w:r>
        <w:rPr>
          <w:rFonts w:hint="eastAsia"/>
          <w:color w:val="000000" w:themeColor="text1"/>
          <w:sz w:val="24"/>
        </w:rPr>
        <w:t>2</w:t>
      </w:r>
      <w:r>
        <w:rPr>
          <w:rFonts w:hint="eastAsia"/>
          <w:color w:val="000000" w:themeColor="text1"/>
          <w:sz w:val="24"/>
        </w:rPr>
        <w:t>）</w:t>
      </w:r>
      <w:r>
        <w:rPr>
          <w:color w:val="000000" w:themeColor="text1"/>
          <w:sz w:val="24"/>
        </w:rPr>
        <w:t>通过对</w:t>
      </w:r>
      <w:r>
        <w:rPr>
          <w:rFonts w:hint="eastAsia"/>
          <w:color w:val="000000" w:themeColor="text1"/>
          <w:sz w:val="24"/>
        </w:rPr>
        <w:t>胜利油田中胜石油开发有限责任公司（以下简称中胜公司）</w:t>
      </w:r>
      <w:r>
        <w:rPr>
          <w:color w:val="000000" w:themeColor="text1"/>
          <w:sz w:val="24"/>
        </w:rPr>
        <w:t>现有的生产设施、设备的实际运行状况及管理状况的调查、分析，识别作业过程中存在的主要危险、有害因素，对企业在现场作业、安全管理方面与标准和法规的符合性进行评价，对不符合国家标准的</w:t>
      </w:r>
      <w:r>
        <w:rPr>
          <w:rFonts w:hint="eastAsia"/>
          <w:color w:val="000000" w:themeColor="text1"/>
          <w:sz w:val="24"/>
        </w:rPr>
        <w:t>提</w:t>
      </w:r>
      <w:r>
        <w:rPr>
          <w:color w:val="000000" w:themeColor="text1"/>
          <w:sz w:val="24"/>
        </w:rPr>
        <w:t>出整改建议并补充相应的安全对策措施。</w:t>
      </w:r>
    </w:p>
    <w:p w14:paraId="29A5A9B4" w14:textId="77777777" w:rsidR="003D6A63" w:rsidRDefault="00000000">
      <w:pPr>
        <w:pStyle w:val="2"/>
        <w:keepNext w:val="0"/>
        <w:keepLines w:val="0"/>
        <w:adjustRightInd w:val="0"/>
        <w:snapToGrid w:val="0"/>
        <w:spacing w:before="0" w:after="0" w:line="360" w:lineRule="auto"/>
        <w:ind w:firstLine="200"/>
        <w:rPr>
          <w:rFonts w:ascii="Times New Roman" w:hAnsi="Times New Roman"/>
          <w:b w:val="0"/>
          <w:spacing w:val="0"/>
          <w:sz w:val="28"/>
        </w:rPr>
      </w:pPr>
      <w:bookmarkStart w:id="23" w:name="_Toc301155252"/>
      <w:bookmarkStart w:id="24" w:name="_Toc9521"/>
      <w:r>
        <w:rPr>
          <w:rFonts w:ascii="Times New Roman" w:hAnsi="Times New Roman" w:hint="eastAsia"/>
          <w:b w:val="0"/>
          <w:spacing w:val="0"/>
          <w:sz w:val="28"/>
        </w:rPr>
        <w:t xml:space="preserve">1.2  </w:t>
      </w:r>
      <w:r>
        <w:rPr>
          <w:rFonts w:ascii="Times New Roman" w:hAnsi="Times New Roman" w:hint="eastAsia"/>
          <w:b w:val="0"/>
          <w:spacing w:val="0"/>
          <w:sz w:val="28"/>
        </w:rPr>
        <w:t>评价范围</w:t>
      </w:r>
      <w:bookmarkStart w:id="25" w:name="_Toc90624096"/>
      <w:bookmarkEnd w:id="18"/>
      <w:bookmarkEnd w:id="19"/>
      <w:bookmarkEnd w:id="20"/>
      <w:bookmarkEnd w:id="21"/>
      <w:bookmarkEnd w:id="22"/>
      <w:bookmarkEnd w:id="23"/>
      <w:bookmarkEnd w:id="24"/>
    </w:p>
    <w:p w14:paraId="536C2340" w14:textId="77777777" w:rsidR="003D6A63" w:rsidRDefault="00000000">
      <w:pPr>
        <w:adjustRightInd w:val="0"/>
        <w:snapToGrid w:val="0"/>
        <w:spacing w:line="360" w:lineRule="auto"/>
        <w:ind w:firstLineChars="200" w:firstLine="480"/>
        <w:rPr>
          <w:sz w:val="24"/>
        </w:rPr>
      </w:pPr>
      <w:r>
        <w:rPr>
          <w:rFonts w:hint="eastAsia"/>
          <w:sz w:val="24"/>
        </w:rPr>
        <w:t>本次评价范围为中胜公司陆上油气开采、集输生产过程，包括中胜公司及所属职能部门、开发区的安全管理情况；中胜公司所辖中国石油化工股份有限公司采矿许可范围内的石油、天然气开发生产设施及生产作业活动。</w:t>
      </w:r>
    </w:p>
    <w:p w14:paraId="76912550" w14:textId="77777777" w:rsidR="003D6A63" w:rsidRDefault="00000000">
      <w:pPr>
        <w:adjustRightInd w:val="0"/>
        <w:snapToGrid w:val="0"/>
        <w:spacing w:line="360" w:lineRule="auto"/>
        <w:ind w:firstLineChars="200" w:firstLine="480"/>
        <w:rPr>
          <w:sz w:val="24"/>
        </w:rPr>
      </w:pPr>
      <w:r>
        <w:rPr>
          <w:rFonts w:hint="eastAsia"/>
          <w:sz w:val="24"/>
        </w:rPr>
        <w:t>凡涉及中胜公司的环保问题、职业卫生评价、厂外运输车辆等，应执行国家有关规定和相关标准，不在本次评价范围内。</w:t>
      </w:r>
    </w:p>
    <w:p w14:paraId="395170D0" w14:textId="77777777" w:rsidR="003D6A63" w:rsidRDefault="00000000">
      <w:pPr>
        <w:adjustRightInd w:val="0"/>
        <w:snapToGrid w:val="0"/>
        <w:spacing w:line="360" w:lineRule="auto"/>
        <w:ind w:firstLineChars="200" w:firstLine="480"/>
        <w:rPr>
          <w:sz w:val="24"/>
        </w:rPr>
      </w:pPr>
      <w:r>
        <w:rPr>
          <w:rFonts w:hint="eastAsia"/>
          <w:sz w:val="24"/>
        </w:rPr>
        <w:t>根据《非煤矿矿山企业安全生产许可证实施办法》（国家安全生产监督管理总局令第</w:t>
      </w:r>
      <w:r>
        <w:rPr>
          <w:rFonts w:hint="eastAsia"/>
          <w:sz w:val="24"/>
        </w:rPr>
        <w:t>20</w:t>
      </w:r>
      <w:r>
        <w:rPr>
          <w:rFonts w:hint="eastAsia"/>
          <w:sz w:val="24"/>
        </w:rPr>
        <w:t>号发布，安监局令〔</w:t>
      </w:r>
      <w:r>
        <w:rPr>
          <w:rFonts w:hint="eastAsia"/>
          <w:sz w:val="24"/>
        </w:rPr>
        <w:t>2015</w:t>
      </w:r>
      <w:r>
        <w:rPr>
          <w:rFonts w:hint="eastAsia"/>
          <w:sz w:val="24"/>
        </w:rPr>
        <w:t>〕</w:t>
      </w:r>
      <w:r>
        <w:rPr>
          <w:rFonts w:hint="eastAsia"/>
          <w:sz w:val="24"/>
        </w:rPr>
        <w:t>78</w:t>
      </w:r>
      <w:r>
        <w:rPr>
          <w:rFonts w:hint="eastAsia"/>
          <w:sz w:val="24"/>
        </w:rPr>
        <w:t>号、应急部公告〔</w:t>
      </w:r>
      <w:r>
        <w:rPr>
          <w:rFonts w:hint="eastAsia"/>
          <w:sz w:val="24"/>
        </w:rPr>
        <w:t>2018</w:t>
      </w:r>
      <w:r>
        <w:rPr>
          <w:rFonts w:hint="eastAsia"/>
          <w:sz w:val="24"/>
        </w:rPr>
        <w:t>〕</w:t>
      </w:r>
      <w:r>
        <w:rPr>
          <w:rFonts w:hint="eastAsia"/>
          <w:sz w:val="24"/>
        </w:rPr>
        <w:t>12</w:t>
      </w:r>
      <w:r>
        <w:rPr>
          <w:rFonts w:hint="eastAsia"/>
          <w:sz w:val="24"/>
        </w:rPr>
        <w:t>号修正），企业安全生产许可范围为：陆上采油（气），本次安全评价范围与企业安全生产许可证申请范围一致。</w:t>
      </w:r>
    </w:p>
    <w:p w14:paraId="0461B40F" w14:textId="77777777" w:rsidR="003D6A63" w:rsidRDefault="00000000">
      <w:pPr>
        <w:pStyle w:val="2"/>
        <w:keepNext w:val="0"/>
        <w:keepLines w:val="0"/>
        <w:adjustRightInd w:val="0"/>
        <w:snapToGrid w:val="0"/>
        <w:spacing w:before="0" w:after="0" w:line="360" w:lineRule="auto"/>
        <w:rPr>
          <w:rFonts w:ascii="Times New Roman" w:hAnsi="Times New Roman"/>
          <w:b w:val="0"/>
          <w:spacing w:val="0"/>
          <w:sz w:val="28"/>
        </w:rPr>
      </w:pPr>
      <w:bookmarkStart w:id="26" w:name="_Toc145324036"/>
      <w:bookmarkStart w:id="27" w:name="_Toc301155253"/>
      <w:bookmarkStart w:id="28" w:name="_Toc31855"/>
      <w:bookmarkStart w:id="29" w:name="_Toc99389527"/>
      <w:bookmarkStart w:id="30" w:name="_Toc259305274"/>
      <w:bookmarkStart w:id="31" w:name="_Toc99444403"/>
      <w:bookmarkStart w:id="32" w:name="_Toc259394926"/>
      <w:r>
        <w:rPr>
          <w:rFonts w:ascii="Times New Roman" w:hAnsi="Times New Roman" w:hint="eastAsia"/>
          <w:b w:val="0"/>
          <w:spacing w:val="0"/>
          <w:sz w:val="28"/>
        </w:rPr>
        <w:t xml:space="preserve">1.3  </w:t>
      </w:r>
      <w:r>
        <w:rPr>
          <w:rFonts w:ascii="Times New Roman" w:hAnsi="Times New Roman" w:hint="eastAsia"/>
          <w:b w:val="0"/>
          <w:spacing w:val="0"/>
          <w:sz w:val="28"/>
        </w:rPr>
        <w:t>评价依据</w:t>
      </w:r>
      <w:bookmarkEnd w:id="25"/>
      <w:bookmarkEnd w:id="26"/>
      <w:bookmarkEnd w:id="27"/>
      <w:bookmarkEnd w:id="28"/>
      <w:bookmarkEnd w:id="29"/>
      <w:bookmarkEnd w:id="30"/>
      <w:bookmarkEnd w:id="31"/>
      <w:bookmarkEnd w:id="32"/>
    </w:p>
    <w:p w14:paraId="3345446B" w14:textId="77777777" w:rsidR="003D6A63" w:rsidRDefault="00000000">
      <w:pPr>
        <w:pStyle w:val="3"/>
        <w:keepNext w:val="0"/>
        <w:keepLines w:val="0"/>
        <w:spacing w:before="0" w:after="0" w:line="360" w:lineRule="auto"/>
        <w:ind w:firstLine="200"/>
        <w:rPr>
          <w:rFonts w:eastAsia="黑体"/>
          <w:b w:val="0"/>
          <w:spacing w:val="0"/>
          <w:sz w:val="24"/>
          <w:szCs w:val="24"/>
        </w:rPr>
      </w:pPr>
      <w:r>
        <w:rPr>
          <w:rFonts w:eastAsia="黑体" w:hint="eastAsia"/>
          <w:b w:val="0"/>
          <w:spacing w:val="0"/>
          <w:sz w:val="24"/>
          <w:szCs w:val="24"/>
        </w:rPr>
        <w:t xml:space="preserve">1.3.1  </w:t>
      </w:r>
      <w:r>
        <w:rPr>
          <w:rFonts w:eastAsia="黑体" w:hint="eastAsia"/>
          <w:b w:val="0"/>
          <w:spacing w:val="0"/>
          <w:sz w:val="24"/>
          <w:szCs w:val="24"/>
        </w:rPr>
        <w:t>法律</w:t>
      </w:r>
      <w:bookmarkStart w:id="33" w:name="_Toc1634000"/>
    </w:p>
    <w:bookmarkEnd w:id="33"/>
    <w:p w14:paraId="035E93B8"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w:t>
      </w:r>
      <w:r>
        <w:rPr>
          <w:rFonts w:ascii="Times New Roman" w:hAnsi="Times New Roman" w:hint="eastAsia"/>
          <w:sz w:val="24"/>
          <w:szCs w:val="24"/>
          <w:lang w:val="en-US"/>
        </w:rPr>
        <w:t>）《中华人民共和国安全生产法》（</w:t>
      </w:r>
      <w:r>
        <w:rPr>
          <w:rFonts w:ascii="Times New Roman" w:hAnsi="Times New Roman" w:hint="eastAsia"/>
          <w:color w:val="000000" w:themeColor="text1"/>
          <w:sz w:val="24"/>
          <w:szCs w:val="24"/>
        </w:rPr>
        <w:t>主席令〔</w:t>
      </w:r>
      <w:r>
        <w:rPr>
          <w:rFonts w:ascii="Times New Roman" w:hAnsi="Times New Roman" w:hint="eastAsia"/>
          <w:color w:val="000000" w:themeColor="text1"/>
          <w:sz w:val="24"/>
          <w:szCs w:val="24"/>
        </w:rPr>
        <w:t>2002</w:t>
      </w:r>
      <w:r>
        <w:rPr>
          <w:rFonts w:ascii="Times New Roman" w:hAnsi="Times New Roman" w:hint="eastAsia"/>
          <w:color w:val="000000" w:themeColor="text1"/>
          <w:sz w:val="24"/>
          <w:szCs w:val="24"/>
        </w:rPr>
        <w:t>〕第</w:t>
      </w:r>
      <w:r>
        <w:rPr>
          <w:rFonts w:ascii="Times New Roman" w:hAnsi="Times New Roman" w:hint="eastAsia"/>
          <w:color w:val="000000" w:themeColor="text1"/>
          <w:sz w:val="24"/>
          <w:szCs w:val="24"/>
        </w:rPr>
        <w:t>70</w:t>
      </w:r>
      <w:r>
        <w:rPr>
          <w:rFonts w:ascii="Times New Roman" w:hAnsi="Times New Roman" w:hint="eastAsia"/>
          <w:color w:val="000000" w:themeColor="text1"/>
          <w:sz w:val="24"/>
          <w:szCs w:val="24"/>
        </w:rPr>
        <w:t>号发布，主席令〔</w:t>
      </w:r>
      <w:r>
        <w:rPr>
          <w:rFonts w:ascii="Times New Roman" w:hAnsi="Times New Roman" w:hint="eastAsia"/>
          <w:color w:val="000000" w:themeColor="text1"/>
          <w:sz w:val="24"/>
          <w:szCs w:val="24"/>
        </w:rPr>
        <w:t>2009</w:t>
      </w:r>
      <w:r>
        <w:rPr>
          <w:rFonts w:ascii="Times New Roman" w:hAnsi="Times New Roman" w:hint="eastAsia"/>
          <w:color w:val="000000" w:themeColor="text1"/>
          <w:sz w:val="24"/>
          <w:szCs w:val="24"/>
        </w:rPr>
        <w:t>〕第</w:t>
      </w:r>
      <w:r>
        <w:rPr>
          <w:rFonts w:ascii="Times New Roman" w:hAnsi="Times New Roman" w:hint="eastAsia"/>
          <w:color w:val="000000" w:themeColor="text1"/>
          <w:sz w:val="24"/>
          <w:szCs w:val="24"/>
        </w:rPr>
        <w:t>18</w:t>
      </w:r>
      <w:r>
        <w:rPr>
          <w:rFonts w:ascii="Times New Roman" w:hAnsi="Times New Roman" w:hint="eastAsia"/>
          <w:color w:val="000000" w:themeColor="text1"/>
          <w:sz w:val="24"/>
          <w:szCs w:val="24"/>
        </w:rPr>
        <w:t>号、主席令〔</w:t>
      </w:r>
      <w:r>
        <w:rPr>
          <w:rFonts w:ascii="Times New Roman" w:hAnsi="Times New Roman" w:hint="eastAsia"/>
          <w:color w:val="000000" w:themeColor="text1"/>
          <w:sz w:val="24"/>
          <w:szCs w:val="24"/>
        </w:rPr>
        <w:t>2014</w:t>
      </w:r>
      <w:r>
        <w:rPr>
          <w:rFonts w:ascii="Times New Roman" w:hAnsi="Times New Roman" w:hint="eastAsia"/>
          <w:color w:val="000000" w:themeColor="text1"/>
          <w:sz w:val="24"/>
          <w:szCs w:val="24"/>
        </w:rPr>
        <w:t>〕第</w:t>
      </w:r>
      <w:r>
        <w:rPr>
          <w:rFonts w:ascii="Times New Roman" w:hAnsi="Times New Roman" w:hint="eastAsia"/>
          <w:color w:val="000000" w:themeColor="text1"/>
          <w:sz w:val="24"/>
          <w:szCs w:val="24"/>
        </w:rPr>
        <w:t>13</w:t>
      </w:r>
      <w:r>
        <w:rPr>
          <w:rFonts w:ascii="Times New Roman" w:hAnsi="Times New Roman" w:hint="eastAsia"/>
          <w:color w:val="000000" w:themeColor="text1"/>
          <w:sz w:val="24"/>
          <w:szCs w:val="24"/>
        </w:rPr>
        <w:t>号、主席令〔</w:t>
      </w:r>
      <w:r>
        <w:rPr>
          <w:rFonts w:ascii="Times New Roman" w:hAnsi="Times New Roman" w:hint="eastAsia"/>
          <w:color w:val="000000" w:themeColor="text1"/>
          <w:sz w:val="24"/>
          <w:szCs w:val="24"/>
        </w:rPr>
        <w:t>2021</w:t>
      </w:r>
      <w:r>
        <w:rPr>
          <w:rFonts w:ascii="Times New Roman" w:hAnsi="Times New Roman" w:hint="eastAsia"/>
          <w:color w:val="000000" w:themeColor="text1"/>
          <w:sz w:val="24"/>
          <w:szCs w:val="24"/>
        </w:rPr>
        <w:t>〕第</w:t>
      </w:r>
      <w:r>
        <w:rPr>
          <w:rFonts w:ascii="Times New Roman" w:hAnsi="Times New Roman" w:hint="eastAsia"/>
          <w:color w:val="000000" w:themeColor="text1"/>
          <w:sz w:val="24"/>
          <w:szCs w:val="24"/>
        </w:rPr>
        <w:t>88</w:t>
      </w:r>
      <w:r>
        <w:rPr>
          <w:rFonts w:ascii="Times New Roman" w:hAnsi="Times New Roman" w:hint="eastAsia"/>
          <w:color w:val="000000" w:themeColor="text1"/>
          <w:sz w:val="24"/>
          <w:szCs w:val="24"/>
        </w:rPr>
        <w:t>号修正</w:t>
      </w:r>
      <w:r>
        <w:rPr>
          <w:rFonts w:ascii="Times New Roman" w:hAnsi="Times New Roman" w:hint="eastAsia"/>
          <w:sz w:val="24"/>
          <w:szCs w:val="24"/>
          <w:lang w:val="en-US"/>
        </w:rPr>
        <w:t>）</w:t>
      </w:r>
    </w:p>
    <w:p w14:paraId="5E559AF6"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w:t>
      </w:r>
      <w:r>
        <w:rPr>
          <w:rFonts w:ascii="Times New Roman" w:hAnsi="Times New Roman" w:hint="eastAsia"/>
          <w:sz w:val="24"/>
          <w:szCs w:val="24"/>
          <w:lang w:val="en-US"/>
        </w:rPr>
        <w:t>）《中华人民共和国劳动法》（</w:t>
      </w:r>
      <w:r>
        <w:rPr>
          <w:rFonts w:ascii="Times New Roman" w:hAnsi="Times New Roman" w:hint="eastAsia"/>
          <w:sz w:val="24"/>
          <w:szCs w:val="24"/>
          <w:lang w:val="en-US"/>
        </w:rPr>
        <w:t>1994</w:t>
      </w:r>
      <w:r>
        <w:rPr>
          <w:rFonts w:ascii="Times New Roman" w:hAnsi="Times New Roman" w:hint="eastAsia"/>
          <w:sz w:val="24"/>
          <w:szCs w:val="24"/>
          <w:lang w:val="en-US"/>
        </w:rPr>
        <w:t>年</w:t>
      </w:r>
      <w:r>
        <w:rPr>
          <w:rFonts w:ascii="Times New Roman" w:hAnsi="Times New Roman" w:hint="eastAsia"/>
          <w:sz w:val="24"/>
          <w:szCs w:val="24"/>
          <w:lang w:val="en-US"/>
        </w:rPr>
        <w:t>7</w:t>
      </w:r>
      <w:r>
        <w:rPr>
          <w:rFonts w:ascii="Times New Roman" w:hAnsi="Times New Roman" w:hint="eastAsia"/>
          <w:sz w:val="24"/>
          <w:szCs w:val="24"/>
          <w:lang w:val="en-US"/>
        </w:rPr>
        <w:t>月</w:t>
      </w:r>
      <w:r>
        <w:rPr>
          <w:rFonts w:ascii="Times New Roman" w:hAnsi="Times New Roman" w:hint="eastAsia"/>
          <w:sz w:val="24"/>
          <w:szCs w:val="24"/>
          <w:lang w:val="en-US"/>
        </w:rPr>
        <w:t>5</w:t>
      </w:r>
      <w:r>
        <w:rPr>
          <w:rFonts w:ascii="Times New Roman" w:hAnsi="Times New Roman" w:hint="eastAsia"/>
          <w:sz w:val="24"/>
          <w:szCs w:val="24"/>
          <w:lang w:val="en-US"/>
        </w:rPr>
        <w:t>日</w:t>
      </w:r>
      <w:hyperlink r:id="rId11" w:history="1">
        <w:r>
          <w:rPr>
            <w:rFonts w:ascii="Times New Roman" w:hAnsi="Times New Roman" w:hint="eastAsia"/>
            <w:sz w:val="24"/>
            <w:szCs w:val="24"/>
            <w:lang w:val="en-US"/>
          </w:rPr>
          <w:t>第八届全国人民代表大会常务委员会</w:t>
        </w:r>
      </w:hyperlink>
      <w:r>
        <w:rPr>
          <w:rFonts w:ascii="Times New Roman" w:hAnsi="Times New Roman" w:hint="eastAsia"/>
          <w:sz w:val="24"/>
          <w:szCs w:val="24"/>
          <w:lang w:val="en-US"/>
        </w:rPr>
        <w:t>第八次会议通过，根据</w:t>
      </w:r>
      <w:r>
        <w:rPr>
          <w:rFonts w:ascii="Times New Roman" w:hAnsi="Times New Roman" w:hint="eastAsia"/>
          <w:sz w:val="24"/>
          <w:szCs w:val="24"/>
          <w:lang w:val="en-US"/>
        </w:rPr>
        <w:t>2018</w:t>
      </w:r>
      <w:r>
        <w:rPr>
          <w:rFonts w:ascii="Times New Roman" w:hAnsi="Times New Roman" w:hint="eastAsia"/>
          <w:sz w:val="24"/>
          <w:szCs w:val="24"/>
          <w:lang w:val="en-US"/>
        </w:rPr>
        <w:t>年</w:t>
      </w:r>
      <w:r>
        <w:rPr>
          <w:rFonts w:ascii="Times New Roman" w:hAnsi="Times New Roman" w:hint="eastAsia"/>
          <w:sz w:val="24"/>
          <w:szCs w:val="24"/>
          <w:lang w:val="en-US"/>
        </w:rPr>
        <w:t>12</w:t>
      </w:r>
      <w:r>
        <w:rPr>
          <w:rFonts w:ascii="Times New Roman" w:hAnsi="Times New Roman" w:hint="eastAsia"/>
          <w:sz w:val="24"/>
          <w:szCs w:val="24"/>
          <w:lang w:val="en-US"/>
        </w:rPr>
        <w:t>月</w:t>
      </w:r>
      <w:r>
        <w:rPr>
          <w:rFonts w:ascii="Times New Roman" w:hAnsi="Times New Roman" w:hint="eastAsia"/>
          <w:sz w:val="24"/>
          <w:szCs w:val="24"/>
          <w:lang w:val="en-US"/>
        </w:rPr>
        <w:t>29</w:t>
      </w:r>
      <w:r>
        <w:rPr>
          <w:rFonts w:ascii="Times New Roman" w:hAnsi="Times New Roman" w:hint="eastAsia"/>
          <w:sz w:val="24"/>
          <w:szCs w:val="24"/>
          <w:lang w:val="en-US"/>
        </w:rPr>
        <w:t>日</w:t>
      </w:r>
      <w:hyperlink r:id="rId12" w:history="1">
        <w:r>
          <w:rPr>
            <w:rFonts w:ascii="Times New Roman" w:hAnsi="Times New Roman" w:hint="eastAsia"/>
            <w:sz w:val="24"/>
            <w:szCs w:val="24"/>
            <w:lang w:val="en-US"/>
          </w:rPr>
          <w:t>第十三届全国人民代表大会常务委员会</w:t>
        </w:r>
      </w:hyperlink>
      <w:r>
        <w:rPr>
          <w:rFonts w:ascii="Times New Roman" w:hAnsi="Times New Roman" w:hint="eastAsia"/>
          <w:sz w:val="24"/>
          <w:szCs w:val="24"/>
          <w:lang w:val="en-US"/>
        </w:rPr>
        <w:t>第七次会议《关于修改〈中华人民共和国劳动法〉等七部法律的决定》第二次修正）</w:t>
      </w:r>
    </w:p>
    <w:p w14:paraId="1526B426"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lastRenderedPageBreak/>
        <w:t>（</w:t>
      </w:r>
      <w:r>
        <w:rPr>
          <w:rFonts w:ascii="Times New Roman" w:hAnsi="Times New Roman" w:hint="eastAsia"/>
          <w:sz w:val="24"/>
          <w:szCs w:val="24"/>
          <w:lang w:val="en-US"/>
        </w:rPr>
        <w:t>3</w:t>
      </w:r>
      <w:r>
        <w:rPr>
          <w:rFonts w:ascii="Times New Roman" w:hAnsi="Times New Roman" w:hint="eastAsia"/>
          <w:sz w:val="24"/>
          <w:szCs w:val="24"/>
          <w:lang w:val="en-US"/>
        </w:rPr>
        <w:t>）《中华人民共和国突发事件应对法》（主席令〔</w:t>
      </w:r>
      <w:r>
        <w:rPr>
          <w:rFonts w:ascii="Times New Roman" w:hAnsi="Times New Roman" w:hint="eastAsia"/>
          <w:sz w:val="24"/>
          <w:szCs w:val="24"/>
          <w:lang w:val="en-US"/>
        </w:rPr>
        <w:t>2007</w:t>
      </w:r>
      <w:r>
        <w:rPr>
          <w:rFonts w:ascii="Times New Roman" w:hAnsi="Times New Roman" w:hint="eastAsia"/>
          <w:sz w:val="24"/>
          <w:szCs w:val="24"/>
          <w:lang w:val="en-US"/>
        </w:rPr>
        <w:t>〕第</w:t>
      </w:r>
      <w:r>
        <w:rPr>
          <w:rFonts w:ascii="Times New Roman" w:hAnsi="Times New Roman" w:hint="eastAsia"/>
          <w:sz w:val="24"/>
          <w:szCs w:val="24"/>
          <w:lang w:val="en-US"/>
        </w:rPr>
        <w:t>69</w:t>
      </w:r>
      <w:r>
        <w:rPr>
          <w:rFonts w:ascii="Times New Roman" w:hAnsi="Times New Roman" w:hint="eastAsia"/>
          <w:sz w:val="24"/>
          <w:szCs w:val="24"/>
          <w:lang w:val="en-US"/>
        </w:rPr>
        <w:t>号）</w:t>
      </w:r>
    </w:p>
    <w:p w14:paraId="08D9D50C"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w:t>
      </w:r>
      <w:r>
        <w:rPr>
          <w:rFonts w:ascii="Times New Roman" w:hAnsi="Times New Roman" w:hint="eastAsia"/>
          <w:sz w:val="24"/>
          <w:szCs w:val="24"/>
          <w:lang w:val="en-US"/>
        </w:rPr>
        <w:t>）《中华人民共和国消防法》（</w:t>
      </w:r>
      <w:r>
        <w:rPr>
          <w:rFonts w:ascii="Times New Roman" w:hAnsi="Times New Roman" w:hint="eastAsia"/>
          <w:sz w:val="24"/>
          <w:szCs w:val="24"/>
          <w:lang w:val="en-US"/>
        </w:rPr>
        <w:t>1998</w:t>
      </w:r>
      <w:r>
        <w:rPr>
          <w:rFonts w:ascii="Times New Roman" w:hAnsi="Times New Roman" w:hint="eastAsia"/>
          <w:sz w:val="24"/>
          <w:szCs w:val="24"/>
          <w:lang w:val="en-US"/>
        </w:rPr>
        <w:t>年</w:t>
      </w:r>
      <w:r>
        <w:rPr>
          <w:rFonts w:ascii="Times New Roman" w:hAnsi="Times New Roman" w:hint="eastAsia"/>
          <w:sz w:val="24"/>
          <w:szCs w:val="24"/>
          <w:lang w:val="en-US"/>
        </w:rPr>
        <w:t>4</w:t>
      </w:r>
      <w:r>
        <w:rPr>
          <w:rFonts w:ascii="Times New Roman" w:hAnsi="Times New Roman" w:hint="eastAsia"/>
          <w:sz w:val="24"/>
          <w:szCs w:val="24"/>
          <w:lang w:val="en-US"/>
        </w:rPr>
        <w:t>月</w:t>
      </w:r>
      <w:r>
        <w:rPr>
          <w:rFonts w:ascii="Times New Roman" w:hAnsi="Times New Roman" w:hint="eastAsia"/>
          <w:sz w:val="24"/>
          <w:szCs w:val="24"/>
          <w:lang w:val="en-US"/>
        </w:rPr>
        <w:t>29</w:t>
      </w:r>
      <w:r>
        <w:rPr>
          <w:rFonts w:ascii="Times New Roman" w:hAnsi="Times New Roman" w:hint="eastAsia"/>
          <w:sz w:val="24"/>
          <w:szCs w:val="24"/>
          <w:lang w:val="en-US"/>
        </w:rPr>
        <w:t>日第九届全国人民代表大会常务委员会第二次会议通过，根据</w:t>
      </w:r>
      <w:r>
        <w:rPr>
          <w:rFonts w:ascii="Times New Roman" w:hAnsi="Times New Roman" w:hint="eastAsia"/>
          <w:sz w:val="24"/>
          <w:szCs w:val="24"/>
          <w:lang w:val="en-US"/>
        </w:rPr>
        <w:t>2021</w:t>
      </w:r>
      <w:r>
        <w:rPr>
          <w:rFonts w:ascii="Times New Roman" w:hAnsi="Times New Roman" w:hint="eastAsia"/>
          <w:sz w:val="24"/>
          <w:szCs w:val="24"/>
          <w:lang w:val="en-US"/>
        </w:rPr>
        <w:t>年</w:t>
      </w:r>
      <w:r>
        <w:rPr>
          <w:rFonts w:ascii="Times New Roman" w:hAnsi="Times New Roman" w:hint="eastAsia"/>
          <w:sz w:val="24"/>
          <w:szCs w:val="24"/>
          <w:lang w:val="en-US"/>
        </w:rPr>
        <w:t>4</w:t>
      </w:r>
      <w:r>
        <w:rPr>
          <w:rFonts w:ascii="Times New Roman" w:hAnsi="Times New Roman" w:hint="eastAsia"/>
          <w:sz w:val="24"/>
          <w:szCs w:val="24"/>
          <w:lang w:val="en-US"/>
        </w:rPr>
        <w:t>月</w:t>
      </w:r>
      <w:r>
        <w:rPr>
          <w:rFonts w:ascii="Times New Roman" w:hAnsi="Times New Roman" w:hint="eastAsia"/>
          <w:sz w:val="24"/>
          <w:szCs w:val="24"/>
          <w:lang w:val="en-US"/>
        </w:rPr>
        <w:t>29</w:t>
      </w:r>
      <w:r>
        <w:rPr>
          <w:rFonts w:ascii="Times New Roman" w:hAnsi="Times New Roman" w:hint="eastAsia"/>
          <w:sz w:val="24"/>
          <w:szCs w:val="24"/>
          <w:lang w:val="en-US"/>
        </w:rPr>
        <w:t>日第十三届全国人民代表大会常务委员会第二十八次会议《关于修改〈</w:t>
      </w:r>
      <w:hyperlink r:id="rId13" w:history="1">
        <w:r>
          <w:rPr>
            <w:rFonts w:ascii="Times New Roman" w:hAnsi="Times New Roman" w:hint="eastAsia"/>
            <w:sz w:val="24"/>
            <w:szCs w:val="24"/>
            <w:lang w:val="en-US"/>
          </w:rPr>
          <w:t>中华人民共和国道路交通安全法</w:t>
        </w:r>
      </w:hyperlink>
      <w:r>
        <w:rPr>
          <w:rFonts w:ascii="Times New Roman" w:hAnsi="Times New Roman" w:hint="eastAsia"/>
          <w:sz w:val="24"/>
          <w:szCs w:val="24"/>
          <w:lang w:val="en-US"/>
        </w:rPr>
        <w:t>〉等八部法律的决定》第二次修正）</w:t>
      </w:r>
    </w:p>
    <w:p w14:paraId="27CEEC87"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5</w:t>
      </w:r>
      <w:r>
        <w:rPr>
          <w:rFonts w:ascii="Times New Roman" w:hAnsi="Times New Roman" w:hint="eastAsia"/>
          <w:sz w:val="24"/>
          <w:szCs w:val="24"/>
          <w:lang w:val="en-US"/>
        </w:rPr>
        <w:t>）《中华人民共和国防震减灾法》（主席令第〔</w:t>
      </w:r>
      <w:r>
        <w:rPr>
          <w:rFonts w:ascii="Times New Roman" w:hAnsi="Times New Roman" w:hint="eastAsia"/>
          <w:sz w:val="24"/>
          <w:szCs w:val="24"/>
          <w:lang w:val="en-US"/>
        </w:rPr>
        <w:t>2008</w:t>
      </w:r>
      <w:r>
        <w:rPr>
          <w:rFonts w:ascii="Times New Roman" w:hAnsi="Times New Roman" w:hint="eastAsia"/>
          <w:sz w:val="24"/>
          <w:szCs w:val="24"/>
          <w:lang w:val="en-US"/>
        </w:rPr>
        <w:t>〕第</w:t>
      </w:r>
      <w:r>
        <w:rPr>
          <w:rFonts w:ascii="Times New Roman" w:hAnsi="Times New Roman" w:hint="eastAsia"/>
          <w:sz w:val="24"/>
          <w:szCs w:val="24"/>
          <w:lang w:val="en-US"/>
        </w:rPr>
        <w:t>7</w:t>
      </w:r>
      <w:r>
        <w:rPr>
          <w:rFonts w:ascii="Times New Roman" w:hAnsi="Times New Roman" w:hint="eastAsia"/>
          <w:sz w:val="24"/>
          <w:szCs w:val="24"/>
          <w:lang w:val="en-US"/>
        </w:rPr>
        <w:t>号修订）</w:t>
      </w:r>
    </w:p>
    <w:p w14:paraId="4854AF3D"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6</w:t>
      </w:r>
      <w:r>
        <w:rPr>
          <w:rFonts w:ascii="Times New Roman" w:hAnsi="Times New Roman" w:hint="eastAsia"/>
          <w:sz w:val="24"/>
          <w:szCs w:val="24"/>
          <w:lang w:val="en-US"/>
        </w:rPr>
        <w:t>）《中华人民共和国职业病防治法》（</w:t>
      </w:r>
      <w:r>
        <w:rPr>
          <w:rFonts w:ascii="Times New Roman" w:hAnsi="Times New Roman" w:hint="eastAsia"/>
          <w:sz w:val="24"/>
          <w:szCs w:val="24"/>
          <w:lang w:val="en-US"/>
        </w:rPr>
        <w:t>2001</w:t>
      </w:r>
      <w:r>
        <w:rPr>
          <w:rFonts w:ascii="Times New Roman" w:hAnsi="Times New Roman" w:hint="eastAsia"/>
          <w:sz w:val="24"/>
          <w:szCs w:val="24"/>
          <w:lang w:val="en-US"/>
        </w:rPr>
        <w:t>年</w:t>
      </w:r>
      <w:r>
        <w:rPr>
          <w:rFonts w:ascii="Times New Roman" w:hAnsi="Times New Roman" w:hint="eastAsia"/>
          <w:sz w:val="24"/>
          <w:szCs w:val="24"/>
          <w:lang w:val="en-US"/>
        </w:rPr>
        <w:t>10</w:t>
      </w:r>
      <w:r>
        <w:rPr>
          <w:rFonts w:ascii="Times New Roman" w:hAnsi="Times New Roman" w:hint="eastAsia"/>
          <w:sz w:val="24"/>
          <w:szCs w:val="24"/>
          <w:lang w:val="en-US"/>
        </w:rPr>
        <w:t>月</w:t>
      </w:r>
      <w:r>
        <w:rPr>
          <w:rFonts w:ascii="Times New Roman" w:hAnsi="Times New Roman" w:hint="eastAsia"/>
          <w:sz w:val="24"/>
          <w:szCs w:val="24"/>
          <w:lang w:val="en-US"/>
        </w:rPr>
        <w:t>27</w:t>
      </w:r>
      <w:r>
        <w:rPr>
          <w:rFonts w:ascii="Times New Roman" w:hAnsi="Times New Roman" w:hint="eastAsia"/>
          <w:sz w:val="24"/>
          <w:szCs w:val="24"/>
          <w:lang w:val="en-US"/>
        </w:rPr>
        <w:t>日第九届</w:t>
      </w:r>
      <w:hyperlink r:id="rId14" w:history="1">
        <w:r>
          <w:rPr>
            <w:rFonts w:ascii="Times New Roman" w:hAnsi="Times New Roman" w:hint="eastAsia"/>
            <w:sz w:val="24"/>
            <w:szCs w:val="24"/>
            <w:lang w:val="en-US"/>
          </w:rPr>
          <w:t>全国人民代表大会</w:t>
        </w:r>
      </w:hyperlink>
      <w:r>
        <w:rPr>
          <w:rFonts w:ascii="Times New Roman" w:hAnsi="Times New Roman" w:hint="eastAsia"/>
          <w:sz w:val="24"/>
          <w:szCs w:val="24"/>
          <w:lang w:val="en-US"/>
        </w:rPr>
        <w:t>常务委员会第二十四次会议通过，根据</w:t>
      </w:r>
      <w:r>
        <w:rPr>
          <w:rFonts w:ascii="Times New Roman" w:hAnsi="Times New Roman" w:hint="eastAsia"/>
          <w:sz w:val="24"/>
          <w:szCs w:val="24"/>
          <w:lang w:val="en-US"/>
        </w:rPr>
        <w:t>2018</w:t>
      </w:r>
      <w:r>
        <w:rPr>
          <w:rFonts w:ascii="Times New Roman" w:hAnsi="Times New Roman" w:hint="eastAsia"/>
          <w:sz w:val="24"/>
          <w:szCs w:val="24"/>
          <w:lang w:val="en-US"/>
        </w:rPr>
        <w:t>年</w:t>
      </w:r>
      <w:r>
        <w:rPr>
          <w:rFonts w:ascii="Times New Roman" w:hAnsi="Times New Roman" w:hint="eastAsia"/>
          <w:sz w:val="24"/>
          <w:szCs w:val="24"/>
          <w:lang w:val="en-US"/>
        </w:rPr>
        <w:t>12</w:t>
      </w:r>
      <w:r>
        <w:rPr>
          <w:rFonts w:ascii="Times New Roman" w:hAnsi="Times New Roman" w:hint="eastAsia"/>
          <w:sz w:val="24"/>
          <w:szCs w:val="24"/>
          <w:lang w:val="en-US"/>
        </w:rPr>
        <w:t>月</w:t>
      </w:r>
      <w:r>
        <w:rPr>
          <w:rFonts w:ascii="Times New Roman" w:hAnsi="Times New Roman" w:hint="eastAsia"/>
          <w:sz w:val="24"/>
          <w:szCs w:val="24"/>
          <w:lang w:val="en-US"/>
        </w:rPr>
        <w:t>29</w:t>
      </w:r>
      <w:r>
        <w:rPr>
          <w:rFonts w:ascii="Times New Roman" w:hAnsi="Times New Roman" w:hint="eastAsia"/>
          <w:sz w:val="24"/>
          <w:szCs w:val="24"/>
          <w:lang w:val="en-US"/>
        </w:rPr>
        <w:t>日第十三届全国人民代表大会常务委员会第七次会议《关于修改〈中华人民共和国劳动法〉等七部法律的决定》第四次修正）</w:t>
      </w:r>
    </w:p>
    <w:p w14:paraId="73D399D6"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7</w:t>
      </w:r>
      <w:r>
        <w:rPr>
          <w:rFonts w:ascii="Times New Roman" w:hAnsi="Times New Roman" w:hint="eastAsia"/>
          <w:sz w:val="24"/>
          <w:szCs w:val="24"/>
          <w:lang w:val="en-US"/>
        </w:rPr>
        <w:t>）《中华人民共和国特种设备安全法》（主席令〔</w:t>
      </w:r>
      <w:r>
        <w:rPr>
          <w:rFonts w:ascii="Times New Roman" w:hAnsi="Times New Roman" w:hint="eastAsia"/>
          <w:sz w:val="24"/>
          <w:szCs w:val="24"/>
          <w:lang w:val="en-US"/>
        </w:rPr>
        <w:t>2013</w:t>
      </w:r>
      <w:r>
        <w:rPr>
          <w:rFonts w:ascii="Times New Roman" w:hAnsi="Times New Roman" w:hint="eastAsia"/>
          <w:sz w:val="24"/>
          <w:szCs w:val="24"/>
          <w:lang w:val="en-US"/>
        </w:rPr>
        <w:t>〕第</w:t>
      </w:r>
      <w:r>
        <w:rPr>
          <w:rFonts w:ascii="Times New Roman" w:hAnsi="Times New Roman" w:hint="eastAsia"/>
          <w:sz w:val="24"/>
          <w:szCs w:val="24"/>
          <w:lang w:val="en-US"/>
        </w:rPr>
        <w:t>4</w:t>
      </w:r>
      <w:r>
        <w:rPr>
          <w:rFonts w:ascii="Times New Roman" w:hAnsi="Times New Roman" w:hint="eastAsia"/>
          <w:sz w:val="24"/>
          <w:szCs w:val="24"/>
          <w:lang w:val="en-US"/>
        </w:rPr>
        <w:t>号）</w:t>
      </w:r>
    </w:p>
    <w:p w14:paraId="17C1AF6A"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8</w:t>
      </w:r>
      <w:r>
        <w:rPr>
          <w:rFonts w:ascii="Times New Roman" w:hAnsi="Times New Roman" w:hint="eastAsia"/>
          <w:sz w:val="24"/>
          <w:szCs w:val="24"/>
          <w:lang w:val="en-US"/>
        </w:rPr>
        <w:t>）《中华人民共和国行政许可法》（</w:t>
      </w:r>
      <w:r>
        <w:rPr>
          <w:rFonts w:ascii="Times New Roman" w:hAnsi="Times New Roman" w:hint="eastAsia"/>
          <w:sz w:val="24"/>
          <w:szCs w:val="24"/>
          <w:lang w:val="en-US"/>
        </w:rPr>
        <w:t>2003</w:t>
      </w:r>
      <w:r>
        <w:rPr>
          <w:rFonts w:ascii="Times New Roman" w:hAnsi="Times New Roman" w:hint="eastAsia"/>
          <w:sz w:val="24"/>
          <w:szCs w:val="24"/>
          <w:lang w:val="en-US"/>
        </w:rPr>
        <w:t>年</w:t>
      </w:r>
      <w:r>
        <w:rPr>
          <w:rFonts w:ascii="Times New Roman" w:hAnsi="Times New Roman" w:hint="eastAsia"/>
          <w:sz w:val="24"/>
          <w:szCs w:val="24"/>
          <w:lang w:val="en-US"/>
        </w:rPr>
        <w:t>8</w:t>
      </w:r>
      <w:r>
        <w:rPr>
          <w:rFonts w:ascii="Times New Roman" w:hAnsi="Times New Roman" w:hint="eastAsia"/>
          <w:sz w:val="24"/>
          <w:szCs w:val="24"/>
          <w:lang w:val="en-US"/>
        </w:rPr>
        <w:t>月</w:t>
      </w:r>
      <w:r>
        <w:rPr>
          <w:rFonts w:ascii="Times New Roman" w:hAnsi="Times New Roman" w:hint="eastAsia"/>
          <w:sz w:val="24"/>
          <w:szCs w:val="24"/>
          <w:lang w:val="en-US"/>
        </w:rPr>
        <w:t>27</w:t>
      </w:r>
      <w:r>
        <w:rPr>
          <w:rFonts w:ascii="Times New Roman" w:hAnsi="Times New Roman" w:hint="eastAsia"/>
          <w:sz w:val="24"/>
          <w:szCs w:val="24"/>
          <w:lang w:val="en-US"/>
        </w:rPr>
        <w:t>日第十届全国人民代表大会常务委员会第四次会议通过，根据</w:t>
      </w:r>
      <w:r>
        <w:rPr>
          <w:rFonts w:ascii="Times New Roman" w:hAnsi="Times New Roman" w:hint="eastAsia"/>
          <w:sz w:val="24"/>
          <w:szCs w:val="24"/>
          <w:lang w:val="en-US"/>
        </w:rPr>
        <w:t>2019</w:t>
      </w:r>
      <w:r>
        <w:rPr>
          <w:rFonts w:ascii="Times New Roman" w:hAnsi="Times New Roman" w:hint="eastAsia"/>
          <w:sz w:val="24"/>
          <w:szCs w:val="24"/>
          <w:lang w:val="en-US"/>
        </w:rPr>
        <w:t>年</w:t>
      </w:r>
      <w:r>
        <w:rPr>
          <w:rFonts w:ascii="Times New Roman" w:hAnsi="Times New Roman" w:hint="eastAsia"/>
          <w:sz w:val="24"/>
          <w:szCs w:val="24"/>
          <w:lang w:val="en-US"/>
        </w:rPr>
        <w:t>4</w:t>
      </w:r>
      <w:r>
        <w:rPr>
          <w:rFonts w:ascii="Times New Roman" w:hAnsi="Times New Roman" w:hint="eastAsia"/>
          <w:sz w:val="24"/>
          <w:szCs w:val="24"/>
          <w:lang w:val="en-US"/>
        </w:rPr>
        <w:t>月</w:t>
      </w:r>
      <w:r>
        <w:rPr>
          <w:rFonts w:ascii="Times New Roman" w:hAnsi="Times New Roman" w:hint="eastAsia"/>
          <w:sz w:val="24"/>
          <w:szCs w:val="24"/>
          <w:lang w:val="en-US"/>
        </w:rPr>
        <w:t>23</w:t>
      </w:r>
      <w:r>
        <w:rPr>
          <w:rFonts w:ascii="Times New Roman" w:hAnsi="Times New Roman" w:hint="eastAsia"/>
          <w:sz w:val="24"/>
          <w:szCs w:val="24"/>
          <w:lang w:val="en-US"/>
        </w:rPr>
        <w:t>日第十三届全国人民代表大会常务委员会第十次会议《关于修改〈中华人民共和国建筑法〉等八部法律的决定》修正）</w:t>
      </w:r>
    </w:p>
    <w:p w14:paraId="7C7334F8"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9</w:t>
      </w:r>
      <w:r>
        <w:rPr>
          <w:rFonts w:ascii="Times New Roman" w:hAnsi="Times New Roman" w:hint="eastAsia"/>
          <w:sz w:val="24"/>
          <w:szCs w:val="24"/>
          <w:lang w:val="en-US"/>
        </w:rPr>
        <w:t>）《中华人民共和国石油天然气管道保护法》（主席令〔</w:t>
      </w:r>
      <w:r>
        <w:rPr>
          <w:rFonts w:ascii="Times New Roman" w:hAnsi="Times New Roman" w:hint="eastAsia"/>
          <w:sz w:val="24"/>
          <w:szCs w:val="24"/>
          <w:lang w:val="en-US"/>
        </w:rPr>
        <w:t>2010</w:t>
      </w:r>
      <w:r>
        <w:rPr>
          <w:rFonts w:ascii="Times New Roman" w:hAnsi="Times New Roman" w:hint="eastAsia"/>
          <w:sz w:val="24"/>
          <w:szCs w:val="24"/>
          <w:lang w:val="en-US"/>
        </w:rPr>
        <w:t>〕第</w:t>
      </w:r>
      <w:r>
        <w:rPr>
          <w:rFonts w:ascii="Times New Roman" w:hAnsi="Times New Roman" w:hint="eastAsia"/>
          <w:sz w:val="24"/>
          <w:szCs w:val="24"/>
          <w:lang w:val="en-US"/>
        </w:rPr>
        <w:t>30</w:t>
      </w:r>
      <w:r>
        <w:rPr>
          <w:rFonts w:ascii="Times New Roman" w:hAnsi="Times New Roman" w:hint="eastAsia"/>
          <w:sz w:val="24"/>
          <w:szCs w:val="24"/>
          <w:lang w:val="en-US"/>
        </w:rPr>
        <w:t>号）</w:t>
      </w:r>
    </w:p>
    <w:p w14:paraId="6AC40886" w14:textId="77777777" w:rsidR="003D6A63" w:rsidRDefault="00000000">
      <w:pPr>
        <w:pStyle w:val="3"/>
        <w:keepNext w:val="0"/>
        <w:keepLines w:val="0"/>
        <w:adjustRightInd w:val="0"/>
        <w:snapToGrid w:val="0"/>
        <w:spacing w:before="0" w:after="0" w:line="360" w:lineRule="auto"/>
        <w:ind w:firstLine="200"/>
        <w:rPr>
          <w:rFonts w:eastAsia="黑体"/>
          <w:b w:val="0"/>
          <w:spacing w:val="0"/>
          <w:sz w:val="24"/>
          <w:szCs w:val="24"/>
        </w:rPr>
      </w:pPr>
      <w:r>
        <w:rPr>
          <w:rFonts w:eastAsia="黑体" w:hint="eastAsia"/>
          <w:b w:val="0"/>
          <w:spacing w:val="0"/>
          <w:sz w:val="24"/>
          <w:szCs w:val="24"/>
        </w:rPr>
        <w:t xml:space="preserve">1.3.2  </w:t>
      </w:r>
      <w:r>
        <w:rPr>
          <w:rFonts w:eastAsia="黑体" w:hint="eastAsia"/>
          <w:b w:val="0"/>
          <w:spacing w:val="0"/>
          <w:sz w:val="24"/>
          <w:szCs w:val="24"/>
        </w:rPr>
        <w:t>行政法规</w:t>
      </w:r>
    </w:p>
    <w:p w14:paraId="7D87F563" w14:textId="77777777" w:rsidR="003D6A63" w:rsidRDefault="00000000">
      <w:pPr>
        <w:pStyle w:val="nlw1"/>
        <w:adjustRightInd w:val="0"/>
        <w:snapToGrid w:val="0"/>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w:t>
      </w:r>
      <w:r>
        <w:rPr>
          <w:rFonts w:ascii="Times New Roman" w:hAnsi="Times New Roman" w:hint="eastAsia"/>
          <w:sz w:val="24"/>
          <w:szCs w:val="24"/>
          <w:lang w:val="en-US"/>
        </w:rPr>
        <w:t>）《安全生产许可条例》（国务院令〔</w:t>
      </w:r>
      <w:r>
        <w:rPr>
          <w:rFonts w:ascii="Times New Roman" w:hAnsi="Times New Roman" w:hint="eastAsia"/>
          <w:sz w:val="24"/>
          <w:szCs w:val="24"/>
          <w:lang w:val="en-US"/>
        </w:rPr>
        <w:t>2004</w:t>
      </w:r>
      <w:r>
        <w:rPr>
          <w:rFonts w:ascii="Times New Roman" w:hAnsi="Times New Roman" w:hint="eastAsia"/>
          <w:sz w:val="24"/>
          <w:szCs w:val="24"/>
          <w:lang w:val="en-US"/>
        </w:rPr>
        <w:t>〕第</w:t>
      </w:r>
      <w:r>
        <w:rPr>
          <w:rFonts w:ascii="Times New Roman" w:hAnsi="Times New Roman" w:hint="eastAsia"/>
          <w:sz w:val="24"/>
          <w:szCs w:val="24"/>
          <w:lang w:val="en-US"/>
        </w:rPr>
        <w:t>397</w:t>
      </w:r>
      <w:r>
        <w:rPr>
          <w:rFonts w:ascii="Times New Roman" w:hAnsi="Times New Roman" w:hint="eastAsia"/>
          <w:sz w:val="24"/>
          <w:szCs w:val="24"/>
          <w:lang w:val="en-US"/>
        </w:rPr>
        <w:t>号，根据</w:t>
      </w:r>
      <w:r>
        <w:rPr>
          <w:rFonts w:ascii="Times New Roman" w:hAnsi="Times New Roman" w:hint="eastAsia"/>
          <w:sz w:val="24"/>
          <w:szCs w:val="24"/>
          <w:lang w:val="en-US"/>
        </w:rPr>
        <w:t>2013</w:t>
      </w:r>
      <w:r>
        <w:rPr>
          <w:rFonts w:ascii="Times New Roman" w:hAnsi="Times New Roman" w:hint="eastAsia"/>
          <w:sz w:val="24"/>
          <w:szCs w:val="24"/>
          <w:lang w:val="en-US"/>
        </w:rPr>
        <w:t>年</w:t>
      </w:r>
      <w:r>
        <w:rPr>
          <w:rFonts w:ascii="Times New Roman" w:hAnsi="Times New Roman" w:hint="eastAsia"/>
          <w:sz w:val="24"/>
          <w:szCs w:val="24"/>
          <w:lang w:val="en-US"/>
        </w:rPr>
        <w:t>7</w:t>
      </w:r>
      <w:r>
        <w:rPr>
          <w:rFonts w:ascii="Times New Roman" w:hAnsi="Times New Roman" w:hint="eastAsia"/>
          <w:sz w:val="24"/>
          <w:szCs w:val="24"/>
          <w:lang w:val="en-US"/>
        </w:rPr>
        <w:t>月</w:t>
      </w:r>
      <w:r>
        <w:rPr>
          <w:rFonts w:ascii="Times New Roman" w:hAnsi="Times New Roman" w:hint="eastAsia"/>
          <w:sz w:val="24"/>
          <w:szCs w:val="24"/>
          <w:lang w:val="en-US"/>
        </w:rPr>
        <w:t>18</w:t>
      </w:r>
      <w:r>
        <w:rPr>
          <w:rFonts w:ascii="Times New Roman" w:hAnsi="Times New Roman" w:hint="eastAsia"/>
          <w:sz w:val="24"/>
          <w:szCs w:val="24"/>
          <w:lang w:val="en-US"/>
        </w:rPr>
        <w:t>日《国务院关于废止和修改部分行政法规的决定》第一次修订，根据</w:t>
      </w:r>
      <w:r>
        <w:rPr>
          <w:rFonts w:ascii="Times New Roman" w:hAnsi="Times New Roman" w:hint="eastAsia"/>
          <w:sz w:val="24"/>
          <w:szCs w:val="24"/>
          <w:lang w:val="en-US"/>
        </w:rPr>
        <w:t>2014</w:t>
      </w:r>
      <w:r>
        <w:rPr>
          <w:rFonts w:ascii="Times New Roman" w:hAnsi="Times New Roman" w:hint="eastAsia"/>
          <w:sz w:val="24"/>
          <w:szCs w:val="24"/>
          <w:lang w:val="en-US"/>
        </w:rPr>
        <w:t>年</w:t>
      </w:r>
      <w:r>
        <w:rPr>
          <w:rFonts w:ascii="Times New Roman" w:hAnsi="Times New Roman" w:hint="eastAsia"/>
          <w:sz w:val="24"/>
          <w:szCs w:val="24"/>
          <w:lang w:val="en-US"/>
        </w:rPr>
        <w:t>7</w:t>
      </w:r>
      <w:r>
        <w:rPr>
          <w:rFonts w:ascii="Times New Roman" w:hAnsi="Times New Roman" w:hint="eastAsia"/>
          <w:sz w:val="24"/>
          <w:szCs w:val="24"/>
          <w:lang w:val="en-US"/>
        </w:rPr>
        <w:t>月</w:t>
      </w:r>
      <w:r>
        <w:rPr>
          <w:rFonts w:ascii="Times New Roman" w:hAnsi="Times New Roman" w:hint="eastAsia"/>
          <w:sz w:val="24"/>
          <w:szCs w:val="24"/>
          <w:lang w:val="en-US"/>
        </w:rPr>
        <w:t>29</w:t>
      </w:r>
      <w:r>
        <w:rPr>
          <w:rFonts w:ascii="Times New Roman" w:hAnsi="Times New Roman" w:hint="eastAsia"/>
          <w:sz w:val="24"/>
          <w:szCs w:val="24"/>
          <w:lang w:val="en-US"/>
        </w:rPr>
        <w:t>日《国务院关于修改部分行政法规的决定》第二次修订）</w:t>
      </w:r>
    </w:p>
    <w:p w14:paraId="63DDC8B4" w14:textId="77777777" w:rsidR="003D6A63" w:rsidRDefault="00000000">
      <w:pPr>
        <w:pStyle w:val="nlw1"/>
        <w:adjustRightInd w:val="0"/>
        <w:snapToGrid w:val="0"/>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w:t>
      </w:r>
      <w:r>
        <w:rPr>
          <w:rFonts w:ascii="Times New Roman" w:hAnsi="Times New Roman" w:hint="eastAsia"/>
          <w:sz w:val="24"/>
          <w:szCs w:val="24"/>
          <w:lang w:val="en-US"/>
        </w:rPr>
        <w:t>）《工伤保险条例》（国务院令第</w:t>
      </w:r>
      <w:r>
        <w:rPr>
          <w:rFonts w:ascii="Times New Roman" w:hAnsi="Times New Roman" w:hint="eastAsia"/>
          <w:sz w:val="24"/>
          <w:szCs w:val="24"/>
          <w:lang w:val="en-US"/>
        </w:rPr>
        <w:t>375</w:t>
      </w:r>
      <w:r>
        <w:rPr>
          <w:rFonts w:ascii="Times New Roman" w:hAnsi="Times New Roman" w:hint="eastAsia"/>
          <w:sz w:val="24"/>
          <w:szCs w:val="24"/>
          <w:lang w:val="en-US"/>
        </w:rPr>
        <w:t>号发布，国务院令第</w:t>
      </w:r>
      <w:r>
        <w:rPr>
          <w:rFonts w:ascii="Times New Roman" w:hAnsi="Times New Roman" w:hint="eastAsia"/>
          <w:sz w:val="24"/>
          <w:szCs w:val="24"/>
          <w:lang w:val="en-US"/>
        </w:rPr>
        <w:t>586</w:t>
      </w:r>
      <w:r>
        <w:rPr>
          <w:rFonts w:ascii="Times New Roman" w:hAnsi="Times New Roman" w:hint="eastAsia"/>
          <w:sz w:val="24"/>
          <w:szCs w:val="24"/>
          <w:lang w:val="en-US"/>
        </w:rPr>
        <w:t>号修正）</w:t>
      </w:r>
    </w:p>
    <w:p w14:paraId="4E699767" w14:textId="77777777" w:rsidR="003D6A63" w:rsidRDefault="00000000">
      <w:pPr>
        <w:pStyle w:val="nlw1"/>
        <w:adjustRightInd w:val="0"/>
        <w:snapToGrid w:val="0"/>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w:t>
      </w:r>
      <w:r>
        <w:rPr>
          <w:rFonts w:ascii="Times New Roman" w:hAnsi="Times New Roman" w:hint="eastAsia"/>
          <w:sz w:val="24"/>
          <w:szCs w:val="24"/>
          <w:lang w:val="en-US"/>
        </w:rPr>
        <w:t>）《危险化学品安全管理条例》（国务院令第</w:t>
      </w:r>
      <w:r>
        <w:rPr>
          <w:rFonts w:ascii="Times New Roman" w:hAnsi="Times New Roman" w:hint="eastAsia"/>
          <w:sz w:val="24"/>
          <w:szCs w:val="24"/>
          <w:lang w:val="en-US"/>
        </w:rPr>
        <w:t>591</w:t>
      </w:r>
      <w:r>
        <w:rPr>
          <w:rFonts w:ascii="Times New Roman" w:hAnsi="Times New Roman" w:hint="eastAsia"/>
          <w:sz w:val="24"/>
          <w:szCs w:val="24"/>
          <w:lang w:val="en-US"/>
        </w:rPr>
        <w:t>号修订发布，国务院令第</w:t>
      </w:r>
      <w:r>
        <w:rPr>
          <w:rFonts w:ascii="Times New Roman" w:hAnsi="Times New Roman" w:hint="eastAsia"/>
          <w:sz w:val="24"/>
          <w:szCs w:val="24"/>
          <w:lang w:val="en-US"/>
        </w:rPr>
        <w:t>645</w:t>
      </w:r>
      <w:r>
        <w:rPr>
          <w:rFonts w:ascii="Times New Roman" w:hAnsi="Times New Roman" w:hint="eastAsia"/>
          <w:sz w:val="24"/>
          <w:szCs w:val="24"/>
          <w:lang w:val="en-US"/>
        </w:rPr>
        <w:t>号修正）</w:t>
      </w:r>
    </w:p>
    <w:p w14:paraId="43E2277B" w14:textId="77777777" w:rsidR="003D6A63" w:rsidRDefault="00000000">
      <w:pPr>
        <w:pStyle w:val="nlw1"/>
        <w:adjustRightInd w:val="0"/>
        <w:snapToGrid w:val="0"/>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w:t>
      </w:r>
      <w:r>
        <w:rPr>
          <w:rFonts w:ascii="Times New Roman" w:hAnsi="Times New Roman" w:hint="eastAsia"/>
          <w:sz w:val="24"/>
          <w:szCs w:val="24"/>
          <w:lang w:val="en-US"/>
        </w:rPr>
        <w:t>）《生产安全事故报告和调查处理条例》（国务院令第</w:t>
      </w:r>
      <w:r>
        <w:rPr>
          <w:rFonts w:ascii="Times New Roman" w:hAnsi="Times New Roman" w:hint="eastAsia"/>
          <w:sz w:val="24"/>
          <w:szCs w:val="24"/>
          <w:lang w:val="en-US"/>
        </w:rPr>
        <w:t>493</w:t>
      </w:r>
      <w:r>
        <w:rPr>
          <w:rFonts w:ascii="Times New Roman" w:hAnsi="Times New Roman" w:hint="eastAsia"/>
          <w:sz w:val="24"/>
          <w:szCs w:val="24"/>
          <w:lang w:val="en-US"/>
        </w:rPr>
        <w:t>号）</w:t>
      </w:r>
    </w:p>
    <w:p w14:paraId="56116416" w14:textId="77777777" w:rsidR="003D6A63" w:rsidRDefault="00000000">
      <w:pPr>
        <w:pStyle w:val="nlw1"/>
        <w:adjustRightInd w:val="0"/>
        <w:snapToGrid w:val="0"/>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5</w:t>
      </w:r>
      <w:r>
        <w:rPr>
          <w:rFonts w:ascii="Times New Roman" w:hAnsi="Times New Roman" w:hint="eastAsia"/>
          <w:sz w:val="24"/>
          <w:szCs w:val="24"/>
          <w:lang w:val="en-US"/>
        </w:rPr>
        <w:t>）《特种设备安全监察条例》（国务院令第</w:t>
      </w:r>
      <w:r>
        <w:rPr>
          <w:rFonts w:ascii="Times New Roman" w:hAnsi="Times New Roman" w:hint="eastAsia"/>
          <w:sz w:val="24"/>
          <w:szCs w:val="24"/>
          <w:lang w:val="en-US"/>
        </w:rPr>
        <w:t>373</w:t>
      </w:r>
      <w:r>
        <w:rPr>
          <w:rFonts w:ascii="Times New Roman" w:hAnsi="Times New Roman" w:hint="eastAsia"/>
          <w:sz w:val="24"/>
          <w:szCs w:val="24"/>
          <w:lang w:val="en-US"/>
        </w:rPr>
        <w:t>号发布，国务院令第</w:t>
      </w:r>
      <w:r>
        <w:rPr>
          <w:rFonts w:ascii="Times New Roman" w:hAnsi="Times New Roman" w:hint="eastAsia"/>
          <w:sz w:val="24"/>
          <w:szCs w:val="24"/>
          <w:lang w:val="en-US"/>
        </w:rPr>
        <w:t>549</w:t>
      </w:r>
      <w:r>
        <w:rPr>
          <w:rFonts w:ascii="Times New Roman" w:hAnsi="Times New Roman" w:hint="eastAsia"/>
          <w:sz w:val="24"/>
          <w:szCs w:val="24"/>
          <w:lang w:val="en-US"/>
        </w:rPr>
        <w:t>号修正）</w:t>
      </w:r>
    </w:p>
    <w:p w14:paraId="743987FD" w14:textId="77777777" w:rsidR="003D6A63" w:rsidRDefault="00000000">
      <w:pPr>
        <w:pStyle w:val="nlw1"/>
        <w:adjustRightInd w:val="0"/>
        <w:snapToGrid w:val="0"/>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6</w:t>
      </w:r>
      <w:r>
        <w:rPr>
          <w:rFonts w:ascii="Times New Roman" w:hAnsi="Times New Roman" w:hint="eastAsia"/>
          <w:sz w:val="24"/>
          <w:szCs w:val="24"/>
          <w:lang w:val="en-US"/>
        </w:rPr>
        <w:t>）《生产安全事故应急条例》（国务院令第</w:t>
      </w:r>
      <w:r>
        <w:rPr>
          <w:rFonts w:ascii="Times New Roman" w:hAnsi="Times New Roman" w:hint="eastAsia"/>
          <w:sz w:val="24"/>
          <w:szCs w:val="24"/>
          <w:lang w:val="en-US"/>
        </w:rPr>
        <w:t>708</w:t>
      </w:r>
      <w:r>
        <w:rPr>
          <w:rFonts w:ascii="Times New Roman" w:hAnsi="Times New Roman" w:hint="eastAsia"/>
          <w:sz w:val="24"/>
          <w:szCs w:val="24"/>
          <w:lang w:val="en-US"/>
        </w:rPr>
        <w:t>号）</w:t>
      </w:r>
    </w:p>
    <w:p w14:paraId="5E22F99B" w14:textId="77777777" w:rsidR="003D6A63" w:rsidRDefault="00000000">
      <w:pPr>
        <w:pStyle w:val="nlw3"/>
        <w:spacing w:beforeLines="0" w:before="0" w:after="0" w:line="360" w:lineRule="auto"/>
        <w:rPr>
          <w:sz w:val="24"/>
          <w:szCs w:val="24"/>
        </w:rPr>
      </w:pPr>
      <w:r>
        <w:rPr>
          <w:rFonts w:hint="eastAsia"/>
          <w:sz w:val="24"/>
          <w:szCs w:val="24"/>
        </w:rPr>
        <w:t xml:space="preserve">1.3.3  </w:t>
      </w:r>
      <w:r>
        <w:rPr>
          <w:rFonts w:hint="eastAsia"/>
          <w:sz w:val="24"/>
          <w:szCs w:val="24"/>
        </w:rPr>
        <w:t>部门规章</w:t>
      </w:r>
    </w:p>
    <w:p w14:paraId="7ECEA385" w14:textId="77777777" w:rsidR="003D6A63" w:rsidRDefault="00000000">
      <w:pPr>
        <w:pStyle w:val="nlw1"/>
        <w:adjustRightInd w:val="0"/>
        <w:snapToGrid w:val="0"/>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w:t>
      </w:r>
      <w:r>
        <w:rPr>
          <w:rFonts w:ascii="Times New Roman" w:hAnsi="Times New Roman" w:hint="eastAsia"/>
          <w:sz w:val="24"/>
          <w:szCs w:val="24"/>
          <w:lang w:val="en-US"/>
        </w:rPr>
        <w:t>）《建设项目安全设施“三同时”监督管理办法》（安监总局令〔</w:t>
      </w:r>
      <w:r>
        <w:rPr>
          <w:rFonts w:ascii="Times New Roman" w:hAnsi="Times New Roman" w:hint="eastAsia"/>
          <w:sz w:val="24"/>
          <w:szCs w:val="24"/>
          <w:lang w:val="en-US"/>
        </w:rPr>
        <w:t>2010</w:t>
      </w:r>
      <w:r>
        <w:rPr>
          <w:rFonts w:ascii="Times New Roman" w:hAnsi="Times New Roman" w:hint="eastAsia"/>
          <w:sz w:val="24"/>
          <w:szCs w:val="24"/>
          <w:lang w:val="en-US"/>
        </w:rPr>
        <w:t>〕</w:t>
      </w:r>
      <w:r>
        <w:rPr>
          <w:rFonts w:ascii="Times New Roman" w:hAnsi="Times New Roman" w:hint="eastAsia"/>
          <w:sz w:val="24"/>
          <w:szCs w:val="24"/>
          <w:lang w:val="en-US"/>
        </w:rPr>
        <w:t>36</w:t>
      </w:r>
      <w:r>
        <w:rPr>
          <w:rFonts w:ascii="Times New Roman" w:hAnsi="Times New Roman" w:hint="eastAsia"/>
          <w:sz w:val="24"/>
          <w:szCs w:val="24"/>
          <w:lang w:val="en-US"/>
        </w:rPr>
        <w:t>号发布，安监总局令〔</w:t>
      </w:r>
      <w:r>
        <w:rPr>
          <w:rFonts w:ascii="Times New Roman" w:hAnsi="Times New Roman" w:hint="eastAsia"/>
          <w:sz w:val="24"/>
          <w:szCs w:val="24"/>
          <w:lang w:val="en-US"/>
        </w:rPr>
        <w:t>2015</w:t>
      </w:r>
      <w:r>
        <w:rPr>
          <w:rFonts w:ascii="Times New Roman" w:hAnsi="Times New Roman" w:hint="eastAsia"/>
          <w:sz w:val="24"/>
          <w:szCs w:val="24"/>
          <w:lang w:val="en-US"/>
        </w:rPr>
        <w:t>〕</w:t>
      </w:r>
      <w:r>
        <w:rPr>
          <w:rFonts w:ascii="Times New Roman" w:hAnsi="Times New Roman" w:hint="eastAsia"/>
          <w:sz w:val="24"/>
          <w:szCs w:val="24"/>
          <w:lang w:val="en-US"/>
        </w:rPr>
        <w:t>77</w:t>
      </w:r>
      <w:r>
        <w:rPr>
          <w:rFonts w:ascii="Times New Roman" w:hAnsi="Times New Roman" w:hint="eastAsia"/>
          <w:sz w:val="24"/>
          <w:szCs w:val="24"/>
          <w:lang w:val="en-US"/>
        </w:rPr>
        <w:t>号、应急部公告〔</w:t>
      </w:r>
      <w:r>
        <w:rPr>
          <w:rFonts w:ascii="Times New Roman" w:hAnsi="Times New Roman" w:hint="eastAsia"/>
          <w:sz w:val="24"/>
          <w:szCs w:val="24"/>
          <w:lang w:val="en-US"/>
        </w:rPr>
        <w:t>2018</w:t>
      </w:r>
      <w:r>
        <w:rPr>
          <w:rFonts w:ascii="Times New Roman" w:hAnsi="Times New Roman" w:hint="eastAsia"/>
          <w:sz w:val="24"/>
          <w:szCs w:val="24"/>
          <w:lang w:val="en-US"/>
        </w:rPr>
        <w:t>〕</w:t>
      </w:r>
      <w:r>
        <w:rPr>
          <w:rFonts w:ascii="Times New Roman" w:hAnsi="Times New Roman" w:hint="eastAsia"/>
          <w:sz w:val="24"/>
          <w:szCs w:val="24"/>
          <w:lang w:val="en-US"/>
        </w:rPr>
        <w:t>12</w:t>
      </w:r>
      <w:r>
        <w:rPr>
          <w:rFonts w:ascii="Times New Roman" w:hAnsi="Times New Roman" w:hint="eastAsia"/>
          <w:sz w:val="24"/>
          <w:szCs w:val="24"/>
          <w:lang w:val="en-US"/>
        </w:rPr>
        <w:t>号修正）</w:t>
      </w:r>
    </w:p>
    <w:p w14:paraId="58641AF4" w14:textId="77777777" w:rsidR="003D6A63" w:rsidRDefault="00000000">
      <w:pPr>
        <w:pStyle w:val="afffb"/>
        <w:adjustRightInd w:val="0"/>
        <w:snapToGrid w:val="0"/>
        <w:spacing w:before="0" w:beforeAutospacing="0" w:after="0" w:afterAutospacing="0" w:line="360" w:lineRule="auto"/>
        <w:ind w:firstLineChars="100" w:firstLine="240"/>
        <w:rPr>
          <w:rFonts w:ascii="Times New Roman" w:hAnsi="Times New Roman"/>
        </w:rPr>
      </w:pPr>
      <w:r>
        <w:rPr>
          <w:rFonts w:ascii="Times New Roman" w:hAnsi="Times New Roman" w:hint="eastAsia"/>
        </w:rPr>
        <w:t>（</w:t>
      </w:r>
      <w:r>
        <w:rPr>
          <w:rFonts w:ascii="Times New Roman" w:hAnsi="Times New Roman" w:hint="eastAsia"/>
        </w:rPr>
        <w:t>2</w:t>
      </w:r>
      <w:r>
        <w:rPr>
          <w:rFonts w:ascii="Times New Roman" w:hAnsi="Times New Roman" w:hint="eastAsia"/>
        </w:rPr>
        <w:t>）《生产经营单位安全培训规定》（安监总局令〔</w:t>
      </w:r>
      <w:r>
        <w:rPr>
          <w:rFonts w:ascii="Times New Roman" w:hAnsi="Times New Roman" w:hint="eastAsia"/>
        </w:rPr>
        <w:t>2006</w:t>
      </w:r>
      <w:r>
        <w:rPr>
          <w:rFonts w:ascii="Times New Roman" w:hAnsi="Times New Roman" w:hint="eastAsia"/>
        </w:rPr>
        <w:t>〕</w:t>
      </w:r>
      <w:r>
        <w:rPr>
          <w:rFonts w:ascii="Times New Roman" w:hAnsi="Times New Roman" w:hint="eastAsia"/>
        </w:rPr>
        <w:t>3</w:t>
      </w:r>
      <w:r>
        <w:rPr>
          <w:rFonts w:ascii="Times New Roman" w:hAnsi="Times New Roman" w:hint="eastAsia"/>
        </w:rPr>
        <w:t>号发布，安监总局令〔</w:t>
      </w:r>
      <w:r>
        <w:rPr>
          <w:rFonts w:ascii="Times New Roman" w:hAnsi="Times New Roman" w:hint="eastAsia"/>
        </w:rPr>
        <w:t>2013</w:t>
      </w:r>
      <w:r>
        <w:rPr>
          <w:rFonts w:ascii="Times New Roman" w:hAnsi="Times New Roman" w:hint="eastAsia"/>
        </w:rPr>
        <w:t>〕</w:t>
      </w:r>
      <w:r>
        <w:rPr>
          <w:rFonts w:ascii="Times New Roman" w:hAnsi="Times New Roman" w:hint="eastAsia"/>
        </w:rPr>
        <w:t>63</w:t>
      </w:r>
      <w:r>
        <w:rPr>
          <w:rFonts w:ascii="Times New Roman" w:hAnsi="Times New Roman" w:hint="eastAsia"/>
        </w:rPr>
        <w:t>号、安监总局令〔</w:t>
      </w:r>
      <w:r>
        <w:rPr>
          <w:rFonts w:ascii="Times New Roman" w:hAnsi="Times New Roman" w:hint="eastAsia"/>
        </w:rPr>
        <w:t>2015</w:t>
      </w:r>
      <w:r>
        <w:rPr>
          <w:rFonts w:ascii="Times New Roman" w:hAnsi="Times New Roman" w:hint="eastAsia"/>
        </w:rPr>
        <w:t>〕</w:t>
      </w:r>
      <w:r>
        <w:rPr>
          <w:rFonts w:ascii="Times New Roman" w:hAnsi="Times New Roman" w:hint="eastAsia"/>
        </w:rPr>
        <w:t>80</w:t>
      </w:r>
      <w:r>
        <w:rPr>
          <w:rFonts w:ascii="Times New Roman" w:hAnsi="Times New Roman" w:hint="eastAsia"/>
        </w:rPr>
        <w:t>号修正）</w:t>
      </w:r>
    </w:p>
    <w:p w14:paraId="136AE360" w14:textId="77777777" w:rsidR="003D6A63" w:rsidRDefault="00000000">
      <w:pPr>
        <w:pStyle w:val="nlw1"/>
        <w:adjustRightInd w:val="0"/>
        <w:snapToGrid w:val="0"/>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lastRenderedPageBreak/>
        <w:t>（</w:t>
      </w:r>
      <w:r>
        <w:rPr>
          <w:rFonts w:ascii="Times New Roman" w:hAnsi="Times New Roman" w:hint="eastAsia"/>
          <w:sz w:val="24"/>
          <w:szCs w:val="24"/>
          <w:lang w:val="en-US"/>
        </w:rPr>
        <w:t>3</w:t>
      </w:r>
      <w:r>
        <w:rPr>
          <w:rFonts w:ascii="Times New Roman" w:hAnsi="Times New Roman" w:hint="eastAsia"/>
          <w:sz w:val="24"/>
          <w:szCs w:val="24"/>
          <w:lang w:val="en-US"/>
        </w:rPr>
        <w:t>）《生产安全事故罚款处罚规定（试行）》（安监总局令〔</w:t>
      </w:r>
      <w:r>
        <w:rPr>
          <w:rFonts w:ascii="Times New Roman" w:hAnsi="Times New Roman" w:hint="eastAsia"/>
          <w:sz w:val="24"/>
          <w:szCs w:val="24"/>
          <w:lang w:val="en-US"/>
        </w:rPr>
        <w:t>2007</w:t>
      </w:r>
      <w:r>
        <w:rPr>
          <w:rFonts w:ascii="Times New Roman" w:hAnsi="Times New Roman" w:hint="eastAsia"/>
          <w:sz w:val="24"/>
          <w:szCs w:val="24"/>
          <w:lang w:val="en-US"/>
        </w:rPr>
        <w:t>〕</w:t>
      </w:r>
      <w:r>
        <w:rPr>
          <w:rFonts w:ascii="Times New Roman" w:hAnsi="Times New Roman" w:hint="eastAsia"/>
          <w:sz w:val="24"/>
          <w:szCs w:val="24"/>
          <w:lang w:val="en-US"/>
        </w:rPr>
        <w:t>13</w:t>
      </w:r>
      <w:r>
        <w:rPr>
          <w:rFonts w:ascii="Times New Roman" w:hAnsi="Times New Roman" w:hint="eastAsia"/>
          <w:sz w:val="24"/>
          <w:szCs w:val="24"/>
          <w:lang w:val="en-US"/>
        </w:rPr>
        <w:t>号发布，安监总局令〔</w:t>
      </w:r>
      <w:r>
        <w:rPr>
          <w:rFonts w:ascii="Times New Roman" w:hAnsi="Times New Roman" w:hint="eastAsia"/>
          <w:sz w:val="24"/>
          <w:szCs w:val="24"/>
          <w:lang w:val="en-US"/>
        </w:rPr>
        <w:t>2011</w:t>
      </w:r>
      <w:r>
        <w:rPr>
          <w:rFonts w:ascii="Times New Roman" w:hAnsi="Times New Roman" w:hint="eastAsia"/>
          <w:sz w:val="24"/>
          <w:szCs w:val="24"/>
          <w:lang w:val="en-US"/>
        </w:rPr>
        <w:t>〕</w:t>
      </w:r>
      <w:r>
        <w:rPr>
          <w:rFonts w:ascii="Times New Roman" w:hAnsi="Times New Roman" w:hint="eastAsia"/>
          <w:sz w:val="24"/>
          <w:szCs w:val="24"/>
          <w:lang w:val="en-US"/>
        </w:rPr>
        <w:t>42</w:t>
      </w:r>
      <w:r>
        <w:rPr>
          <w:rFonts w:ascii="Times New Roman" w:hAnsi="Times New Roman" w:hint="eastAsia"/>
          <w:sz w:val="24"/>
          <w:szCs w:val="24"/>
          <w:lang w:val="en-US"/>
        </w:rPr>
        <w:t>号、安监总局令〔</w:t>
      </w:r>
      <w:r>
        <w:rPr>
          <w:rFonts w:ascii="Times New Roman" w:hAnsi="Times New Roman" w:hint="eastAsia"/>
          <w:sz w:val="24"/>
          <w:szCs w:val="24"/>
          <w:lang w:val="en-US"/>
        </w:rPr>
        <w:t>2015</w:t>
      </w:r>
      <w:r>
        <w:rPr>
          <w:rFonts w:ascii="Times New Roman" w:hAnsi="Times New Roman" w:hint="eastAsia"/>
          <w:sz w:val="24"/>
          <w:szCs w:val="24"/>
          <w:lang w:val="en-US"/>
        </w:rPr>
        <w:t>〕</w:t>
      </w:r>
      <w:r>
        <w:rPr>
          <w:rFonts w:ascii="Times New Roman" w:hAnsi="Times New Roman" w:hint="eastAsia"/>
          <w:sz w:val="24"/>
          <w:szCs w:val="24"/>
          <w:lang w:val="en-US"/>
        </w:rPr>
        <w:t>77</w:t>
      </w:r>
      <w:r>
        <w:rPr>
          <w:rFonts w:ascii="Times New Roman" w:hAnsi="Times New Roman" w:hint="eastAsia"/>
          <w:sz w:val="24"/>
          <w:szCs w:val="24"/>
          <w:lang w:val="en-US"/>
        </w:rPr>
        <w:t>号修正）</w:t>
      </w:r>
    </w:p>
    <w:p w14:paraId="06A1A076"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w:t>
      </w:r>
      <w:r>
        <w:rPr>
          <w:rFonts w:ascii="Times New Roman" w:hAnsi="Times New Roman" w:hint="eastAsia"/>
          <w:sz w:val="24"/>
          <w:szCs w:val="24"/>
          <w:lang w:val="en-US"/>
        </w:rPr>
        <w:t>）《安全生产事故隐患排查治理暂行规定》（国家安全生产监督管理总局令〔</w:t>
      </w:r>
      <w:r>
        <w:rPr>
          <w:rFonts w:ascii="Times New Roman" w:hAnsi="Times New Roman" w:hint="eastAsia"/>
          <w:sz w:val="24"/>
          <w:szCs w:val="24"/>
          <w:lang w:val="en-US"/>
        </w:rPr>
        <w:t>2007</w:t>
      </w:r>
      <w:r>
        <w:rPr>
          <w:rFonts w:ascii="Times New Roman" w:hAnsi="Times New Roman" w:hint="eastAsia"/>
          <w:sz w:val="24"/>
          <w:szCs w:val="24"/>
          <w:lang w:val="en-US"/>
        </w:rPr>
        <w:t>〕第</w:t>
      </w:r>
      <w:r>
        <w:rPr>
          <w:rFonts w:ascii="Times New Roman" w:hAnsi="Times New Roman" w:hint="eastAsia"/>
          <w:sz w:val="24"/>
          <w:szCs w:val="24"/>
          <w:lang w:val="en-US"/>
        </w:rPr>
        <w:t>16</w:t>
      </w:r>
      <w:r>
        <w:rPr>
          <w:rFonts w:ascii="Times New Roman" w:hAnsi="Times New Roman" w:hint="eastAsia"/>
          <w:sz w:val="24"/>
          <w:szCs w:val="24"/>
          <w:lang w:val="en-US"/>
        </w:rPr>
        <w:t>号）</w:t>
      </w:r>
    </w:p>
    <w:p w14:paraId="0195866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5</w:t>
      </w:r>
      <w:r>
        <w:rPr>
          <w:rFonts w:ascii="Times New Roman" w:hAnsi="Times New Roman" w:hint="eastAsia"/>
          <w:sz w:val="24"/>
          <w:szCs w:val="24"/>
          <w:lang w:val="en-US"/>
        </w:rPr>
        <w:t>）《非煤矿矿山企业安全生产许可证实施办法》（国家安全生产监督管理总局令第</w:t>
      </w:r>
      <w:r>
        <w:rPr>
          <w:rFonts w:ascii="Times New Roman" w:hAnsi="Times New Roman" w:hint="eastAsia"/>
          <w:sz w:val="24"/>
          <w:szCs w:val="24"/>
          <w:lang w:val="en-US"/>
        </w:rPr>
        <w:t>20</w:t>
      </w:r>
      <w:r>
        <w:rPr>
          <w:rFonts w:ascii="Times New Roman" w:hAnsi="Times New Roman" w:hint="eastAsia"/>
          <w:sz w:val="24"/>
          <w:szCs w:val="24"/>
          <w:lang w:val="en-US"/>
        </w:rPr>
        <w:t>号发布，安监局令〔</w:t>
      </w:r>
      <w:r>
        <w:rPr>
          <w:rFonts w:ascii="Times New Roman" w:hAnsi="Times New Roman" w:hint="eastAsia"/>
          <w:sz w:val="24"/>
          <w:szCs w:val="24"/>
          <w:lang w:val="en-US"/>
        </w:rPr>
        <w:t>2015</w:t>
      </w:r>
      <w:r>
        <w:rPr>
          <w:rFonts w:ascii="Times New Roman" w:hAnsi="Times New Roman" w:hint="eastAsia"/>
          <w:sz w:val="24"/>
          <w:szCs w:val="24"/>
          <w:lang w:val="en-US"/>
        </w:rPr>
        <w:t>〕</w:t>
      </w:r>
      <w:r>
        <w:rPr>
          <w:rFonts w:ascii="Times New Roman" w:hAnsi="Times New Roman" w:hint="eastAsia"/>
          <w:sz w:val="24"/>
          <w:szCs w:val="24"/>
          <w:lang w:val="en-US"/>
        </w:rPr>
        <w:t>78</w:t>
      </w:r>
      <w:r>
        <w:rPr>
          <w:rFonts w:ascii="Times New Roman" w:hAnsi="Times New Roman" w:hint="eastAsia"/>
          <w:sz w:val="24"/>
          <w:szCs w:val="24"/>
          <w:lang w:val="en-US"/>
        </w:rPr>
        <w:t>号、应急部公告〔</w:t>
      </w:r>
      <w:r>
        <w:rPr>
          <w:rFonts w:ascii="Times New Roman" w:hAnsi="Times New Roman" w:hint="eastAsia"/>
          <w:sz w:val="24"/>
          <w:szCs w:val="24"/>
          <w:lang w:val="en-US"/>
        </w:rPr>
        <w:t>2018</w:t>
      </w:r>
      <w:r>
        <w:rPr>
          <w:rFonts w:ascii="Times New Roman" w:hAnsi="Times New Roman" w:hint="eastAsia"/>
          <w:sz w:val="24"/>
          <w:szCs w:val="24"/>
          <w:lang w:val="en-US"/>
        </w:rPr>
        <w:t>〕</w:t>
      </w:r>
      <w:r>
        <w:rPr>
          <w:rFonts w:ascii="Times New Roman" w:hAnsi="Times New Roman" w:hint="eastAsia"/>
          <w:sz w:val="24"/>
          <w:szCs w:val="24"/>
          <w:lang w:val="en-US"/>
        </w:rPr>
        <w:t>12</w:t>
      </w:r>
      <w:r>
        <w:rPr>
          <w:rFonts w:ascii="Times New Roman" w:hAnsi="Times New Roman" w:hint="eastAsia"/>
          <w:sz w:val="24"/>
          <w:szCs w:val="24"/>
          <w:lang w:val="en-US"/>
        </w:rPr>
        <w:t>号修正）</w:t>
      </w:r>
    </w:p>
    <w:p w14:paraId="605174A8"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6</w:t>
      </w:r>
      <w:r>
        <w:rPr>
          <w:rFonts w:ascii="Times New Roman" w:hAnsi="Times New Roman" w:hint="eastAsia"/>
          <w:sz w:val="24"/>
          <w:szCs w:val="24"/>
          <w:lang w:val="en-US"/>
        </w:rPr>
        <w:t>）《安全生产责任保险实施办法》（安监总办〔</w:t>
      </w:r>
      <w:r>
        <w:rPr>
          <w:rFonts w:ascii="Times New Roman" w:hAnsi="Times New Roman" w:hint="eastAsia"/>
          <w:sz w:val="24"/>
          <w:szCs w:val="24"/>
          <w:lang w:val="en-US"/>
        </w:rPr>
        <w:t>2017</w:t>
      </w:r>
      <w:r>
        <w:rPr>
          <w:rFonts w:ascii="Times New Roman" w:hAnsi="Times New Roman" w:hint="eastAsia"/>
          <w:sz w:val="24"/>
          <w:szCs w:val="24"/>
          <w:lang w:val="en-US"/>
        </w:rPr>
        <w:t>〕</w:t>
      </w:r>
      <w:r>
        <w:rPr>
          <w:rFonts w:ascii="Times New Roman" w:hAnsi="Times New Roman" w:hint="eastAsia"/>
          <w:sz w:val="24"/>
          <w:szCs w:val="24"/>
          <w:lang w:val="en-US"/>
        </w:rPr>
        <w:t>140</w:t>
      </w:r>
      <w:r>
        <w:rPr>
          <w:rFonts w:ascii="Times New Roman" w:hAnsi="Times New Roman" w:hint="eastAsia"/>
          <w:sz w:val="24"/>
          <w:szCs w:val="24"/>
          <w:lang w:val="en-US"/>
        </w:rPr>
        <w:t>号）</w:t>
      </w:r>
    </w:p>
    <w:p w14:paraId="2FF53211"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7</w:t>
      </w:r>
      <w:r>
        <w:rPr>
          <w:rFonts w:ascii="Times New Roman" w:hAnsi="Times New Roman" w:hint="eastAsia"/>
          <w:sz w:val="24"/>
          <w:szCs w:val="24"/>
          <w:lang w:val="en-US"/>
        </w:rPr>
        <w:t>）《危险化学品重大危险源监督管理暂行规定》（国家安全生产监督管理总局令第</w:t>
      </w:r>
      <w:r>
        <w:rPr>
          <w:rFonts w:ascii="Times New Roman" w:hAnsi="Times New Roman" w:hint="eastAsia"/>
          <w:sz w:val="24"/>
          <w:szCs w:val="24"/>
          <w:lang w:val="en-US"/>
        </w:rPr>
        <w:t>40</w:t>
      </w:r>
      <w:r>
        <w:rPr>
          <w:rFonts w:ascii="Times New Roman" w:hAnsi="Times New Roman" w:hint="eastAsia"/>
          <w:sz w:val="24"/>
          <w:szCs w:val="24"/>
          <w:lang w:val="en-US"/>
        </w:rPr>
        <w:t>号发布，国家安全生产监督管理总局令第</w:t>
      </w:r>
      <w:r>
        <w:rPr>
          <w:rFonts w:ascii="Times New Roman" w:hAnsi="Times New Roman" w:hint="eastAsia"/>
          <w:sz w:val="24"/>
          <w:szCs w:val="24"/>
          <w:lang w:val="en-US"/>
        </w:rPr>
        <w:t>79</w:t>
      </w:r>
      <w:r>
        <w:rPr>
          <w:rFonts w:ascii="Times New Roman" w:hAnsi="Times New Roman" w:hint="eastAsia"/>
          <w:sz w:val="24"/>
          <w:szCs w:val="24"/>
          <w:lang w:val="en-US"/>
        </w:rPr>
        <w:t>号修正）</w:t>
      </w:r>
    </w:p>
    <w:p w14:paraId="6C8E7DBB"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8</w:t>
      </w:r>
      <w:r>
        <w:rPr>
          <w:rFonts w:ascii="Times New Roman" w:hAnsi="Times New Roman" w:hint="eastAsia"/>
          <w:sz w:val="24"/>
          <w:szCs w:val="24"/>
          <w:lang w:val="en-US"/>
        </w:rPr>
        <w:t>）《安全生产培训管理办法》（国家安全生产监督管理总局令〔</w:t>
      </w:r>
      <w:r>
        <w:rPr>
          <w:rFonts w:ascii="Times New Roman" w:hAnsi="Times New Roman" w:hint="eastAsia"/>
          <w:sz w:val="24"/>
          <w:szCs w:val="24"/>
          <w:lang w:val="en-US"/>
        </w:rPr>
        <w:t>2012</w:t>
      </w:r>
      <w:r>
        <w:rPr>
          <w:rFonts w:ascii="Times New Roman" w:hAnsi="Times New Roman" w:hint="eastAsia"/>
          <w:sz w:val="24"/>
          <w:szCs w:val="24"/>
          <w:lang w:val="en-US"/>
        </w:rPr>
        <w:t>〕第</w:t>
      </w:r>
      <w:r>
        <w:rPr>
          <w:rFonts w:ascii="Times New Roman" w:hAnsi="Times New Roman" w:hint="eastAsia"/>
          <w:sz w:val="24"/>
          <w:szCs w:val="24"/>
          <w:lang w:val="en-US"/>
        </w:rPr>
        <w:t>44</w:t>
      </w:r>
      <w:r>
        <w:rPr>
          <w:rFonts w:ascii="Times New Roman" w:hAnsi="Times New Roman" w:hint="eastAsia"/>
          <w:sz w:val="24"/>
          <w:szCs w:val="24"/>
          <w:lang w:val="en-US"/>
        </w:rPr>
        <w:t>号，安监局令〔</w:t>
      </w:r>
      <w:r>
        <w:rPr>
          <w:rFonts w:ascii="Times New Roman" w:hAnsi="Times New Roman" w:hint="eastAsia"/>
          <w:sz w:val="24"/>
          <w:szCs w:val="24"/>
          <w:lang w:val="en-US"/>
        </w:rPr>
        <w:t>2013</w:t>
      </w:r>
      <w:r>
        <w:rPr>
          <w:rFonts w:ascii="Times New Roman" w:hAnsi="Times New Roman" w:hint="eastAsia"/>
          <w:sz w:val="24"/>
          <w:szCs w:val="24"/>
          <w:lang w:val="en-US"/>
        </w:rPr>
        <w:t>〕</w:t>
      </w:r>
      <w:r>
        <w:rPr>
          <w:rFonts w:ascii="Times New Roman" w:hAnsi="Times New Roman" w:hint="eastAsia"/>
          <w:sz w:val="24"/>
          <w:szCs w:val="24"/>
          <w:lang w:val="en-US"/>
        </w:rPr>
        <w:t>63</w:t>
      </w:r>
      <w:r>
        <w:rPr>
          <w:rFonts w:ascii="Times New Roman" w:hAnsi="Times New Roman" w:hint="eastAsia"/>
          <w:sz w:val="24"/>
          <w:szCs w:val="24"/>
          <w:lang w:val="en-US"/>
        </w:rPr>
        <w:t>号、安监局令〔</w:t>
      </w:r>
      <w:r>
        <w:rPr>
          <w:rFonts w:ascii="Times New Roman" w:hAnsi="Times New Roman" w:hint="eastAsia"/>
          <w:sz w:val="24"/>
          <w:szCs w:val="24"/>
          <w:lang w:val="en-US"/>
        </w:rPr>
        <w:t>2015</w:t>
      </w:r>
      <w:r>
        <w:rPr>
          <w:rFonts w:ascii="Times New Roman" w:hAnsi="Times New Roman" w:hint="eastAsia"/>
          <w:sz w:val="24"/>
          <w:szCs w:val="24"/>
          <w:lang w:val="en-US"/>
        </w:rPr>
        <w:t>〕</w:t>
      </w:r>
      <w:r>
        <w:rPr>
          <w:rFonts w:ascii="Times New Roman" w:hAnsi="Times New Roman" w:hint="eastAsia"/>
          <w:sz w:val="24"/>
          <w:szCs w:val="24"/>
          <w:lang w:val="en-US"/>
        </w:rPr>
        <w:t>80</w:t>
      </w:r>
      <w:r>
        <w:rPr>
          <w:rFonts w:ascii="Times New Roman" w:hAnsi="Times New Roman" w:hint="eastAsia"/>
          <w:sz w:val="24"/>
          <w:szCs w:val="24"/>
          <w:lang w:val="en-US"/>
        </w:rPr>
        <w:t>号修正）</w:t>
      </w:r>
    </w:p>
    <w:p w14:paraId="317A5AAF"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9</w:t>
      </w:r>
      <w:r>
        <w:rPr>
          <w:rFonts w:ascii="Times New Roman" w:hAnsi="Times New Roman" w:hint="eastAsia"/>
          <w:sz w:val="24"/>
          <w:szCs w:val="24"/>
          <w:lang w:val="en-US"/>
        </w:rPr>
        <w:t>）《非煤矿山外包工程安全管理暂行办法》（国家安全生产监督管理总局令〔</w:t>
      </w:r>
      <w:r>
        <w:rPr>
          <w:rFonts w:ascii="Times New Roman" w:hAnsi="Times New Roman" w:hint="eastAsia"/>
          <w:sz w:val="24"/>
          <w:szCs w:val="24"/>
          <w:lang w:val="en-US"/>
        </w:rPr>
        <w:t>2013</w:t>
      </w:r>
      <w:r>
        <w:rPr>
          <w:rFonts w:ascii="Times New Roman" w:hAnsi="Times New Roman" w:hint="eastAsia"/>
          <w:sz w:val="24"/>
          <w:szCs w:val="24"/>
          <w:lang w:val="en-US"/>
        </w:rPr>
        <w:t>〕第</w:t>
      </w:r>
      <w:r>
        <w:rPr>
          <w:rFonts w:ascii="Times New Roman" w:hAnsi="Times New Roman" w:hint="eastAsia"/>
          <w:sz w:val="24"/>
          <w:szCs w:val="24"/>
          <w:lang w:val="en-US"/>
        </w:rPr>
        <w:t>62</w:t>
      </w:r>
      <w:r>
        <w:rPr>
          <w:rFonts w:ascii="Times New Roman" w:hAnsi="Times New Roman" w:hint="eastAsia"/>
          <w:sz w:val="24"/>
          <w:szCs w:val="24"/>
          <w:lang w:val="en-US"/>
        </w:rPr>
        <w:t>号，国家安全生产监督管理总局令〔</w:t>
      </w:r>
      <w:r>
        <w:rPr>
          <w:rFonts w:ascii="Times New Roman" w:hAnsi="Times New Roman" w:hint="eastAsia"/>
          <w:sz w:val="24"/>
          <w:szCs w:val="24"/>
          <w:lang w:val="en-US"/>
        </w:rPr>
        <w:t>2015</w:t>
      </w:r>
      <w:r>
        <w:rPr>
          <w:rFonts w:ascii="Times New Roman" w:hAnsi="Times New Roman" w:hint="eastAsia"/>
          <w:sz w:val="24"/>
          <w:szCs w:val="24"/>
          <w:lang w:val="en-US"/>
        </w:rPr>
        <w:t>〕第</w:t>
      </w:r>
      <w:r>
        <w:rPr>
          <w:rFonts w:ascii="Times New Roman" w:hAnsi="Times New Roman" w:hint="eastAsia"/>
          <w:sz w:val="24"/>
          <w:szCs w:val="24"/>
          <w:lang w:val="en-US"/>
        </w:rPr>
        <w:t>78</w:t>
      </w:r>
      <w:r>
        <w:rPr>
          <w:rFonts w:ascii="Times New Roman" w:hAnsi="Times New Roman" w:hint="eastAsia"/>
          <w:sz w:val="24"/>
          <w:szCs w:val="24"/>
          <w:lang w:val="en-US"/>
        </w:rPr>
        <w:t>号修正）</w:t>
      </w:r>
    </w:p>
    <w:p w14:paraId="3DF5A6D8"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10</w:t>
      </w:r>
      <w:r>
        <w:rPr>
          <w:rFonts w:ascii="Times New Roman" w:hAnsi="Times New Roman" w:hint="eastAsia"/>
          <w:sz w:val="24"/>
          <w:szCs w:val="24"/>
          <w:lang w:val="en-US"/>
        </w:rPr>
        <w:t>）《生产安全事故应急预案管理办法》（国家安全生产监督管理总局令〔</w:t>
      </w:r>
      <w:r>
        <w:rPr>
          <w:rFonts w:ascii="Times New Roman" w:hAnsi="Times New Roman" w:hint="eastAsia"/>
          <w:sz w:val="24"/>
          <w:szCs w:val="24"/>
          <w:lang w:val="en-US"/>
        </w:rPr>
        <w:t>2016</w:t>
      </w:r>
      <w:r>
        <w:rPr>
          <w:rFonts w:ascii="Times New Roman" w:hAnsi="Times New Roman" w:hint="eastAsia"/>
          <w:sz w:val="24"/>
          <w:szCs w:val="24"/>
          <w:lang w:val="en-US"/>
        </w:rPr>
        <w:t>〕第</w:t>
      </w:r>
      <w:r>
        <w:rPr>
          <w:rFonts w:ascii="Times New Roman" w:hAnsi="Times New Roman" w:hint="eastAsia"/>
          <w:sz w:val="24"/>
          <w:szCs w:val="24"/>
          <w:lang w:val="en-US"/>
        </w:rPr>
        <w:t>88</w:t>
      </w:r>
      <w:r>
        <w:rPr>
          <w:rFonts w:ascii="Times New Roman" w:hAnsi="Times New Roman" w:hint="eastAsia"/>
          <w:sz w:val="24"/>
          <w:szCs w:val="24"/>
          <w:lang w:val="en-US"/>
        </w:rPr>
        <w:t>号，应急管理部令〔</w:t>
      </w:r>
      <w:r>
        <w:rPr>
          <w:rFonts w:ascii="Times New Roman" w:hAnsi="Times New Roman" w:hint="eastAsia"/>
          <w:sz w:val="24"/>
          <w:szCs w:val="24"/>
          <w:lang w:val="en-US"/>
        </w:rPr>
        <w:t>2019</w:t>
      </w:r>
      <w:r>
        <w:rPr>
          <w:rFonts w:ascii="Times New Roman" w:hAnsi="Times New Roman" w:hint="eastAsia"/>
          <w:sz w:val="24"/>
          <w:szCs w:val="24"/>
          <w:lang w:val="en-US"/>
        </w:rPr>
        <w:t>〕第</w:t>
      </w:r>
      <w:r>
        <w:rPr>
          <w:rFonts w:ascii="Times New Roman" w:hAnsi="Times New Roman" w:hint="eastAsia"/>
          <w:sz w:val="24"/>
          <w:szCs w:val="24"/>
          <w:lang w:val="en-US"/>
        </w:rPr>
        <w:t>2</w:t>
      </w:r>
      <w:r>
        <w:rPr>
          <w:rFonts w:ascii="Times New Roman" w:hAnsi="Times New Roman" w:hint="eastAsia"/>
          <w:sz w:val="24"/>
          <w:szCs w:val="24"/>
          <w:lang w:val="en-US"/>
        </w:rPr>
        <w:t>号修改）</w:t>
      </w:r>
    </w:p>
    <w:p w14:paraId="140E79F3"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11</w:t>
      </w:r>
      <w:r>
        <w:rPr>
          <w:rFonts w:ascii="Times New Roman" w:hAnsi="Times New Roman" w:hint="eastAsia"/>
          <w:sz w:val="24"/>
          <w:szCs w:val="24"/>
          <w:lang w:val="en-US"/>
        </w:rPr>
        <w:t>）《防雷减灾管理办法（修订）》（中国气象局〔</w:t>
      </w:r>
      <w:r>
        <w:rPr>
          <w:rFonts w:ascii="Times New Roman" w:hAnsi="Times New Roman" w:hint="eastAsia"/>
          <w:sz w:val="24"/>
          <w:szCs w:val="24"/>
          <w:lang w:val="en-US"/>
        </w:rPr>
        <w:t>2013</w:t>
      </w:r>
      <w:r>
        <w:rPr>
          <w:rFonts w:ascii="Times New Roman" w:hAnsi="Times New Roman" w:hint="eastAsia"/>
          <w:sz w:val="24"/>
          <w:szCs w:val="24"/>
          <w:lang w:val="en-US"/>
        </w:rPr>
        <w:t>〕第</w:t>
      </w:r>
      <w:r>
        <w:rPr>
          <w:rFonts w:ascii="Times New Roman" w:hAnsi="Times New Roman" w:hint="eastAsia"/>
          <w:sz w:val="24"/>
          <w:szCs w:val="24"/>
          <w:lang w:val="en-US"/>
        </w:rPr>
        <w:t>24</w:t>
      </w:r>
      <w:r>
        <w:rPr>
          <w:rFonts w:ascii="Times New Roman" w:hAnsi="Times New Roman" w:hint="eastAsia"/>
          <w:sz w:val="24"/>
          <w:szCs w:val="24"/>
          <w:lang w:val="en-US"/>
        </w:rPr>
        <w:t>号令）</w:t>
      </w:r>
    </w:p>
    <w:p w14:paraId="0A690BB7"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12</w:t>
      </w:r>
      <w:r>
        <w:rPr>
          <w:rFonts w:ascii="Times New Roman" w:hAnsi="Times New Roman" w:hint="eastAsia"/>
          <w:sz w:val="24"/>
          <w:szCs w:val="24"/>
          <w:lang w:val="en-US"/>
        </w:rPr>
        <w:t>）《危险化学品目录（</w:t>
      </w:r>
      <w:r>
        <w:rPr>
          <w:rFonts w:ascii="Times New Roman" w:hAnsi="Times New Roman" w:hint="eastAsia"/>
          <w:sz w:val="24"/>
          <w:szCs w:val="24"/>
          <w:lang w:val="en-US"/>
        </w:rPr>
        <w:t>2015</w:t>
      </w:r>
      <w:r>
        <w:rPr>
          <w:rFonts w:ascii="Times New Roman" w:hAnsi="Times New Roman" w:hint="eastAsia"/>
          <w:sz w:val="24"/>
          <w:szCs w:val="24"/>
          <w:lang w:val="en-US"/>
        </w:rPr>
        <w:t>版）》（安监局公告〔</w:t>
      </w:r>
      <w:r>
        <w:rPr>
          <w:rFonts w:ascii="Times New Roman" w:hAnsi="Times New Roman" w:hint="eastAsia"/>
          <w:sz w:val="24"/>
          <w:szCs w:val="24"/>
          <w:lang w:val="en-US"/>
        </w:rPr>
        <w:t>2015</w:t>
      </w:r>
      <w:r>
        <w:rPr>
          <w:rFonts w:ascii="Times New Roman" w:hAnsi="Times New Roman" w:hint="eastAsia"/>
          <w:sz w:val="24"/>
          <w:szCs w:val="24"/>
          <w:lang w:val="en-US"/>
        </w:rPr>
        <w:t>〕</w:t>
      </w:r>
      <w:r>
        <w:rPr>
          <w:rFonts w:ascii="Times New Roman" w:hAnsi="Times New Roman" w:hint="eastAsia"/>
          <w:sz w:val="24"/>
          <w:szCs w:val="24"/>
          <w:lang w:val="en-US"/>
        </w:rPr>
        <w:t>5</w:t>
      </w:r>
      <w:r>
        <w:rPr>
          <w:rFonts w:ascii="Times New Roman" w:hAnsi="Times New Roman" w:hint="eastAsia"/>
          <w:sz w:val="24"/>
          <w:szCs w:val="24"/>
          <w:lang w:val="en-US"/>
        </w:rPr>
        <w:t>号发布，应急部公告〔</w:t>
      </w:r>
      <w:r>
        <w:rPr>
          <w:rFonts w:ascii="Times New Roman" w:hAnsi="Times New Roman" w:hint="eastAsia"/>
          <w:sz w:val="24"/>
          <w:szCs w:val="24"/>
          <w:lang w:val="en-US"/>
        </w:rPr>
        <w:t>2022</w:t>
      </w:r>
      <w:r>
        <w:rPr>
          <w:rFonts w:ascii="Times New Roman" w:hAnsi="Times New Roman" w:hint="eastAsia"/>
          <w:sz w:val="24"/>
          <w:szCs w:val="24"/>
          <w:lang w:val="en-US"/>
        </w:rPr>
        <w:t>〕</w:t>
      </w:r>
      <w:r>
        <w:rPr>
          <w:rFonts w:ascii="Times New Roman" w:hAnsi="Times New Roman" w:hint="eastAsia"/>
          <w:sz w:val="24"/>
          <w:szCs w:val="24"/>
          <w:lang w:val="en-US"/>
        </w:rPr>
        <w:t>8</w:t>
      </w:r>
      <w:r>
        <w:rPr>
          <w:rFonts w:ascii="Times New Roman" w:hAnsi="Times New Roman" w:hint="eastAsia"/>
          <w:sz w:val="24"/>
          <w:szCs w:val="24"/>
          <w:lang w:val="en-US"/>
        </w:rPr>
        <w:t>号修正）</w:t>
      </w:r>
    </w:p>
    <w:p w14:paraId="7AF313F0"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13</w:t>
      </w:r>
      <w:r>
        <w:rPr>
          <w:rFonts w:ascii="Times New Roman" w:hAnsi="Times New Roman" w:hint="eastAsia"/>
          <w:sz w:val="24"/>
          <w:szCs w:val="24"/>
          <w:lang w:val="en-US"/>
        </w:rPr>
        <w:t>）《企业安全生产费用提取和使用管理办法》（财资〔</w:t>
      </w:r>
      <w:r>
        <w:rPr>
          <w:rFonts w:ascii="Times New Roman" w:hAnsi="Times New Roman" w:hint="eastAsia"/>
          <w:sz w:val="24"/>
          <w:szCs w:val="24"/>
          <w:lang w:val="en-US"/>
        </w:rPr>
        <w:t>2022</w:t>
      </w:r>
      <w:r>
        <w:rPr>
          <w:rFonts w:ascii="Times New Roman" w:hAnsi="Times New Roman" w:hint="eastAsia"/>
          <w:sz w:val="24"/>
          <w:szCs w:val="24"/>
          <w:lang w:val="en-US"/>
        </w:rPr>
        <w:t>〕</w:t>
      </w:r>
      <w:r>
        <w:rPr>
          <w:rFonts w:ascii="Times New Roman" w:hAnsi="Times New Roman" w:hint="eastAsia"/>
          <w:sz w:val="24"/>
          <w:szCs w:val="24"/>
          <w:lang w:val="en-US"/>
        </w:rPr>
        <w:t>136</w:t>
      </w:r>
      <w:r>
        <w:rPr>
          <w:rFonts w:ascii="Times New Roman" w:hAnsi="Times New Roman" w:hint="eastAsia"/>
          <w:sz w:val="24"/>
          <w:szCs w:val="24"/>
          <w:lang w:val="en-US"/>
        </w:rPr>
        <w:t>号）</w:t>
      </w:r>
    </w:p>
    <w:p w14:paraId="5A50E1AF"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14</w:t>
      </w:r>
      <w:r>
        <w:rPr>
          <w:rFonts w:ascii="Times New Roman" w:hAnsi="Times New Roman" w:hint="eastAsia"/>
          <w:sz w:val="24"/>
          <w:szCs w:val="24"/>
          <w:lang w:val="en-US"/>
        </w:rPr>
        <w:t>）《安全生产责任保险实施办法》（安监总办〔</w:t>
      </w:r>
      <w:r>
        <w:rPr>
          <w:rFonts w:ascii="Times New Roman" w:hAnsi="Times New Roman" w:hint="eastAsia"/>
          <w:sz w:val="24"/>
          <w:szCs w:val="24"/>
          <w:lang w:val="en-US"/>
        </w:rPr>
        <w:t>2017</w:t>
      </w:r>
      <w:r>
        <w:rPr>
          <w:rFonts w:ascii="Times New Roman" w:hAnsi="Times New Roman" w:hint="eastAsia"/>
          <w:sz w:val="24"/>
          <w:szCs w:val="24"/>
          <w:lang w:val="en-US"/>
        </w:rPr>
        <w:t>〕</w:t>
      </w:r>
      <w:r>
        <w:rPr>
          <w:rFonts w:ascii="Times New Roman" w:hAnsi="Times New Roman" w:hint="eastAsia"/>
          <w:sz w:val="24"/>
          <w:szCs w:val="24"/>
          <w:lang w:val="en-US"/>
        </w:rPr>
        <w:t>140</w:t>
      </w:r>
      <w:r>
        <w:rPr>
          <w:rFonts w:ascii="Times New Roman" w:hAnsi="Times New Roman" w:hint="eastAsia"/>
          <w:sz w:val="24"/>
          <w:szCs w:val="24"/>
          <w:lang w:val="en-US"/>
        </w:rPr>
        <w:t>号）</w:t>
      </w:r>
    </w:p>
    <w:p w14:paraId="6BEEEE62"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15</w:t>
      </w:r>
      <w:r>
        <w:rPr>
          <w:rFonts w:ascii="Times New Roman" w:hAnsi="Times New Roman" w:hint="eastAsia"/>
          <w:sz w:val="24"/>
          <w:szCs w:val="24"/>
          <w:lang w:val="en-US"/>
        </w:rPr>
        <w:t>）《关于印发用人单位劳动防护用品管理规范的通知》（安监总厅安健〔</w:t>
      </w:r>
      <w:r>
        <w:rPr>
          <w:rFonts w:ascii="Times New Roman" w:hAnsi="Times New Roman" w:hint="eastAsia"/>
          <w:sz w:val="24"/>
          <w:szCs w:val="24"/>
          <w:lang w:val="en-US"/>
        </w:rPr>
        <w:t>2018</w:t>
      </w:r>
      <w:r>
        <w:rPr>
          <w:rFonts w:ascii="Times New Roman" w:hAnsi="Times New Roman" w:hint="eastAsia"/>
          <w:sz w:val="24"/>
          <w:szCs w:val="24"/>
          <w:lang w:val="en-US"/>
        </w:rPr>
        <w:t>〕</w:t>
      </w:r>
      <w:r>
        <w:rPr>
          <w:rFonts w:ascii="Times New Roman" w:hAnsi="Times New Roman" w:hint="eastAsia"/>
          <w:sz w:val="24"/>
          <w:szCs w:val="24"/>
          <w:lang w:val="en-US"/>
        </w:rPr>
        <w:t>3</w:t>
      </w:r>
      <w:r>
        <w:rPr>
          <w:rFonts w:ascii="Times New Roman" w:hAnsi="Times New Roman" w:hint="eastAsia"/>
          <w:sz w:val="24"/>
          <w:szCs w:val="24"/>
          <w:lang w:val="en-US"/>
        </w:rPr>
        <w:t>号）</w:t>
      </w:r>
    </w:p>
    <w:p w14:paraId="483C1073"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16</w:t>
      </w:r>
      <w:r>
        <w:rPr>
          <w:rFonts w:ascii="Times New Roman" w:hAnsi="Times New Roman" w:hint="eastAsia"/>
          <w:sz w:val="24"/>
          <w:szCs w:val="24"/>
          <w:lang w:val="en-US"/>
        </w:rPr>
        <w:t>）《国务院安委会办公室关于全面加强企业全员安全生产责任制工作的通知》（安委办〔</w:t>
      </w:r>
      <w:r>
        <w:rPr>
          <w:rFonts w:ascii="Times New Roman" w:hAnsi="Times New Roman" w:hint="eastAsia"/>
          <w:sz w:val="24"/>
          <w:szCs w:val="24"/>
          <w:lang w:val="en-US"/>
        </w:rPr>
        <w:t>2017</w:t>
      </w:r>
      <w:r>
        <w:rPr>
          <w:rFonts w:ascii="Times New Roman" w:hAnsi="Times New Roman" w:hint="eastAsia"/>
          <w:sz w:val="24"/>
          <w:szCs w:val="24"/>
          <w:lang w:val="en-US"/>
        </w:rPr>
        <w:t>〕</w:t>
      </w:r>
      <w:r>
        <w:rPr>
          <w:rFonts w:ascii="Times New Roman" w:hAnsi="Times New Roman" w:hint="eastAsia"/>
          <w:sz w:val="24"/>
          <w:szCs w:val="24"/>
          <w:lang w:val="en-US"/>
        </w:rPr>
        <w:t>29</w:t>
      </w:r>
      <w:r>
        <w:rPr>
          <w:rFonts w:ascii="Times New Roman" w:hAnsi="Times New Roman" w:hint="eastAsia"/>
          <w:sz w:val="24"/>
          <w:szCs w:val="24"/>
          <w:lang w:val="en-US"/>
        </w:rPr>
        <w:t>号）</w:t>
      </w:r>
    </w:p>
    <w:p w14:paraId="434FE684"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17</w:t>
      </w:r>
      <w:r>
        <w:rPr>
          <w:rFonts w:ascii="Times New Roman" w:hAnsi="Times New Roman" w:hint="eastAsia"/>
          <w:sz w:val="24"/>
          <w:szCs w:val="24"/>
          <w:lang w:val="en-US"/>
        </w:rPr>
        <w:t>）《注册安全工程师分类管理办法》（安监总人事〔</w:t>
      </w:r>
      <w:r>
        <w:rPr>
          <w:rFonts w:ascii="Times New Roman" w:hAnsi="Times New Roman" w:hint="eastAsia"/>
          <w:sz w:val="24"/>
          <w:szCs w:val="24"/>
          <w:lang w:val="en-US"/>
        </w:rPr>
        <w:t>2017</w:t>
      </w:r>
      <w:r>
        <w:rPr>
          <w:rFonts w:ascii="Times New Roman" w:hAnsi="Times New Roman" w:hint="eastAsia"/>
          <w:sz w:val="24"/>
          <w:szCs w:val="24"/>
          <w:lang w:val="en-US"/>
        </w:rPr>
        <w:t>〕</w:t>
      </w:r>
      <w:r>
        <w:rPr>
          <w:rFonts w:ascii="Times New Roman" w:hAnsi="Times New Roman" w:hint="eastAsia"/>
          <w:sz w:val="24"/>
          <w:szCs w:val="24"/>
          <w:lang w:val="en-US"/>
        </w:rPr>
        <w:t>118</w:t>
      </w:r>
      <w:r>
        <w:rPr>
          <w:rFonts w:ascii="Times New Roman" w:hAnsi="Times New Roman" w:hint="eastAsia"/>
          <w:sz w:val="24"/>
          <w:szCs w:val="24"/>
          <w:lang w:val="en-US"/>
        </w:rPr>
        <w:t>号）</w:t>
      </w:r>
    </w:p>
    <w:p w14:paraId="6B4B2E84"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18</w:t>
      </w:r>
      <w:r>
        <w:rPr>
          <w:rFonts w:ascii="Times New Roman" w:hAnsi="Times New Roman" w:hint="eastAsia"/>
          <w:sz w:val="24"/>
          <w:szCs w:val="24"/>
          <w:lang w:val="en-US"/>
        </w:rPr>
        <w:t>）《注册安全工程师职业资格制度规定》（应急〔</w:t>
      </w:r>
      <w:r>
        <w:rPr>
          <w:rFonts w:ascii="Times New Roman" w:hAnsi="Times New Roman" w:hint="eastAsia"/>
          <w:sz w:val="24"/>
          <w:szCs w:val="24"/>
          <w:lang w:val="en-US"/>
        </w:rPr>
        <w:t>2019</w:t>
      </w:r>
      <w:r>
        <w:rPr>
          <w:rFonts w:ascii="Times New Roman" w:hAnsi="Times New Roman" w:hint="eastAsia"/>
          <w:sz w:val="24"/>
          <w:szCs w:val="24"/>
          <w:lang w:val="en-US"/>
        </w:rPr>
        <w:t>〕</w:t>
      </w:r>
      <w:r>
        <w:rPr>
          <w:rFonts w:ascii="Times New Roman" w:hAnsi="Times New Roman" w:hint="eastAsia"/>
          <w:sz w:val="24"/>
          <w:szCs w:val="24"/>
          <w:lang w:val="en-US"/>
        </w:rPr>
        <w:t>8</w:t>
      </w:r>
      <w:r>
        <w:rPr>
          <w:rFonts w:ascii="Times New Roman" w:hAnsi="Times New Roman" w:hint="eastAsia"/>
          <w:sz w:val="24"/>
          <w:szCs w:val="24"/>
          <w:lang w:val="en-US"/>
        </w:rPr>
        <w:t>号）</w:t>
      </w:r>
    </w:p>
    <w:p w14:paraId="3E44729E"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19</w:t>
      </w:r>
      <w:r>
        <w:rPr>
          <w:rFonts w:ascii="Times New Roman" w:hAnsi="Times New Roman" w:hint="eastAsia"/>
          <w:sz w:val="24"/>
          <w:szCs w:val="24"/>
          <w:lang w:val="en-US"/>
        </w:rPr>
        <w:t>）《企业安全生产标准化建设定级办法》（应急〔</w:t>
      </w:r>
      <w:r>
        <w:rPr>
          <w:rFonts w:ascii="Times New Roman" w:hAnsi="Times New Roman" w:hint="eastAsia"/>
          <w:sz w:val="24"/>
          <w:szCs w:val="24"/>
          <w:lang w:val="en-US"/>
        </w:rPr>
        <w:t>2021</w:t>
      </w:r>
      <w:r>
        <w:rPr>
          <w:rFonts w:ascii="Times New Roman" w:hAnsi="Times New Roman" w:hint="eastAsia"/>
          <w:sz w:val="24"/>
          <w:szCs w:val="24"/>
          <w:lang w:val="en-US"/>
        </w:rPr>
        <w:t>〕</w:t>
      </w:r>
      <w:r>
        <w:rPr>
          <w:rFonts w:ascii="Times New Roman" w:hAnsi="Times New Roman" w:hint="eastAsia"/>
          <w:sz w:val="24"/>
          <w:szCs w:val="24"/>
          <w:lang w:val="en-US"/>
        </w:rPr>
        <w:t>83</w:t>
      </w:r>
      <w:r>
        <w:rPr>
          <w:rFonts w:ascii="Times New Roman" w:hAnsi="Times New Roman" w:hint="eastAsia"/>
          <w:sz w:val="24"/>
          <w:szCs w:val="24"/>
          <w:lang w:val="en-US"/>
        </w:rPr>
        <w:t>号）</w:t>
      </w:r>
    </w:p>
    <w:p w14:paraId="62EDEA31"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20</w:t>
      </w:r>
      <w:r>
        <w:rPr>
          <w:rFonts w:ascii="Times New Roman" w:hAnsi="Times New Roman" w:hint="eastAsia"/>
          <w:sz w:val="24"/>
          <w:szCs w:val="24"/>
          <w:lang w:val="en-US"/>
        </w:rPr>
        <w:t>）《特种设备作业人员监督管理办法》（国家质量监督检验检疫总局令〔</w:t>
      </w:r>
      <w:r>
        <w:rPr>
          <w:rFonts w:ascii="Times New Roman" w:hAnsi="Times New Roman" w:hint="eastAsia"/>
          <w:sz w:val="24"/>
          <w:szCs w:val="24"/>
          <w:lang w:val="en-US"/>
        </w:rPr>
        <w:t>2011</w:t>
      </w:r>
      <w:r>
        <w:rPr>
          <w:rFonts w:ascii="Times New Roman" w:hAnsi="Times New Roman" w:hint="eastAsia"/>
          <w:sz w:val="24"/>
          <w:szCs w:val="24"/>
          <w:lang w:val="en-US"/>
        </w:rPr>
        <w:t>〕第</w:t>
      </w:r>
      <w:r>
        <w:rPr>
          <w:rFonts w:ascii="Times New Roman" w:hAnsi="Times New Roman" w:hint="eastAsia"/>
          <w:sz w:val="24"/>
          <w:szCs w:val="24"/>
          <w:lang w:val="en-US"/>
        </w:rPr>
        <w:t>140</w:t>
      </w:r>
      <w:r>
        <w:rPr>
          <w:rFonts w:ascii="Times New Roman" w:hAnsi="Times New Roman" w:hint="eastAsia"/>
          <w:sz w:val="24"/>
          <w:szCs w:val="24"/>
          <w:lang w:val="en-US"/>
        </w:rPr>
        <w:t>号）</w:t>
      </w:r>
    </w:p>
    <w:p w14:paraId="5C3E4EFD"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21</w:t>
      </w:r>
      <w:r>
        <w:rPr>
          <w:rFonts w:ascii="Times New Roman" w:hAnsi="Times New Roman" w:hint="eastAsia"/>
          <w:sz w:val="24"/>
          <w:szCs w:val="24"/>
          <w:lang w:val="en-US"/>
        </w:rPr>
        <w:t>）《市场监管总局关于特种设备行政许可有关事项的公告》（国家市场监管总局</w:t>
      </w:r>
      <w:r>
        <w:rPr>
          <w:rFonts w:ascii="Times New Roman" w:hAnsi="Times New Roman" w:hint="eastAsia"/>
          <w:sz w:val="24"/>
          <w:szCs w:val="24"/>
          <w:lang w:val="en-US"/>
        </w:rPr>
        <w:lastRenderedPageBreak/>
        <w:t>〔</w:t>
      </w:r>
      <w:r>
        <w:rPr>
          <w:rFonts w:ascii="Times New Roman" w:hAnsi="Times New Roman" w:hint="eastAsia"/>
          <w:sz w:val="24"/>
          <w:szCs w:val="24"/>
          <w:lang w:val="en-US"/>
        </w:rPr>
        <w:t>2021</w:t>
      </w:r>
      <w:r>
        <w:rPr>
          <w:rFonts w:ascii="Times New Roman" w:hAnsi="Times New Roman" w:hint="eastAsia"/>
          <w:sz w:val="24"/>
          <w:szCs w:val="24"/>
          <w:lang w:val="en-US"/>
        </w:rPr>
        <w:t>〕第</w:t>
      </w:r>
      <w:r>
        <w:rPr>
          <w:rFonts w:ascii="Times New Roman" w:hAnsi="Times New Roman" w:hint="eastAsia"/>
          <w:sz w:val="24"/>
          <w:szCs w:val="24"/>
          <w:lang w:val="en-US"/>
        </w:rPr>
        <w:t>41</w:t>
      </w:r>
      <w:r>
        <w:rPr>
          <w:rFonts w:ascii="Times New Roman" w:hAnsi="Times New Roman" w:hint="eastAsia"/>
          <w:sz w:val="24"/>
          <w:szCs w:val="24"/>
          <w:lang w:val="en-US"/>
        </w:rPr>
        <w:t>号）</w:t>
      </w:r>
    </w:p>
    <w:p w14:paraId="5D691D0B"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22</w:t>
      </w:r>
      <w:r>
        <w:rPr>
          <w:rFonts w:ascii="Times New Roman" w:hAnsi="Times New Roman" w:hint="eastAsia"/>
          <w:sz w:val="24"/>
          <w:szCs w:val="24"/>
          <w:lang w:val="en-US"/>
        </w:rPr>
        <w:t>）《应急管理部危化监管二司关于印发〈陆上石油天然气开采安全风险评估工作方案〉的通知》（应急危化二〔</w:t>
      </w:r>
      <w:r>
        <w:rPr>
          <w:rFonts w:ascii="Times New Roman" w:hAnsi="Times New Roman" w:hint="eastAsia"/>
          <w:sz w:val="24"/>
          <w:szCs w:val="24"/>
          <w:lang w:val="en-US"/>
        </w:rPr>
        <w:t>2022</w:t>
      </w:r>
      <w:r>
        <w:rPr>
          <w:rFonts w:ascii="Times New Roman" w:hAnsi="Times New Roman" w:hint="eastAsia"/>
          <w:sz w:val="24"/>
          <w:szCs w:val="24"/>
          <w:lang w:val="en-US"/>
        </w:rPr>
        <w:t>〕</w:t>
      </w:r>
      <w:r>
        <w:rPr>
          <w:rFonts w:ascii="Times New Roman" w:hAnsi="Times New Roman" w:hint="eastAsia"/>
          <w:sz w:val="24"/>
          <w:szCs w:val="24"/>
          <w:lang w:val="en-US"/>
        </w:rPr>
        <w:t>3</w:t>
      </w:r>
      <w:r>
        <w:rPr>
          <w:rFonts w:ascii="Times New Roman" w:hAnsi="Times New Roman" w:hint="eastAsia"/>
          <w:sz w:val="24"/>
          <w:szCs w:val="24"/>
          <w:lang w:val="en-US"/>
        </w:rPr>
        <w:t>号）</w:t>
      </w:r>
    </w:p>
    <w:p w14:paraId="248C26BC" w14:textId="77777777" w:rsidR="003D6A63" w:rsidRDefault="00000000">
      <w:pPr>
        <w:pStyle w:val="nlw3"/>
        <w:spacing w:beforeLines="0" w:before="0" w:after="0" w:line="360" w:lineRule="auto"/>
        <w:rPr>
          <w:sz w:val="24"/>
          <w:szCs w:val="24"/>
        </w:rPr>
      </w:pPr>
      <w:r>
        <w:rPr>
          <w:rFonts w:hint="eastAsia"/>
          <w:sz w:val="24"/>
          <w:szCs w:val="24"/>
        </w:rPr>
        <w:t xml:space="preserve">1.3.4  </w:t>
      </w:r>
      <w:r>
        <w:rPr>
          <w:rFonts w:hint="eastAsia"/>
          <w:sz w:val="24"/>
          <w:szCs w:val="24"/>
        </w:rPr>
        <w:t>地方性法规、规章和规范性文件</w:t>
      </w:r>
    </w:p>
    <w:p w14:paraId="2FB6B7D0"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w:t>
      </w:r>
      <w:r>
        <w:rPr>
          <w:rFonts w:ascii="Times New Roman" w:hAnsi="Times New Roman" w:hint="eastAsia"/>
          <w:sz w:val="24"/>
          <w:szCs w:val="24"/>
          <w:lang w:val="en-US"/>
        </w:rPr>
        <w:t>）《山东省安全生产条例》（山东省人民代表大会常务委员会公告第</w:t>
      </w:r>
      <w:r>
        <w:rPr>
          <w:rFonts w:ascii="Times New Roman" w:hAnsi="Times New Roman" w:hint="eastAsia"/>
          <w:sz w:val="24"/>
          <w:szCs w:val="24"/>
          <w:lang w:val="en-US"/>
        </w:rPr>
        <w:t>185</w:t>
      </w:r>
      <w:r>
        <w:rPr>
          <w:rFonts w:ascii="Times New Roman" w:hAnsi="Times New Roman" w:hint="eastAsia"/>
          <w:sz w:val="24"/>
          <w:szCs w:val="24"/>
          <w:lang w:val="en-US"/>
        </w:rPr>
        <w:t>号）</w:t>
      </w:r>
    </w:p>
    <w:p w14:paraId="0FB68546"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w:t>
      </w:r>
      <w:r>
        <w:rPr>
          <w:rFonts w:ascii="Times New Roman" w:hAnsi="Times New Roman" w:hint="eastAsia"/>
          <w:sz w:val="24"/>
          <w:szCs w:val="24"/>
          <w:lang w:val="en-US"/>
        </w:rPr>
        <w:t>）《山东省消防条例》（山东省人民代表大会常务委员会公告第</w:t>
      </w:r>
      <w:r>
        <w:rPr>
          <w:rFonts w:ascii="Times New Roman" w:hAnsi="Times New Roman" w:hint="eastAsia"/>
          <w:sz w:val="24"/>
          <w:szCs w:val="24"/>
          <w:lang w:val="en-US"/>
        </w:rPr>
        <w:t>70</w:t>
      </w:r>
      <w:r>
        <w:rPr>
          <w:rFonts w:ascii="Times New Roman" w:hAnsi="Times New Roman" w:hint="eastAsia"/>
          <w:sz w:val="24"/>
          <w:szCs w:val="24"/>
          <w:lang w:val="en-US"/>
        </w:rPr>
        <w:t>号发布，山东省人民代表大会常务委员会公告第</w:t>
      </w:r>
      <w:r>
        <w:rPr>
          <w:rFonts w:ascii="Times New Roman" w:hAnsi="Times New Roman" w:hint="eastAsia"/>
          <w:sz w:val="24"/>
          <w:szCs w:val="24"/>
          <w:lang w:val="en-US"/>
        </w:rPr>
        <w:t>100</w:t>
      </w:r>
      <w:r>
        <w:rPr>
          <w:rFonts w:ascii="Times New Roman" w:hAnsi="Times New Roman" w:hint="eastAsia"/>
          <w:sz w:val="24"/>
          <w:szCs w:val="24"/>
          <w:lang w:val="en-US"/>
        </w:rPr>
        <w:t>号修正）</w:t>
      </w:r>
    </w:p>
    <w:p w14:paraId="682398AE"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w:t>
      </w:r>
      <w:r>
        <w:rPr>
          <w:rFonts w:ascii="Times New Roman" w:hAnsi="Times New Roman" w:hint="eastAsia"/>
          <w:sz w:val="24"/>
          <w:szCs w:val="24"/>
          <w:lang w:val="en-US"/>
        </w:rPr>
        <w:t>）《山东省特种设备安全条例》（鲁人常〔</w:t>
      </w:r>
      <w:r>
        <w:rPr>
          <w:rFonts w:ascii="Times New Roman" w:hAnsi="Times New Roman" w:hint="eastAsia"/>
          <w:sz w:val="24"/>
          <w:szCs w:val="24"/>
          <w:lang w:val="en-US"/>
        </w:rPr>
        <w:t>2015</w:t>
      </w:r>
      <w:r>
        <w:rPr>
          <w:rFonts w:ascii="Times New Roman" w:hAnsi="Times New Roman" w:hint="eastAsia"/>
          <w:sz w:val="24"/>
          <w:szCs w:val="24"/>
          <w:lang w:val="en-US"/>
        </w:rPr>
        <w:t>〕</w:t>
      </w:r>
      <w:r>
        <w:rPr>
          <w:rFonts w:ascii="Times New Roman" w:hAnsi="Times New Roman" w:hint="eastAsia"/>
          <w:sz w:val="24"/>
          <w:szCs w:val="24"/>
          <w:lang w:val="en-US"/>
        </w:rPr>
        <w:t>113</w:t>
      </w:r>
      <w:r>
        <w:rPr>
          <w:rFonts w:ascii="Times New Roman" w:hAnsi="Times New Roman" w:hint="eastAsia"/>
          <w:sz w:val="24"/>
          <w:szCs w:val="24"/>
          <w:lang w:val="en-US"/>
        </w:rPr>
        <w:t>号）</w:t>
      </w:r>
    </w:p>
    <w:p w14:paraId="38A54BA4"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w:t>
      </w:r>
      <w:r>
        <w:rPr>
          <w:rFonts w:ascii="Times New Roman" w:hAnsi="Times New Roman" w:hint="eastAsia"/>
          <w:sz w:val="24"/>
          <w:szCs w:val="24"/>
          <w:lang w:val="en-US"/>
        </w:rPr>
        <w:t>）《山东省生产经营单位安全生产主体责任规定》（山东省人民政府令第</w:t>
      </w:r>
      <w:r>
        <w:rPr>
          <w:rFonts w:ascii="Times New Roman" w:hAnsi="Times New Roman" w:hint="eastAsia"/>
          <w:sz w:val="24"/>
          <w:szCs w:val="24"/>
          <w:lang w:val="en-US"/>
        </w:rPr>
        <w:t>260</w:t>
      </w:r>
      <w:r>
        <w:rPr>
          <w:rFonts w:ascii="Times New Roman" w:hAnsi="Times New Roman" w:hint="eastAsia"/>
          <w:sz w:val="24"/>
          <w:szCs w:val="24"/>
          <w:lang w:val="en-US"/>
        </w:rPr>
        <w:t>号发布，山东省人民政府令第</w:t>
      </w:r>
      <w:r>
        <w:rPr>
          <w:rFonts w:ascii="Times New Roman" w:hAnsi="Times New Roman" w:hint="eastAsia"/>
          <w:sz w:val="24"/>
          <w:szCs w:val="24"/>
          <w:lang w:val="en-US"/>
        </w:rPr>
        <w:t>311</w:t>
      </w:r>
      <w:r>
        <w:rPr>
          <w:rFonts w:ascii="Times New Roman" w:hAnsi="Times New Roman" w:hint="eastAsia"/>
          <w:sz w:val="24"/>
          <w:szCs w:val="24"/>
          <w:lang w:val="en-US"/>
        </w:rPr>
        <w:t>号修正）</w:t>
      </w:r>
    </w:p>
    <w:p w14:paraId="385392CB"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5</w:t>
      </w:r>
      <w:r>
        <w:rPr>
          <w:rFonts w:ascii="Times New Roman" w:hAnsi="Times New Roman" w:hint="eastAsia"/>
          <w:sz w:val="24"/>
          <w:szCs w:val="24"/>
          <w:lang w:val="en-US"/>
        </w:rPr>
        <w:t>）《山东省非煤矿矿山企业安全生产许可证实施方案》（鲁安监发〔</w:t>
      </w:r>
      <w:r>
        <w:rPr>
          <w:rFonts w:ascii="Times New Roman" w:hAnsi="Times New Roman" w:hint="eastAsia"/>
          <w:sz w:val="24"/>
          <w:szCs w:val="24"/>
          <w:lang w:val="en-US"/>
        </w:rPr>
        <w:t>2009</w:t>
      </w:r>
      <w:r>
        <w:rPr>
          <w:rFonts w:ascii="Times New Roman" w:hAnsi="Times New Roman" w:hint="eastAsia"/>
          <w:sz w:val="24"/>
          <w:szCs w:val="24"/>
          <w:lang w:val="en-US"/>
        </w:rPr>
        <w:t>〕</w:t>
      </w:r>
      <w:r>
        <w:rPr>
          <w:rFonts w:ascii="Times New Roman" w:hAnsi="Times New Roman" w:hint="eastAsia"/>
          <w:sz w:val="24"/>
          <w:szCs w:val="24"/>
          <w:lang w:val="en-US"/>
        </w:rPr>
        <w:t>133</w:t>
      </w:r>
      <w:r>
        <w:rPr>
          <w:rFonts w:ascii="Times New Roman" w:hAnsi="Times New Roman" w:hint="eastAsia"/>
          <w:sz w:val="24"/>
          <w:szCs w:val="24"/>
          <w:lang w:val="en-US"/>
        </w:rPr>
        <w:t>号）</w:t>
      </w:r>
    </w:p>
    <w:p w14:paraId="793342C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6</w:t>
      </w:r>
      <w:r>
        <w:rPr>
          <w:rFonts w:ascii="Times New Roman" w:hAnsi="Times New Roman" w:hint="eastAsia"/>
          <w:sz w:val="24"/>
          <w:szCs w:val="24"/>
          <w:lang w:val="en-US"/>
        </w:rPr>
        <w:t>）《关于印发山东省生产经营单位全员安全生产责任制的通知》（鲁安办发〔</w:t>
      </w:r>
      <w:r>
        <w:rPr>
          <w:rFonts w:ascii="Times New Roman" w:hAnsi="Times New Roman" w:hint="eastAsia"/>
          <w:sz w:val="24"/>
          <w:szCs w:val="24"/>
          <w:lang w:val="en-US"/>
        </w:rPr>
        <w:t>2021</w:t>
      </w:r>
      <w:r>
        <w:rPr>
          <w:rFonts w:ascii="Times New Roman" w:hAnsi="Times New Roman" w:hint="eastAsia"/>
          <w:sz w:val="24"/>
          <w:szCs w:val="24"/>
          <w:lang w:val="en-US"/>
        </w:rPr>
        <w:t>〕</w:t>
      </w:r>
      <w:r>
        <w:rPr>
          <w:rFonts w:ascii="Times New Roman" w:hAnsi="Times New Roman" w:hint="eastAsia"/>
          <w:sz w:val="24"/>
          <w:szCs w:val="24"/>
          <w:lang w:val="en-US"/>
        </w:rPr>
        <w:t>50</w:t>
      </w:r>
      <w:r>
        <w:rPr>
          <w:rFonts w:ascii="Times New Roman" w:hAnsi="Times New Roman" w:hint="eastAsia"/>
          <w:sz w:val="24"/>
          <w:szCs w:val="24"/>
          <w:lang w:val="en-US"/>
        </w:rPr>
        <w:t>号）</w:t>
      </w:r>
    </w:p>
    <w:p w14:paraId="3E957547"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7</w:t>
      </w:r>
      <w:r>
        <w:rPr>
          <w:rFonts w:ascii="Times New Roman" w:hAnsi="Times New Roman" w:hint="eastAsia"/>
          <w:sz w:val="24"/>
          <w:szCs w:val="24"/>
          <w:lang w:val="en-US"/>
        </w:rPr>
        <w:t>）《关于实施企业安全生产标准化建设定级办法的通知》（鲁应急发〔</w:t>
      </w:r>
      <w:r>
        <w:rPr>
          <w:rFonts w:ascii="Times New Roman" w:hAnsi="Times New Roman" w:hint="eastAsia"/>
          <w:sz w:val="24"/>
          <w:szCs w:val="24"/>
          <w:lang w:val="en-US"/>
        </w:rPr>
        <w:t>2022</w:t>
      </w:r>
      <w:r>
        <w:rPr>
          <w:rFonts w:ascii="Times New Roman" w:hAnsi="Times New Roman" w:hint="eastAsia"/>
          <w:sz w:val="24"/>
          <w:szCs w:val="24"/>
          <w:lang w:val="en-US"/>
        </w:rPr>
        <w:t>〕</w:t>
      </w:r>
      <w:r>
        <w:rPr>
          <w:rFonts w:ascii="Times New Roman" w:hAnsi="Times New Roman" w:hint="eastAsia"/>
          <w:sz w:val="24"/>
          <w:szCs w:val="24"/>
          <w:lang w:val="en-US"/>
        </w:rPr>
        <w:t>5</w:t>
      </w:r>
      <w:r>
        <w:rPr>
          <w:rFonts w:ascii="Times New Roman" w:hAnsi="Times New Roman" w:hint="eastAsia"/>
          <w:sz w:val="24"/>
          <w:szCs w:val="24"/>
          <w:lang w:val="en-US"/>
        </w:rPr>
        <w:t>号）</w:t>
      </w:r>
    </w:p>
    <w:p w14:paraId="06C10C6C"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8</w:t>
      </w:r>
      <w:r>
        <w:rPr>
          <w:rFonts w:ascii="Times New Roman" w:hAnsi="Times New Roman" w:hint="eastAsia"/>
          <w:sz w:val="24"/>
          <w:szCs w:val="24"/>
          <w:lang w:val="en-US"/>
        </w:rPr>
        <w:t>）《山东省生产安全事故应急办法》（山东省人民政府令〔</w:t>
      </w:r>
      <w:r>
        <w:rPr>
          <w:rFonts w:ascii="Times New Roman" w:hAnsi="Times New Roman" w:hint="eastAsia"/>
          <w:sz w:val="24"/>
          <w:szCs w:val="24"/>
          <w:lang w:val="en-US"/>
        </w:rPr>
        <w:t>2021</w:t>
      </w:r>
      <w:r>
        <w:rPr>
          <w:rFonts w:ascii="Times New Roman" w:hAnsi="Times New Roman" w:hint="eastAsia"/>
          <w:sz w:val="24"/>
          <w:szCs w:val="24"/>
          <w:lang w:val="en-US"/>
        </w:rPr>
        <w:t>〕第</w:t>
      </w:r>
      <w:r>
        <w:rPr>
          <w:rFonts w:ascii="Times New Roman" w:hAnsi="Times New Roman" w:hint="eastAsia"/>
          <w:sz w:val="24"/>
          <w:szCs w:val="24"/>
          <w:lang w:val="en-US"/>
        </w:rPr>
        <w:t>341</w:t>
      </w:r>
      <w:r>
        <w:rPr>
          <w:rFonts w:ascii="Times New Roman" w:hAnsi="Times New Roman" w:hint="eastAsia"/>
          <w:sz w:val="24"/>
          <w:szCs w:val="24"/>
          <w:lang w:val="en-US"/>
        </w:rPr>
        <w:t>号）</w:t>
      </w:r>
    </w:p>
    <w:p w14:paraId="370646BA"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9</w:t>
      </w:r>
      <w:r>
        <w:rPr>
          <w:rFonts w:ascii="Times New Roman" w:hAnsi="Times New Roman" w:hint="eastAsia"/>
          <w:sz w:val="24"/>
          <w:szCs w:val="24"/>
          <w:lang w:val="en-US"/>
        </w:rPr>
        <w:t>）《山东省生产安全事故报告和调查处理办法》（山东省人民政府令〔</w:t>
      </w:r>
      <w:r>
        <w:rPr>
          <w:rFonts w:ascii="Times New Roman" w:hAnsi="Times New Roman" w:hint="eastAsia"/>
          <w:sz w:val="24"/>
          <w:szCs w:val="24"/>
          <w:lang w:val="en-US"/>
        </w:rPr>
        <w:t>2021</w:t>
      </w:r>
      <w:r>
        <w:rPr>
          <w:rFonts w:ascii="Times New Roman" w:hAnsi="Times New Roman" w:hint="eastAsia"/>
          <w:sz w:val="24"/>
          <w:szCs w:val="24"/>
          <w:lang w:val="en-US"/>
        </w:rPr>
        <w:t>〕第</w:t>
      </w:r>
      <w:r>
        <w:rPr>
          <w:rFonts w:ascii="Times New Roman" w:hAnsi="Times New Roman" w:hint="eastAsia"/>
          <w:sz w:val="24"/>
          <w:szCs w:val="24"/>
          <w:lang w:val="en-US"/>
        </w:rPr>
        <w:t>342</w:t>
      </w:r>
      <w:r>
        <w:rPr>
          <w:rFonts w:ascii="Times New Roman" w:hAnsi="Times New Roman" w:hint="eastAsia"/>
          <w:sz w:val="24"/>
          <w:szCs w:val="24"/>
          <w:lang w:val="en-US"/>
        </w:rPr>
        <w:t>号；</w:t>
      </w:r>
      <w:r>
        <w:rPr>
          <w:rFonts w:ascii="Times New Roman" w:hAnsi="Times New Roman" w:hint="eastAsia"/>
          <w:sz w:val="24"/>
          <w:szCs w:val="24"/>
          <w:lang w:val="en-US"/>
        </w:rPr>
        <w:t>2022</w:t>
      </w:r>
      <w:r>
        <w:rPr>
          <w:rFonts w:ascii="Times New Roman" w:hAnsi="Times New Roman" w:hint="eastAsia"/>
          <w:sz w:val="24"/>
          <w:szCs w:val="24"/>
          <w:lang w:val="en-US"/>
        </w:rPr>
        <w:t>年</w:t>
      </w:r>
      <w:r>
        <w:rPr>
          <w:rFonts w:ascii="Times New Roman" w:hAnsi="Times New Roman" w:hint="eastAsia"/>
          <w:sz w:val="24"/>
          <w:szCs w:val="24"/>
          <w:lang w:val="en-US"/>
        </w:rPr>
        <w:t>4</w:t>
      </w:r>
      <w:r>
        <w:rPr>
          <w:rFonts w:ascii="Times New Roman" w:hAnsi="Times New Roman" w:hint="eastAsia"/>
          <w:sz w:val="24"/>
          <w:szCs w:val="24"/>
          <w:lang w:val="en-US"/>
        </w:rPr>
        <w:t>月</w:t>
      </w:r>
      <w:r>
        <w:rPr>
          <w:rFonts w:ascii="Times New Roman" w:hAnsi="Times New Roman" w:hint="eastAsia"/>
          <w:sz w:val="24"/>
          <w:szCs w:val="24"/>
          <w:lang w:val="en-US"/>
        </w:rPr>
        <w:t>25</w:t>
      </w:r>
      <w:r>
        <w:rPr>
          <w:rFonts w:ascii="Times New Roman" w:hAnsi="Times New Roman" w:hint="eastAsia"/>
          <w:sz w:val="24"/>
          <w:szCs w:val="24"/>
          <w:lang w:val="en-US"/>
        </w:rPr>
        <w:t>日，经山东省人民政府令第</w:t>
      </w:r>
      <w:r>
        <w:rPr>
          <w:rFonts w:ascii="Times New Roman" w:hAnsi="Times New Roman" w:hint="eastAsia"/>
          <w:sz w:val="24"/>
          <w:szCs w:val="24"/>
          <w:lang w:val="en-US"/>
        </w:rPr>
        <w:t>349</w:t>
      </w:r>
      <w:r>
        <w:rPr>
          <w:rFonts w:ascii="Times New Roman" w:hAnsi="Times New Roman" w:hint="eastAsia"/>
          <w:sz w:val="24"/>
          <w:szCs w:val="24"/>
          <w:lang w:val="en-US"/>
        </w:rPr>
        <w:t>号修订并实施。）</w:t>
      </w:r>
    </w:p>
    <w:p w14:paraId="06D42FF4"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10</w:t>
      </w:r>
      <w:r>
        <w:rPr>
          <w:rFonts w:ascii="Times New Roman" w:hAnsi="Times New Roman" w:hint="eastAsia"/>
          <w:sz w:val="24"/>
          <w:szCs w:val="24"/>
          <w:lang w:val="en-US"/>
        </w:rPr>
        <w:t>）《山东省生产安全事故隐患排查治理办法》（山东省人民政府令〔</w:t>
      </w:r>
      <w:r>
        <w:rPr>
          <w:rFonts w:ascii="Times New Roman" w:hAnsi="Times New Roman" w:hint="eastAsia"/>
          <w:sz w:val="24"/>
          <w:szCs w:val="24"/>
          <w:lang w:val="en-US"/>
        </w:rPr>
        <w:t>2022</w:t>
      </w:r>
      <w:r>
        <w:rPr>
          <w:rFonts w:ascii="Times New Roman" w:hAnsi="Times New Roman" w:hint="eastAsia"/>
          <w:sz w:val="24"/>
          <w:szCs w:val="24"/>
          <w:lang w:val="en-US"/>
        </w:rPr>
        <w:t>〕第</w:t>
      </w:r>
      <w:r>
        <w:rPr>
          <w:rFonts w:ascii="Times New Roman" w:hAnsi="Times New Roman" w:hint="eastAsia"/>
          <w:sz w:val="24"/>
          <w:szCs w:val="24"/>
          <w:lang w:val="en-US"/>
        </w:rPr>
        <w:t>347</w:t>
      </w:r>
      <w:r>
        <w:rPr>
          <w:rFonts w:ascii="Times New Roman" w:hAnsi="Times New Roman" w:hint="eastAsia"/>
          <w:sz w:val="24"/>
          <w:szCs w:val="24"/>
          <w:lang w:val="en-US"/>
        </w:rPr>
        <w:t>号）</w:t>
      </w:r>
    </w:p>
    <w:p w14:paraId="15406A13"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11</w:t>
      </w:r>
      <w:r>
        <w:rPr>
          <w:rFonts w:ascii="Times New Roman" w:hAnsi="Times New Roman" w:hint="eastAsia"/>
          <w:sz w:val="24"/>
          <w:szCs w:val="24"/>
          <w:lang w:val="en-US"/>
        </w:rPr>
        <w:t>）《山东省安全生产风险管控办法》（山东省政府令〔</w:t>
      </w:r>
      <w:r>
        <w:rPr>
          <w:rFonts w:ascii="Times New Roman" w:hAnsi="Times New Roman" w:hint="eastAsia"/>
          <w:sz w:val="24"/>
          <w:szCs w:val="24"/>
          <w:lang w:val="en-US"/>
        </w:rPr>
        <w:t>2020</w:t>
      </w:r>
      <w:r>
        <w:rPr>
          <w:rFonts w:ascii="Times New Roman" w:hAnsi="Times New Roman" w:hint="eastAsia"/>
          <w:sz w:val="24"/>
          <w:szCs w:val="24"/>
          <w:lang w:val="en-US"/>
        </w:rPr>
        <w:t>〕第</w:t>
      </w:r>
      <w:r>
        <w:rPr>
          <w:rFonts w:ascii="Times New Roman" w:hAnsi="Times New Roman" w:hint="eastAsia"/>
          <w:sz w:val="24"/>
          <w:szCs w:val="24"/>
          <w:lang w:val="en-US"/>
        </w:rPr>
        <w:t>331</w:t>
      </w:r>
      <w:r>
        <w:rPr>
          <w:rFonts w:ascii="Times New Roman" w:hAnsi="Times New Roman" w:hint="eastAsia"/>
          <w:sz w:val="24"/>
          <w:szCs w:val="24"/>
          <w:lang w:val="en-US"/>
        </w:rPr>
        <w:t>号）</w:t>
      </w:r>
    </w:p>
    <w:p w14:paraId="63322AD9"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12</w:t>
      </w:r>
      <w:r>
        <w:rPr>
          <w:rFonts w:ascii="Times New Roman" w:hAnsi="Times New Roman" w:hint="eastAsia"/>
          <w:sz w:val="24"/>
          <w:szCs w:val="24"/>
          <w:lang w:val="en-US"/>
        </w:rPr>
        <w:t>）《关于印发〈山东省非煤矿山企业安全生产风险分级监管暂行办法〉和〈山东省非煤矿山企业安全生产风险分级标准（试行）〉的通知》（鲁安监发〔</w:t>
      </w:r>
      <w:r>
        <w:rPr>
          <w:rFonts w:ascii="Times New Roman" w:hAnsi="Times New Roman" w:hint="eastAsia"/>
          <w:sz w:val="24"/>
          <w:szCs w:val="24"/>
          <w:lang w:val="en-US"/>
        </w:rPr>
        <w:t>2015</w:t>
      </w:r>
      <w:r>
        <w:rPr>
          <w:rFonts w:ascii="Times New Roman" w:hAnsi="Times New Roman" w:hint="eastAsia"/>
          <w:sz w:val="24"/>
          <w:szCs w:val="24"/>
          <w:lang w:val="en-US"/>
        </w:rPr>
        <w:t>〕</w:t>
      </w:r>
      <w:r>
        <w:rPr>
          <w:rFonts w:ascii="Times New Roman" w:hAnsi="Times New Roman" w:hint="eastAsia"/>
          <w:sz w:val="24"/>
          <w:szCs w:val="24"/>
          <w:lang w:val="en-US"/>
        </w:rPr>
        <w:t>151</w:t>
      </w:r>
      <w:r>
        <w:rPr>
          <w:rFonts w:ascii="Times New Roman" w:hAnsi="Times New Roman" w:hint="eastAsia"/>
          <w:sz w:val="24"/>
          <w:szCs w:val="24"/>
          <w:lang w:val="en-US"/>
        </w:rPr>
        <w:t>号）</w:t>
      </w:r>
    </w:p>
    <w:p w14:paraId="16A2BFC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13</w:t>
      </w:r>
      <w:r>
        <w:rPr>
          <w:rFonts w:ascii="Times New Roman" w:hAnsi="Times New Roman" w:hint="eastAsia"/>
          <w:sz w:val="24"/>
          <w:szCs w:val="24"/>
          <w:lang w:val="en-US"/>
        </w:rPr>
        <w:t>）《关于强化企业安全生产主体责任落实的意见》（鲁应急发〔</w:t>
      </w:r>
      <w:r>
        <w:rPr>
          <w:rFonts w:ascii="Times New Roman" w:hAnsi="Times New Roman" w:hint="eastAsia"/>
          <w:sz w:val="24"/>
          <w:szCs w:val="24"/>
          <w:lang w:val="en-US"/>
        </w:rPr>
        <w:t>2019</w:t>
      </w:r>
      <w:r>
        <w:rPr>
          <w:rFonts w:ascii="Times New Roman" w:hAnsi="Times New Roman" w:hint="eastAsia"/>
          <w:sz w:val="24"/>
          <w:szCs w:val="24"/>
          <w:lang w:val="en-US"/>
        </w:rPr>
        <w:t>〕</w:t>
      </w:r>
      <w:r>
        <w:rPr>
          <w:rFonts w:ascii="Times New Roman" w:hAnsi="Times New Roman" w:hint="eastAsia"/>
          <w:sz w:val="24"/>
          <w:szCs w:val="24"/>
          <w:lang w:val="en-US"/>
        </w:rPr>
        <w:t>75</w:t>
      </w:r>
      <w:r>
        <w:rPr>
          <w:rFonts w:ascii="Times New Roman" w:hAnsi="Times New Roman" w:hint="eastAsia"/>
          <w:sz w:val="24"/>
          <w:szCs w:val="24"/>
          <w:lang w:val="en-US"/>
        </w:rPr>
        <w:t>号）</w:t>
      </w:r>
    </w:p>
    <w:p w14:paraId="7CA3A27C"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14</w:t>
      </w:r>
      <w:r>
        <w:rPr>
          <w:rFonts w:ascii="Times New Roman" w:hAnsi="Times New Roman" w:hint="eastAsia"/>
          <w:sz w:val="24"/>
          <w:szCs w:val="24"/>
          <w:lang w:val="en-US"/>
        </w:rPr>
        <w:t>）《山东省生产经营单位安全总监制度实施办法（试行）》（鲁政办字〔</w:t>
      </w:r>
      <w:r>
        <w:rPr>
          <w:rFonts w:ascii="Times New Roman" w:hAnsi="Times New Roman" w:hint="eastAsia"/>
          <w:sz w:val="24"/>
          <w:szCs w:val="24"/>
          <w:lang w:val="en-US"/>
        </w:rPr>
        <w:t>2021</w:t>
      </w:r>
      <w:r>
        <w:rPr>
          <w:rFonts w:ascii="Times New Roman" w:hAnsi="Times New Roman" w:hint="eastAsia"/>
          <w:sz w:val="24"/>
          <w:szCs w:val="24"/>
          <w:lang w:val="en-US"/>
        </w:rPr>
        <w:t>〕</w:t>
      </w:r>
      <w:r>
        <w:rPr>
          <w:rFonts w:ascii="Times New Roman" w:hAnsi="Times New Roman" w:hint="eastAsia"/>
          <w:sz w:val="24"/>
          <w:szCs w:val="24"/>
          <w:lang w:val="en-US"/>
        </w:rPr>
        <w:t>60</w:t>
      </w:r>
      <w:r>
        <w:rPr>
          <w:rFonts w:ascii="Times New Roman" w:hAnsi="Times New Roman" w:hint="eastAsia"/>
          <w:sz w:val="24"/>
          <w:szCs w:val="24"/>
          <w:lang w:val="en-US"/>
        </w:rPr>
        <w:t>号）</w:t>
      </w:r>
    </w:p>
    <w:p w14:paraId="2C9D588C"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15</w:t>
      </w:r>
      <w:r>
        <w:rPr>
          <w:rFonts w:ascii="Times New Roman" w:hAnsi="Times New Roman" w:hint="eastAsia"/>
          <w:sz w:val="24"/>
          <w:szCs w:val="24"/>
          <w:lang w:val="en-US"/>
        </w:rPr>
        <w:t>）《山东省企业安全生产“晨会”制度规范（试行）》（鲁安发〔</w:t>
      </w:r>
      <w:r>
        <w:rPr>
          <w:rFonts w:ascii="Times New Roman" w:hAnsi="Times New Roman" w:hint="eastAsia"/>
          <w:sz w:val="24"/>
          <w:szCs w:val="24"/>
          <w:lang w:val="en-US"/>
        </w:rPr>
        <w:t>2022</w:t>
      </w:r>
      <w:r>
        <w:rPr>
          <w:rFonts w:ascii="Times New Roman" w:hAnsi="Times New Roman" w:hint="eastAsia"/>
          <w:sz w:val="24"/>
          <w:szCs w:val="24"/>
          <w:lang w:val="en-US"/>
        </w:rPr>
        <w:t>〕</w:t>
      </w:r>
      <w:r>
        <w:rPr>
          <w:rFonts w:ascii="Times New Roman" w:hAnsi="Times New Roman" w:hint="eastAsia"/>
          <w:sz w:val="24"/>
          <w:szCs w:val="24"/>
          <w:lang w:val="en-US"/>
        </w:rPr>
        <w:t>4</w:t>
      </w:r>
      <w:r>
        <w:rPr>
          <w:rFonts w:ascii="Times New Roman" w:hAnsi="Times New Roman" w:hint="eastAsia"/>
          <w:sz w:val="24"/>
          <w:szCs w:val="24"/>
          <w:lang w:val="en-US"/>
        </w:rPr>
        <w:t>号）</w:t>
      </w:r>
    </w:p>
    <w:p w14:paraId="2B5AC31C"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16</w:t>
      </w:r>
      <w:r>
        <w:rPr>
          <w:rFonts w:ascii="Times New Roman" w:hAnsi="Times New Roman" w:hint="eastAsia"/>
          <w:sz w:val="24"/>
          <w:szCs w:val="24"/>
          <w:lang w:val="en-US"/>
        </w:rPr>
        <w:t>）《关于印发〈关于规范和加强安全生产安全生产培训考核工作的实施意见〉的通知》（鲁应急发〔</w:t>
      </w:r>
      <w:r>
        <w:rPr>
          <w:rFonts w:ascii="Times New Roman" w:hAnsi="Times New Roman" w:hint="eastAsia"/>
          <w:sz w:val="24"/>
          <w:szCs w:val="24"/>
          <w:lang w:val="en-US"/>
        </w:rPr>
        <w:t>2022</w:t>
      </w:r>
      <w:r>
        <w:rPr>
          <w:rFonts w:ascii="Times New Roman" w:hAnsi="Times New Roman" w:hint="eastAsia"/>
          <w:sz w:val="24"/>
          <w:szCs w:val="24"/>
          <w:lang w:val="en-US"/>
        </w:rPr>
        <w:t>〕</w:t>
      </w:r>
      <w:r>
        <w:rPr>
          <w:rFonts w:ascii="Times New Roman" w:hAnsi="Times New Roman" w:hint="eastAsia"/>
          <w:sz w:val="24"/>
          <w:szCs w:val="24"/>
          <w:lang w:val="en-US"/>
        </w:rPr>
        <w:t>6</w:t>
      </w:r>
      <w:r>
        <w:rPr>
          <w:rFonts w:ascii="Times New Roman" w:hAnsi="Times New Roman" w:hint="eastAsia"/>
          <w:sz w:val="24"/>
          <w:szCs w:val="24"/>
          <w:lang w:val="en-US"/>
        </w:rPr>
        <w:t>号）</w:t>
      </w:r>
    </w:p>
    <w:p w14:paraId="53FBD141"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lastRenderedPageBreak/>
        <w:t>（</w:t>
      </w:r>
      <w:r>
        <w:rPr>
          <w:rFonts w:ascii="Times New Roman" w:hAnsi="Times New Roman" w:hint="eastAsia"/>
          <w:sz w:val="24"/>
          <w:szCs w:val="24"/>
          <w:lang w:val="en-US"/>
        </w:rPr>
        <w:t>17</w:t>
      </w:r>
      <w:r>
        <w:rPr>
          <w:rFonts w:ascii="Times New Roman" w:hAnsi="Times New Roman" w:hint="eastAsia"/>
          <w:sz w:val="24"/>
          <w:szCs w:val="24"/>
          <w:lang w:val="en-US"/>
        </w:rPr>
        <w:t>）《山东省人民政府安全生产委员会关于开展全员定向安全生产大培训工作的实施意见》（鲁安发〔</w:t>
      </w:r>
      <w:r>
        <w:rPr>
          <w:rFonts w:ascii="Times New Roman" w:hAnsi="Times New Roman" w:hint="eastAsia"/>
          <w:sz w:val="24"/>
          <w:szCs w:val="24"/>
          <w:lang w:val="en-US"/>
        </w:rPr>
        <w:t>2022</w:t>
      </w:r>
      <w:r>
        <w:rPr>
          <w:rFonts w:ascii="Times New Roman" w:hAnsi="Times New Roman" w:hint="eastAsia"/>
          <w:sz w:val="24"/>
          <w:szCs w:val="24"/>
          <w:lang w:val="en-US"/>
        </w:rPr>
        <w:t>〕</w:t>
      </w:r>
      <w:r>
        <w:rPr>
          <w:rFonts w:ascii="Times New Roman" w:hAnsi="Times New Roman" w:hint="eastAsia"/>
          <w:sz w:val="24"/>
          <w:szCs w:val="24"/>
          <w:lang w:val="en-US"/>
        </w:rPr>
        <w:t>20</w:t>
      </w:r>
      <w:r>
        <w:rPr>
          <w:rFonts w:ascii="Times New Roman" w:hAnsi="Times New Roman" w:hint="eastAsia"/>
          <w:sz w:val="24"/>
          <w:szCs w:val="24"/>
          <w:lang w:val="en-US"/>
        </w:rPr>
        <w:t>号）</w:t>
      </w:r>
    </w:p>
    <w:p w14:paraId="7E977A69"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18</w:t>
      </w:r>
      <w:r>
        <w:rPr>
          <w:rFonts w:ascii="Times New Roman" w:hAnsi="Times New Roman" w:hint="eastAsia"/>
          <w:sz w:val="24"/>
          <w:szCs w:val="24"/>
          <w:lang w:val="en-US"/>
        </w:rPr>
        <w:t>）《山东省应急管理厅关于印发〈山东省危险化学品生产经营单位重点生产安全行为负面清单〉的通知》（鲁应急字〔</w:t>
      </w:r>
      <w:r>
        <w:rPr>
          <w:rFonts w:ascii="Times New Roman" w:hAnsi="Times New Roman" w:hint="eastAsia"/>
          <w:sz w:val="24"/>
          <w:szCs w:val="24"/>
          <w:lang w:val="en-US"/>
        </w:rPr>
        <w:t>2022</w:t>
      </w:r>
      <w:r>
        <w:rPr>
          <w:rFonts w:ascii="Times New Roman" w:hAnsi="Times New Roman" w:hint="eastAsia"/>
          <w:sz w:val="24"/>
          <w:szCs w:val="24"/>
          <w:lang w:val="en-US"/>
        </w:rPr>
        <w:t>〕</w:t>
      </w:r>
      <w:r>
        <w:rPr>
          <w:rFonts w:ascii="Times New Roman" w:hAnsi="Times New Roman" w:hint="eastAsia"/>
          <w:sz w:val="24"/>
          <w:szCs w:val="24"/>
          <w:lang w:val="en-US"/>
        </w:rPr>
        <w:t>124</w:t>
      </w:r>
      <w:r>
        <w:rPr>
          <w:rFonts w:ascii="Times New Roman" w:hAnsi="Times New Roman" w:hint="eastAsia"/>
          <w:sz w:val="24"/>
          <w:szCs w:val="24"/>
          <w:lang w:val="en-US"/>
        </w:rPr>
        <w:t>号）</w:t>
      </w:r>
    </w:p>
    <w:p w14:paraId="143FF92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19</w:t>
      </w:r>
      <w:r>
        <w:rPr>
          <w:rFonts w:ascii="Times New Roman" w:hAnsi="Times New Roman" w:hint="eastAsia"/>
          <w:sz w:val="24"/>
          <w:szCs w:val="24"/>
          <w:lang w:val="en-US"/>
        </w:rPr>
        <w:t>）《关于扎实落实“开工第一课”制度加强企业复工复产期间安全防范的通知》（鲁安办字〔</w:t>
      </w:r>
      <w:r>
        <w:rPr>
          <w:rFonts w:ascii="Times New Roman" w:hAnsi="Times New Roman" w:hint="eastAsia"/>
          <w:sz w:val="24"/>
          <w:szCs w:val="24"/>
          <w:lang w:val="en-US"/>
        </w:rPr>
        <w:t>2023</w:t>
      </w:r>
      <w:r>
        <w:rPr>
          <w:rFonts w:ascii="Times New Roman" w:hAnsi="Times New Roman" w:hint="eastAsia"/>
          <w:sz w:val="24"/>
          <w:szCs w:val="24"/>
          <w:lang w:val="en-US"/>
        </w:rPr>
        <w:t>〕</w:t>
      </w:r>
      <w:r>
        <w:rPr>
          <w:rFonts w:ascii="Times New Roman" w:hAnsi="Times New Roman" w:hint="eastAsia"/>
          <w:sz w:val="24"/>
          <w:szCs w:val="24"/>
          <w:lang w:val="en-US"/>
        </w:rPr>
        <w:t>1</w:t>
      </w:r>
      <w:r>
        <w:rPr>
          <w:rFonts w:ascii="Times New Roman" w:hAnsi="Times New Roman" w:hint="eastAsia"/>
          <w:sz w:val="24"/>
          <w:szCs w:val="24"/>
          <w:lang w:val="en-US"/>
        </w:rPr>
        <w:t>号）</w:t>
      </w:r>
    </w:p>
    <w:p w14:paraId="7545C29A" w14:textId="77777777" w:rsidR="003D6A63" w:rsidRDefault="00000000">
      <w:pPr>
        <w:pStyle w:val="nlw3"/>
        <w:spacing w:beforeLines="0" w:before="0" w:after="0" w:line="360" w:lineRule="auto"/>
        <w:rPr>
          <w:sz w:val="24"/>
          <w:szCs w:val="24"/>
        </w:rPr>
      </w:pPr>
      <w:r>
        <w:rPr>
          <w:rFonts w:hint="eastAsia"/>
          <w:sz w:val="24"/>
          <w:szCs w:val="24"/>
        </w:rPr>
        <w:t xml:space="preserve">1.3.5  </w:t>
      </w:r>
      <w:r>
        <w:rPr>
          <w:rFonts w:hint="eastAsia"/>
          <w:sz w:val="24"/>
          <w:szCs w:val="24"/>
        </w:rPr>
        <w:t>国家标准</w:t>
      </w:r>
    </w:p>
    <w:p w14:paraId="104776B3"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w:t>
      </w:r>
      <w:r>
        <w:rPr>
          <w:rFonts w:ascii="Times New Roman" w:hAnsi="Times New Roman" w:hint="eastAsia"/>
          <w:sz w:val="24"/>
          <w:szCs w:val="24"/>
          <w:lang w:val="en-US"/>
        </w:rPr>
        <w:t>）《安全色》（</w:t>
      </w:r>
      <w:r>
        <w:rPr>
          <w:rFonts w:ascii="Times New Roman" w:hAnsi="Times New Roman" w:hint="eastAsia"/>
          <w:sz w:val="24"/>
          <w:szCs w:val="24"/>
          <w:lang w:val="en-US"/>
        </w:rPr>
        <w:t>GB2893-2008</w:t>
      </w:r>
      <w:r>
        <w:rPr>
          <w:rFonts w:ascii="Times New Roman" w:hAnsi="Times New Roman" w:hint="eastAsia"/>
          <w:sz w:val="24"/>
          <w:szCs w:val="24"/>
          <w:lang w:val="en-US"/>
        </w:rPr>
        <w:t>）</w:t>
      </w:r>
    </w:p>
    <w:p w14:paraId="20A1621C"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w:t>
      </w:r>
      <w:r>
        <w:rPr>
          <w:rFonts w:ascii="Times New Roman" w:hAnsi="Times New Roman" w:hint="eastAsia"/>
          <w:sz w:val="24"/>
          <w:szCs w:val="24"/>
          <w:lang w:val="en-US"/>
        </w:rPr>
        <w:t>）《安全标志及其使用导则》（</w:t>
      </w:r>
      <w:r>
        <w:rPr>
          <w:rFonts w:ascii="Times New Roman" w:hAnsi="Times New Roman" w:hint="eastAsia"/>
          <w:sz w:val="24"/>
          <w:szCs w:val="24"/>
          <w:lang w:val="en-US"/>
        </w:rPr>
        <w:t>GB2894-2008</w:t>
      </w:r>
      <w:r>
        <w:rPr>
          <w:rFonts w:ascii="Times New Roman" w:hAnsi="Times New Roman" w:hint="eastAsia"/>
          <w:sz w:val="24"/>
          <w:szCs w:val="24"/>
          <w:lang w:val="en-US"/>
        </w:rPr>
        <w:t>）</w:t>
      </w:r>
    </w:p>
    <w:p w14:paraId="6A3D7EAC"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w:t>
      </w:r>
      <w:r>
        <w:rPr>
          <w:rFonts w:ascii="Times New Roman" w:hAnsi="Times New Roman" w:hint="eastAsia"/>
          <w:sz w:val="24"/>
          <w:szCs w:val="24"/>
          <w:lang w:val="en-US"/>
        </w:rPr>
        <w:t>）《生产设备安全卫生设计总则》（</w:t>
      </w:r>
      <w:r>
        <w:rPr>
          <w:rFonts w:ascii="Times New Roman" w:hAnsi="Times New Roman" w:hint="eastAsia"/>
          <w:sz w:val="24"/>
          <w:szCs w:val="24"/>
          <w:lang w:val="en-US"/>
        </w:rPr>
        <w:t>GB5083-1999</w:t>
      </w:r>
      <w:r>
        <w:rPr>
          <w:rFonts w:ascii="Times New Roman" w:hAnsi="Times New Roman" w:hint="eastAsia"/>
          <w:sz w:val="24"/>
          <w:szCs w:val="24"/>
          <w:lang w:val="en-US"/>
        </w:rPr>
        <w:t>）</w:t>
      </w:r>
    </w:p>
    <w:p w14:paraId="543176A8"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w:t>
      </w:r>
      <w:r>
        <w:rPr>
          <w:rFonts w:ascii="Times New Roman" w:hAnsi="Times New Roman" w:hint="eastAsia"/>
          <w:sz w:val="24"/>
          <w:szCs w:val="24"/>
          <w:lang w:val="en-US"/>
        </w:rPr>
        <w:t>）《企业职工伤亡事故分类》（</w:t>
      </w:r>
      <w:r>
        <w:rPr>
          <w:rFonts w:ascii="Times New Roman" w:hAnsi="Times New Roman" w:hint="eastAsia"/>
          <w:sz w:val="24"/>
          <w:szCs w:val="24"/>
          <w:lang w:val="en-US"/>
        </w:rPr>
        <w:t>GB6441-1986</w:t>
      </w:r>
      <w:r>
        <w:rPr>
          <w:rFonts w:ascii="Times New Roman" w:hAnsi="Times New Roman" w:hint="eastAsia"/>
          <w:sz w:val="24"/>
          <w:szCs w:val="24"/>
          <w:lang w:val="en-US"/>
        </w:rPr>
        <w:t>）</w:t>
      </w:r>
    </w:p>
    <w:p w14:paraId="08A1F3A3"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5</w:t>
      </w:r>
      <w:r>
        <w:rPr>
          <w:rFonts w:ascii="Times New Roman" w:hAnsi="Times New Roman" w:hint="eastAsia"/>
          <w:sz w:val="24"/>
          <w:szCs w:val="24"/>
          <w:lang w:val="en-US"/>
        </w:rPr>
        <w:t>）《防止静电事故通用导则》（</w:t>
      </w:r>
      <w:r>
        <w:rPr>
          <w:rFonts w:ascii="Times New Roman" w:hAnsi="Times New Roman" w:hint="eastAsia"/>
          <w:sz w:val="24"/>
          <w:szCs w:val="24"/>
          <w:lang w:val="en-US"/>
        </w:rPr>
        <w:t>GB12158-2006</w:t>
      </w:r>
      <w:r>
        <w:rPr>
          <w:rFonts w:ascii="Times New Roman" w:hAnsi="Times New Roman" w:hint="eastAsia"/>
          <w:sz w:val="24"/>
          <w:szCs w:val="24"/>
          <w:lang w:val="en-US"/>
        </w:rPr>
        <w:t>）</w:t>
      </w:r>
    </w:p>
    <w:p w14:paraId="480C573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6</w:t>
      </w:r>
      <w:r>
        <w:rPr>
          <w:rFonts w:ascii="Times New Roman" w:hAnsi="Times New Roman" w:hint="eastAsia"/>
          <w:sz w:val="24"/>
          <w:szCs w:val="24"/>
          <w:lang w:val="en-US"/>
        </w:rPr>
        <w:t>）《石油与石油设施雷电安全规范》（</w:t>
      </w:r>
      <w:r>
        <w:rPr>
          <w:rFonts w:ascii="Times New Roman" w:hAnsi="Times New Roman" w:hint="eastAsia"/>
          <w:sz w:val="24"/>
          <w:szCs w:val="24"/>
          <w:lang w:val="en-US"/>
        </w:rPr>
        <w:t>GB15599-2009</w:t>
      </w:r>
      <w:r>
        <w:rPr>
          <w:rFonts w:ascii="Times New Roman" w:hAnsi="Times New Roman" w:hint="eastAsia"/>
          <w:sz w:val="24"/>
          <w:szCs w:val="24"/>
          <w:lang w:val="en-US"/>
        </w:rPr>
        <w:t>）</w:t>
      </w:r>
    </w:p>
    <w:p w14:paraId="1C7A5F6D"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7</w:t>
      </w:r>
      <w:r>
        <w:rPr>
          <w:rFonts w:ascii="Times New Roman" w:hAnsi="Times New Roman" w:hint="eastAsia"/>
          <w:sz w:val="24"/>
          <w:szCs w:val="24"/>
          <w:lang w:val="en-US"/>
        </w:rPr>
        <w:t>）《危险化学品重大危险源辨识》（</w:t>
      </w:r>
      <w:r>
        <w:rPr>
          <w:rFonts w:ascii="Times New Roman" w:hAnsi="Times New Roman" w:hint="eastAsia"/>
          <w:sz w:val="24"/>
          <w:szCs w:val="24"/>
          <w:lang w:val="en-US"/>
        </w:rPr>
        <w:t>GB18218-2018</w:t>
      </w:r>
      <w:r>
        <w:rPr>
          <w:rFonts w:ascii="Times New Roman" w:hAnsi="Times New Roman" w:hint="eastAsia"/>
          <w:sz w:val="24"/>
          <w:szCs w:val="24"/>
          <w:lang w:val="en-US"/>
        </w:rPr>
        <w:t>）</w:t>
      </w:r>
    </w:p>
    <w:p w14:paraId="1DABA3E7"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rPr>
        <w:t>（</w:t>
      </w:r>
      <w:r>
        <w:rPr>
          <w:rFonts w:ascii="Times New Roman" w:hAnsi="Times New Roman" w:hint="eastAsia"/>
          <w:sz w:val="24"/>
          <w:szCs w:val="24"/>
          <w:lang w:val="en-US"/>
        </w:rPr>
        <w:t>8</w:t>
      </w:r>
      <w:r>
        <w:rPr>
          <w:rFonts w:ascii="Times New Roman" w:hAnsi="Times New Roman" w:hint="eastAsia"/>
          <w:sz w:val="24"/>
          <w:szCs w:val="24"/>
        </w:rPr>
        <w:t>）《化学品分类和标签规范</w:t>
      </w:r>
      <w:r>
        <w:rPr>
          <w:rFonts w:ascii="Times New Roman" w:hAnsi="Times New Roman" w:hint="eastAsia"/>
          <w:sz w:val="24"/>
          <w:szCs w:val="24"/>
        </w:rPr>
        <w:t xml:space="preserve"> </w:t>
      </w:r>
      <w:r>
        <w:rPr>
          <w:rFonts w:ascii="Times New Roman" w:hAnsi="Times New Roman" w:hint="eastAsia"/>
          <w:sz w:val="24"/>
          <w:szCs w:val="24"/>
        </w:rPr>
        <w:t>第</w:t>
      </w:r>
      <w:r>
        <w:rPr>
          <w:rFonts w:ascii="Times New Roman" w:hAnsi="Times New Roman" w:hint="eastAsia"/>
          <w:sz w:val="24"/>
          <w:szCs w:val="24"/>
        </w:rPr>
        <w:t>7</w:t>
      </w:r>
      <w:r>
        <w:rPr>
          <w:rFonts w:ascii="Times New Roman" w:hAnsi="Times New Roman" w:hint="eastAsia"/>
          <w:sz w:val="24"/>
          <w:szCs w:val="24"/>
        </w:rPr>
        <w:t>部分：易燃液体》（</w:t>
      </w:r>
      <w:r>
        <w:rPr>
          <w:rFonts w:ascii="Times New Roman" w:hAnsi="Times New Roman" w:hint="eastAsia"/>
          <w:sz w:val="24"/>
          <w:szCs w:val="24"/>
        </w:rPr>
        <w:t>GB30000.7-2013</w:t>
      </w:r>
      <w:r>
        <w:rPr>
          <w:rFonts w:ascii="Times New Roman" w:hAnsi="Times New Roman" w:hint="eastAsia"/>
          <w:sz w:val="24"/>
          <w:szCs w:val="24"/>
        </w:rPr>
        <w:t>）</w:t>
      </w:r>
    </w:p>
    <w:p w14:paraId="5CBB9D72"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9</w:t>
      </w:r>
      <w:r>
        <w:rPr>
          <w:rFonts w:ascii="Times New Roman" w:hAnsi="Times New Roman" w:hint="eastAsia"/>
          <w:sz w:val="24"/>
          <w:szCs w:val="24"/>
          <w:lang w:val="en-US"/>
        </w:rPr>
        <w:t>）《爆炸危险环境电力装置设计规范》（</w:t>
      </w:r>
      <w:r>
        <w:rPr>
          <w:rFonts w:ascii="Times New Roman" w:hAnsi="Times New Roman" w:hint="eastAsia"/>
          <w:sz w:val="24"/>
          <w:szCs w:val="24"/>
          <w:lang w:val="en-US"/>
        </w:rPr>
        <w:t>GB50058-2014</w:t>
      </w:r>
      <w:r>
        <w:rPr>
          <w:rFonts w:ascii="Times New Roman" w:hAnsi="Times New Roman" w:hint="eastAsia"/>
          <w:sz w:val="24"/>
          <w:szCs w:val="24"/>
          <w:lang w:val="en-US"/>
        </w:rPr>
        <w:t>）</w:t>
      </w:r>
    </w:p>
    <w:p w14:paraId="24941806"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10</w:t>
      </w:r>
      <w:r>
        <w:rPr>
          <w:rFonts w:ascii="Times New Roman" w:hAnsi="Times New Roman" w:hint="eastAsia"/>
          <w:sz w:val="24"/>
          <w:szCs w:val="24"/>
          <w:lang w:val="en-US"/>
        </w:rPr>
        <w:t>）《个体防护装备配备规范</w:t>
      </w:r>
      <w:r>
        <w:rPr>
          <w:rFonts w:ascii="Times New Roman" w:hAnsi="Times New Roman" w:hint="eastAsia"/>
          <w:sz w:val="24"/>
          <w:szCs w:val="24"/>
          <w:lang w:val="en-US"/>
        </w:rPr>
        <w:t xml:space="preserve"> </w:t>
      </w:r>
      <w:r>
        <w:rPr>
          <w:rFonts w:ascii="Times New Roman" w:hAnsi="Times New Roman" w:hint="eastAsia"/>
          <w:sz w:val="24"/>
          <w:szCs w:val="24"/>
          <w:lang w:val="en-US"/>
        </w:rPr>
        <w:t>第</w:t>
      </w:r>
      <w:r>
        <w:rPr>
          <w:rFonts w:ascii="Times New Roman" w:hAnsi="Times New Roman" w:hint="eastAsia"/>
          <w:sz w:val="24"/>
          <w:szCs w:val="24"/>
          <w:lang w:val="en-US"/>
        </w:rPr>
        <w:t>1</w:t>
      </w:r>
      <w:r>
        <w:rPr>
          <w:rFonts w:ascii="Times New Roman" w:hAnsi="Times New Roman" w:hint="eastAsia"/>
          <w:sz w:val="24"/>
          <w:szCs w:val="24"/>
          <w:lang w:val="en-US"/>
        </w:rPr>
        <w:t>部分：总则》（</w:t>
      </w:r>
      <w:r>
        <w:rPr>
          <w:rFonts w:ascii="Times New Roman" w:hAnsi="Times New Roman" w:hint="eastAsia"/>
          <w:sz w:val="24"/>
          <w:szCs w:val="24"/>
          <w:lang w:val="en-US"/>
        </w:rPr>
        <w:t>GB39800.1-2020</w:t>
      </w:r>
      <w:r>
        <w:rPr>
          <w:rFonts w:ascii="Times New Roman" w:hAnsi="Times New Roman" w:hint="eastAsia"/>
          <w:sz w:val="24"/>
          <w:szCs w:val="24"/>
          <w:lang w:val="en-US"/>
        </w:rPr>
        <w:t>）</w:t>
      </w:r>
    </w:p>
    <w:p w14:paraId="606A7073"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11</w:t>
      </w:r>
      <w:r>
        <w:rPr>
          <w:rFonts w:ascii="Times New Roman" w:hAnsi="Times New Roman" w:hint="eastAsia"/>
          <w:sz w:val="24"/>
          <w:szCs w:val="24"/>
          <w:lang w:val="en-US"/>
        </w:rPr>
        <w:t>）《个体防护装备配备规范</w:t>
      </w:r>
      <w:r>
        <w:rPr>
          <w:rFonts w:ascii="Times New Roman" w:hAnsi="Times New Roman" w:hint="eastAsia"/>
          <w:sz w:val="24"/>
          <w:szCs w:val="24"/>
          <w:lang w:val="en-US"/>
        </w:rPr>
        <w:t xml:space="preserve"> </w:t>
      </w:r>
      <w:r>
        <w:rPr>
          <w:rFonts w:ascii="Times New Roman" w:hAnsi="Times New Roman" w:hint="eastAsia"/>
          <w:sz w:val="24"/>
          <w:szCs w:val="24"/>
          <w:lang w:val="en-US"/>
        </w:rPr>
        <w:t>第</w:t>
      </w:r>
      <w:r>
        <w:rPr>
          <w:rFonts w:ascii="Times New Roman" w:hAnsi="Times New Roman" w:hint="eastAsia"/>
          <w:sz w:val="24"/>
          <w:szCs w:val="24"/>
          <w:lang w:val="en-US"/>
        </w:rPr>
        <w:t>2</w:t>
      </w:r>
      <w:r>
        <w:rPr>
          <w:rFonts w:ascii="Times New Roman" w:hAnsi="Times New Roman" w:hint="eastAsia"/>
          <w:sz w:val="24"/>
          <w:szCs w:val="24"/>
          <w:lang w:val="en-US"/>
        </w:rPr>
        <w:t>部分：石油、化工、天然气》（</w:t>
      </w:r>
      <w:r>
        <w:rPr>
          <w:rFonts w:ascii="Times New Roman" w:hAnsi="Times New Roman" w:hint="eastAsia"/>
          <w:sz w:val="24"/>
          <w:szCs w:val="24"/>
          <w:lang w:val="en-US"/>
        </w:rPr>
        <w:t>GB39800.2-2020</w:t>
      </w:r>
      <w:r>
        <w:rPr>
          <w:rFonts w:ascii="Times New Roman" w:hAnsi="Times New Roman" w:hint="eastAsia"/>
          <w:sz w:val="24"/>
          <w:szCs w:val="24"/>
          <w:lang w:val="en-US"/>
        </w:rPr>
        <w:t>）</w:t>
      </w:r>
    </w:p>
    <w:p w14:paraId="6E68D68C"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12</w:t>
      </w:r>
      <w:r>
        <w:rPr>
          <w:rFonts w:ascii="Times New Roman" w:hAnsi="Times New Roman" w:hint="eastAsia"/>
          <w:sz w:val="24"/>
          <w:szCs w:val="24"/>
          <w:lang w:val="en-US"/>
        </w:rPr>
        <w:t>）《石油天然气工程设计防火规范》（</w:t>
      </w:r>
      <w:r>
        <w:rPr>
          <w:rFonts w:ascii="Times New Roman" w:hAnsi="Times New Roman" w:hint="eastAsia"/>
          <w:sz w:val="24"/>
          <w:szCs w:val="24"/>
          <w:lang w:val="en-US"/>
        </w:rPr>
        <w:t>GB50183-2004</w:t>
      </w:r>
      <w:r>
        <w:rPr>
          <w:rFonts w:ascii="Times New Roman" w:hAnsi="Times New Roman" w:hint="eastAsia"/>
          <w:sz w:val="24"/>
          <w:szCs w:val="24"/>
          <w:lang w:val="en-US"/>
        </w:rPr>
        <w:t>）</w:t>
      </w:r>
    </w:p>
    <w:p w14:paraId="46FBB2D8"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13</w:t>
      </w:r>
      <w:r>
        <w:rPr>
          <w:rFonts w:ascii="Times New Roman" w:hAnsi="Times New Roman" w:hint="eastAsia"/>
          <w:sz w:val="24"/>
          <w:szCs w:val="24"/>
          <w:lang w:val="en-US"/>
        </w:rPr>
        <w:t>）《供配电系统设计规范》（</w:t>
      </w:r>
      <w:r>
        <w:rPr>
          <w:rFonts w:ascii="Times New Roman" w:hAnsi="Times New Roman" w:hint="eastAsia"/>
          <w:sz w:val="24"/>
          <w:szCs w:val="24"/>
          <w:lang w:val="en-US"/>
        </w:rPr>
        <w:t>GB50052-2009</w:t>
      </w:r>
      <w:r>
        <w:rPr>
          <w:rFonts w:ascii="Times New Roman" w:hAnsi="Times New Roman" w:hint="eastAsia"/>
          <w:sz w:val="24"/>
          <w:szCs w:val="24"/>
          <w:lang w:val="en-US"/>
        </w:rPr>
        <w:t>）</w:t>
      </w:r>
    </w:p>
    <w:p w14:paraId="4108D738"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14</w:t>
      </w:r>
      <w:r>
        <w:rPr>
          <w:rFonts w:ascii="Times New Roman" w:hAnsi="Times New Roman" w:hint="eastAsia"/>
          <w:sz w:val="24"/>
          <w:szCs w:val="24"/>
          <w:lang w:val="en-US"/>
        </w:rPr>
        <w:t>）《低压配电设计规范》（</w:t>
      </w:r>
      <w:r>
        <w:rPr>
          <w:rFonts w:ascii="Times New Roman" w:hAnsi="Times New Roman" w:hint="eastAsia"/>
          <w:sz w:val="24"/>
          <w:szCs w:val="24"/>
          <w:lang w:val="en-US"/>
        </w:rPr>
        <w:t>GB50054-2011</w:t>
      </w:r>
      <w:r>
        <w:rPr>
          <w:rFonts w:ascii="Times New Roman" w:hAnsi="Times New Roman" w:hint="eastAsia"/>
          <w:sz w:val="24"/>
          <w:szCs w:val="24"/>
          <w:lang w:val="en-US"/>
        </w:rPr>
        <w:t>）</w:t>
      </w:r>
    </w:p>
    <w:p w14:paraId="0B355584"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15</w:t>
      </w:r>
      <w:r>
        <w:rPr>
          <w:rFonts w:ascii="Times New Roman" w:hAnsi="Times New Roman" w:hint="eastAsia"/>
          <w:sz w:val="24"/>
          <w:szCs w:val="24"/>
          <w:lang w:val="en-US"/>
        </w:rPr>
        <w:t>）《通用用电设备配电设计规范》（</w:t>
      </w:r>
      <w:r>
        <w:rPr>
          <w:rFonts w:ascii="Times New Roman" w:hAnsi="Times New Roman" w:hint="eastAsia"/>
          <w:sz w:val="24"/>
          <w:szCs w:val="24"/>
          <w:lang w:val="en-US"/>
        </w:rPr>
        <w:t>GB50055-2011</w:t>
      </w:r>
      <w:r>
        <w:rPr>
          <w:rFonts w:ascii="Times New Roman" w:hAnsi="Times New Roman" w:hint="eastAsia"/>
          <w:sz w:val="24"/>
          <w:szCs w:val="24"/>
          <w:lang w:val="en-US"/>
        </w:rPr>
        <w:t>）</w:t>
      </w:r>
    </w:p>
    <w:p w14:paraId="181E5816"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16</w:t>
      </w:r>
      <w:r>
        <w:rPr>
          <w:rFonts w:ascii="Times New Roman" w:hAnsi="Times New Roman" w:hint="eastAsia"/>
          <w:sz w:val="24"/>
          <w:szCs w:val="24"/>
          <w:lang w:val="en-US"/>
        </w:rPr>
        <w:t>）《电力工程电缆设计标准》（</w:t>
      </w:r>
      <w:r>
        <w:rPr>
          <w:rFonts w:ascii="Times New Roman" w:hAnsi="Times New Roman" w:hint="eastAsia"/>
          <w:sz w:val="24"/>
          <w:szCs w:val="24"/>
          <w:lang w:val="en-US"/>
        </w:rPr>
        <w:t>GB50217-2018</w:t>
      </w:r>
      <w:r>
        <w:rPr>
          <w:rFonts w:ascii="Times New Roman" w:hAnsi="Times New Roman" w:hint="eastAsia"/>
          <w:sz w:val="24"/>
          <w:szCs w:val="24"/>
          <w:lang w:val="en-US"/>
        </w:rPr>
        <w:t>）</w:t>
      </w:r>
    </w:p>
    <w:p w14:paraId="5F260122"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17</w:t>
      </w:r>
      <w:r>
        <w:rPr>
          <w:rFonts w:ascii="Times New Roman" w:hAnsi="Times New Roman" w:hint="eastAsia"/>
          <w:sz w:val="24"/>
          <w:szCs w:val="24"/>
          <w:lang w:val="en-US"/>
        </w:rPr>
        <w:t>）《建筑灭火器配置设计规范》（</w:t>
      </w:r>
      <w:r>
        <w:rPr>
          <w:rFonts w:ascii="Times New Roman" w:hAnsi="Times New Roman" w:hint="eastAsia"/>
          <w:sz w:val="24"/>
          <w:szCs w:val="24"/>
          <w:lang w:val="en-US"/>
        </w:rPr>
        <w:t>GB50140-2005</w:t>
      </w:r>
      <w:r>
        <w:rPr>
          <w:rFonts w:ascii="Times New Roman" w:hAnsi="Times New Roman" w:hint="eastAsia"/>
          <w:sz w:val="24"/>
          <w:szCs w:val="24"/>
          <w:lang w:val="en-US"/>
        </w:rPr>
        <w:t>）</w:t>
      </w:r>
    </w:p>
    <w:p w14:paraId="5006579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18</w:t>
      </w:r>
      <w:r>
        <w:rPr>
          <w:rFonts w:ascii="Times New Roman" w:hAnsi="Times New Roman" w:hint="eastAsia"/>
          <w:sz w:val="24"/>
          <w:szCs w:val="24"/>
          <w:lang w:val="en-US"/>
        </w:rPr>
        <w:t>）《建筑设计防火规范（</w:t>
      </w:r>
      <w:r>
        <w:rPr>
          <w:rFonts w:ascii="Times New Roman" w:hAnsi="Times New Roman" w:hint="eastAsia"/>
          <w:sz w:val="24"/>
          <w:szCs w:val="24"/>
          <w:lang w:val="en-US"/>
        </w:rPr>
        <w:t>2018</w:t>
      </w:r>
      <w:r>
        <w:rPr>
          <w:rFonts w:ascii="Times New Roman" w:hAnsi="Times New Roman" w:hint="eastAsia"/>
          <w:sz w:val="24"/>
          <w:szCs w:val="24"/>
          <w:lang w:val="en-US"/>
        </w:rPr>
        <w:t>年版）》（</w:t>
      </w:r>
      <w:r>
        <w:rPr>
          <w:rFonts w:ascii="Times New Roman" w:hAnsi="Times New Roman" w:hint="eastAsia"/>
          <w:sz w:val="24"/>
          <w:szCs w:val="24"/>
          <w:lang w:val="en-US"/>
        </w:rPr>
        <w:t>GB50016-2014</w:t>
      </w:r>
      <w:r>
        <w:rPr>
          <w:rFonts w:ascii="Times New Roman" w:hAnsi="Times New Roman" w:hint="eastAsia"/>
          <w:sz w:val="24"/>
          <w:szCs w:val="24"/>
          <w:lang w:val="en-US"/>
        </w:rPr>
        <w:t>）</w:t>
      </w:r>
    </w:p>
    <w:p w14:paraId="1E5ACDFE"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19</w:t>
      </w:r>
      <w:r>
        <w:rPr>
          <w:rFonts w:ascii="Times New Roman" w:hAnsi="Times New Roman" w:hint="eastAsia"/>
          <w:sz w:val="24"/>
          <w:szCs w:val="24"/>
          <w:lang w:val="en-US"/>
        </w:rPr>
        <w:t>）《建筑抗震设计规范（</w:t>
      </w:r>
      <w:r>
        <w:rPr>
          <w:rFonts w:ascii="Times New Roman" w:hAnsi="Times New Roman" w:hint="eastAsia"/>
          <w:sz w:val="24"/>
          <w:szCs w:val="24"/>
          <w:lang w:val="en-US"/>
        </w:rPr>
        <w:t>2016</w:t>
      </w:r>
      <w:r>
        <w:rPr>
          <w:rFonts w:ascii="Times New Roman" w:hAnsi="Times New Roman" w:hint="eastAsia"/>
          <w:sz w:val="24"/>
          <w:szCs w:val="24"/>
          <w:lang w:val="en-US"/>
        </w:rPr>
        <w:t>年版）》（</w:t>
      </w:r>
      <w:r>
        <w:rPr>
          <w:rFonts w:ascii="Times New Roman" w:hAnsi="Times New Roman" w:hint="eastAsia"/>
          <w:sz w:val="24"/>
          <w:szCs w:val="24"/>
          <w:lang w:val="en-US"/>
        </w:rPr>
        <w:t>GB50011-2010</w:t>
      </w:r>
      <w:r>
        <w:rPr>
          <w:rFonts w:ascii="Times New Roman" w:hAnsi="Times New Roman" w:hint="eastAsia"/>
          <w:sz w:val="24"/>
          <w:szCs w:val="24"/>
          <w:lang w:val="en-US"/>
        </w:rPr>
        <w:t>）</w:t>
      </w:r>
    </w:p>
    <w:p w14:paraId="1C9D3B1A"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20</w:t>
      </w:r>
      <w:r>
        <w:rPr>
          <w:rFonts w:ascii="Times New Roman" w:hAnsi="Times New Roman" w:hint="eastAsia"/>
          <w:sz w:val="24"/>
          <w:szCs w:val="24"/>
          <w:lang w:val="en-US"/>
        </w:rPr>
        <w:t>）《建筑工程抗震设防分类标准》（</w:t>
      </w:r>
      <w:r>
        <w:rPr>
          <w:rFonts w:ascii="Times New Roman" w:hAnsi="Times New Roman" w:hint="eastAsia"/>
          <w:sz w:val="24"/>
          <w:szCs w:val="24"/>
          <w:lang w:val="en-US"/>
        </w:rPr>
        <w:t>GB50223-2008</w:t>
      </w:r>
      <w:r>
        <w:rPr>
          <w:rFonts w:ascii="Times New Roman" w:hAnsi="Times New Roman" w:hint="eastAsia"/>
          <w:sz w:val="24"/>
          <w:szCs w:val="24"/>
          <w:lang w:val="en-US"/>
        </w:rPr>
        <w:t>）</w:t>
      </w:r>
    </w:p>
    <w:p w14:paraId="56F12644"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21</w:t>
      </w:r>
      <w:r>
        <w:rPr>
          <w:rFonts w:ascii="Times New Roman" w:hAnsi="Times New Roman" w:hint="eastAsia"/>
          <w:sz w:val="24"/>
          <w:szCs w:val="24"/>
          <w:lang w:val="en-US"/>
        </w:rPr>
        <w:t>）《中国地震动参数区划图》（</w:t>
      </w:r>
      <w:r>
        <w:rPr>
          <w:rFonts w:ascii="Times New Roman" w:hAnsi="Times New Roman" w:hint="eastAsia"/>
          <w:sz w:val="24"/>
          <w:szCs w:val="24"/>
          <w:lang w:val="en-US"/>
        </w:rPr>
        <w:t>GB18306-2015</w:t>
      </w:r>
      <w:r>
        <w:rPr>
          <w:rFonts w:ascii="Times New Roman" w:hAnsi="Times New Roman" w:hint="eastAsia"/>
          <w:sz w:val="24"/>
          <w:szCs w:val="24"/>
          <w:lang w:val="en-US"/>
        </w:rPr>
        <w:t>）</w:t>
      </w:r>
    </w:p>
    <w:p w14:paraId="7C55E607"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22</w:t>
      </w:r>
      <w:r>
        <w:rPr>
          <w:rFonts w:ascii="Times New Roman" w:hAnsi="Times New Roman" w:hint="eastAsia"/>
          <w:sz w:val="24"/>
          <w:szCs w:val="24"/>
          <w:lang w:val="en-US"/>
        </w:rPr>
        <w:t>）《建筑物防雷设计规范》（</w:t>
      </w:r>
      <w:r>
        <w:rPr>
          <w:rFonts w:ascii="Times New Roman" w:hAnsi="Times New Roman" w:hint="eastAsia"/>
          <w:sz w:val="24"/>
          <w:szCs w:val="24"/>
          <w:lang w:val="en-US"/>
        </w:rPr>
        <w:t>GB50057-2010</w:t>
      </w:r>
      <w:r>
        <w:rPr>
          <w:rFonts w:ascii="Times New Roman" w:hAnsi="Times New Roman" w:hint="eastAsia"/>
          <w:sz w:val="24"/>
          <w:szCs w:val="24"/>
          <w:lang w:val="en-US"/>
        </w:rPr>
        <w:t>）</w:t>
      </w:r>
    </w:p>
    <w:p w14:paraId="066686E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23</w:t>
      </w:r>
      <w:r>
        <w:rPr>
          <w:rFonts w:ascii="Times New Roman" w:hAnsi="Times New Roman" w:hint="eastAsia"/>
          <w:sz w:val="24"/>
          <w:szCs w:val="24"/>
          <w:lang w:val="en-US"/>
        </w:rPr>
        <w:t>）《油田油气集输设计规范》（</w:t>
      </w:r>
      <w:r>
        <w:rPr>
          <w:rFonts w:ascii="Times New Roman" w:hAnsi="Times New Roman" w:hint="eastAsia"/>
          <w:sz w:val="24"/>
          <w:szCs w:val="24"/>
          <w:lang w:val="en-US"/>
        </w:rPr>
        <w:t>GB50350-2015</w:t>
      </w:r>
      <w:r>
        <w:rPr>
          <w:rFonts w:ascii="Times New Roman" w:hAnsi="Times New Roman" w:hint="eastAsia"/>
          <w:sz w:val="24"/>
          <w:szCs w:val="24"/>
          <w:lang w:val="en-US"/>
        </w:rPr>
        <w:t>）</w:t>
      </w:r>
    </w:p>
    <w:p w14:paraId="2651A57B"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lastRenderedPageBreak/>
        <w:t>（</w:t>
      </w:r>
      <w:r>
        <w:rPr>
          <w:rFonts w:ascii="Times New Roman" w:hAnsi="Times New Roman" w:hint="eastAsia"/>
          <w:sz w:val="24"/>
          <w:szCs w:val="24"/>
          <w:lang w:val="en-US"/>
        </w:rPr>
        <w:t>24</w:t>
      </w:r>
      <w:r>
        <w:rPr>
          <w:rFonts w:ascii="Times New Roman" w:hAnsi="Times New Roman" w:hint="eastAsia"/>
          <w:sz w:val="24"/>
          <w:szCs w:val="24"/>
          <w:lang w:val="en-US"/>
        </w:rPr>
        <w:t>）《油田注水工程设计规范》（</w:t>
      </w:r>
      <w:r>
        <w:rPr>
          <w:rFonts w:ascii="Times New Roman" w:hAnsi="Times New Roman" w:hint="eastAsia"/>
          <w:sz w:val="24"/>
          <w:szCs w:val="24"/>
          <w:lang w:val="en-US"/>
        </w:rPr>
        <w:t>GB50391-2014</w:t>
      </w:r>
      <w:r>
        <w:rPr>
          <w:rFonts w:ascii="Times New Roman" w:hAnsi="Times New Roman" w:hint="eastAsia"/>
          <w:sz w:val="24"/>
          <w:szCs w:val="24"/>
          <w:lang w:val="en-US"/>
        </w:rPr>
        <w:t>）</w:t>
      </w:r>
    </w:p>
    <w:p w14:paraId="2546328E"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25</w:t>
      </w:r>
      <w:r>
        <w:rPr>
          <w:rFonts w:ascii="Times New Roman" w:hAnsi="Times New Roman" w:hint="eastAsia"/>
          <w:sz w:val="24"/>
          <w:szCs w:val="24"/>
          <w:lang w:val="en-US"/>
        </w:rPr>
        <w:t>）《油气输送管道穿越工程设计规范》（</w:t>
      </w:r>
      <w:r>
        <w:rPr>
          <w:rFonts w:ascii="Times New Roman" w:hAnsi="Times New Roman" w:hint="eastAsia"/>
          <w:sz w:val="24"/>
          <w:szCs w:val="24"/>
          <w:lang w:val="en-US"/>
        </w:rPr>
        <w:t>GB50423-2013</w:t>
      </w:r>
      <w:r>
        <w:rPr>
          <w:rFonts w:ascii="Times New Roman" w:hAnsi="Times New Roman" w:hint="eastAsia"/>
          <w:sz w:val="24"/>
          <w:szCs w:val="24"/>
          <w:lang w:val="en-US"/>
        </w:rPr>
        <w:t>）</w:t>
      </w:r>
    </w:p>
    <w:p w14:paraId="110E4762"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26</w:t>
      </w:r>
      <w:r>
        <w:rPr>
          <w:rFonts w:ascii="Times New Roman" w:hAnsi="Times New Roman" w:hint="eastAsia"/>
          <w:sz w:val="24"/>
          <w:szCs w:val="24"/>
          <w:lang w:val="en-US"/>
        </w:rPr>
        <w:t>）《输油管道工程设计规范》（</w:t>
      </w:r>
      <w:r>
        <w:rPr>
          <w:rFonts w:ascii="Times New Roman" w:hAnsi="Times New Roman" w:hint="eastAsia"/>
          <w:sz w:val="24"/>
          <w:szCs w:val="24"/>
          <w:lang w:val="en-US"/>
        </w:rPr>
        <w:t>GB50253-2014</w:t>
      </w:r>
      <w:r>
        <w:rPr>
          <w:rFonts w:ascii="Times New Roman" w:hAnsi="Times New Roman" w:hint="eastAsia"/>
          <w:sz w:val="24"/>
          <w:szCs w:val="24"/>
          <w:lang w:val="en-US"/>
        </w:rPr>
        <w:t>）</w:t>
      </w:r>
    </w:p>
    <w:p w14:paraId="6BD52D40"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27</w:t>
      </w:r>
      <w:r>
        <w:rPr>
          <w:rFonts w:ascii="Times New Roman" w:hAnsi="Times New Roman" w:hint="eastAsia"/>
          <w:sz w:val="24"/>
          <w:szCs w:val="24"/>
          <w:lang w:val="en-US"/>
        </w:rPr>
        <w:t>）《工业企业总平面设计规范》（</w:t>
      </w:r>
      <w:r>
        <w:rPr>
          <w:rFonts w:ascii="Times New Roman" w:hAnsi="Times New Roman" w:hint="eastAsia"/>
          <w:sz w:val="24"/>
          <w:szCs w:val="24"/>
          <w:lang w:val="en-US"/>
        </w:rPr>
        <w:t>GB50187-2012</w:t>
      </w:r>
      <w:r>
        <w:rPr>
          <w:rFonts w:ascii="Times New Roman" w:hAnsi="Times New Roman" w:hint="eastAsia"/>
          <w:sz w:val="24"/>
          <w:szCs w:val="24"/>
          <w:lang w:val="en-US"/>
        </w:rPr>
        <w:t>）</w:t>
      </w:r>
    </w:p>
    <w:p w14:paraId="6C35E85C"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28</w:t>
      </w:r>
      <w:r>
        <w:rPr>
          <w:rFonts w:ascii="Times New Roman" w:hAnsi="Times New Roman" w:hint="eastAsia"/>
          <w:sz w:val="24"/>
          <w:szCs w:val="24"/>
          <w:lang w:val="en-US"/>
        </w:rPr>
        <w:t>）《工业建筑供暖通风与空气调节设计规范》（</w:t>
      </w:r>
      <w:r>
        <w:rPr>
          <w:rFonts w:ascii="Times New Roman" w:hAnsi="Times New Roman" w:hint="eastAsia"/>
          <w:sz w:val="24"/>
          <w:szCs w:val="24"/>
          <w:lang w:val="en-US"/>
        </w:rPr>
        <w:t>GB50019-2015</w:t>
      </w:r>
      <w:r>
        <w:rPr>
          <w:rFonts w:ascii="Times New Roman" w:hAnsi="Times New Roman" w:hint="eastAsia"/>
          <w:sz w:val="24"/>
          <w:szCs w:val="24"/>
          <w:lang w:val="en-US"/>
        </w:rPr>
        <w:t>）</w:t>
      </w:r>
    </w:p>
    <w:p w14:paraId="6B1FF1DA"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29</w:t>
      </w:r>
      <w:r>
        <w:rPr>
          <w:rFonts w:ascii="Times New Roman" w:hAnsi="Times New Roman" w:hint="eastAsia"/>
          <w:sz w:val="24"/>
          <w:szCs w:val="24"/>
          <w:lang w:val="en-US"/>
        </w:rPr>
        <w:t>）《消防安全标志设置要求》（</w:t>
      </w:r>
      <w:r>
        <w:rPr>
          <w:rFonts w:ascii="Times New Roman" w:hAnsi="Times New Roman" w:hint="eastAsia"/>
          <w:sz w:val="24"/>
          <w:szCs w:val="24"/>
          <w:lang w:val="en-US"/>
        </w:rPr>
        <w:t>GB15630-1995</w:t>
      </w:r>
      <w:r>
        <w:rPr>
          <w:rFonts w:ascii="Times New Roman" w:hAnsi="Times New Roman" w:hint="eastAsia"/>
          <w:sz w:val="24"/>
          <w:szCs w:val="24"/>
          <w:lang w:val="en-US"/>
        </w:rPr>
        <w:t>）</w:t>
      </w:r>
    </w:p>
    <w:p w14:paraId="438E2FB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30</w:t>
      </w:r>
      <w:r>
        <w:rPr>
          <w:rFonts w:ascii="Times New Roman" w:hAnsi="Times New Roman" w:hint="eastAsia"/>
          <w:sz w:val="24"/>
          <w:szCs w:val="24"/>
          <w:lang w:val="en-US"/>
        </w:rPr>
        <w:t>）《建筑灭火器配置验收及检查规范》（</w:t>
      </w:r>
      <w:r>
        <w:rPr>
          <w:rFonts w:ascii="Times New Roman" w:hAnsi="Times New Roman" w:hint="eastAsia"/>
          <w:sz w:val="24"/>
          <w:szCs w:val="24"/>
          <w:lang w:val="en-US"/>
        </w:rPr>
        <w:t>GB50444-2008</w:t>
      </w:r>
      <w:r>
        <w:rPr>
          <w:rFonts w:ascii="Times New Roman" w:hAnsi="Times New Roman" w:hint="eastAsia"/>
          <w:sz w:val="24"/>
          <w:szCs w:val="24"/>
          <w:lang w:val="en-US"/>
        </w:rPr>
        <w:t>）</w:t>
      </w:r>
    </w:p>
    <w:p w14:paraId="40C901CE"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31</w:t>
      </w:r>
      <w:r>
        <w:rPr>
          <w:rFonts w:ascii="Times New Roman" w:hAnsi="Times New Roman" w:hint="eastAsia"/>
          <w:sz w:val="24"/>
          <w:szCs w:val="24"/>
          <w:lang w:val="en-US"/>
        </w:rPr>
        <w:t>）《消防设施通用规范》（</w:t>
      </w:r>
      <w:r>
        <w:rPr>
          <w:rFonts w:ascii="Times New Roman" w:hAnsi="Times New Roman" w:hint="eastAsia"/>
          <w:sz w:val="24"/>
          <w:szCs w:val="24"/>
          <w:lang w:val="en-US"/>
        </w:rPr>
        <w:t>GB55036-2022</w:t>
      </w:r>
      <w:r>
        <w:rPr>
          <w:rFonts w:ascii="Times New Roman" w:hAnsi="Times New Roman" w:hint="eastAsia"/>
          <w:sz w:val="24"/>
          <w:szCs w:val="24"/>
          <w:lang w:val="en-US"/>
        </w:rPr>
        <w:t>）</w:t>
      </w:r>
    </w:p>
    <w:p w14:paraId="7A570783"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32</w:t>
      </w:r>
      <w:r>
        <w:rPr>
          <w:rFonts w:ascii="Times New Roman" w:hAnsi="Times New Roman" w:hint="eastAsia"/>
          <w:sz w:val="24"/>
          <w:szCs w:val="24"/>
          <w:lang w:val="en-US"/>
        </w:rPr>
        <w:t>）《推车式灭火器》（</w:t>
      </w:r>
      <w:r>
        <w:rPr>
          <w:rFonts w:ascii="Times New Roman" w:hAnsi="Times New Roman" w:hint="eastAsia"/>
          <w:sz w:val="24"/>
          <w:szCs w:val="24"/>
          <w:lang w:val="en-US"/>
        </w:rPr>
        <w:t>GB8109-2005</w:t>
      </w:r>
      <w:r>
        <w:rPr>
          <w:rFonts w:ascii="Times New Roman" w:hAnsi="Times New Roman" w:hint="eastAsia"/>
          <w:sz w:val="24"/>
          <w:szCs w:val="24"/>
          <w:lang w:val="en-US"/>
        </w:rPr>
        <w:t>）</w:t>
      </w:r>
    </w:p>
    <w:p w14:paraId="77C817F6"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33</w:t>
      </w:r>
      <w:r>
        <w:rPr>
          <w:rFonts w:ascii="Times New Roman" w:hAnsi="Times New Roman" w:hint="eastAsia"/>
          <w:sz w:val="24"/>
          <w:szCs w:val="24"/>
          <w:lang w:val="en-US"/>
        </w:rPr>
        <w:t>）《电气装置安装工程接地装置施工及验收规范》（</w:t>
      </w:r>
      <w:r>
        <w:rPr>
          <w:rFonts w:ascii="Times New Roman" w:hAnsi="Times New Roman" w:hint="eastAsia"/>
          <w:sz w:val="24"/>
          <w:szCs w:val="24"/>
          <w:lang w:val="en-US"/>
        </w:rPr>
        <w:t>GB50169-2016</w:t>
      </w:r>
      <w:r>
        <w:rPr>
          <w:rFonts w:ascii="Times New Roman" w:hAnsi="Times New Roman" w:hint="eastAsia"/>
          <w:sz w:val="24"/>
          <w:szCs w:val="24"/>
          <w:lang w:val="en-US"/>
        </w:rPr>
        <w:t>）</w:t>
      </w:r>
    </w:p>
    <w:p w14:paraId="524C1D72"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34</w:t>
      </w:r>
      <w:r>
        <w:rPr>
          <w:rFonts w:ascii="Times New Roman" w:hAnsi="Times New Roman" w:hint="eastAsia"/>
          <w:sz w:val="24"/>
          <w:szCs w:val="24"/>
          <w:lang w:val="en-US"/>
        </w:rPr>
        <w:t>）《固定式钢梯及平台安全要求</w:t>
      </w:r>
      <w:r>
        <w:rPr>
          <w:rFonts w:ascii="Times New Roman" w:hAnsi="Times New Roman" w:hint="eastAsia"/>
          <w:sz w:val="24"/>
          <w:szCs w:val="24"/>
          <w:lang w:val="en-US"/>
        </w:rPr>
        <w:t xml:space="preserve"> </w:t>
      </w:r>
      <w:r>
        <w:rPr>
          <w:rFonts w:ascii="Times New Roman" w:hAnsi="Times New Roman" w:hint="eastAsia"/>
          <w:sz w:val="24"/>
          <w:szCs w:val="24"/>
          <w:lang w:val="en-US"/>
        </w:rPr>
        <w:t>第</w:t>
      </w:r>
      <w:r>
        <w:rPr>
          <w:rFonts w:ascii="Times New Roman" w:hAnsi="Times New Roman" w:hint="eastAsia"/>
          <w:sz w:val="24"/>
          <w:szCs w:val="24"/>
          <w:lang w:val="en-US"/>
        </w:rPr>
        <w:t>1</w:t>
      </w:r>
      <w:r>
        <w:rPr>
          <w:rFonts w:ascii="Times New Roman" w:hAnsi="Times New Roman" w:hint="eastAsia"/>
          <w:sz w:val="24"/>
          <w:szCs w:val="24"/>
          <w:lang w:val="en-US"/>
        </w:rPr>
        <w:t>部分：钢直梯》（</w:t>
      </w:r>
      <w:r>
        <w:rPr>
          <w:rFonts w:ascii="Times New Roman" w:hAnsi="Times New Roman" w:hint="eastAsia"/>
          <w:sz w:val="24"/>
          <w:szCs w:val="24"/>
          <w:lang w:val="en-US"/>
        </w:rPr>
        <w:t>GB4053.1-2009</w:t>
      </w:r>
      <w:r>
        <w:rPr>
          <w:rFonts w:ascii="Times New Roman" w:hAnsi="Times New Roman" w:hint="eastAsia"/>
          <w:sz w:val="24"/>
          <w:szCs w:val="24"/>
          <w:lang w:val="en-US"/>
        </w:rPr>
        <w:t>）</w:t>
      </w:r>
    </w:p>
    <w:p w14:paraId="4D12799A"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35</w:t>
      </w:r>
      <w:r>
        <w:rPr>
          <w:rFonts w:ascii="Times New Roman" w:hAnsi="Times New Roman" w:hint="eastAsia"/>
          <w:sz w:val="24"/>
          <w:szCs w:val="24"/>
          <w:lang w:val="en-US"/>
        </w:rPr>
        <w:t>）《固定式钢梯及平台安全要求第</w:t>
      </w:r>
      <w:r>
        <w:rPr>
          <w:rFonts w:ascii="Times New Roman" w:hAnsi="Times New Roman" w:hint="eastAsia"/>
          <w:sz w:val="24"/>
          <w:szCs w:val="24"/>
          <w:lang w:val="en-US"/>
        </w:rPr>
        <w:t>3</w:t>
      </w:r>
      <w:r>
        <w:rPr>
          <w:rFonts w:ascii="Times New Roman" w:hAnsi="Times New Roman" w:hint="eastAsia"/>
          <w:sz w:val="24"/>
          <w:szCs w:val="24"/>
          <w:lang w:val="en-US"/>
        </w:rPr>
        <w:t>部分：工业防护栏杆及钢平台》（</w:t>
      </w:r>
      <w:r>
        <w:rPr>
          <w:rFonts w:ascii="Times New Roman" w:hAnsi="Times New Roman" w:hint="eastAsia"/>
          <w:sz w:val="24"/>
          <w:szCs w:val="24"/>
          <w:lang w:val="en-US"/>
        </w:rPr>
        <w:t>GB4053.3-2009</w:t>
      </w:r>
      <w:r>
        <w:rPr>
          <w:rFonts w:ascii="Times New Roman" w:hAnsi="Times New Roman" w:hint="eastAsia"/>
          <w:sz w:val="24"/>
          <w:szCs w:val="24"/>
          <w:lang w:val="en-US"/>
        </w:rPr>
        <w:t>）</w:t>
      </w:r>
    </w:p>
    <w:p w14:paraId="58CFE4F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36</w:t>
      </w:r>
      <w:r>
        <w:rPr>
          <w:rFonts w:ascii="Times New Roman" w:hAnsi="Times New Roman" w:hint="eastAsia"/>
          <w:sz w:val="24"/>
          <w:szCs w:val="24"/>
          <w:lang w:val="en-US"/>
        </w:rPr>
        <w:t>）《危险货物品名表》（</w:t>
      </w:r>
      <w:r>
        <w:rPr>
          <w:rFonts w:ascii="Times New Roman" w:hAnsi="Times New Roman" w:hint="eastAsia"/>
          <w:sz w:val="24"/>
          <w:szCs w:val="24"/>
          <w:lang w:val="en-US"/>
        </w:rPr>
        <w:t>GB12268-2012</w:t>
      </w:r>
      <w:r>
        <w:rPr>
          <w:rFonts w:ascii="Times New Roman" w:hAnsi="Times New Roman" w:hint="eastAsia"/>
          <w:sz w:val="24"/>
          <w:szCs w:val="24"/>
          <w:lang w:val="en-US"/>
        </w:rPr>
        <w:t>）</w:t>
      </w:r>
    </w:p>
    <w:p w14:paraId="3A8F66F1"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37</w:t>
      </w:r>
      <w:r>
        <w:rPr>
          <w:rFonts w:ascii="Times New Roman" w:hAnsi="Times New Roman" w:hint="eastAsia"/>
          <w:sz w:val="24"/>
          <w:szCs w:val="24"/>
          <w:lang w:val="en-US"/>
        </w:rPr>
        <w:t>）《工业企业设计卫生标准》（</w:t>
      </w:r>
      <w:r>
        <w:rPr>
          <w:rFonts w:ascii="Times New Roman" w:hAnsi="Times New Roman" w:hint="eastAsia"/>
          <w:sz w:val="24"/>
          <w:szCs w:val="24"/>
          <w:lang w:val="en-US"/>
        </w:rPr>
        <w:t>GBZ1-2010</w:t>
      </w:r>
      <w:r>
        <w:rPr>
          <w:rFonts w:ascii="Times New Roman" w:hAnsi="Times New Roman" w:hint="eastAsia"/>
          <w:sz w:val="24"/>
          <w:szCs w:val="24"/>
          <w:lang w:val="en-US"/>
        </w:rPr>
        <w:t>）</w:t>
      </w:r>
    </w:p>
    <w:p w14:paraId="2A6D008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38</w:t>
      </w:r>
      <w:r>
        <w:rPr>
          <w:rFonts w:ascii="Times New Roman" w:hAnsi="Times New Roman" w:hint="eastAsia"/>
          <w:sz w:val="24"/>
          <w:szCs w:val="24"/>
          <w:lang w:val="en-US"/>
        </w:rPr>
        <w:t>）《工作场所职业病危害警示标识》（</w:t>
      </w:r>
      <w:r>
        <w:rPr>
          <w:rFonts w:ascii="Times New Roman" w:hAnsi="Times New Roman" w:hint="eastAsia"/>
          <w:sz w:val="24"/>
          <w:szCs w:val="24"/>
          <w:lang w:val="en-US"/>
        </w:rPr>
        <w:t>GBZ158-2003</w:t>
      </w:r>
      <w:r>
        <w:rPr>
          <w:rFonts w:ascii="Times New Roman" w:hAnsi="Times New Roman" w:hint="eastAsia"/>
          <w:sz w:val="24"/>
          <w:szCs w:val="24"/>
          <w:lang w:val="en-US"/>
        </w:rPr>
        <w:t>）</w:t>
      </w:r>
    </w:p>
    <w:p w14:paraId="32B9C768"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39</w:t>
      </w:r>
      <w:r>
        <w:rPr>
          <w:rFonts w:ascii="Times New Roman" w:hAnsi="Times New Roman" w:hint="eastAsia"/>
          <w:sz w:val="24"/>
          <w:szCs w:val="24"/>
          <w:lang w:val="en-US"/>
        </w:rPr>
        <w:t>）《工作场所有害因素职业接触限值第</w:t>
      </w:r>
      <w:r>
        <w:rPr>
          <w:rFonts w:ascii="Times New Roman" w:hAnsi="Times New Roman" w:hint="eastAsia"/>
          <w:sz w:val="24"/>
          <w:szCs w:val="24"/>
          <w:lang w:val="en-US"/>
        </w:rPr>
        <w:t>1</w:t>
      </w:r>
      <w:r>
        <w:rPr>
          <w:rFonts w:ascii="Times New Roman" w:hAnsi="Times New Roman" w:hint="eastAsia"/>
          <w:sz w:val="24"/>
          <w:szCs w:val="24"/>
          <w:lang w:val="en-US"/>
        </w:rPr>
        <w:t>部分：化学有害因素》（</w:t>
      </w:r>
      <w:r>
        <w:rPr>
          <w:rFonts w:ascii="Times New Roman" w:hAnsi="Times New Roman" w:hint="eastAsia"/>
          <w:sz w:val="24"/>
          <w:szCs w:val="24"/>
          <w:lang w:val="en-US"/>
        </w:rPr>
        <w:t>GBZ2.1-2019</w:t>
      </w:r>
      <w:r>
        <w:rPr>
          <w:rFonts w:ascii="Times New Roman" w:hAnsi="Times New Roman" w:hint="eastAsia"/>
          <w:sz w:val="24"/>
          <w:szCs w:val="24"/>
          <w:lang w:val="en-US"/>
        </w:rPr>
        <w:t>）</w:t>
      </w:r>
    </w:p>
    <w:p w14:paraId="1C23B980"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40</w:t>
      </w:r>
      <w:r>
        <w:rPr>
          <w:rFonts w:ascii="Times New Roman" w:hAnsi="Times New Roman" w:hint="eastAsia"/>
          <w:sz w:val="24"/>
          <w:szCs w:val="24"/>
          <w:lang w:val="en-US"/>
        </w:rPr>
        <w:t>）《工作场所有害因素职业接触限值第</w:t>
      </w:r>
      <w:r>
        <w:rPr>
          <w:rFonts w:ascii="Times New Roman" w:hAnsi="Times New Roman" w:hint="eastAsia"/>
          <w:sz w:val="24"/>
          <w:szCs w:val="24"/>
          <w:lang w:val="en-US"/>
        </w:rPr>
        <w:t>2</w:t>
      </w:r>
      <w:r>
        <w:rPr>
          <w:rFonts w:ascii="Times New Roman" w:hAnsi="Times New Roman" w:hint="eastAsia"/>
          <w:sz w:val="24"/>
          <w:szCs w:val="24"/>
          <w:lang w:val="en-US"/>
        </w:rPr>
        <w:t>部分：物理因素》（</w:t>
      </w:r>
      <w:r>
        <w:rPr>
          <w:rFonts w:ascii="Times New Roman" w:hAnsi="Times New Roman" w:hint="eastAsia"/>
          <w:sz w:val="24"/>
          <w:szCs w:val="24"/>
          <w:lang w:val="en-US"/>
        </w:rPr>
        <w:t>GBZ2.2-2007</w:t>
      </w:r>
      <w:r>
        <w:rPr>
          <w:rFonts w:ascii="Times New Roman" w:hAnsi="Times New Roman" w:hint="eastAsia"/>
          <w:sz w:val="24"/>
          <w:szCs w:val="24"/>
          <w:lang w:val="en-US"/>
        </w:rPr>
        <w:t>）</w:t>
      </w:r>
    </w:p>
    <w:p w14:paraId="21901960"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41</w:t>
      </w:r>
      <w:r>
        <w:rPr>
          <w:rFonts w:ascii="Times New Roman" w:hAnsi="Times New Roman" w:hint="eastAsia"/>
          <w:sz w:val="24"/>
          <w:szCs w:val="24"/>
          <w:lang w:val="en-US"/>
        </w:rPr>
        <w:t>）《一般压力表》（</w:t>
      </w:r>
      <w:r>
        <w:rPr>
          <w:rFonts w:ascii="Times New Roman" w:hAnsi="Times New Roman" w:hint="eastAsia"/>
          <w:sz w:val="24"/>
          <w:szCs w:val="24"/>
          <w:lang w:val="en-US"/>
        </w:rPr>
        <w:t>GB/T1226-2017</w:t>
      </w:r>
      <w:r>
        <w:rPr>
          <w:rFonts w:ascii="Times New Roman" w:hAnsi="Times New Roman" w:hint="eastAsia"/>
          <w:sz w:val="24"/>
          <w:szCs w:val="24"/>
          <w:lang w:val="en-US"/>
        </w:rPr>
        <w:t>）</w:t>
      </w:r>
    </w:p>
    <w:p w14:paraId="302A425B"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42</w:t>
      </w:r>
      <w:r>
        <w:rPr>
          <w:rFonts w:ascii="Times New Roman" w:hAnsi="Times New Roman" w:hint="eastAsia"/>
          <w:sz w:val="24"/>
          <w:szCs w:val="24"/>
          <w:lang w:val="en-US"/>
        </w:rPr>
        <w:t>）《火灾分类》（</w:t>
      </w:r>
      <w:r>
        <w:rPr>
          <w:rFonts w:ascii="Times New Roman" w:hAnsi="Times New Roman" w:hint="eastAsia"/>
          <w:sz w:val="24"/>
          <w:szCs w:val="24"/>
          <w:lang w:val="en-US"/>
        </w:rPr>
        <w:t>GB/T4968-2008</w:t>
      </w:r>
      <w:r>
        <w:rPr>
          <w:rFonts w:ascii="Times New Roman" w:hAnsi="Times New Roman" w:hint="eastAsia"/>
          <w:sz w:val="24"/>
          <w:szCs w:val="24"/>
          <w:lang w:val="en-US"/>
        </w:rPr>
        <w:t>）</w:t>
      </w:r>
    </w:p>
    <w:p w14:paraId="604065AA"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43</w:t>
      </w:r>
      <w:r>
        <w:rPr>
          <w:rFonts w:ascii="Times New Roman" w:hAnsi="Times New Roman" w:hint="eastAsia"/>
          <w:sz w:val="24"/>
          <w:szCs w:val="24"/>
          <w:lang w:val="en-US"/>
        </w:rPr>
        <w:t>）《安全阀一般要求》（</w:t>
      </w:r>
      <w:r>
        <w:rPr>
          <w:rFonts w:ascii="Times New Roman" w:hAnsi="Times New Roman" w:hint="eastAsia"/>
          <w:sz w:val="24"/>
          <w:szCs w:val="24"/>
          <w:lang w:val="en-US"/>
        </w:rPr>
        <w:t>GB/T12241-2021</w:t>
      </w:r>
      <w:r>
        <w:rPr>
          <w:rFonts w:ascii="Times New Roman" w:hAnsi="Times New Roman" w:hint="eastAsia"/>
          <w:sz w:val="24"/>
          <w:szCs w:val="24"/>
          <w:lang w:val="en-US"/>
        </w:rPr>
        <w:t>）</w:t>
      </w:r>
    </w:p>
    <w:p w14:paraId="218904F9"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44</w:t>
      </w:r>
      <w:r>
        <w:rPr>
          <w:rFonts w:ascii="Times New Roman" w:hAnsi="Times New Roman" w:hint="eastAsia"/>
          <w:sz w:val="24"/>
          <w:szCs w:val="24"/>
          <w:lang w:val="en-US"/>
        </w:rPr>
        <w:t>）《生产过程安全卫生要求总则》（</w:t>
      </w:r>
      <w:r>
        <w:rPr>
          <w:rFonts w:ascii="Times New Roman" w:hAnsi="Times New Roman" w:hint="eastAsia"/>
          <w:sz w:val="24"/>
          <w:szCs w:val="24"/>
          <w:lang w:val="en-US"/>
        </w:rPr>
        <w:t>GB/T12801-2008</w:t>
      </w:r>
      <w:r>
        <w:rPr>
          <w:rFonts w:ascii="Times New Roman" w:hAnsi="Times New Roman" w:hint="eastAsia"/>
          <w:sz w:val="24"/>
          <w:szCs w:val="24"/>
          <w:lang w:val="en-US"/>
        </w:rPr>
        <w:t>）</w:t>
      </w:r>
    </w:p>
    <w:p w14:paraId="2090929C"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45</w:t>
      </w:r>
      <w:r>
        <w:rPr>
          <w:rFonts w:ascii="Times New Roman" w:hAnsi="Times New Roman" w:hint="eastAsia"/>
          <w:sz w:val="24"/>
          <w:szCs w:val="24"/>
          <w:lang w:val="en-US"/>
        </w:rPr>
        <w:t>）《生产过程危险和有害因素分类与代码》（</w:t>
      </w:r>
      <w:r>
        <w:rPr>
          <w:rFonts w:ascii="Times New Roman" w:hAnsi="Times New Roman" w:hint="eastAsia"/>
          <w:sz w:val="24"/>
          <w:szCs w:val="24"/>
          <w:lang w:val="en-US"/>
        </w:rPr>
        <w:t>GB/T13861-2022</w:t>
      </w:r>
      <w:r>
        <w:rPr>
          <w:rFonts w:ascii="Times New Roman" w:hAnsi="Times New Roman" w:hint="eastAsia"/>
          <w:sz w:val="24"/>
          <w:szCs w:val="24"/>
          <w:lang w:val="en-US"/>
        </w:rPr>
        <w:t>）</w:t>
      </w:r>
    </w:p>
    <w:p w14:paraId="65552F74"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46</w:t>
      </w:r>
      <w:r>
        <w:rPr>
          <w:rFonts w:ascii="Times New Roman" w:hAnsi="Times New Roman" w:hint="eastAsia"/>
          <w:sz w:val="24"/>
          <w:szCs w:val="24"/>
          <w:lang w:val="en-US"/>
        </w:rPr>
        <w:t>）《钢质管道外腐蚀控制规范》（</w:t>
      </w:r>
      <w:r>
        <w:rPr>
          <w:rFonts w:ascii="Times New Roman" w:hAnsi="Times New Roman" w:hint="eastAsia"/>
          <w:sz w:val="24"/>
          <w:szCs w:val="24"/>
          <w:lang w:val="en-US"/>
        </w:rPr>
        <w:t>GB/T21447-2018</w:t>
      </w:r>
      <w:r>
        <w:rPr>
          <w:rFonts w:ascii="Times New Roman" w:hAnsi="Times New Roman" w:hint="eastAsia"/>
          <w:sz w:val="24"/>
          <w:szCs w:val="24"/>
          <w:lang w:val="en-US"/>
        </w:rPr>
        <w:t>）</w:t>
      </w:r>
    </w:p>
    <w:p w14:paraId="100A6B9B"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47</w:t>
      </w:r>
      <w:r>
        <w:rPr>
          <w:rFonts w:ascii="Times New Roman" w:hAnsi="Times New Roman" w:hint="eastAsia"/>
          <w:sz w:val="24"/>
          <w:szCs w:val="24"/>
          <w:lang w:val="en-US"/>
        </w:rPr>
        <w:t>）《钢质管道内腐蚀控制规范》（</w:t>
      </w:r>
      <w:r>
        <w:rPr>
          <w:rFonts w:ascii="Times New Roman" w:hAnsi="Times New Roman" w:hint="eastAsia"/>
          <w:sz w:val="24"/>
          <w:szCs w:val="24"/>
          <w:lang w:val="en-US"/>
        </w:rPr>
        <w:t>GB/T23258-2020</w:t>
      </w:r>
      <w:r>
        <w:rPr>
          <w:rFonts w:ascii="Times New Roman" w:hAnsi="Times New Roman" w:hint="eastAsia"/>
          <w:sz w:val="24"/>
          <w:szCs w:val="24"/>
          <w:lang w:val="en-US"/>
        </w:rPr>
        <w:t>）</w:t>
      </w:r>
    </w:p>
    <w:p w14:paraId="7ACED373"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48</w:t>
      </w:r>
      <w:r>
        <w:rPr>
          <w:rFonts w:ascii="Times New Roman" w:hAnsi="Times New Roman" w:hint="eastAsia"/>
          <w:sz w:val="24"/>
          <w:szCs w:val="24"/>
          <w:lang w:val="en-US"/>
        </w:rPr>
        <w:t>）《生产经营单位生产安全事故应急预案编制导则》（</w:t>
      </w:r>
      <w:r>
        <w:rPr>
          <w:rFonts w:ascii="Times New Roman" w:hAnsi="Times New Roman" w:hint="eastAsia"/>
          <w:sz w:val="24"/>
          <w:szCs w:val="24"/>
          <w:lang w:val="en-US"/>
        </w:rPr>
        <w:t>GB/T29639-2020</w:t>
      </w:r>
      <w:r>
        <w:rPr>
          <w:rFonts w:ascii="Times New Roman" w:hAnsi="Times New Roman" w:hint="eastAsia"/>
          <w:sz w:val="24"/>
          <w:szCs w:val="24"/>
          <w:lang w:val="en-US"/>
        </w:rPr>
        <w:t>）</w:t>
      </w:r>
    </w:p>
    <w:p w14:paraId="6B92E12E"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49</w:t>
      </w:r>
      <w:r>
        <w:rPr>
          <w:rFonts w:ascii="Times New Roman" w:hAnsi="Times New Roman" w:hint="eastAsia"/>
          <w:sz w:val="24"/>
          <w:szCs w:val="24"/>
          <w:lang w:val="en-US"/>
        </w:rPr>
        <w:t>）《企业安全生产标准化基本规范》（</w:t>
      </w:r>
      <w:r>
        <w:rPr>
          <w:rFonts w:ascii="Times New Roman" w:hAnsi="Times New Roman" w:hint="eastAsia"/>
          <w:sz w:val="24"/>
          <w:szCs w:val="24"/>
          <w:lang w:val="en-US"/>
        </w:rPr>
        <w:t>GB/T33000-2016</w:t>
      </w:r>
      <w:r>
        <w:rPr>
          <w:rFonts w:ascii="Times New Roman" w:hAnsi="Times New Roman" w:hint="eastAsia"/>
          <w:sz w:val="24"/>
          <w:szCs w:val="24"/>
          <w:lang w:val="en-US"/>
        </w:rPr>
        <w:t>）</w:t>
      </w:r>
    </w:p>
    <w:p w14:paraId="7CD58C08"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50</w:t>
      </w:r>
      <w:r>
        <w:rPr>
          <w:rFonts w:ascii="Times New Roman" w:hAnsi="Times New Roman" w:hint="eastAsia"/>
          <w:sz w:val="24"/>
          <w:szCs w:val="24"/>
          <w:lang w:val="en-US"/>
        </w:rPr>
        <w:t>）《油气田及管道工程仪表控制系统设计规范》（</w:t>
      </w:r>
      <w:r>
        <w:rPr>
          <w:rFonts w:ascii="Times New Roman" w:hAnsi="Times New Roman" w:hint="eastAsia"/>
          <w:sz w:val="24"/>
          <w:szCs w:val="24"/>
          <w:lang w:val="en-US"/>
        </w:rPr>
        <w:t>GB/T50892-2013</w:t>
      </w:r>
      <w:r>
        <w:rPr>
          <w:rFonts w:ascii="Times New Roman" w:hAnsi="Times New Roman" w:hint="eastAsia"/>
          <w:sz w:val="24"/>
          <w:szCs w:val="24"/>
          <w:lang w:val="en-US"/>
        </w:rPr>
        <w:t>）</w:t>
      </w:r>
    </w:p>
    <w:p w14:paraId="276A058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51</w:t>
      </w:r>
      <w:r>
        <w:rPr>
          <w:rFonts w:ascii="Times New Roman" w:hAnsi="Times New Roman" w:hint="eastAsia"/>
          <w:sz w:val="24"/>
          <w:szCs w:val="24"/>
          <w:lang w:val="en-US"/>
        </w:rPr>
        <w:t>）《交流电气装置的接地设计规范》（</w:t>
      </w:r>
      <w:r>
        <w:rPr>
          <w:rFonts w:ascii="Times New Roman" w:hAnsi="Times New Roman" w:hint="eastAsia"/>
          <w:sz w:val="24"/>
          <w:szCs w:val="24"/>
          <w:lang w:val="en-US"/>
        </w:rPr>
        <w:t>GB/T50065-2011</w:t>
      </w:r>
      <w:r>
        <w:rPr>
          <w:rFonts w:ascii="Times New Roman" w:hAnsi="Times New Roman" w:hint="eastAsia"/>
          <w:sz w:val="24"/>
          <w:szCs w:val="24"/>
          <w:lang w:val="en-US"/>
        </w:rPr>
        <w:t>）</w:t>
      </w:r>
    </w:p>
    <w:p w14:paraId="29628779" w14:textId="77777777" w:rsidR="003D6A63" w:rsidRDefault="00000000">
      <w:pPr>
        <w:pStyle w:val="nlw3"/>
        <w:spacing w:beforeLines="0" w:before="0" w:after="0" w:line="360" w:lineRule="auto"/>
        <w:rPr>
          <w:sz w:val="24"/>
          <w:szCs w:val="24"/>
        </w:rPr>
      </w:pPr>
      <w:r>
        <w:rPr>
          <w:rFonts w:hint="eastAsia"/>
          <w:sz w:val="24"/>
          <w:szCs w:val="24"/>
        </w:rPr>
        <w:t xml:space="preserve">1.3.6  </w:t>
      </w:r>
      <w:r>
        <w:rPr>
          <w:rFonts w:hint="eastAsia"/>
          <w:sz w:val="24"/>
          <w:szCs w:val="24"/>
        </w:rPr>
        <w:t>行业、地方标准</w:t>
      </w:r>
    </w:p>
    <w:p w14:paraId="43F403B9"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w:t>
      </w:r>
      <w:r>
        <w:rPr>
          <w:rFonts w:ascii="Times New Roman" w:hAnsi="Times New Roman" w:hint="eastAsia"/>
          <w:sz w:val="24"/>
          <w:szCs w:val="24"/>
          <w:lang w:val="en-US"/>
        </w:rPr>
        <w:t>）《石油天然气安全规程》（</w:t>
      </w:r>
      <w:r>
        <w:rPr>
          <w:rFonts w:ascii="Times New Roman" w:hAnsi="Times New Roman" w:hint="eastAsia"/>
          <w:sz w:val="24"/>
          <w:szCs w:val="24"/>
          <w:lang w:val="en-US"/>
        </w:rPr>
        <w:t>AQ2012-2007</w:t>
      </w:r>
      <w:r>
        <w:rPr>
          <w:rFonts w:ascii="Times New Roman" w:hAnsi="Times New Roman" w:hint="eastAsia"/>
          <w:sz w:val="24"/>
          <w:szCs w:val="24"/>
          <w:lang w:val="en-US"/>
        </w:rPr>
        <w:t>）</w:t>
      </w:r>
    </w:p>
    <w:p w14:paraId="033FB716"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lastRenderedPageBreak/>
        <w:t>（</w:t>
      </w:r>
      <w:r>
        <w:rPr>
          <w:rFonts w:ascii="Times New Roman" w:hAnsi="Times New Roman" w:hint="eastAsia"/>
          <w:sz w:val="24"/>
          <w:szCs w:val="24"/>
          <w:lang w:val="en-US"/>
        </w:rPr>
        <w:t>2</w:t>
      </w:r>
      <w:r>
        <w:rPr>
          <w:rFonts w:ascii="Times New Roman" w:hAnsi="Times New Roman" w:hint="eastAsia"/>
          <w:sz w:val="24"/>
          <w:szCs w:val="24"/>
          <w:lang w:val="en-US"/>
        </w:rPr>
        <w:t>）《石油行业安全生产标准化</w:t>
      </w:r>
      <w:r>
        <w:rPr>
          <w:rFonts w:ascii="Times New Roman" w:hAnsi="Times New Roman" w:hint="eastAsia"/>
          <w:sz w:val="24"/>
          <w:szCs w:val="24"/>
          <w:lang w:val="en-US"/>
        </w:rPr>
        <w:t xml:space="preserve"> </w:t>
      </w:r>
      <w:r>
        <w:rPr>
          <w:rFonts w:ascii="Times New Roman" w:hAnsi="Times New Roman" w:hint="eastAsia"/>
          <w:sz w:val="24"/>
          <w:szCs w:val="24"/>
          <w:lang w:val="en-US"/>
        </w:rPr>
        <w:t>陆上采油实施规范》（</w:t>
      </w:r>
      <w:r>
        <w:rPr>
          <w:rFonts w:ascii="Times New Roman" w:hAnsi="Times New Roman" w:hint="eastAsia"/>
          <w:sz w:val="24"/>
          <w:szCs w:val="24"/>
          <w:lang w:val="en-US"/>
        </w:rPr>
        <w:t>AQ2042-2012</w:t>
      </w:r>
      <w:r>
        <w:rPr>
          <w:rFonts w:ascii="Times New Roman" w:hAnsi="Times New Roman" w:hint="eastAsia"/>
          <w:sz w:val="24"/>
          <w:szCs w:val="24"/>
          <w:lang w:val="en-US"/>
        </w:rPr>
        <w:t>）</w:t>
      </w:r>
    </w:p>
    <w:p w14:paraId="3E5F8987"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w:t>
      </w:r>
      <w:r>
        <w:rPr>
          <w:rFonts w:ascii="Times New Roman" w:hAnsi="Times New Roman" w:hint="eastAsia"/>
          <w:sz w:val="24"/>
          <w:szCs w:val="24"/>
          <w:lang w:val="en-US"/>
        </w:rPr>
        <w:t>）《安全评价通则》（</w:t>
      </w:r>
      <w:r>
        <w:rPr>
          <w:rFonts w:ascii="Times New Roman" w:hAnsi="Times New Roman" w:hint="eastAsia"/>
          <w:sz w:val="24"/>
          <w:szCs w:val="24"/>
          <w:lang w:val="en-US"/>
        </w:rPr>
        <w:t>AQ8001-2007</w:t>
      </w:r>
      <w:r>
        <w:rPr>
          <w:rFonts w:ascii="Times New Roman" w:hAnsi="Times New Roman" w:hint="eastAsia"/>
          <w:sz w:val="24"/>
          <w:szCs w:val="24"/>
          <w:lang w:val="en-US"/>
        </w:rPr>
        <w:t>）</w:t>
      </w:r>
    </w:p>
    <w:p w14:paraId="722BE54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w:t>
      </w:r>
      <w:r>
        <w:rPr>
          <w:rFonts w:ascii="Times New Roman" w:hAnsi="Times New Roman" w:hint="eastAsia"/>
          <w:sz w:val="24"/>
          <w:szCs w:val="24"/>
          <w:lang w:val="en-US"/>
        </w:rPr>
        <w:t>）《危险场所电气防爆安全规范》（</w:t>
      </w:r>
      <w:r>
        <w:rPr>
          <w:rFonts w:ascii="Times New Roman" w:hAnsi="Times New Roman" w:hint="eastAsia"/>
          <w:sz w:val="24"/>
          <w:szCs w:val="24"/>
          <w:lang w:val="en-US"/>
        </w:rPr>
        <w:t>AQ3009-2007</w:t>
      </w:r>
      <w:r>
        <w:rPr>
          <w:rFonts w:ascii="Times New Roman" w:hAnsi="Times New Roman" w:hint="eastAsia"/>
          <w:sz w:val="24"/>
          <w:szCs w:val="24"/>
          <w:lang w:val="en-US"/>
        </w:rPr>
        <w:t>）</w:t>
      </w:r>
    </w:p>
    <w:p w14:paraId="1907881F"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5</w:t>
      </w:r>
      <w:r>
        <w:rPr>
          <w:rFonts w:ascii="Times New Roman" w:hAnsi="Times New Roman" w:hint="eastAsia"/>
          <w:sz w:val="24"/>
          <w:szCs w:val="24"/>
          <w:lang w:val="en-US"/>
        </w:rPr>
        <w:t>）《生产安全事故应急演练基本规范》（</w:t>
      </w:r>
      <w:r>
        <w:rPr>
          <w:rFonts w:ascii="Times New Roman" w:hAnsi="Times New Roman" w:hint="eastAsia"/>
          <w:sz w:val="24"/>
          <w:szCs w:val="24"/>
          <w:lang w:val="en-US"/>
        </w:rPr>
        <w:t>AQ/T9007-2019</w:t>
      </w:r>
      <w:r>
        <w:rPr>
          <w:rFonts w:ascii="Times New Roman" w:hAnsi="Times New Roman" w:hint="eastAsia"/>
          <w:sz w:val="24"/>
          <w:szCs w:val="24"/>
          <w:lang w:val="en-US"/>
        </w:rPr>
        <w:t>）</w:t>
      </w:r>
    </w:p>
    <w:p w14:paraId="50FDD112"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6</w:t>
      </w:r>
      <w:r>
        <w:rPr>
          <w:rFonts w:ascii="Times New Roman" w:hAnsi="Times New Roman" w:hint="eastAsia"/>
          <w:sz w:val="24"/>
          <w:szCs w:val="24"/>
          <w:lang w:val="en-US"/>
        </w:rPr>
        <w:t>）《生产安全事故应急演练评估规范》（</w:t>
      </w:r>
      <w:r>
        <w:rPr>
          <w:rFonts w:ascii="Times New Roman" w:hAnsi="Times New Roman" w:hint="eastAsia"/>
          <w:sz w:val="24"/>
          <w:szCs w:val="24"/>
          <w:lang w:val="en-US"/>
        </w:rPr>
        <w:t>AQ/T9009-2015</w:t>
      </w:r>
      <w:r>
        <w:rPr>
          <w:rFonts w:ascii="Times New Roman" w:hAnsi="Times New Roman" w:hint="eastAsia"/>
          <w:sz w:val="24"/>
          <w:szCs w:val="24"/>
          <w:lang w:val="en-US"/>
        </w:rPr>
        <w:t>）</w:t>
      </w:r>
    </w:p>
    <w:p w14:paraId="344A8824"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7</w:t>
      </w:r>
      <w:r>
        <w:rPr>
          <w:rFonts w:ascii="Times New Roman" w:hAnsi="Times New Roman" w:hint="eastAsia"/>
          <w:sz w:val="24"/>
          <w:szCs w:val="24"/>
          <w:lang w:val="en-US"/>
        </w:rPr>
        <w:t>）《生产经营单位生产安全事故应急预案评估指南》（</w:t>
      </w:r>
      <w:r>
        <w:rPr>
          <w:rFonts w:ascii="Times New Roman" w:hAnsi="Times New Roman" w:hint="eastAsia"/>
          <w:sz w:val="24"/>
          <w:szCs w:val="24"/>
          <w:lang w:val="en-US"/>
        </w:rPr>
        <w:t>AQ/T9011-2019</w:t>
      </w:r>
      <w:r>
        <w:rPr>
          <w:rFonts w:ascii="Times New Roman" w:hAnsi="Times New Roman" w:hint="eastAsia"/>
          <w:sz w:val="24"/>
          <w:szCs w:val="24"/>
          <w:lang w:val="en-US"/>
        </w:rPr>
        <w:t>）</w:t>
      </w:r>
    </w:p>
    <w:p w14:paraId="2A55966F"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8</w:t>
      </w:r>
      <w:r>
        <w:rPr>
          <w:rFonts w:ascii="Times New Roman" w:hAnsi="Times New Roman" w:hint="eastAsia"/>
          <w:sz w:val="24"/>
          <w:szCs w:val="24"/>
          <w:lang w:val="en-US"/>
        </w:rPr>
        <w:t>）《石油与天然气井井控安全技术考核管理规则》（</w:t>
      </w:r>
      <w:r>
        <w:rPr>
          <w:rFonts w:ascii="Times New Roman" w:hAnsi="Times New Roman" w:hint="eastAsia"/>
          <w:sz w:val="24"/>
          <w:szCs w:val="24"/>
          <w:lang w:val="en-US"/>
        </w:rPr>
        <w:t>SY/T5742-2019</w:t>
      </w:r>
      <w:r>
        <w:rPr>
          <w:rFonts w:ascii="Times New Roman" w:hAnsi="Times New Roman" w:hint="eastAsia"/>
          <w:sz w:val="24"/>
          <w:szCs w:val="24"/>
          <w:lang w:val="en-US"/>
        </w:rPr>
        <w:t>）</w:t>
      </w:r>
    </w:p>
    <w:p w14:paraId="3078F37F"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9</w:t>
      </w:r>
      <w:r>
        <w:rPr>
          <w:rFonts w:ascii="Times New Roman" w:hAnsi="Times New Roman" w:hint="eastAsia"/>
          <w:sz w:val="24"/>
          <w:szCs w:val="24"/>
          <w:lang w:val="en-US"/>
        </w:rPr>
        <w:t>）《石油天然气钻井、开发、储运防火防爆安全生产技术规程》（</w:t>
      </w:r>
      <w:r>
        <w:rPr>
          <w:rFonts w:ascii="Times New Roman" w:hAnsi="Times New Roman" w:hint="eastAsia"/>
          <w:sz w:val="24"/>
          <w:szCs w:val="24"/>
          <w:lang w:val="en-US"/>
        </w:rPr>
        <w:t>SY/T5225-2019</w:t>
      </w:r>
      <w:r>
        <w:rPr>
          <w:rFonts w:ascii="Times New Roman" w:hAnsi="Times New Roman" w:hint="eastAsia"/>
          <w:sz w:val="24"/>
          <w:szCs w:val="24"/>
          <w:lang w:val="en-US"/>
        </w:rPr>
        <w:t>）</w:t>
      </w:r>
    </w:p>
    <w:p w14:paraId="2B221A71"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10</w:t>
      </w:r>
      <w:r>
        <w:rPr>
          <w:rFonts w:ascii="Times New Roman" w:hAnsi="Times New Roman" w:hint="eastAsia"/>
          <w:sz w:val="24"/>
          <w:szCs w:val="24"/>
          <w:lang w:val="en-US"/>
        </w:rPr>
        <w:t>）《石油天然气工程建筑设计规范》（</w:t>
      </w:r>
      <w:r>
        <w:rPr>
          <w:rFonts w:ascii="Times New Roman" w:hAnsi="Times New Roman" w:hint="eastAsia"/>
          <w:sz w:val="24"/>
          <w:szCs w:val="24"/>
          <w:lang w:val="en-US"/>
        </w:rPr>
        <w:t>SY/T0021-2016</w:t>
      </w:r>
      <w:r>
        <w:rPr>
          <w:rFonts w:ascii="Times New Roman" w:hAnsi="Times New Roman" w:hint="eastAsia"/>
          <w:sz w:val="24"/>
          <w:szCs w:val="24"/>
          <w:lang w:val="en-US"/>
        </w:rPr>
        <w:t>）</w:t>
      </w:r>
    </w:p>
    <w:p w14:paraId="565D299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11</w:t>
      </w:r>
      <w:r>
        <w:rPr>
          <w:rFonts w:ascii="Times New Roman" w:hAnsi="Times New Roman" w:hint="eastAsia"/>
          <w:sz w:val="24"/>
          <w:szCs w:val="24"/>
          <w:lang w:val="en-US"/>
        </w:rPr>
        <w:t>）《石油工业用加热炉安全规程》（</w:t>
      </w:r>
      <w:r>
        <w:rPr>
          <w:rFonts w:ascii="Times New Roman" w:hAnsi="Times New Roman" w:hint="eastAsia"/>
          <w:sz w:val="24"/>
          <w:szCs w:val="24"/>
          <w:lang w:val="en-US"/>
        </w:rPr>
        <w:t>SY0031-2012</w:t>
      </w:r>
      <w:r>
        <w:rPr>
          <w:rFonts w:ascii="Times New Roman" w:hAnsi="Times New Roman" w:hint="eastAsia"/>
          <w:sz w:val="24"/>
          <w:szCs w:val="24"/>
          <w:lang w:val="en-US"/>
        </w:rPr>
        <w:t>）</w:t>
      </w:r>
    </w:p>
    <w:p w14:paraId="4F110C60"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12</w:t>
      </w:r>
      <w:r>
        <w:rPr>
          <w:rFonts w:ascii="Times New Roman" w:hAnsi="Times New Roman" w:hint="eastAsia"/>
          <w:sz w:val="24"/>
          <w:szCs w:val="24"/>
          <w:lang w:val="en-US"/>
        </w:rPr>
        <w:t>）《油气田及管道工程雷电防护设计规范》（</w:t>
      </w:r>
      <w:r>
        <w:rPr>
          <w:rFonts w:ascii="Times New Roman" w:hAnsi="Times New Roman" w:hint="eastAsia"/>
          <w:sz w:val="24"/>
          <w:szCs w:val="24"/>
          <w:lang w:val="en-US"/>
        </w:rPr>
        <w:t>SY/T6885-2020</w:t>
      </w:r>
      <w:r>
        <w:rPr>
          <w:rFonts w:ascii="Times New Roman" w:hAnsi="Times New Roman" w:hint="eastAsia"/>
          <w:sz w:val="24"/>
          <w:szCs w:val="24"/>
          <w:lang w:val="en-US"/>
        </w:rPr>
        <w:t>）</w:t>
      </w:r>
    </w:p>
    <w:p w14:paraId="5C14912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13</w:t>
      </w:r>
      <w:r>
        <w:rPr>
          <w:rFonts w:ascii="Times New Roman" w:hAnsi="Times New Roman" w:hint="eastAsia"/>
          <w:sz w:val="24"/>
          <w:szCs w:val="24"/>
          <w:lang w:val="en-US"/>
        </w:rPr>
        <w:t>）《油气田变配电设计规范》（</w:t>
      </w:r>
      <w:r>
        <w:rPr>
          <w:rFonts w:ascii="Times New Roman" w:hAnsi="Times New Roman" w:hint="eastAsia"/>
          <w:sz w:val="24"/>
          <w:szCs w:val="24"/>
          <w:lang w:val="en-US"/>
        </w:rPr>
        <w:t>SY/T0033-2020</w:t>
      </w:r>
      <w:r>
        <w:rPr>
          <w:rFonts w:ascii="Times New Roman" w:hAnsi="Times New Roman" w:hint="eastAsia"/>
          <w:sz w:val="24"/>
          <w:szCs w:val="24"/>
          <w:lang w:val="en-US"/>
        </w:rPr>
        <w:t>）</w:t>
      </w:r>
    </w:p>
    <w:p w14:paraId="1C112337"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14</w:t>
      </w:r>
      <w:r>
        <w:rPr>
          <w:rFonts w:ascii="Times New Roman" w:hAnsi="Times New Roman" w:hint="eastAsia"/>
          <w:sz w:val="24"/>
          <w:szCs w:val="24"/>
          <w:lang w:val="en-US"/>
        </w:rPr>
        <w:t>）《石油天然气工程管道和设备涂色规范》（</w:t>
      </w:r>
      <w:r>
        <w:rPr>
          <w:rFonts w:ascii="Times New Roman" w:hAnsi="Times New Roman" w:hint="eastAsia"/>
          <w:sz w:val="24"/>
          <w:szCs w:val="24"/>
          <w:lang w:val="en-US"/>
        </w:rPr>
        <w:t>SY/T0043-2020</w:t>
      </w:r>
      <w:r>
        <w:rPr>
          <w:rFonts w:ascii="Times New Roman" w:hAnsi="Times New Roman" w:hint="eastAsia"/>
          <w:sz w:val="24"/>
          <w:szCs w:val="24"/>
          <w:lang w:val="en-US"/>
        </w:rPr>
        <w:t>）</w:t>
      </w:r>
    </w:p>
    <w:p w14:paraId="5880C899"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15</w:t>
      </w:r>
      <w:r>
        <w:rPr>
          <w:rFonts w:ascii="Times New Roman" w:hAnsi="Times New Roman" w:hint="eastAsia"/>
          <w:sz w:val="24"/>
          <w:szCs w:val="24"/>
          <w:lang w:val="en-US"/>
        </w:rPr>
        <w:t>）《石油天然气工程总图设计规范》（</w:t>
      </w:r>
      <w:r>
        <w:rPr>
          <w:rFonts w:ascii="Times New Roman" w:hAnsi="Times New Roman" w:hint="eastAsia"/>
          <w:sz w:val="24"/>
          <w:szCs w:val="24"/>
          <w:lang w:val="en-US"/>
        </w:rPr>
        <w:t>SY/T0048-2016</w:t>
      </w:r>
      <w:r>
        <w:rPr>
          <w:rFonts w:ascii="Times New Roman" w:hAnsi="Times New Roman" w:hint="eastAsia"/>
          <w:sz w:val="24"/>
          <w:szCs w:val="24"/>
          <w:lang w:val="en-US"/>
        </w:rPr>
        <w:t>）</w:t>
      </w:r>
    </w:p>
    <w:p w14:paraId="5F9C8AB1"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16</w:t>
      </w:r>
      <w:r>
        <w:rPr>
          <w:rFonts w:ascii="Times New Roman" w:hAnsi="Times New Roman" w:hint="eastAsia"/>
          <w:sz w:val="24"/>
          <w:szCs w:val="24"/>
          <w:lang w:val="en-US"/>
        </w:rPr>
        <w:t>）《油田地面工程建设规划设计规范》（</w:t>
      </w:r>
      <w:r>
        <w:rPr>
          <w:rFonts w:ascii="Times New Roman" w:hAnsi="Times New Roman" w:hint="eastAsia"/>
          <w:sz w:val="24"/>
          <w:szCs w:val="24"/>
          <w:lang w:val="en-US"/>
        </w:rPr>
        <w:t>SY/T0049-2006</w:t>
      </w:r>
      <w:r>
        <w:rPr>
          <w:rFonts w:ascii="Times New Roman" w:hAnsi="Times New Roman" w:hint="eastAsia"/>
          <w:sz w:val="24"/>
          <w:szCs w:val="24"/>
          <w:lang w:val="en-US"/>
        </w:rPr>
        <w:t>）</w:t>
      </w:r>
    </w:p>
    <w:p w14:paraId="1381A4D6"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17</w:t>
      </w:r>
      <w:r>
        <w:rPr>
          <w:rFonts w:ascii="Times New Roman" w:hAnsi="Times New Roman" w:hint="eastAsia"/>
          <w:sz w:val="24"/>
          <w:szCs w:val="24"/>
          <w:lang w:val="en-US"/>
        </w:rPr>
        <w:t>）《油气田防静电接地设计规范》（</w:t>
      </w:r>
      <w:r>
        <w:rPr>
          <w:rFonts w:ascii="Times New Roman" w:hAnsi="Times New Roman" w:hint="eastAsia"/>
          <w:sz w:val="24"/>
          <w:szCs w:val="24"/>
          <w:lang w:val="en-US"/>
        </w:rPr>
        <w:t>SY/T0060-2017</w:t>
      </w:r>
      <w:r>
        <w:rPr>
          <w:rFonts w:ascii="Times New Roman" w:hAnsi="Times New Roman" w:hint="eastAsia"/>
          <w:sz w:val="24"/>
          <w:szCs w:val="24"/>
          <w:lang w:val="en-US"/>
        </w:rPr>
        <w:t>）</w:t>
      </w:r>
    </w:p>
    <w:p w14:paraId="6F9D54DF"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18</w:t>
      </w:r>
      <w:r>
        <w:rPr>
          <w:rFonts w:ascii="Times New Roman" w:hAnsi="Times New Roman" w:hint="eastAsia"/>
          <w:sz w:val="24"/>
          <w:szCs w:val="24"/>
          <w:lang w:val="en-US"/>
        </w:rPr>
        <w:t>）《石油天然气工业</w:t>
      </w:r>
      <w:r>
        <w:rPr>
          <w:rFonts w:ascii="Times New Roman" w:hAnsi="Times New Roman" w:hint="eastAsia"/>
          <w:sz w:val="24"/>
          <w:szCs w:val="24"/>
          <w:lang w:val="en-US"/>
        </w:rPr>
        <w:t xml:space="preserve"> </w:t>
      </w:r>
      <w:r>
        <w:rPr>
          <w:rFonts w:ascii="Times New Roman" w:hAnsi="Times New Roman" w:hint="eastAsia"/>
          <w:sz w:val="24"/>
          <w:szCs w:val="24"/>
          <w:lang w:val="en-US"/>
        </w:rPr>
        <w:t>健康、安全与环境管理体系》（</w:t>
      </w:r>
      <w:r>
        <w:rPr>
          <w:rFonts w:ascii="Times New Roman" w:hAnsi="Times New Roman" w:hint="eastAsia"/>
          <w:sz w:val="24"/>
          <w:szCs w:val="24"/>
          <w:lang w:val="en-US"/>
        </w:rPr>
        <w:t>SY/T6276-2014</w:t>
      </w:r>
      <w:r>
        <w:rPr>
          <w:rFonts w:ascii="Times New Roman" w:hAnsi="Times New Roman" w:hint="eastAsia"/>
          <w:sz w:val="24"/>
          <w:szCs w:val="24"/>
          <w:lang w:val="en-US"/>
        </w:rPr>
        <w:t>）</w:t>
      </w:r>
    </w:p>
    <w:p w14:paraId="01CDD28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19</w:t>
      </w:r>
      <w:r>
        <w:rPr>
          <w:rFonts w:ascii="Times New Roman" w:hAnsi="Times New Roman" w:hint="eastAsia"/>
          <w:sz w:val="24"/>
          <w:szCs w:val="24"/>
          <w:lang w:val="en-US"/>
        </w:rPr>
        <w:t>）《陆上油气田油气集输安全规程》（</w:t>
      </w:r>
      <w:r>
        <w:rPr>
          <w:rFonts w:ascii="Times New Roman" w:hAnsi="Times New Roman" w:hint="eastAsia"/>
          <w:sz w:val="24"/>
          <w:szCs w:val="24"/>
          <w:lang w:val="en-US"/>
        </w:rPr>
        <w:t>SY/T6320-2022</w:t>
      </w:r>
      <w:r>
        <w:rPr>
          <w:rFonts w:ascii="Times New Roman" w:hAnsi="Times New Roman" w:hint="eastAsia"/>
          <w:sz w:val="24"/>
          <w:szCs w:val="24"/>
          <w:lang w:val="en-US"/>
        </w:rPr>
        <w:t>）</w:t>
      </w:r>
    </w:p>
    <w:p w14:paraId="5011F42F"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20</w:t>
      </w:r>
      <w:r>
        <w:rPr>
          <w:rFonts w:ascii="Times New Roman" w:hAnsi="Times New Roman" w:hint="eastAsia"/>
          <w:sz w:val="24"/>
          <w:szCs w:val="24"/>
          <w:lang w:val="en-US"/>
        </w:rPr>
        <w:t>）《防止静电、雷电和杂散电流引燃的措施》（</w:t>
      </w:r>
      <w:r>
        <w:rPr>
          <w:rFonts w:ascii="Times New Roman" w:hAnsi="Times New Roman" w:hint="eastAsia"/>
          <w:sz w:val="24"/>
          <w:szCs w:val="24"/>
          <w:lang w:val="en-US"/>
        </w:rPr>
        <w:t>SY/T6319-2016</w:t>
      </w:r>
      <w:r>
        <w:rPr>
          <w:rFonts w:ascii="Times New Roman" w:hAnsi="Times New Roman" w:hint="eastAsia"/>
          <w:sz w:val="24"/>
          <w:szCs w:val="24"/>
          <w:lang w:val="en-US"/>
        </w:rPr>
        <w:t>）</w:t>
      </w:r>
    </w:p>
    <w:p w14:paraId="5BD18DEF"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21</w:t>
      </w:r>
      <w:r>
        <w:rPr>
          <w:rFonts w:ascii="Times New Roman" w:hAnsi="Times New Roman" w:hint="eastAsia"/>
          <w:sz w:val="24"/>
          <w:szCs w:val="24"/>
          <w:lang w:val="en-US"/>
        </w:rPr>
        <w:t>）《石油天然气工程可燃气体和有毒气体检测报警系统安全规范》（</w:t>
      </w:r>
      <w:r>
        <w:rPr>
          <w:rFonts w:ascii="Times New Roman" w:hAnsi="Times New Roman" w:hint="eastAsia"/>
          <w:sz w:val="24"/>
          <w:szCs w:val="24"/>
          <w:lang w:val="en-US"/>
        </w:rPr>
        <w:t>SY/T6503-2022</w:t>
      </w:r>
      <w:r>
        <w:rPr>
          <w:rFonts w:ascii="Times New Roman" w:hAnsi="Times New Roman" w:hint="eastAsia"/>
          <w:sz w:val="24"/>
          <w:szCs w:val="24"/>
          <w:lang w:val="en-US"/>
        </w:rPr>
        <w:t>）</w:t>
      </w:r>
    </w:p>
    <w:p w14:paraId="113EF90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22</w:t>
      </w:r>
      <w:r>
        <w:rPr>
          <w:rFonts w:ascii="Times New Roman" w:hAnsi="Times New Roman" w:hint="eastAsia"/>
          <w:sz w:val="24"/>
          <w:szCs w:val="24"/>
          <w:lang w:val="en-US"/>
        </w:rPr>
        <w:t>）《石油天然气生产专用安全标志》（</w:t>
      </w:r>
      <w:r>
        <w:rPr>
          <w:rFonts w:ascii="Times New Roman" w:hAnsi="Times New Roman" w:hint="eastAsia"/>
          <w:sz w:val="24"/>
          <w:szCs w:val="24"/>
          <w:lang w:val="en-US"/>
        </w:rPr>
        <w:t>SY/T6355-2017</w:t>
      </w:r>
      <w:r>
        <w:rPr>
          <w:rFonts w:ascii="Times New Roman" w:hAnsi="Times New Roman" w:hint="eastAsia"/>
          <w:sz w:val="24"/>
          <w:szCs w:val="24"/>
          <w:lang w:val="en-US"/>
        </w:rPr>
        <w:t>）</w:t>
      </w:r>
    </w:p>
    <w:p w14:paraId="37E3FD93"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23</w:t>
      </w:r>
      <w:r>
        <w:rPr>
          <w:rFonts w:ascii="Times New Roman" w:hAnsi="Times New Roman" w:hint="eastAsia"/>
          <w:sz w:val="24"/>
          <w:szCs w:val="24"/>
          <w:lang w:val="en-US"/>
        </w:rPr>
        <w:t>）《石油天然气作业场所劳动防护用品配备规范》（</w:t>
      </w:r>
      <w:r>
        <w:rPr>
          <w:rFonts w:ascii="Times New Roman" w:hAnsi="Times New Roman" w:hint="eastAsia"/>
          <w:sz w:val="24"/>
          <w:szCs w:val="24"/>
          <w:lang w:val="en-US"/>
        </w:rPr>
        <w:t>SY/T6524-2017</w:t>
      </w:r>
      <w:r>
        <w:rPr>
          <w:rFonts w:ascii="Times New Roman" w:hAnsi="Times New Roman" w:hint="eastAsia"/>
          <w:sz w:val="24"/>
          <w:szCs w:val="24"/>
          <w:lang w:val="en-US"/>
        </w:rPr>
        <w:t>）</w:t>
      </w:r>
    </w:p>
    <w:p w14:paraId="4083B231"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24</w:t>
      </w:r>
      <w:r>
        <w:rPr>
          <w:rFonts w:ascii="Times New Roman" w:hAnsi="Times New Roman" w:hint="eastAsia"/>
          <w:sz w:val="24"/>
          <w:szCs w:val="24"/>
          <w:lang w:val="en-US"/>
        </w:rPr>
        <w:t>）《油气井井喷着火抢险作法》（</w:t>
      </w:r>
      <w:r>
        <w:rPr>
          <w:rFonts w:ascii="Times New Roman" w:hAnsi="Times New Roman" w:hint="eastAsia"/>
          <w:sz w:val="24"/>
          <w:szCs w:val="24"/>
          <w:lang w:val="en-US"/>
        </w:rPr>
        <w:t>SY/T6203-2014</w:t>
      </w:r>
      <w:r>
        <w:rPr>
          <w:rFonts w:ascii="Times New Roman" w:hAnsi="Times New Roman" w:hint="eastAsia"/>
          <w:sz w:val="24"/>
          <w:szCs w:val="24"/>
          <w:lang w:val="en-US"/>
        </w:rPr>
        <w:t>）</w:t>
      </w:r>
    </w:p>
    <w:p w14:paraId="1757C7B6"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25</w:t>
      </w:r>
      <w:r>
        <w:rPr>
          <w:rFonts w:ascii="Times New Roman" w:hAnsi="Times New Roman" w:hint="eastAsia"/>
          <w:sz w:val="24"/>
          <w:szCs w:val="24"/>
          <w:lang w:val="en-US"/>
        </w:rPr>
        <w:t>）《石油天然气工程项目安全现状评价报告编写规则》（</w:t>
      </w:r>
      <w:r>
        <w:rPr>
          <w:rFonts w:ascii="Times New Roman" w:hAnsi="Times New Roman" w:hint="eastAsia"/>
          <w:sz w:val="24"/>
          <w:szCs w:val="24"/>
          <w:lang w:val="en-US"/>
        </w:rPr>
        <w:t>SY/T6778-2010</w:t>
      </w:r>
      <w:r>
        <w:rPr>
          <w:rFonts w:ascii="Times New Roman" w:hAnsi="Times New Roman" w:hint="eastAsia"/>
          <w:sz w:val="24"/>
          <w:szCs w:val="24"/>
          <w:lang w:val="en-US"/>
        </w:rPr>
        <w:t>）</w:t>
      </w:r>
    </w:p>
    <w:p w14:paraId="1D9556A7"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26</w:t>
      </w:r>
      <w:r>
        <w:rPr>
          <w:rFonts w:ascii="Times New Roman" w:hAnsi="Times New Roman" w:hint="eastAsia"/>
          <w:sz w:val="24"/>
          <w:szCs w:val="24"/>
          <w:lang w:val="en-US"/>
        </w:rPr>
        <w:t>）《石油设施电气设备场所Ⅰ级</w:t>
      </w:r>
      <w:r>
        <w:rPr>
          <w:rFonts w:ascii="Times New Roman" w:hAnsi="Times New Roman" w:hint="eastAsia"/>
          <w:sz w:val="24"/>
          <w:szCs w:val="24"/>
          <w:lang w:val="en-US"/>
        </w:rPr>
        <w:t>0</w:t>
      </w:r>
      <w:r>
        <w:rPr>
          <w:rFonts w:ascii="Times New Roman" w:hAnsi="Times New Roman" w:hint="eastAsia"/>
          <w:sz w:val="24"/>
          <w:szCs w:val="24"/>
          <w:lang w:val="en-US"/>
        </w:rPr>
        <w:t>区、</w:t>
      </w:r>
      <w:r>
        <w:rPr>
          <w:rFonts w:ascii="Times New Roman" w:hAnsi="Times New Roman" w:hint="eastAsia"/>
          <w:sz w:val="24"/>
          <w:szCs w:val="24"/>
          <w:lang w:val="en-US"/>
        </w:rPr>
        <w:t>1</w:t>
      </w:r>
      <w:r>
        <w:rPr>
          <w:rFonts w:ascii="Times New Roman" w:hAnsi="Times New Roman" w:hint="eastAsia"/>
          <w:sz w:val="24"/>
          <w:szCs w:val="24"/>
          <w:lang w:val="en-US"/>
        </w:rPr>
        <w:t>区和</w:t>
      </w:r>
      <w:r>
        <w:rPr>
          <w:rFonts w:ascii="Times New Roman" w:hAnsi="Times New Roman" w:hint="eastAsia"/>
          <w:sz w:val="24"/>
          <w:szCs w:val="24"/>
          <w:lang w:val="en-US"/>
        </w:rPr>
        <w:t>2</w:t>
      </w:r>
      <w:r>
        <w:rPr>
          <w:rFonts w:ascii="Times New Roman" w:hAnsi="Times New Roman" w:hint="eastAsia"/>
          <w:sz w:val="24"/>
          <w:szCs w:val="24"/>
          <w:lang w:val="en-US"/>
        </w:rPr>
        <w:t>区的分类推荐作法</w:t>
      </w:r>
      <w:hyperlink r:id="rId15" w:history="1">
        <w:r>
          <w:rPr>
            <w:rFonts w:ascii="Times New Roman" w:hAnsi="Times New Roman" w:hint="eastAsia"/>
            <w:sz w:val="24"/>
            <w:szCs w:val="24"/>
            <w:lang w:val="en-US"/>
          </w:rPr>
          <w:t>》（</w:t>
        </w:r>
        <w:r>
          <w:rPr>
            <w:rFonts w:ascii="Times New Roman" w:hAnsi="Times New Roman" w:hint="eastAsia"/>
            <w:sz w:val="24"/>
            <w:szCs w:val="24"/>
            <w:lang w:val="en-US"/>
          </w:rPr>
          <w:t>SY/T</w:t>
        </w:r>
      </w:hyperlink>
      <w:r>
        <w:rPr>
          <w:rFonts w:ascii="Times New Roman" w:hAnsi="Times New Roman" w:hint="eastAsia"/>
          <w:sz w:val="24"/>
          <w:szCs w:val="24"/>
          <w:lang w:val="en-US"/>
        </w:rPr>
        <w:t>6671-2017</w:t>
      </w:r>
      <w:r>
        <w:rPr>
          <w:rFonts w:ascii="Times New Roman" w:hAnsi="Times New Roman" w:hint="eastAsia"/>
          <w:sz w:val="24"/>
          <w:szCs w:val="24"/>
          <w:lang w:val="en-US"/>
        </w:rPr>
        <w:t>）</w:t>
      </w:r>
    </w:p>
    <w:p w14:paraId="052A0DBA"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27</w:t>
      </w:r>
      <w:r>
        <w:rPr>
          <w:rFonts w:ascii="Times New Roman" w:hAnsi="Times New Roman" w:hint="eastAsia"/>
          <w:sz w:val="24"/>
          <w:szCs w:val="24"/>
          <w:lang w:val="en-US"/>
        </w:rPr>
        <w:t>）《油气田及管道工程计算机控制系统设计规范》（</w:t>
      </w:r>
      <w:r>
        <w:rPr>
          <w:rFonts w:ascii="Times New Roman" w:hAnsi="Times New Roman" w:hint="eastAsia"/>
          <w:sz w:val="24"/>
          <w:szCs w:val="24"/>
          <w:lang w:val="en-US"/>
        </w:rPr>
        <w:t>SY/T7628-2021</w:t>
      </w:r>
      <w:r>
        <w:rPr>
          <w:rFonts w:ascii="Times New Roman" w:hAnsi="Times New Roman" w:hint="eastAsia"/>
          <w:sz w:val="24"/>
          <w:szCs w:val="24"/>
          <w:lang w:val="en-US"/>
        </w:rPr>
        <w:t>）</w:t>
      </w:r>
    </w:p>
    <w:p w14:paraId="395D4FDE"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28</w:t>
      </w:r>
      <w:r>
        <w:rPr>
          <w:rFonts w:ascii="Times New Roman" w:hAnsi="Times New Roman" w:hint="eastAsia"/>
          <w:sz w:val="24"/>
          <w:szCs w:val="24"/>
          <w:lang w:val="en-US"/>
        </w:rPr>
        <w:t>）《油气管道仪表及自动化系统运行技术规范》（</w:t>
      </w:r>
      <w:r>
        <w:rPr>
          <w:rFonts w:ascii="Times New Roman" w:hAnsi="Times New Roman" w:hint="eastAsia"/>
          <w:sz w:val="24"/>
          <w:szCs w:val="24"/>
          <w:lang w:val="en-US"/>
        </w:rPr>
        <w:t>SY/T6069-2020</w:t>
      </w:r>
      <w:r>
        <w:rPr>
          <w:rFonts w:ascii="Times New Roman" w:hAnsi="Times New Roman" w:hint="eastAsia"/>
          <w:sz w:val="24"/>
          <w:szCs w:val="24"/>
          <w:lang w:val="en-US"/>
        </w:rPr>
        <w:t>）</w:t>
      </w:r>
    </w:p>
    <w:p w14:paraId="4BCDD36F"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29</w:t>
      </w:r>
      <w:r>
        <w:rPr>
          <w:rFonts w:ascii="Times New Roman" w:hAnsi="Times New Roman" w:hint="eastAsia"/>
          <w:sz w:val="24"/>
          <w:szCs w:val="24"/>
          <w:lang w:val="en-US"/>
        </w:rPr>
        <w:t>）《油气田工程安全仪表系统设计规范》（</w:t>
      </w:r>
      <w:r>
        <w:rPr>
          <w:rFonts w:ascii="Times New Roman" w:hAnsi="Times New Roman" w:hint="eastAsia"/>
          <w:sz w:val="24"/>
          <w:szCs w:val="24"/>
          <w:lang w:val="en-US"/>
        </w:rPr>
        <w:t>SY/T7351-2016</w:t>
      </w:r>
      <w:r>
        <w:rPr>
          <w:rFonts w:ascii="Times New Roman" w:hAnsi="Times New Roman" w:hint="eastAsia"/>
          <w:sz w:val="24"/>
          <w:szCs w:val="24"/>
          <w:lang w:val="en-US"/>
        </w:rPr>
        <w:t>）</w:t>
      </w:r>
    </w:p>
    <w:p w14:paraId="323536B8"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30</w:t>
      </w:r>
      <w:r>
        <w:rPr>
          <w:rFonts w:ascii="Times New Roman" w:hAnsi="Times New Roman" w:hint="eastAsia"/>
          <w:sz w:val="24"/>
          <w:szCs w:val="24"/>
          <w:lang w:val="en-US"/>
        </w:rPr>
        <w:t>）《油气管道安全预警系统技术规范》（</w:t>
      </w:r>
      <w:r>
        <w:rPr>
          <w:rFonts w:ascii="Times New Roman" w:hAnsi="Times New Roman" w:hint="eastAsia"/>
          <w:sz w:val="24"/>
          <w:szCs w:val="24"/>
          <w:lang w:val="en-US"/>
        </w:rPr>
        <w:t>SY/T6827-2020</w:t>
      </w:r>
      <w:r>
        <w:rPr>
          <w:rFonts w:ascii="Times New Roman" w:hAnsi="Times New Roman" w:hint="eastAsia"/>
          <w:sz w:val="24"/>
          <w:szCs w:val="24"/>
          <w:lang w:val="en-US"/>
        </w:rPr>
        <w:t>）</w:t>
      </w:r>
    </w:p>
    <w:p w14:paraId="3E81122D"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31</w:t>
      </w:r>
      <w:r>
        <w:rPr>
          <w:rFonts w:ascii="Times New Roman" w:hAnsi="Times New Roman" w:hint="eastAsia"/>
          <w:sz w:val="24"/>
          <w:szCs w:val="24"/>
          <w:lang w:val="en-US"/>
        </w:rPr>
        <w:t>）《输油气管道工程安全仪表系统设计规范》（</w:t>
      </w:r>
      <w:r>
        <w:rPr>
          <w:rFonts w:ascii="Times New Roman" w:hAnsi="Times New Roman" w:hint="eastAsia"/>
          <w:sz w:val="24"/>
          <w:szCs w:val="24"/>
          <w:lang w:val="en-US"/>
        </w:rPr>
        <w:t>SY/T6966-2013</w:t>
      </w:r>
      <w:r>
        <w:rPr>
          <w:rFonts w:ascii="Times New Roman" w:hAnsi="Times New Roman" w:hint="eastAsia"/>
          <w:sz w:val="24"/>
          <w:szCs w:val="24"/>
          <w:lang w:val="en-US"/>
        </w:rPr>
        <w:t>）</w:t>
      </w:r>
    </w:p>
    <w:p w14:paraId="78A3204F"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lastRenderedPageBreak/>
        <w:t>（</w:t>
      </w:r>
      <w:r>
        <w:rPr>
          <w:rFonts w:ascii="Times New Roman" w:hAnsi="Times New Roman" w:hint="eastAsia"/>
          <w:sz w:val="24"/>
          <w:szCs w:val="24"/>
          <w:lang w:val="en-US"/>
        </w:rPr>
        <w:t>32</w:t>
      </w:r>
      <w:r>
        <w:rPr>
          <w:rFonts w:ascii="Times New Roman" w:hAnsi="Times New Roman" w:hint="eastAsia"/>
          <w:sz w:val="24"/>
          <w:szCs w:val="24"/>
          <w:lang w:val="en-US"/>
        </w:rPr>
        <w:t>）《油气管道完整性管理等级评估规范》（</w:t>
      </w:r>
      <w:r>
        <w:rPr>
          <w:rFonts w:ascii="Times New Roman" w:hAnsi="Times New Roman" w:hint="eastAsia"/>
          <w:sz w:val="24"/>
          <w:szCs w:val="24"/>
          <w:lang w:val="en-US"/>
        </w:rPr>
        <w:t>SY/T7472-2020</w:t>
      </w:r>
      <w:r>
        <w:rPr>
          <w:rFonts w:ascii="Times New Roman" w:hAnsi="Times New Roman" w:hint="eastAsia"/>
          <w:sz w:val="24"/>
          <w:szCs w:val="24"/>
          <w:lang w:val="en-US"/>
        </w:rPr>
        <w:t>）</w:t>
      </w:r>
    </w:p>
    <w:p w14:paraId="251B8058"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33</w:t>
      </w:r>
      <w:r>
        <w:rPr>
          <w:rFonts w:ascii="Times New Roman" w:hAnsi="Times New Roman" w:hint="eastAsia"/>
          <w:sz w:val="24"/>
          <w:szCs w:val="24"/>
          <w:lang w:val="en-US"/>
        </w:rPr>
        <w:t>）《原油管道运行规范》（</w:t>
      </w:r>
      <w:r>
        <w:rPr>
          <w:rFonts w:ascii="Times New Roman" w:hAnsi="Times New Roman" w:hint="eastAsia"/>
          <w:sz w:val="24"/>
          <w:szCs w:val="24"/>
          <w:lang w:val="en-US"/>
        </w:rPr>
        <w:t>SY/T5536-2016</w:t>
      </w:r>
      <w:r>
        <w:rPr>
          <w:rFonts w:ascii="Times New Roman" w:hAnsi="Times New Roman" w:hint="eastAsia"/>
          <w:sz w:val="24"/>
          <w:szCs w:val="24"/>
          <w:lang w:val="en-US"/>
        </w:rPr>
        <w:t>）</w:t>
      </w:r>
    </w:p>
    <w:p w14:paraId="2B177D5F"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34</w:t>
      </w:r>
      <w:r>
        <w:rPr>
          <w:rFonts w:ascii="Times New Roman" w:hAnsi="Times New Roman" w:hint="eastAsia"/>
          <w:sz w:val="24"/>
          <w:szCs w:val="24"/>
          <w:lang w:val="en-US"/>
        </w:rPr>
        <w:t>）《本安型人体静电消除器安全规范》（</w:t>
      </w:r>
      <w:r>
        <w:rPr>
          <w:rFonts w:ascii="Times New Roman" w:hAnsi="Times New Roman" w:hint="eastAsia"/>
          <w:sz w:val="24"/>
          <w:szCs w:val="24"/>
          <w:lang w:val="en-US"/>
        </w:rPr>
        <w:t>SY/T7354-2017</w:t>
      </w:r>
      <w:r>
        <w:rPr>
          <w:rFonts w:ascii="Times New Roman" w:hAnsi="Times New Roman" w:hint="eastAsia"/>
          <w:sz w:val="24"/>
          <w:szCs w:val="24"/>
          <w:lang w:val="en-US"/>
        </w:rPr>
        <w:t>）</w:t>
      </w:r>
    </w:p>
    <w:p w14:paraId="3F317157"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35</w:t>
      </w:r>
      <w:r>
        <w:rPr>
          <w:rFonts w:ascii="Times New Roman" w:hAnsi="Times New Roman" w:hint="eastAsia"/>
          <w:sz w:val="24"/>
          <w:szCs w:val="24"/>
          <w:lang w:val="en-US"/>
        </w:rPr>
        <w:t>）《油气输送管道工程竣工验收规范》（</w:t>
      </w:r>
      <w:r>
        <w:rPr>
          <w:rFonts w:ascii="Times New Roman" w:hAnsi="Times New Roman" w:hint="eastAsia"/>
          <w:sz w:val="24"/>
          <w:szCs w:val="24"/>
          <w:lang w:val="en-US"/>
        </w:rPr>
        <w:t>SY/T4124-2020</w:t>
      </w:r>
      <w:r>
        <w:rPr>
          <w:rFonts w:ascii="Times New Roman" w:hAnsi="Times New Roman" w:hint="eastAsia"/>
          <w:sz w:val="24"/>
          <w:szCs w:val="24"/>
          <w:lang w:val="en-US"/>
        </w:rPr>
        <w:t>）</w:t>
      </w:r>
    </w:p>
    <w:p w14:paraId="66D5E98D"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36</w:t>
      </w:r>
      <w:r>
        <w:rPr>
          <w:rFonts w:ascii="Times New Roman" w:hAnsi="Times New Roman" w:hint="eastAsia"/>
          <w:sz w:val="24"/>
          <w:szCs w:val="24"/>
          <w:lang w:val="en-US"/>
        </w:rPr>
        <w:t>）《油（气）田容器、管道和装卸设施接地装置安全规范》（</w:t>
      </w:r>
      <w:r>
        <w:rPr>
          <w:rFonts w:ascii="Times New Roman" w:hAnsi="Times New Roman" w:hint="eastAsia"/>
          <w:sz w:val="24"/>
          <w:szCs w:val="24"/>
          <w:lang w:val="en-US"/>
        </w:rPr>
        <w:t>SY/T5984-2020</w:t>
      </w:r>
      <w:r>
        <w:rPr>
          <w:rFonts w:ascii="Times New Roman" w:hAnsi="Times New Roman" w:hint="eastAsia"/>
          <w:sz w:val="24"/>
          <w:szCs w:val="24"/>
          <w:lang w:val="en-US"/>
        </w:rPr>
        <w:t>）</w:t>
      </w:r>
    </w:p>
    <w:p w14:paraId="376DA2FC"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37</w:t>
      </w:r>
      <w:r>
        <w:rPr>
          <w:rFonts w:ascii="Times New Roman" w:hAnsi="Times New Roman" w:hint="eastAsia"/>
          <w:sz w:val="24"/>
          <w:szCs w:val="24"/>
          <w:lang w:val="en-US"/>
        </w:rPr>
        <w:t>）《抽油机防护推荐作法》（</w:t>
      </w:r>
      <w:r>
        <w:rPr>
          <w:rFonts w:ascii="Times New Roman" w:hAnsi="Times New Roman" w:hint="eastAsia"/>
          <w:sz w:val="24"/>
          <w:szCs w:val="24"/>
          <w:lang w:val="en-US"/>
        </w:rPr>
        <w:t>SY/T6518-2012</w:t>
      </w:r>
      <w:r>
        <w:rPr>
          <w:rFonts w:ascii="Times New Roman" w:hAnsi="Times New Roman" w:hint="eastAsia"/>
          <w:sz w:val="24"/>
          <w:szCs w:val="24"/>
          <w:lang w:val="en-US"/>
        </w:rPr>
        <w:t>）</w:t>
      </w:r>
    </w:p>
    <w:p w14:paraId="04127272"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38</w:t>
      </w:r>
      <w:r>
        <w:rPr>
          <w:rFonts w:ascii="Times New Roman" w:hAnsi="Times New Roman" w:hint="eastAsia"/>
          <w:sz w:val="24"/>
          <w:szCs w:val="24"/>
          <w:lang w:val="en-US"/>
        </w:rPr>
        <w:t>）《石油天然气管道安全规范》（</w:t>
      </w:r>
      <w:r>
        <w:rPr>
          <w:rFonts w:ascii="Times New Roman" w:hAnsi="Times New Roman" w:hint="eastAsia"/>
          <w:sz w:val="24"/>
          <w:szCs w:val="24"/>
          <w:lang w:val="en-US"/>
        </w:rPr>
        <w:t>SY/T6186-2020</w:t>
      </w:r>
      <w:r>
        <w:rPr>
          <w:rFonts w:ascii="Times New Roman" w:hAnsi="Times New Roman" w:hint="eastAsia"/>
          <w:sz w:val="24"/>
          <w:szCs w:val="24"/>
          <w:lang w:val="en-US"/>
        </w:rPr>
        <w:t>）</w:t>
      </w:r>
    </w:p>
    <w:p w14:paraId="52BD2B2C"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39</w:t>
      </w:r>
      <w:r>
        <w:rPr>
          <w:rFonts w:ascii="Times New Roman" w:hAnsi="Times New Roman" w:hint="eastAsia"/>
          <w:sz w:val="24"/>
          <w:szCs w:val="24"/>
          <w:lang w:val="en-US"/>
        </w:rPr>
        <w:t>）《油气输送管道工程水平定向钻穿越设计规范》（</w:t>
      </w:r>
      <w:r>
        <w:rPr>
          <w:rFonts w:ascii="Times New Roman" w:hAnsi="Times New Roman" w:hint="eastAsia"/>
          <w:sz w:val="24"/>
          <w:szCs w:val="24"/>
          <w:lang w:val="en-US"/>
        </w:rPr>
        <w:t>SY/T6968-2021</w:t>
      </w:r>
      <w:r>
        <w:rPr>
          <w:rFonts w:ascii="Times New Roman" w:hAnsi="Times New Roman" w:hint="eastAsia"/>
          <w:sz w:val="24"/>
          <w:szCs w:val="24"/>
          <w:lang w:val="en-US"/>
        </w:rPr>
        <w:t>）</w:t>
      </w:r>
    </w:p>
    <w:p w14:paraId="3E2E13D2"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40</w:t>
      </w:r>
      <w:r>
        <w:rPr>
          <w:rFonts w:ascii="Times New Roman" w:hAnsi="Times New Roman" w:hint="eastAsia"/>
          <w:sz w:val="24"/>
          <w:szCs w:val="24"/>
          <w:lang w:val="en-US"/>
        </w:rPr>
        <w:t>）《防静电安全技术规范》（</w:t>
      </w:r>
      <w:r>
        <w:rPr>
          <w:rFonts w:ascii="Times New Roman" w:hAnsi="Times New Roman" w:hint="eastAsia"/>
          <w:sz w:val="24"/>
          <w:szCs w:val="24"/>
          <w:lang w:val="en-US"/>
        </w:rPr>
        <w:t>SY/T7385-2017</w:t>
      </w:r>
      <w:r>
        <w:rPr>
          <w:rFonts w:ascii="Times New Roman" w:hAnsi="Times New Roman" w:hint="eastAsia"/>
          <w:sz w:val="24"/>
          <w:szCs w:val="24"/>
          <w:lang w:val="en-US"/>
        </w:rPr>
        <w:t>）</w:t>
      </w:r>
    </w:p>
    <w:p w14:paraId="08BB3B28"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41</w:t>
      </w:r>
      <w:r>
        <w:rPr>
          <w:rFonts w:ascii="Times New Roman" w:hAnsi="Times New Roman" w:hint="eastAsia"/>
          <w:sz w:val="24"/>
          <w:szCs w:val="24"/>
          <w:lang w:val="en-US"/>
        </w:rPr>
        <w:t>）《山东省劳动防护用品配备标准》（</w:t>
      </w:r>
      <w:r>
        <w:rPr>
          <w:rFonts w:ascii="Times New Roman" w:hAnsi="Times New Roman" w:hint="eastAsia"/>
          <w:sz w:val="24"/>
          <w:szCs w:val="24"/>
          <w:lang w:val="en-US"/>
        </w:rPr>
        <w:t>DB37/1922-2011</w:t>
      </w:r>
      <w:r>
        <w:rPr>
          <w:rFonts w:ascii="Times New Roman" w:hAnsi="Times New Roman" w:hint="eastAsia"/>
          <w:sz w:val="24"/>
          <w:szCs w:val="24"/>
          <w:lang w:val="en-US"/>
        </w:rPr>
        <w:t>）</w:t>
      </w:r>
    </w:p>
    <w:p w14:paraId="11D9152C"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42</w:t>
      </w:r>
      <w:r>
        <w:rPr>
          <w:rFonts w:ascii="Times New Roman" w:hAnsi="Times New Roman" w:hint="eastAsia"/>
          <w:sz w:val="24"/>
          <w:szCs w:val="24"/>
          <w:lang w:val="en-US"/>
        </w:rPr>
        <w:t>）《安全生产风险分级管控体系通则》（</w:t>
      </w:r>
      <w:r>
        <w:rPr>
          <w:rFonts w:ascii="Times New Roman" w:hAnsi="Times New Roman" w:hint="eastAsia"/>
          <w:sz w:val="24"/>
          <w:szCs w:val="24"/>
          <w:lang w:val="en-US"/>
        </w:rPr>
        <w:t>DB37/T 2882-2016</w:t>
      </w:r>
      <w:r>
        <w:rPr>
          <w:rFonts w:ascii="Times New Roman" w:hAnsi="Times New Roman" w:hint="eastAsia"/>
          <w:sz w:val="24"/>
          <w:szCs w:val="24"/>
          <w:lang w:val="en-US"/>
        </w:rPr>
        <w:t>）</w:t>
      </w:r>
    </w:p>
    <w:p w14:paraId="500DEFD5"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43</w:t>
      </w:r>
      <w:r>
        <w:rPr>
          <w:rFonts w:ascii="Times New Roman" w:hAnsi="Times New Roman" w:hint="eastAsia"/>
          <w:sz w:val="24"/>
          <w:szCs w:val="24"/>
          <w:lang w:val="en-US"/>
        </w:rPr>
        <w:t>）《陆上石油和天然气开采企业安全生产风险分级管控体系建设实施指南》（</w:t>
      </w:r>
      <w:r>
        <w:rPr>
          <w:rFonts w:ascii="Times New Roman" w:hAnsi="Times New Roman" w:hint="eastAsia"/>
          <w:sz w:val="24"/>
          <w:szCs w:val="24"/>
          <w:lang w:val="en-US"/>
        </w:rPr>
        <w:t>DB37/T 3331-2018</w:t>
      </w:r>
      <w:r>
        <w:rPr>
          <w:rFonts w:ascii="Times New Roman" w:hAnsi="Times New Roman" w:hint="eastAsia"/>
          <w:sz w:val="24"/>
          <w:szCs w:val="24"/>
          <w:lang w:val="en-US"/>
        </w:rPr>
        <w:t>）</w:t>
      </w:r>
    </w:p>
    <w:p w14:paraId="41B696B8"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44</w:t>
      </w:r>
      <w:r>
        <w:rPr>
          <w:rFonts w:ascii="Times New Roman" w:hAnsi="Times New Roman" w:hint="eastAsia"/>
          <w:sz w:val="24"/>
          <w:szCs w:val="24"/>
          <w:lang w:val="en-US"/>
        </w:rPr>
        <w:t>）《陆上石油和天然气开采企业生产安全事故隐患排查治理体系实施指南》（</w:t>
      </w:r>
      <w:r>
        <w:rPr>
          <w:rFonts w:ascii="Times New Roman" w:hAnsi="Times New Roman" w:hint="eastAsia"/>
          <w:sz w:val="24"/>
          <w:szCs w:val="24"/>
          <w:lang w:val="en-US"/>
        </w:rPr>
        <w:t>DB37/T 3332-2018</w:t>
      </w:r>
      <w:r>
        <w:rPr>
          <w:rFonts w:ascii="Times New Roman" w:hAnsi="Times New Roman" w:hint="eastAsia"/>
          <w:sz w:val="24"/>
          <w:szCs w:val="24"/>
          <w:lang w:val="en-US"/>
        </w:rPr>
        <w:t>）</w:t>
      </w:r>
    </w:p>
    <w:p w14:paraId="14C0F09B"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45</w:t>
      </w:r>
      <w:r>
        <w:rPr>
          <w:rFonts w:ascii="Times New Roman" w:hAnsi="Times New Roman" w:hint="eastAsia"/>
          <w:sz w:val="24"/>
          <w:szCs w:val="24"/>
          <w:lang w:val="en-US"/>
        </w:rPr>
        <w:t>）《电力安全工器具预防性试验规程》（</w:t>
      </w:r>
      <w:r>
        <w:rPr>
          <w:rFonts w:ascii="Times New Roman" w:hAnsi="Times New Roman" w:hint="eastAsia"/>
          <w:sz w:val="24"/>
          <w:szCs w:val="24"/>
          <w:lang w:val="en-US"/>
        </w:rPr>
        <w:t>DL/T1476-2015</w:t>
      </w:r>
      <w:r>
        <w:rPr>
          <w:rFonts w:ascii="Times New Roman" w:hAnsi="Times New Roman" w:hint="eastAsia"/>
          <w:sz w:val="24"/>
          <w:szCs w:val="24"/>
          <w:lang w:val="en-US"/>
        </w:rPr>
        <w:t>）</w:t>
      </w:r>
    </w:p>
    <w:p w14:paraId="48DB2307"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46</w:t>
      </w:r>
      <w:r>
        <w:rPr>
          <w:rFonts w:ascii="Times New Roman" w:hAnsi="Times New Roman" w:hint="eastAsia"/>
          <w:sz w:val="24"/>
          <w:szCs w:val="24"/>
          <w:lang w:val="en-US"/>
        </w:rPr>
        <w:t>）《</w:t>
      </w:r>
      <w:r>
        <w:rPr>
          <w:rFonts w:ascii="Times New Roman" w:hAnsi="Times New Roman" w:hint="eastAsia"/>
          <w:sz w:val="24"/>
          <w:szCs w:val="24"/>
          <w:lang w:val="en-US"/>
        </w:rPr>
        <w:t>10kV</w:t>
      </w:r>
      <w:r>
        <w:rPr>
          <w:rFonts w:ascii="Times New Roman" w:hAnsi="Times New Roman" w:hint="eastAsia"/>
          <w:sz w:val="24"/>
          <w:szCs w:val="24"/>
          <w:lang w:val="en-US"/>
        </w:rPr>
        <w:t>及以下架空配电线路设计规范》（</w:t>
      </w:r>
      <w:r>
        <w:rPr>
          <w:rFonts w:ascii="Times New Roman" w:hAnsi="Times New Roman" w:hint="eastAsia"/>
          <w:sz w:val="24"/>
          <w:szCs w:val="24"/>
          <w:lang w:val="en-US"/>
        </w:rPr>
        <w:t>DL/T5220-2021</w:t>
      </w:r>
      <w:r>
        <w:rPr>
          <w:rFonts w:ascii="Times New Roman" w:hAnsi="Times New Roman" w:hint="eastAsia"/>
          <w:sz w:val="24"/>
          <w:szCs w:val="24"/>
          <w:lang w:val="en-US"/>
        </w:rPr>
        <w:t>）</w:t>
      </w:r>
    </w:p>
    <w:p w14:paraId="19DBB0A4"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47</w:t>
      </w:r>
      <w:r>
        <w:rPr>
          <w:rFonts w:ascii="Times New Roman" w:hAnsi="Times New Roman" w:hint="eastAsia"/>
          <w:sz w:val="24"/>
          <w:szCs w:val="24"/>
          <w:lang w:val="en-US"/>
        </w:rPr>
        <w:t>）《压力容器定期检验规则》（</w:t>
      </w:r>
      <w:r>
        <w:rPr>
          <w:rFonts w:ascii="Times New Roman" w:hAnsi="Times New Roman" w:hint="eastAsia"/>
          <w:sz w:val="24"/>
          <w:szCs w:val="24"/>
          <w:lang w:val="en-US"/>
        </w:rPr>
        <w:t>TSG R7001-2013</w:t>
      </w:r>
      <w:r>
        <w:rPr>
          <w:rFonts w:ascii="Times New Roman" w:hAnsi="Times New Roman" w:hint="eastAsia"/>
          <w:sz w:val="24"/>
          <w:szCs w:val="24"/>
          <w:lang w:val="en-US"/>
        </w:rPr>
        <w:t>）</w:t>
      </w:r>
    </w:p>
    <w:p w14:paraId="1C14490A"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48</w:t>
      </w:r>
      <w:r>
        <w:rPr>
          <w:rFonts w:ascii="Times New Roman" w:hAnsi="Times New Roman" w:hint="eastAsia"/>
          <w:sz w:val="24"/>
          <w:szCs w:val="24"/>
          <w:lang w:val="en-US"/>
        </w:rPr>
        <w:t>）《固定式压力容器安全技术监察规程》（</w:t>
      </w:r>
      <w:r>
        <w:rPr>
          <w:rFonts w:ascii="Times New Roman" w:hAnsi="Times New Roman" w:hint="eastAsia"/>
          <w:sz w:val="24"/>
          <w:szCs w:val="24"/>
          <w:lang w:val="en-US"/>
        </w:rPr>
        <w:t>TSG 21-2016</w:t>
      </w:r>
      <w:r>
        <w:rPr>
          <w:rFonts w:ascii="Times New Roman" w:hAnsi="Times New Roman" w:hint="eastAsia"/>
          <w:sz w:val="24"/>
          <w:szCs w:val="24"/>
          <w:lang w:val="en-US"/>
        </w:rPr>
        <w:t>）</w:t>
      </w:r>
    </w:p>
    <w:p w14:paraId="5142C6B8"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49</w:t>
      </w:r>
      <w:r>
        <w:rPr>
          <w:rFonts w:ascii="Times New Roman" w:hAnsi="Times New Roman" w:hint="eastAsia"/>
          <w:sz w:val="24"/>
          <w:szCs w:val="24"/>
          <w:lang w:val="en-US"/>
        </w:rPr>
        <w:t>）《特种设备使用管理规则》（</w:t>
      </w:r>
      <w:r>
        <w:rPr>
          <w:rFonts w:ascii="Times New Roman" w:hAnsi="Times New Roman" w:hint="eastAsia"/>
          <w:sz w:val="24"/>
          <w:szCs w:val="24"/>
          <w:lang w:val="en-US"/>
        </w:rPr>
        <w:t>TSG 08-2017</w:t>
      </w:r>
      <w:r>
        <w:rPr>
          <w:rFonts w:ascii="Times New Roman" w:hAnsi="Times New Roman" w:hint="eastAsia"/>
          <w:sz w:val="24"/>
          <w:szCs w:val="24"/>
          <w:lang w:val="en-US"/>
        </w:rPr>
        <w:t>）</w:t>
      </w:r>
    </w:p>
    <w:p w14:paraId="09CE62A1"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50</w:t>
      </w:r>
      <w:r>
        <w:rPr>
          <w:rFonts w:ascii="Times New Roman" w:hAnsi="Times New Roman" w:hint="eastAsia"/>
          <w:sz w:val="24"/>
          <w:szCs w:val="24"/>
          <w:lang w:val="en-US"/>
        </w:rPr>
        <w:t>）《安全阀安全技术监察规程》（</w:t>
      </w:r>
      <w:r>
        <w:rPr>
          <w:rFonts w:ascii="Times New Roman" w:hAnsi="Times New Roman" w:hint="eastAsia"/>
          <w:sz w:val="24"/>
          <w:szCs w:val="24"/>
          <w:lang w:val="en-US"/>
        </w:rPr>
        <w:t>TSG ZF001-2006</w:t>
      </w:r>
      <w:r>
        <w:rPr>
          <w:rFonts w:ascii="Times New Roman" w:hAnsi="Times New Roman" w:hint="eastAsia"/>
          <w:sz w:val="24"/>
          <w:szCs w:val="24"/>
          <w:lang w:val="en-US"/>
        </w:rPr>
        <w:t>）</w:t>
      </w:r>
    </w:p>
    <w:p w14:paraId="4DAA6F89" w14:textId="77777777" w:rsidR="003D6A63" w:rsidRDefault="00000000">
      <w:pPr>
        <w:pStyle w:val="nlw3"/>
        <w:spacing w:beforeLines="0" w:before="0" w:after="0" w:line="360" w:lineRule="auto"/>
        <w:rPr>
          <w:sz w:val="24"/>
          <w:szCs w:val="24"/>
        </w:rPr>
      </w:pPr>
      <w:bookmarkStart w:id="34" w:name="_Toc46127846"/>
      <w:bookmarkEnd w:id="34"/>
      <w:r>
        <w:rPr>
          <w:rFonts w:hint="eastAsia"/>
          <w:sz w:val="24"/>
          <w:szCs w:val="24"/>
        </w:rPr>
        <w:t xml:space="preserve">1.3.7  </w:t>
      </w:r>
      <w:r>
        <w:rPr>
          <w:rFonts w:hint="eastAsia"/>
          <w:sz w:val="24"/>
          <w:szCs w:val="24"/>
        </w:rPr>
        <w:t>其他支持性依据</w:t>
      </w:r>
    </w:p>
    <w:p w14:paraId="1E85CBB0"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1</w:t>
      </w:r>
      <w:r>
        <w:rPr>
          <w:rFonts w:ascii="Times New Roman" w:hAnsi="Times New Roman" w:hint="eastAsia"/>
          <w:sz w:val="24"/>
          <w:szCs w:val="24"/>
          <w:lang w:val="en-US"/>
        </w:rPr>
        <w:t>）安全评价委托书；</w:t>
      </w:r>
    </w:p>
    <w:p w14:paraId="0DE3EE84" w14:textId="77777777" w:rsidR="003D6A63" w:rsidRDefault="00000000">
      <w:pPr>
        <w:pStyle w:val="nlw1"/>
        <w:spacing w:line="360" w:lineRule="auto"/>
        <w:ind w:firstLineChars="100" w:firstLine="240"/>
        <w:rPr>
          <w:rFonts w:ascii="Times New Roman" w:hAnsi="Times New Roman"/>
          <w:sz w:val="24"/>
          <w:szCs w:val="24"/>
          <w:lang w:val="en-US"/>
        </w:rPr>
      </w:pPr>
      <w:r>
        <w:rPr>
          <w:rFonts w:ascii="Times New Roman" w:hAnsi="Times New Roman" w:hint="eastAsia"/>
          <w:sz w:val="24"/>
          <w:szCs w:val="24"/>
          <w:lang w:val="en-US"/>
        </w:rPr>
        <w:t>（</w:t>
      </w:r>
      <w:r>
        <w:rPr>
          <w:rFonts w:ascii="Times New Roman" w:hAnsi="Times New Roman" w:hint="eastAsia"/>
          <w:sz w:val="24"/>
          <w:szCs w:val="24"/>
          <w:lang w:val="en-US"/>
        </w:rPr>
        <w:t>2</w:t>
      </w:r>
      <w:r>
        <w:rPr>
          <w:rFonts w:ascii="Times New Roman" w:hAnsi="Times New Roman" w:hint="eastAsia"/>
          <w:sz w:val="24"/>
          <w:szCs w:val="24"/>
          <w:lang w:val="en-US"/>
        </w:rPr>
        <w:t>）中胜公司提供的有关文件、资料。</w:t>
      </w:r>
    </w:p>
    <w:p w14:paraId="7C41EDAE" w14:textId="77777777" w:rsidR="003D6A63" w:rsidRDefault="00000000">
      <w:pPr>
        <w:pStyle w:val="2"/>
        <w:keepNext w:val="0"/>
        <w:keepLines w:val="0"/>
        <w:adjustRightInd w:val="0"/>
        <w:snapToGrid w:val="0"/>
        <w:spacing w:before="0" w:after="0" w:line="360" w:lineRule="auto"/>
        <w:rPr>
          <w:rFonts w:ascii="Times New Roman" w:hAnsi="Times New Roman"/>
          <w:b w:val="0"/>
          <w:spacing w:val="0"/>
          <w:sz w:val="28"/>
        </w:rPr>
      </w:pPr>
      <w:bookmarkStart w:id="35" w:name="_Toc11925"/>
      <w:bookmarkStart w:id="36" w:name="_Toc259305275"/>
      <w:bookmarkStart w:id="37" w:name="_Toc301155254"/>
      <w:bookmarkStart w:id="38" w:name="_Toc99444402"/>
      <w:bookmarkStart w:id="39" w:name="_Toc145324035"/>
      <w:bookmarkStart w:id="40" w:name="_Toc99389526"/>
      <w:bookmarkStart w:id="41" w:name="_Toc259394927"/>
      <w:r>
        <w:rPr>
          <w:rFonts w:ascii="Times New Roman" w:hAnsi="Times New Roman" w:hint="eastAsia"/>
          <w:b w:val="0"/>
          <w:spacing w:val="0"/>
          <w:sz w:val="28"/>
        </w:rPr>
        <w:t xml:space="preserve">1.4  </w:t>
      </w:r>
      <w:r>
        <w:rPr>
          <w:rFonts w:ascii="Times New Roman" w:hAnsi="Times New Roman" w:hint="eastAsia"/>
          <w:b w:val="0"/>
          <w:spacing w:val="0"/>
          <w:sz w:val="28"/>
        </w:rPr>
        <w:t>评价程序</w:t>
      </w:r>
      <w:bookmarkEnd w:id="35"/>
      <w:bookmarkEnd w:id="36"/>
      <w:bookmarkEnd w:id="37"/>
      <w:bookmarkEnd w:id="38"/>
      <w:bookmarkEnd w:id="39"/>
      <w:bookmarkEnd w:id="40"/>
      <w:bookmarkEnd w:id="41"/>
    </w:p>
    <w:p w14:paraId="0848211A" w14:textId="77777777" w:rsidR="003D6A63" w:rsidRDefault="00000000">
      <w:pPr>
        <w:autoSpaceDE w:val="0"/>
        <w:adjustRightInd w:val="0"/>
        <w:snapToGrid w:val="0"/>
        <w:spacing w:line="360" w:lineRule="auto"/>
        <w:ind w:firstLineChars="200" w:firstLine="480"/>
        <w:rPr>
          <w:kern w:val="0"/>
          <w:sz w:val="24"/>
        </w:rPr>
      </w:pPr>
      <w:bookmarkStart w:id="42" w:name="_Toc300905634"/>
      <w:bookmarkStart w:id="43" w:name="_Toc298867848"/>
      <w:r>
        <w:rPr>
          <w:rFonts w:hint="eastAsia"/>
          <w:kern w:val="0"/>
          <w:sz w:val="24"/>
        </w:rPr>
        <w:t>评价报告的编制程序包括以下几个步骤。前期准备；辨识与分析危险、有害因素；划分评价单元、定性、定量分析与评价；提出安全对策措施建议；做出安全评价结论；编制安全评价报告；总结安全评价过程与结果，编制安全评价报告。本次评价工作程序如下图所示。</w:t>
      </w:r>
    </w:p>
    <w:p w14:paraId="522AA3B5" w14:textId="77777777" w:rsidR="003D6A63" w:rsidRDefault="00000000">
      <w:pPr>
        <w:jc w:val="center"/>
        <w:rPr>
          <w:b/>
        </w:rPr>
      </w:pPr>
      <w:r>
        <w:rPr>
          <w:b/>
          <w:noProof/>
          <w:sz w:val="24"/>
        </w:rPr>
        <w:lastRenderedPageBreak/>
        <mc:AlternateContent>
          <mc:Choice Requires="wpg">
            <w:drawing>
              <wp:inline distT="0" distB="0" distL="114300" distR="114300" wp14:anchorId="7227C9F8" wp14:editId="7B7C246E">
                <wp:extent cx="4581525" cy="4080510"/>
                <wp:effectExtent l="0" t="4445" r="0" b="0"/>
                <wp:docPr id="1" name="Group 683"/>
                <wp:cNvGraphicFramePr/>
                <a:graphic xmlns:a="http://schemas.openxmlformats.org/drawingml/2006/main">
                  <a:graphicData uri="http://schemas.microsoft.com/office/word/2010/wordprocessingGroup">
                    <wpg:wgp>
                      <wpg:cNvGrpSpPr/>
                      <wpg:grpSpPr>
                        <a:xfrm>
                          <a:off x="0" y="0"/>
                          <a:ext cx="4581525" cy="4080510"/>
                          <a:chOff x="0" y="0"/>
                          <a:chExt cx="7406" cy="7314"/>
                        </a:xfrm>
                      </wpg:grpSpPr>
                      <wps:wsp>
                        <wps:cNvPr id="11" name="AutoShape 684"/>
                        <wps:cNvSpPr>
                          <a:spLocks noChangeAspect="1" noTextEdit="1"/>
                        </wps:cNvSpPr>
                        <wps:spPr>
                          <a:xfrm>
                            <a:off x="0" y="0"/>
                            <a:ext cx="7406" cy="7314"/>
                          </a:xfrm>
                          <a:prstGeom prst="rect">
                            <a:avLst/>
                          </a:prstGeom>
                          <a:noFill/>
                          <a:ln>
                            <a:noFill/>
                          </a:ln>
                        </wps:spPr>
                        <wps:bodyPr upright="1"/>
                      </wps:wsp>
                      <wps:wsp>
                        <wps:cNvPr id="31" name="Text Box 685"/>
                        <wps:cNvSpPr txBox="1"/>
                        <wps:spPr>
                          <a:xfrm>
                            <a:off x="1784" y="0"/>
                            <a:ext cx="3240" cy="46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A8DE849" w14:textId="77777777" w:rsidR="003D6A63" w:rsidRDefault="00000000">
                              <w:pPr>
                                <w:jc w:val="center"/>
                                <w:rPr>
                                  <w:szCs w:val="21"/>
                                </w:rPr>
                              </w:pPr>
                              <w:r>
                                <w:rPr>
                                  <w:rFonts w:hint="eastAsia"/>
                                  <w:szCs w:val="21"/>
                                </w:rPr>
                                <w:t>前期准备</w:t>
                              </w:r>
                            </w:p>
                          </w:txbxContent>
                        </wps:txbx>
                        <wps:bodyPr upright="1"/>
                      </wps:wsp>
                      <wps:wsp>
                        <wps:cNvPr id="48" name="Text Box 686"/>
                        <wps:cNvSpPr txBox="1"/>
                        <wps:spPr>
                          <a:xfrm>
                            <a:off x="1784" y="936"/>
                            <a:ext cx="3240" cy="46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530EE42" w14:textId="77777777" w:rsidR="003D6A63" w:rsidRDefault="00000000">
                              <w:pPr>
                                <w:jc w:val="center"/>
                                <w:rPr>
                                  <w:szCs w:val="21"/>
                                </w:rPr>
                              </w:pPr>
                              <w:r>
                                <w:rPr>
                                  <w:rFonts w:hint="eastAsia"/>
                                  <w:szCs w:val="21"/>
                                </w:rPr>
                                <w:t>辨识与分析危险、有害因素</w:t>
                              </w:r>
                            </w:p>
                          </w:txbxContent>
                        </wps:txbx>
                        <wps:bodyPr upright="1"/>
                      </wps:wsp>
                      <wps:wsp>
                        <wps:cNvPr id="49" name="Text Box 687"/>
                        <wps:cNvSpPr txBox="1"/>
                        <wps:spPr>
                          <a:xfrm>
                            <a:off x="1784" y="5616"/>
                            <a:ext cx="3240" cy="46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A274D73" w14:textId="77777777" w:rsidR="003D6A63" w:rsidRDefault="00000000">
                              <w:pPr>
                                <w:jc w:val="center"/>
                                <w:rPr>
                                  <w:szCs w:val="21"/>
                                </w:rPr>
                              </w:pPr>
                              <w:r>
                                <w:rPr>
                                  <w:rFonts w:hint="eastAsia"/>
                                  <w:szCs w:val="21"/>
                                </w:rPr>
                                <w:t>做出评价结论</w:t>
                              </w:r>
                            </w:p>
                          </w:txbxContent>
                        </wps:txbx>
                        <wps:bodyPr upright="1"/>
                      </wps:wsp>
                      <wps:wsp>
                        <wps:cNvPr id="50" name="Text Box 688"/>
                        <wps:cNvSpPr txBox="1"/>
                        <wps:spPr>
                          <a:xfrm>
                            <a:off x="1784" y="1872"/>
                            <a:ext cx="3240" cy="46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5899E45" w14:textId="77777777" w:rsidR="003D6A63" w:rsidRDefault="00000000">
                              <w:pPr>
                                <w:jc w:val="center"/>
                                <w:rPr>
                                  <w:szCs w:val="21"/>
                                </w:rPr>
                              </w:pPr>
                              <w:r>
                                <w:rPr>
                                  <w:rFonts w:hint="eastAsia"/>
                                  <w:szCs w:val="21"/>
                                </w:rPr>
                                <w:t>划分评价单元</w:t>
                              </w:r>
                            </w:p>
                          </w:txbxContent>
                        </wps:txbx>
                        <wps:bodyPr upright="1"/>
                      </wps:wsp>
                      <wps:wsp>
                        <wps:cNvPr id="65" name="Text Box 689"/>
                        <wps:cNvSpPr txBox="1"/>
                        <wps:spPr>
                          <a:xfrm>
                            <a:off x="1784" y="2808"/>
                            <a:ext cx="324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38A1ED" w14:textId="77777777" w:rsidR="003D6A63" w:rsidRDefault="00000000">
                              <w:pPr>
                                <w:jc w:val="center"/>
                                <w:rPr>
                                  <w:szCs w:val="21"/>
                                </w:rPr>
                              </w:pPr>
                              <w:r>
                                <w:rPr>
                                  <w:rFonts w:hint="eastAsia"/>
                                  <w:szCs w:val="21"/>
                                </w:rPr>
                                <w:t>选择评价方法</w:t>
                              </w:r>
                            </w:p>
                          </w:txbxContent>
                        </wps:txbx>
                        <wps:bodyPr upright="1"/>
                      </wps:wsp>
                      <wps:wsp>
                        <wps:cNvPr id="66" name="Text Box 690"/>
                        <wps:cNvSpPr txBox="1"/>
                        <wps:spPr>
                          <a:xfrm>
                            <a:off x="1784" y="3744"/>
                            <a:ext cx="324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AC8983C" w14:textId="77777777" w:rsidR="003D6A63" w:rsidRDefault="00000000">
                              <w:pPr>
                                <w:jc w:val="center"/>
                                <w:rPr>
                                  <w:szCs w:val="21"/>
                                </w:rPr>
                              </w:pPr>
                              <w:r>
                                <w:rPr>
                                  <w:rFonts w:hint="eastAsia"/>
                                  <w:szCs w:val="21"/>
                                </w:rPr>
                                <w:t>定性评价</w:t>
                              </w:r>
                            </w:p>
                          </w:txbxContent>
                        </wps:txbx>
                        <wps:bodyPr upright="1"/>
                      </wps:wsp>
                      <wps:wsp>
                        <wps:cNvPr id="67" name="Text Box 691"/>
                        <wps:cNvSpPr txBox="1"/>
                        <wps:spPr>
                          <a:xfrm>
                            <a:off x="1784" y="4680"/>
                            <a:ext cx="324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51ACFE4" w14:textId="77777777" w:rsidR="003D6A63" w:rsidRDefault="00000000">
                              <w:pPr>
                                <w:jc w:val="center"/>
                                <w:rPr>
                                  <w:szCs w:val="21"/>
                                </w:rPr>
                              </w:pPr>
                              <w:r>
                                <w:rPr>
                                  <w:rFonts w:hint="eastAsia"/>
                                  <w:szCs w:val="21"/>
                                </w:rPr>
                                <w:t>提出安全对策措施建议</w:t>
                              </w:r>
                            </w:p>
                          </w:txbxContent>
                        </wps:txbx>
                        <wps:bodyPr upright="1"/>
                      </wps:wsp>
                      <wps:wsp>
                        <wps:cNvPr id="68" name="Text Box 692"/>
                        <wps:cNvSpPr txBox="1"/>
                        <wps:spPr>
                          <a:xfrm>
                            <a:off x="1784" y="6550"/>
                            <a:ext cx="3240" cy="46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32E32BF" w14:textId="77777777" w:rsidR="003D6A63" w:rsidRDefault="00000000">
                              <w:pPr>
                                <w:jc w:val="center"/>
                                <w:rPr>
                                  <w:szCs w:val="21"/>
                                </w:rPr>
                              </w:pPr>
                              <w:r>
                                <w:rPr>
                                  <w:rFonts w:hint="eastAsia"/>
                                  <w:szCs w:val="21"/>
                                </w:rPr>
                                <w:t>编制安全现状评价报告</w:t>
                              </w:r>
                            </w:p>
                          </w:txbxContent>
                        </wps:txbx>
                        <wps:bodyPr upright="1"/>
                      </wps:wsp>
                      <wps:wsp>
                        <wps:cNvPr id="69" name="Line 693"/>
                        <wps:cNvCnPr/>
                        <wps:spPr>
                          <a:xfrm>
                            <a:off x="3404" y="466"/>
                            <a:ext cx="1" cy="468"/>
                          </a:xfrm>
                          <a:prstGeom prst="line">
                            <a:avLst/>
                          </a:prstGeom>
                          <a:ln w="9525" cap="flat" cmpd="sng">
                            <a:solidFill>
                              <a:srgbClr val="000000"/>
                            </a:solidFill>
                            <a:prstDash val="solid"/>
                            <a:headEnd type="none" w="med" len="med"/>
                            <a:tailEnd type="triangle" w="med" len="med"/>
                          </a:ln>
                        </wps:spPr>
                        <wps:bodyPr/>
                      </wps:wsp>
                      <wps:wsp>
                        <wps:cNvPr id="91" name="Line 694"/>
                        <wps:cNvCnPr/>
                        <wps:spPr>
                          <a:xfrm>
                            <a:off x="3404" y="1402"/>
                            <a:ext cx="1" cy="468"/>
                          </a:xfrm>
                          <a:prstGeom prst="line">
                            <a:avLst/>
                          </a:prstGeom>
                          <a:ln w="9525" cap="flat" cmpd="sng">
                            <a:solidFill>
                              <a:srgbClr val="000000"/>
                            </a:solidFill>
                            <a:prstDash val="solid"/>
                            <a:headEnd type="none" w="med" len="med"/>
                            <a:tailEnd type="triangle" w="med" len="med"/>
                          </a:ln>
                        </wps:spPr>
                        <wps:bodyPr/>
                      </wps:wsp>
                      <wps:wsp>
                        <wps:cNvPr id="92" name="Line 695"/>
                        <wps:cNvCnPr/>
                        <wps:spPr>
                          <a:xfrm>
                            <a:off x="3404" y="2338"/>
                            <a:ext cx="1" cy="468"/>
                          </a:xfrm>
                          <a:prstGeom prst="line">
                            <a:avLst/>
                          </a:prstGeom>
                          <a:ln w="9525" cap="flat" cmpd="sng">
                            <a:solidFill>
                              <a:srgbClr val="000000"/>
                            </a:solidFill>
                            <a:prstDash val="solid"/>
                            <a:headEnd type="none" w="med" len="med"/>
                            <a:tailEnd type="triangle" w="med" len="med"/>
                          </a:ln>
                        </wps:spPr>
                        <wps:bodyPr/>
                      </wps:wsp>
                      <wps:wsp>
                        <wps:cNvPr id="97" name="Line 696"/>
                        <wps:cNvCnPr/>
                        <wps:spPr>
                          <a:xfrm>
                            <a:off x="3404" y="3274"/>
                            <a:ext cx="1" cy="468"/>
                          </a:xfrm>
                          <a:prstGeom prst="line">
                            <a:avLst/>
                          </a:prstGeom>
                          <a:ln w="9525" cap="flat" cmpd="sng">
                            <a:solidFill>
                              <a:srgbClr val="000000"/>
                            </a:solidFill>
                            <a:prstDash val="solid"/>
                            <a:headEnd type="none" w="med" len="med"/>
                            <a:tailEnd type="triangle" w="med" len="med"/>
                          </a:ln>
                        </wps:spPr>
                        <wps:bodyPr/>
                      </wps:wsp>
                      <wps:wsp>
                        <wps:cNvPr id="109" name="Line 697"/>
                        <wps:cNvCnPr/>
                        <wps:spPr>
                          <a:xfrm>
                            <a:off x="3404" y="4210"/>
                            <a:ext cx="1" cy="468"/>
                          </a:xfrm>
                          <a:prstGeom prst="line">
                            <a:avLst/>
                          </a:prstGeom>
                          <a:ln w="9525" cap="flat" cmpd="sng">
                            <a:solidFill>
                              <a:srgbClr val="000000"/>
                            </a:solidFill>
                            <a:prstDash val="solid"/>
                            <a:headEnd type="none" w="med" len="med"/>
                            <a:tailEnd type="triangle" w="med" len="med"/>
                          </a:ln>
                        </wps:spPr>
                        <wps:bodyPr/>
                      </wps:wsp>
                      <wps:wsp>
                        <wps:cNvPr id="112" name="Line 698"/>
                        <wps:cNvCnPr/>
                        <wps:spPr>
                          <a:xfrm>
                            <a:off x="3404" y="5146"/>
                            <a:ext cx="1" cy="468"/>
                          </a:xfrm>
                          <a:prstGeom prst="line">
                            <a:avLst/>
                          </a:prstGeom>
                          <a:ln w="9525" cap="flat" cmpd="sng">
                            <a:solidFill>
                              <a:srgbClr val="000000"/>
                            </a:solidFill>
                            <a:prstDash val="solid"/>
                            <a:headEnd type="none" w="med" len="med"/>
                            <a:tailEnd type="triangle" w="med" len="med"/>
                          </a:ln>
                        </wps:spPr>
                        <wps:bodyPr/>
                      </wps:wsp>
                      <wps:wsp>
                        <wps:cNvPr id="113" name="Line 699"/>
                        <wps:cNvCnPr/>
                        <wps:spPr>
                          <a:xfrm>
                            <a:off x="3404" y="6082"/>
                            <a:ext cx="1" cy="468"/>
                          </a:xfrm>
                          <a:prstGeom prst="line">
                            <a:avLst/>
                          </a:prstGeom>
                          <a:ln w="9525" cap="flat" cmpd="sng">
                            <a:solidFill>
                              <a:srgbClr val="000000"/>
                            </a:solidFill>
                            <a:prstDash val="solid"/>
                            <a:headEnd type="none" w="med" len="med"/>
                            <a:tailEnd type="triangle" w="med" len="med"/>
                          </a:ln>
                        </wps:spPr>
                        <wps:bodyPr/>
                      </wps:wsp>
                    </wpg:wgp>
                  </a:graphicData>
                </a:graphic>
              </wp:inline>
            </w:drawing>
          </mc:Choice>
          <mc:Fallback>
            <w:pict>
              <v:group w14:anchorId="7227C9F8" id="Group 683" o:spid="_x0000_s1026" style="width:360.75pt;height:321.3pt;mso-position-horizontal-relative:char;mso-position-vertical-relative:line" coordsize="7406,7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">
                <v:rect id="AutoShape 684" o:spid="_x0000_s1027" style="position:absolute;width:7406;height:7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" filled="f" stroked="f">
                  <o:lock v:ext="edit" aspectratio="t" text="t"/>
                </v:rect>
                <v:shapetype id="_x0000_t202" coordsize="21600,21600" o:spt="202" path="m,l,21600r21600,l21600,xe">
                  <v:stroke joinstyle="miter"/>
                  <v:path gradientshapeok="t" o:connecttype="rect"/>
                </v:shapetype>
                <v:shape id="Text Box 685" o:spid="_x0000_s1028" type="#_x0000_t202" style="position:absolute;left:1784;width:3240;height: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">
                  <v:textbox>
                    <w:txbxContent>
                      <w:p w14:paraId="5A8DE849" w14:textId="77777777" w:rsidR="003D6A63" w:rsidRDefault="00000000">
                        <w:pPr>
                          <w:jc w:val="center"/>
                          <w:rPr>
                            <w:szCs w:val="21"/>
                          </w:rPr>
                        </w:pPr>
                        <w:r>
                          <w:rPr>
                            <w:rFonts w:hint="eastAsia"/>
                            <w:szCs w:val="21"/>
                          </w:rPr>
                          <w:t>前期准备</w:t>
                        </w:r>
                      </w:p>
                    </w:txbxContent>
                  </v:textbox>
                </v:shape>
                <v:shape id="Text Box 686" o:spid="_x0000_s1029" type="#_x0000_t202" style="position:absolute;left:1784;top:936;width:3240;height: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">
                  <v:textbox>
                    <w:txbxContent>
                      <w:p w14:paraId="7530EE42" w14:textId="77777777" w:rsidR="003D6A63" w:rsidRDefault="00000000">
                        <w:pPr>
                          <w:jc w:val="center"/>
                          <w:rPr>
                            <w:szCs w:val="21"/>
                          </w:rPr>
                        </w:pPr>
                        <w:r>
                          <w:rPr>
                            <w:rFonts w:hint="eastAsia"/>
                            <w:szCs w:val="21"/>
                          </w:rPr>
                          <w:t>辨识与分析危险、有害因素</w:t>
                        </w:r>
                      </w:p>
                    </w:txbxContent>
                  </v:textbox>
                </v:shape>
                <v:shape id="Text Box 687" o:spid="_x0000_s1030" type="#_x0000_t202" style="position:absolute;left:1784;top:5616;width:3240;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">
                  <v:textbox>
                    <w:txbxContent>
                      <w:p w14:paraId="0A274D73" w14:textId="77777777" w:rsidR="003D6A63" w:rsidRDefault="00000000">
                        <w:pPr>
                          <w:jc w:val="center"/>
                          <w:rPr>
                            <w:szCs w:val="21"/>
                          </w:rPr>
                        </w:pPr>
                        <w:r>
                          <w:rPr>
                            <w:rFonts w:hint="eastAsia"/>
                            <w:szCs w:val="21"/>
                          </w:rPr>
                          <w:t>做出评价结论</w:t>
                        </w:r>
                      </w:p>
                    </w:txbxContent>
                  </v:textbox>
                </v:shape>
                <v:shape id="Text Box 688" o:spid="_x0000_s1031" type="#_x0000_t202" style="position:absolute;left:1784;top:1872;width:3240;height: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">
                  <v:textbox>
                    <w:txbxContent>
                      <w:p w14:paraId="55899E45" w14:textId="77777777" w:rsidR="003D6A63" w:rsidRDefault="00000000">
                        <w:pPr>
                          <w:jc w:val="center"/>
                          <w:rPr>
                            <w:szCs w:val="21"/>
                          </w:rPr>
                        </w:pPr>
                        <w:r>
                          <w:rPr>
                            <w:rFonts w:hint="eastAsia"/>
                            <w:szCs w:val="21"/>
                          </w:rPr>
                          <w:t>划分评价单元</w:t>
                        </w:r>
                      </w:p>
                    </w:txbxContent>
                  </v:textbox>
                </v:shape>
                <v:shape id="Text Box 689" o:spid="_x0000_s1032" type="#_x0000_t202" style="position:absolute;left:1784;top:2808;width:324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">
                  <v:textbox>
                    <w:txbxContent>
                      <w:p w14:paraId="0738A1ED" w14:textId="77777777" w:rsidR="003D6A63" w:rsidRDefault="00000000">
                        <w:pPr>
                          <w:jc w:val="center"/>
                          <w:rPr>
                            <w:szCs w:val="21"/>
                          </w:rPr>
                        </w:pPr>
                        <w:r>
                          <w:rPr>
                            <w:rFonts w:hint="eastAsia"/>
                            <w:szCs w:val="21"/>
                          </w:rPr>
                          <w:t>选择评价方法</w:t>
                        </w:r>
                      </w:p>
                    </w:txbxContent>
                  </v:textbox>
                </v:shape>
                <v:shape id="Text Box 690" o:spid="_x0000_s1033" type="#_x0000_t202" style="position:absolute;left:1784;top:3744;width:324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">
                  <v:textbox>
                    <w:txbxContent>
                      <w:p w14:paraId="3AC8983C" w14:textId="77777777" w:rsidR="003D6A63" w:rsidRDefault="00000000">
                        <w:pPr>
                          <w:jc w:val="center"/>
                          <w:rPr>
                            <w:szCs w:val="21"/>
                          </w:rPr>
                        </w:pPr>
                        <w:r>
                          <w:rPr>
                            <w:rFonts w:hint="eastAsia"/>
                            <w:szCs w:val="21"/>
                          </w:rPr>
                          <w:t>定性评价</w:t>
                        </w:r>
                      </w:p>
                    </w:txbxContent>
                  </v:textbox>
                </v:shape>
                <v:shape id="Text Box 691" o:spid="_x0000_s1034" type="#_x0000_t202" style="position:absolute;left:1784;top:4680;width:324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">
                  <v:textbox>
                    <w:txbxContent>
                      <w:p w14:paraId="551ACFE4" w14:textId="77777777" w:rsidR="003D6A63" w:rsidRDefault="00000000">
                        <w:pPr>
                          <w:jc w:val="center"/>
                          <w:rPr>
                            <w:szCs w:val="21"/>
                          </w:rPr>
                        </w:pPr>
                        <w:r>
                          <w:rPr>
                            <w:rFonts w:hint="eastAsia"/>
                            <w:szCs w:val="21"/>
                          </w:rPr>
                          <w:t>提出安全对策措施建议</w:t>
                        </w:r>
                      </w:p>
                    </w:txbxContent>
                  </v:textbox>
                </v:shape>
                <v:shape id="Text Box 692" o:spid="_x0000_s1035" type="#_x0000_t202" style="position:absolute;left:1784;top:6550;width:3240;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">
                  <v:textbox>
                    <w:txbxContent>
                      <w:p w14:paraId="032E32BF" w14:textId="77777777" w:rsidR="003D6A63" w:rsidRDefault="00000000">
                        <w:pPr>
                          <w:jc w:val="center"/>
                          <w:rPr>
                            <w:szCs w:val="21"/>
                          </w:rPr>
                        </w:pPr>
                        <w:r>
                          <w:rPr>
                            <w:rFonts w:hint="eastAsia"/>
                            <w:szCs w:val="21"/>
                          </w:rPr>
                          <w:t>编制安全现状评价报告</w:t>
                        </w:r>
                      </w:p>
                    </w:txbxContent>
                  </v:textbox>
                </v:shape>
                <v:line id="Line 693" o:spid="_x0000_s1036" style="position:absolute;visibility:visible;mso-wrap-style:square" from="3404,466" to="3405,9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">
                  <v:stroke endarrow="block"/>
                </v:line>
                <v:line id="Line 694" o:spid="_x0000_s1037" style="position:absolute;visibility:visible;mso-wrap-style:square" from="3404,1402" to="3405,1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">
                  <v:stroke endarrow="block"/>
                </v:line>
                <v:line id="Line 695" o:spid="_x0000_s1038" style="position:absolute;visibility:visible;mso-wrap-style:square" from="3404,2338" to="3405,2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">
                  <v:stroke endarrow="block"/>
                </v:line>
                <v:line id="Line 696" o:spid="_x0000_s1039" style="position:absolute;visibility:visible;mso-wrap-style:square" from="3404,3274" to="3405,3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">
                  <v:stroke endarrow="block"/>
                </v:line>
                <v:line id="Line 697" o:spid="_x0000_s1040" style="position:absolute;visibility:visible;mso-wrap-style:square" from="3404,4210" to="3405,4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">
                  <v:stroke endarrow="block"/>
                </v:line>
                <v:line id="Line 698" o:spid="_x0000_s1041" style="position:absolute;visibility:visible;mso-wrap-style:square" from="3404,5146" to="3405,56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">
                  <v:stroke endarrow="block"/>
                </v:line>
                <v:line id="Line 699" o:spid="_x0000_s1042" style="position:absolute;visibility:visible;mso-wrap-style:square" from="3404,6082" to="3405,6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">
                  <v:stroke endarrow="block"/>
                </v:line>
                <w10:anchorlock/>
              </v:group>
            </w:pict>
          </mc:Fallback>
        </mc:AlternateContent>
      </w:r>
    </w:p>
    <w:p w14:paraId="48D7389C" w14:textId="77777777" w:rsidR="003D6A63" w:rsidRDefault="00000000">
      <w:pPr>
        <w:pStyle w:val="nlw0"/>
        <w:spacing w:after="120"/>
      </w:pPr>
      <w:r>
        <w:t>图</w:t>
      </w:r>
      <w:r>
        <w:t>1.4-1</w:t>
      </w:r>
      <w:r>
        <w:t>安全现状评价程序框图</w:t>
      </w:r>
    </w:p>
    <w:p w14:paraId="03A39B0F" w14:textId="77777777" w:rsidR="003D6A63" w:rsidRDefault="00000000">
      <w:pPr>
        <w:pStyle w:val="nlw10"/>
        <w:jc w:val="center"/>
        <w:rPr>
          <w:rFonts w:ascii="Times New Roman" w:hAnsi="Times New Roman"/>
          <w:kern w:val="44"/>
          <w:szCs w:val="44"/>
        </w:rPr>
      </w:pPr>
      <w:r>
        <w:rPr>
          <w:rFonts w:ascii="Times New Roman" w:hAnsi="Times New Roman"/>
        </w:rPr>
        <w:br w:type="page"/>
      </w:r>
      <w:bookmarkStart w:id="44" w:name="_Toc14127"/>
      <w:r>
        <w:rPr>
          <w:rFonts w:ascii="Times New Roman" w:hAnsi="Times New Roman" w:hint="eastAsia"/>
          <w:kern w:val="44"/>
          <w:szCs w:val="44"/>
        </w:rPr>
        <w:lastRenderedPageBreak/>
        <w:t xml:space="preserve">2  </w:t>
      </w:r>
      <w:bookmarkStart w:id="45" w:name="_Toc26990"/>
      <w:bookmarkEnd w:id="42"/>
      <w:bookmarkEnd w:id="43"/>
      <w:r>
        <w:rPr>
          <w:rFonts w:ascii="Times New Roman" w:hAnsi="Times New Roman" w:hint="eastAsia"/>
          <w:kern w:val="44"/>
          <w:szCs w:val="44"/>
        </w:rPr>
        <w:t>项目概况</w:t>
      </w:r>
      <w:bookmarkEnd w:id="44"/>
      <w:bookmarkEnd w:id="45"/>
    </w:p>
    <w:p w14:paraId="36802E85" w14:textId="77777777" w:rsidR="003D6A63" w:rsidRDefault="00000000">
      <w:pPr>
        <w:pStyle w:val="2"/>
        <w:keepNext w:val="0"/>
        <w:keepLines w:val="0"/>
        <w:adjustRightInd w:val="0"/>
        <w:snapToGrid w:val="0"/>
        <w:spacing w:before="0" w:after="0" w:line="360" w:lineRule="auto"/>
        <w:ind w:firstLine="200"/>
        <w:rPr>
          <w:rFonts w:ascii="Times New Roman" w:hAnsi="Times New Roman"/>
          <w:b w:val="0"/>
          <w:spacing w:val="0"/>
          <w:sz w:val="28"/>
        </w:rPr>
      </w:pPr>
      <w:bookmarkStart w:id="46" w:name="_Toc300905635"/>
      <w:bookmarkStart w:id="47" w:name="_Toc298867849"/>
      <w:bookmarkStart w:id="48" w:name="_Toc77121660"/>
      <w:bookmarkStart w:id="49" w:name="_Toc11314"/>
      <w:r>
        <w:rPr>
          <w:rFonts w:ascii="Times New Roman" w:hAnsi="Times New Roman" w:hint="eastAsia"/>
          <w:b w:val="0"/>
          <w:spacing w:val="0"/>
          <w:sz w:val="28"/>
        </w:rPr>
        <w:t xml:space="preserve">2.1 </w:t>
      </w:r>
      <w:bookmarkEnd w:id="46"/>
      <w:bookmarkEnd w:id="47"/>
      <w:bookmarkEnd w:id="48"/>
      <w:r>
        <w:rPr>
          <w:rFonts w:ascii="Times New Roman" w:hAnsi="Times New Roman" w:hint="eastAsia"/>
          <w:b w:val="0"/>
          <w:spacing w:val="0"/>
          <w:sz w:val="28"/>
        </w:rPr>
        <w:t xml:space="preserve"> </w:t>
      </w:r>
      <w:r>
        <w:rPr>
          <w:rFonts w:ascii="Times New Roman" w:hAnsi="Times New Roman" w:hint="eastAsia"/>
          <w:b w:val="0"/>
          <w:spacing w:val="0"/>
          <w:sz w:val="28"/>
        </w:rPr>
        <w:t>企业基本情况</w:t>
      </w:r>
      <w:bookmarkEnd w:id="49"/>
    </w:p>
    <w:p w14:paraId="6E857443" w14:textId="77777777" w:rsidR="003D6A63" w:rsidRDefault="00000000">
      <w:pPr>
        <w:pStyle w:val="3"/>
        <w:keepNext w:val="0"/>
        <w:keepLines w:val="0"/>
        <w:adjustRightInd w:val="0"/>
        <w:snapToGrid w:val="0"/>
        <w:spacing w:before="0" w:after="0" w:line="360" w:lineRule="auto"/>
        <w:ind w:firstLine="200"/>
        <w:rPr>
          <w:rFonts w:eastAsia="黑体"/>
          <w:b w:val="0"/>
          <w:spacing w:val="0"/>
          <w:sz w:val="24"/>
          <w:szCs w:val="24"/>
        </w:rPr>
      </w:pPr>
      <w:r>
        <w:rPr>
          <w:rFonts w:eastAsia="黑体" w:hint="eastAsia"/>
          <w:b w:val="0"/>
          <w:spacing w:val="0"/>
          <w:sz w:val="24"/>
          <w:szCs w:val="24"/>
        </w:rPr>
        <w:t xml:space="preserve">2.1.1  </w:t>
      </w:r>
      <w:r>
        <w:rPr>
          <w:rFonts w:eastAsia="黑体" w:hint="eastAsia"/>
          <w:b w:val="0"/>
          <w:spacing w:val="0"/>
          <w:sz w:val="24"/>
          <w:szCs w:val="24"/>
        </w:rPr>
        <w:t>企业简介</w:t>
      </w:r>
    </w:p>
    <w:p w14:paraId="10CA2747" w14:textId="77777777" w:rsidR="003D6A63" w:rsidRDefault="00000000">
      <w:pPr>
        <w:pStyle w:val="4"/>
        <w:keepNext w:val="0"/>
        <w:keepLines w:val="0"/>
        <w:adjustRightInd w:val="0"/>
        <w:snapToGrid w:val="0"/>
        <w:spacing w:before="0" w:after="0" w:line="360" w:lineRule="auto"/>
        <w:ind w:firstLine="200"/>
        <w:rPr>
          <w:rFonts w:ascii="Times New Roman" w:eastAsia="宋体" w:hAnsi="Times New Roman"/>
          <w:sz w:val="24"/>
        </w:rPr>
      </w:pPr>
      <w:r>
        <w:rPr>
          <w:rFonts w:ascii="Times New Roman" w:eastAsia="宋体" w:hAnsi="Times New Roman" w:hint="eastAsia"/>
          <w:sz w:val="24"/>
        </w:rPr>
        <w:t xml:space="preserve">2.1.1.1 </w:t>
      </w:r>
      <w:r>
        <w:rPr>
          <w:rFonts w:ascii="Times New Roman" w:eastAsia="宋体" w:hAnsi="Times New Roman" w:hint="eastAsia"/>
          <w:sz w:val="24"/>
        </w:rPr>
        <w:t>企业主要信息</w:t>
      </w:r>
    </w:p>
    <w:p w14:paraId="365188DD" w14:textId="77777777" w:rsidR="003D6A63" w:rsidRDefault="00000000">
      <w:pPr>
        <w:pStyle w:val="nlw1"/>
        <w:adjustRightInd w:val="0"/>
        <w:snapToGrid w:val="0"/>
        <w:spacing w:line="360" w:lineRule="auto"/>
        <w:ind w:firstLine="480"/>
        <w:rPr>
          <w:rFonts w:ascii="Times New Roman" w:hAnsi="Times New Roman"/>
          <w:color w:val="000000" w:themeColor="text1"/>
          <w:sz w:val="24"/>
          <w:szCs w:val="24"/>
        </w:rPr>
      </w:pPr>
      <w:bookmarkStart w:id="50" w:name="_Hlk32965195"/>
      <w:bookmarkStart w:id="51" w:name="_Hlk41655884"/>
      <w:r>
        <w:rPr>
          <w:rFonts w:ascii="Times New Roman" w:hAnsi="Times New Roman"/>
          <w:color w:val="000000" w:themeColor="text1"/>
          <w:sz w:val="24"/>
          <w:szCs w:val="24"/>
          <w:lang w:val="en-US"/>
        </w:rPr>
        <w:t>涉及企业机密，不予公开。</w:t>
      </w:r>
    </w:p>
    <w:bookmarkEnd w:id="50"/>
    <w:bookmarkEnd w:id="51"/>
    <w:p w14:paraId="70FC575B" w14:textId="77777777" w:rsidR="003D6A63" w:rsidRDefault="00000000">
      <w:pPr>
        <w:pStyle w:val="4"/>
        <w:keepNext w:val="0"/>
        <w:keepLines w:val="0"/>
        <w:adjustRightInd w:val="0"/>
        <w:snapToGrid w:val="0"/>
        <w:spacing w:before="0" w:after="0" w:line="360" w:lineRule="auto"/>
        <w:ind w:firstLine="198"/>
        <w:rPr>
          <w:rFonts w:ascii="Times New Roman" w:eastAsia="宋体" w:hAnsi="Times New Roman"/>
          <w:sz w:val="24"/>
        </w:rPr>
      </w:pPr>
      <w:r>
        <w:rPr>
          <w:rFonts w:ascii="Times New Roman" w:eastAsia="宋体" w:hAnsi="Times New Roman" w:hint="eastAsia"/>
          <w:sz w:val="24"/>
        </w:rPr>
        <w:t xml:space="preserve">2.1.1.2 </w:t>
      </w:r>
      <w:r>
        <w:rPr>
          <w:rFonts w:ascii="Times New Roman" w:eastAsia="宋体" w:hAnsi="Times New Roman" w:hint="eastAsia"/>
          <w:sz w:val="24"/>
        </w:rPr>
        <w:t>企业概况</w:t>
      </w:r>
    </w:p>
    <w:p w14:paraId="1BB02C6E" w14:textId="77777777" w:rsidR="003D6A63" w:rsidRDefault="00000000">
      <w:pPr>
        <w:autoSpaceDE w:val="0"/>
        <w:adjustRightInd w:val="0"/>
        <w:snapToGrid w:val="0"/>
        <w:spacing w:line="360" w:lineRule="auto"/>
        <w:ind w:firstLineChars="200" w:firstLine="480"/>
        <w:rPr>
          <w:kern w:val="0"/>
          <w:sz w:val="24"/>
        </w:rPr>
      </w:pPr>
      <w:r>
        <w:rPr>
          <w:rFonts w:hint="eastAsia"/>
          <w:kern w:val="0"/>
          <w:sz w:val="24"/>
        </w:rPr>
        <w:t>中胜公司成立于</w:t>
      </w:r>
      <w:r>
        <w:rPr>
          <w:rFonts w:hint="eastAsia"/>
          <w:kern w:val="0"/>
          <w:sz w:val="24"/>
        </w:rPr>
        <w:t>1998</w:t>
      </w:r>
      <w:r>
        <w:rPr>
          <w:rFonts w:hint="eastAsia"/>
          <w:kern w:val="0"/>
          <w:sz w:val="24"/>
        </w:rPr>
        <w:t>年</w:t>
      </w:r>
      <w:r>
        <w:rPr>
          <w:rFonts w:hint="eastAsia"/>
          <w:kern w:val="0"/>
          <w:sz w:val="24"/>
        </w:rPr>
        <w:t>6</w:t>
      </w:r>
      <w:r>
        <w:rPr>
          <w:rFonts w:hint="eastAsia"/>
          <w:kern w:val="0"/>
          <w:sz w:val="24"/>
        </w:rPr>
        <w:t>月，注册资本</w:t>
      </w:r>
      <w:r>
        <w:rPr>
          <w:rFonts w:hint="eastAsia"/>
          <w:kern w:val="0"/>
          <w:sz w:val="24"/>
        </w:rPr>
        <w:t>5000</w:t>
      </w:r>
      <w:r>
        <w:rPr>
          <w:rFonts w:hint="eastAsia"/>
          <w:kern w:val="0"/>
          <w:sz w:val="24"/>
        </w:rPr>
        <w:t>万元，由中国石油化工股份有限公司、胜利油田中胜实业有限公司、胜利油田新海兴达实业集团有限责任公司等三家股东组成。</w:t>
      </w:r>
      <w:bookmarkStart w:id="52" w:name="_Hlk32965123"/>
      <w:r>
        <w:rPr>
          <w:rFonts w:hint="eastAsia"/>
          <w:kern w:val="0"/>
          <w:sz w:val="24"/>
        </w:rPr>
        <w:t>中胜公司下设机关部室</w:t>
      </w:r>
      <w:r>
        <w:rPr>
          <w:rFonts w:hint="eastAsia"/>
          <w:kern w:val="0"/>
          <w:sz w:val="24"/>
        </w:rPr>
        <w:t>8</w:t>
      </w:r>
      <w:r>
        <w:rPr>
          <w:rFonts w:hint="eastAsia"/>
          <w:kern w:val="0"/>
          <w:sz w:val="24"/>
        </w:rPr>
        <w:t>个，共拥有</w:t>
      </w:r>
      <w:r>
        <w:rPr>
          <w:rFonts w:hint="eastAsia"/>
          <w:kern w:val="0"/>
          <w:sz w:val="24"/>
        </w:rPr>
        <w:t>3</w:t>
      </w:r>
      <w:r>
        <w:rPr>
          <w:rFonts w:hint="eastAsia"/>
          <w:kern w:val="0"/>
          <w:sz w:val="24"/>
        </w:rPr>
        <w:t>个开发区（城中开发区、滨南开发区和高青开发区），</w:t>
      </w:r>
      <w:r>
        <w:rPr>
          <w:kern w:val="0"/>
          <w:sz w:val="24"/>
        </w:rPr>
        <w:t>8</w:t>
      </w:r>
      <w:r>
        <w:rPr>
          <w:rFonts w:hint="eastAsia"/>
          <w:kern w:val="0"/>
          <w:sz w:val="24"/>
        </w:rPr>
        <w:t>个开发区块（河</w:t>
      </w:r>
      <w:r>
        <w:rPr>
          <w:kern w:val="0"/>
          <w:sz w:val="24"/>
        </w:rPr>
        <w:t>67</w:t>
      </w:r>
      <w:r>
        <w:rPr>
          <w:rFonts w:hint="eastAsia"/>
          <w:kern w:val="0"/>
          <w:sz w:val="24"/>
        </w:rPr>
        <w:t>、牛</w:t>
      </w:r>
      <w:r>
        <w:rPr>
          <w:kern w:val="0"/>
          <w:sz w:val="24"/>
        </w:rPr>
        <w:t>1-B</w:t>
      </w:r>
      <w:r>
        <w:rPr>
          <w:rFonts w:hint="eastAsia"/>
          <w:kern w:val="0"/>
          <w:sz w:val="24"/>
        </w:rPr>
        <w:t>、牛</w:t>
      </w:r>
      <w:r>
        <w:rPr>
          <w:kern w:val="0"/>
          <w:sz w:val="24"/>
        </w:rPr>
        <w:t>108</w:t>
      </w:r>
      <w:r>
        <w:rPr>
          <w:rFonts w:hint="eastAsia"/>
          <w:kern w:val="0"/>
          <w:sz w:val="24"/>
        </w:rPr>
        <w:t>、梁</w:t>
      </w:r>
      <w:r>
        <w:rPr>
          <w:kern w:val="0"/>
          <w:sz w:val="24"/>
        </w:rPr>
        <w:t>229</w:t>
      </w:r>
      <w:r>
        <w:rPr>
          <w:rFonts w:hint="eastAsia"/>
          <w:kern w:val="0"/>
          <w:sz w:val="24"/>
        </w:rPr>
        <w:t>、高</w:t>
      </w:r>
      <w:r>
        <w:rPr>
          <w:kern w:val="0"/>
          <w:sz w:val="24"/>
        </w:rPr>
        <w:t>20</w:t>
      </w:r>
      <w:r>
        <w:rPr>
          <w:rFonts w:hint="eastAsia"/>
          <w:kern w:val="0"/>
          <w:sz w:val="24"/>
        </w:rPr>
        <w:t>、滨</w:t>
      </w:r>
      <w:r>
        <w:rPr>
          <w:kern w:val="0"/>
          <w:sz w:val="24"/>
        </w:rPr>
        <w:t>603</w:t>
      </w:r>
      <w:r>
        <w:rPr>
          <w:rFonts w:hint="eastAsia"/>
          <w:kern w:val="0"/>
          <w:sz w:val="24"/>
        </w:rPr>
        <w:t>、纯</w:t>
      </w:r>
      <w:r>
        <w:rPr>
          <w:kern w:val="0"/>
          <w:sz w:val="24"/>
        </w:rPr>
        <w:t>37</w:t>
      </w:r>
      <w:r>
        <w:rPr>
          <w:rFonts w:hint="eastAsia"/>
          <w:kern w:val="0"/>
          <w:sz w:val="24"/>
        </w:rPr>
        <w:t>和林</w:t>
      </w:r>
      <w:r>
        <w:rPr>
          <w:kern w:val="0"/>
          <w:sz w:val="24"/>
        </w:rPr>
        <w:t>102</w:t>
      </w:r>
      <w:r>
        <w:rPr>
          <w:rFonts w:hint="eastAsia"/>
          <w:kern w:val="0"/>
          <w:sz w:val="24"/>
        </w:rPr>
        <w:t>），主要分布在东营市东营区、淄博市高青县和滨州市等地。现有在岗职工</w:t>
      </w:r>
      <w:r>
        <w:rPr>
          <w:rFonts w:hint="eastAsia"/>
          <w:kern w:val="0"/>
          <w:sz w:val="24"/>
        </w:rPr>
        <w:t>132</w:t>
      </w:r>
      <w:r>
        <w:rPr>
          <w:rFonts w:hint="eastAsia"/>
          <w:kern w:val="0"/>
          <w:sz w:val="24"/>
        </w:rPr>
        <w:t>人，安全总监</w:t>
      </w:r>
      <w:r>
        <w:rPr>
          <w:kern w:val="0"/>
          <w:sz w:val="24"/>
        </w:rPr>
        <w:t>1</w:t>
      </w:r>
      <w:r>
        <w:rPr>
          <w:rFonts w:hint="eastAsia"/>
          <w:kern w:val="0"/>
          <w:sz w:val="24"/>
        </w:rPr>
        <w:t>人，专职安全管理人员</w:t>
      </w:r>
      <w:r>
        <w:rPr>
          <w:rFonts w:hint="eastAsia"/>
          <w:kern w:val="0"/>
          <w:sz w:val="24"/>
        </w:rPr>
        <w:t>2</w:t>
      </w:r>
      <w:r>
        <w:rPr>
          <w:rFonts w:hint="eastAsia"/>
          <w:kern w:val="0"/>
          <w:sz w:val="24"/>
        </w:rPr>
        <w:t>人。</w:t>
      </w:r>
    </w:p>
    <w:p w14:paraId="50A540DE" w14:textId="77777777" w:rsidR="003D6A63" w:rsidRDefault="00000000">
      <w:pPr>
        <w:autoSpaceDE w:val="0"/>
        <w:adjustRightInd w:val="0"/>
        <w:snapToGrid w:val="0"/>
        <w:spacing w:line="360" w:lineRule="auto"/>
        <w:ind w:firstLineChars="200" w:firstLine="480"/>
        <w:rPr>
          <w:kern w:val="0"/>
          <w:sz w:val="24"/>
        </w:rPr>
      </w:pPr>
      <w:r>
        <w:rPr>
          <w:rFonts w:hint="eastAsia"/>
          <w:kern w:val="0"/>
          <w:sz w:val="24"/>
        </w:rPr>
        <w:t>中胜公司目前共有油井</w:t>
      </w:r>
      <w:r>
        <w:rPr>
          <w:rFonts w:hint="eastAsia"/>
          <w:kern w:val="0"/>
          <w:sz w:val="24"/>
        </w:rPr>
        <w:t>128</w:t>
      </w:r>
      <w:r>
        <w:rPr>
          <w:rFonts w:hint="eastAsia"/>
          <w:kern w:val="0"/>
          <w:sz w:val="24"/>
        </w:rPr>
        <w:t>口（开井</w:t>
      </w:r>
      <w:r>
        <w:rPr>
          <w:rFonts w:hint="eastAsia"/>
          <w:kern w:val="0"/>
          <w:sz w:val="24"/>
        </w:rPr>
        <w:t>101</w:t>
      </w:r>
      <w:r>
        <w:rPr>
          <w:rFonts w:hint="eastAsia"/>
          <w:kern w:val="0"/>
          <w:sz w:val="24"/>
        </w:rPr>
        <w:t>口、关井</w:t>
      </w:r>
      <w:r>
        <w:rPr>
          <w:rFonts w:hint="eastAsia"/>
          <w:kern w:val="0"/>
          <w:sz w:val="24"/>
        </w:rPr>
        <w:t>27</w:t>
      </w:r>
      <w:r>
        <w:rPr>
          <w:rFonts w:hint="eastAsia"/>
          <w:kern w:val="0"/>
          <w:sz w:val="24"/>
        </w:rPr>
        <w:t>口）、水井</w:t>
      </w:r>
      <w:r>
        <w:rPr>
          <w:rFonts w:hint="eastAsia"/>
          <w:kern w:val="0"/>
          <w:sz w:val="24"/>
        </w:rPr>
        <w:t>52</w:t>
      </w:r>
      <w:r>
        <w:rPr>
          <w:rFonts w:hint="eastAsia"/>
          <w:kern w:val="0"/>
          <w:sz w:val="24"/>
        </w:rPr>
        <w:t>口（开井</w:t>
      </w:r>
      <w:r>
        <w:rPr>
          <w:rFonts w:hint="eastAsia"/>
          <w:kern w:val="0"/>
          <w:sz w:val="24"/>
        </w:rPr>
        <w:t>39</w:t>
      </w:r>
      <w:r>
        <w:rPr>
          <w:rFonts w:hint="eastAsia"/>
          <w:kern w:val="0"/>
          <w:sz w:val="24"/>
        </w:rPr>
        <w:t>口、关井</w:t>
      </w:r>
      <w:r>
        <w:rPr>
          <w:rFonts w:hint="eastAsia"/>
          <w:kern w:val="0"/>
          <w:sz w:val="24"/>
        </w:rPr>
        <w:t>13</w:t>
      </w:r>
      <w:r>
        <w:rPr>
          <w:rFonts w:hint="eastAsia"/>
          <w:kern w:val="0"/>
          <w:sz w:val="24"/>
        </w:rPr>
        <w:t>口）</w:t>
      </w:r>
      <w:bookmarkEnd w:id="52"/>
      <w:r>
        <w:rPr>
          <w:rFonts w:hint="eastAsia"/>
          <w:kern w:val="0"/>
          <w:sz w:val="24"/>
        </w:rPr>
        <w:t>、废弃井</w:t>
      </w:r>
      <w:r>
        <w:rPr>
          <w:rFonts w:hint="eastAsia"/>
          <w:kern w:val="0"/>
          <w:sz w:val="24"/>
        </w:rPr>
        <w:t>46</w:t>
      </w:r>
      <w:r>
        <w:rPr>
          <w:rFonts w:hint="eastAsia"/>
          <w:kern w:val="0"/>
          <w:sz w:val="24"/>
        </w:rPr>
        <w:t>口、长停井</w:t>
      </w:r>
      <w:r>
        <w:rPr>
          <w:rFonts w:hint="eastAsia"/>
          <w:kern w:val="0"/>
          <w:sz w:val="24"/>
        </w:rPr>
        <w:t>35</w:t>
      </w:r>
      <w:r>
        <w:rPr>
          <w:rFonts w:hint="eastAsia"/>
          <w:kern w:val="0"/>
          <w:sz w:val="24"/>
        </w:rPr>
        <w:t>口。</w:t>
      </w:r>
    </w:p>
    <w:p w14:paraId="6EB6545F" w14:textId="77777777" w:rsidR="003D6A63" w:rsidRDefault="00000000">
      <w:pPr>
        <w:pStyle w:val="3"/>
        <w:keepNext w:val="0"/>
        <w:keepLines w:val="0"/>
        <w:adjustRightInd w:val="0"/>
        <w:snapToGrid w:val="0"/>
        <w:spacing w:before="0" w:after="0" w:line="360" w:lineRule="auto"/>
        <w:ind w:firstLine="200"/>
        <w:rPr>
          <w:rFonts w:eastAsia="黑体"/>
          <w:b w:val="0"/>
          <w:spacing w:val="0"/>
          <w:sz w:val="24"/>
          <w:szCs w:val="24"/>
        </w:rPr>
      </w:pPr>
      <w:r>
        <w:rPr>
          <w:rFonts w:eastAsia="黑体" w:hint="eastAsia"/>
          <w:b w:val="0"/>
          <w:spacing w:val="0"/>
          <w:sz w:val="24"/>
          <w:szCs w:val="24"/>
        </w:rPr>
        <w:t xml:space="preserve">2.1.2  </w:t>
      </w:r>
      <w:r>
        <w:rPr>
          <w:rFonts w:eastAsia="黑体" w:hint="eastAsia"/>
          <w:b w:val="0"/>
          <w:spacing w:val="0"/>
          <w:sz w:val="24"/>
          <w:szCs w:val="24"/>
        </w:rPr>
        <w:t>组织机构</w:t>
      </w:r>
    </w:p>
    <w:p w14:paraId="63CFA48A" w14:textId="77777777" w:rsidR="003D6A63" w:rsidRDefault="00000000">
      <w:pPr>
        <w:pStyle w:val="nlw1"/>
        <w:adjustRightInd w:val="0"/>
        <w:snapToGrid w:val="0"/>
        <w:spacing w:line="360" w:lineRule="auto"/>
        <w:ind w:firstLine="480"/>
        <w:rPr>
          <w:rFonts w:ascii="Times New Roman" w:hAnsi="Times New Roman"/>
          <w:color w:val="000000" w:themeColor="text1"/>
          <w:sz w:val="24"/>
          <w:szCs w:val="24"/>
        </w:rPr>
      </w:pPr>
      <w:r>
        <w:rPr>
          <w:rFonts w:ascii="Times New Roman" w:hAnsi="Times New Roman"/>
          <w:color w:val="000000" w:themeColor="text1"/>
          <w:sz w:val="24"/>
          <w:szCs w:val="24"/>
          <w:lang w:val="en-US"/>
        </w:rPr>
        <w:t>涉及企业机密，不予公开。</w:t>
      </w:r>
    </w:p>
    <w:p w14:paraId="2FE82EDB" w14:textId="77777777" w:rsidR="003D6A63" w:rsidRDefault="00000000">
      <w:pPr>
        <w:pStyle w:val="4"/>
        <w:keepNext w:val="0"/>
        <w:keepLines w:val="0"/>
        <w:adjustRightInd w:val="0"/>
        <w:snapToGrid w:val="0"/>
        <w:spacing w:before="0" w:after="0" w:line="360" w:lineRule="auto"/>
        <w:rPr>
          <w:rFonts w:ascii="Times New Roman" w:eastAsia="宋体" w:hAnsi="Times New Roman"/>
          <w:sz w:val="24"/>
        </w:rPr>
      </w:pPr>
      <w:r>
        <w:rPr>
          <w:rFonts w:ascii="Times New Roman" w:eastAsia="宋体" w:hAnsi="Times New Roman" w:hint="eastAsia"/>
          <w:sz w:val="24"/>
        </w:rPr>
        <w:t xml:space="preserve">2.1.2.1  </w:t>
      </w:r>
      <w:r>
        <w:rPr>
          <w:rFonts w:ascii="Times New Roman" w:eastAsia="宋体" w:hAnsi="Times New Roman" w:hint="eastAsia"/>
          <w:sz w:val="24"/>
        </w:rPr>
        <w:t>城中开发区</w:t>
      </w:r>
    </w:p>
    <w:p w14:paraId="795A5089" w14:textId="77777777" w:rsidR="003D6A63" w:rsidRDefault="00000000">
      <w:pPr>
        <w:pStyle w:val="affffffffff2"/>
        <w:adjustRightInd w:val="0"/>
        <w:snapToGrid w:val="0"/>
        <w:ind w:firstLine="480"/>
      </w:pPr>
      <w:r>
        <w:rPr>
          <w:rFonts w:hint="eastAsia"/>
        </w:rPr>
        <w:t>城中开发区位于山东省东营市东营区，员工</w:t>
      </w:r>
      <w:r>
        <w:rPr>
          <w:rFonts w:hint="eastAsia"/>
        </w:rPr>
        <w:t>38</w:t>
      </w:r>
      <w:r>
        <w:rPr>
          <w:rFonts w:hint="eastAsia"/>
        </w:rPr>
        <w:t>人，安全管理人员</w:t>
      </w:r>
      <w:r>
        <w:rPr>
          <w:rFonts w:hint="eastAsia"/>
        </w:rPr>
        <w:t>2</w:t>
      </w:r>
      <w:r>
        <w:rPr>
          <w:rFonts w:hint="eastAsia"/>
        </w:rPr>
        <w:t>人，管理</w:t>
      </w:r>
      <w:r>
        <w:rPr>
          <w:rFonts w:hint="eastAsia"/>
        </w:rPr>
        <w:t>2</w:t>
      </w:r>
      <w:r>
        <w:rPr>
          <w:rFonts w:hint="eastAsia"/>
        </w:rPr>
        <w:t>座计量间、</w:t>
      </w:r>
      <w:r>
        <w:rPr>
          <w:rFonts w:hint="eastAsia"/>
        </w:rPr>
        <w:t>2</w:t>
      </w:r>
      <w:r>
        <w:rPr>
          <w:rFonts w:hint="eastAsia"/>
        </w:rPr>
        <w:t>座配水间，总油井</w:t>
      </w:r>
      <w:r>
        <w:rPr>
          <w:rFonts w:hint="eastAsia"/>
        </w:rPr>
        <w:t>27</w:t>
      </w:r>
      <w:r>
        <w:rPr>
          <w:rFonts w:hint="eastAsia"/>
        </w:rPr>
        <w:t>口，总水井</w:t>
      </w:r>
      <w:r>
        <w:rPr>
          <w:rFonts w:hint="eastAsia"/>
        </w:rPr>
        <w:t>9</w:t>
      </w:r>
      <w:r>
        <w:rPr>
          <w:rFonts w:hint="eastAsia"/>
        </w:rPr>
        <w:t>口；特种设备</w:t>
      </w:r>
      <w:r>
        <w:rPr>
          <w:rFonts w:hint="eastAsia"/>
        </w:rPr>
        <w:t>16</w:t>
      </w:r>
      <w:r>
        <w:rPr>
          <w:rFonts w:hint="eastAsia"/>
        </w:rPr>
        <w:t>台。</w:t>
      </w:r>
    </w:p>
    <w:p w14:paraId="18D094D4" w14:textId="77777777" w:rsidR="003D6A63" w:rsidRDefault="00000000">
      <w:pPr>
        <w:pStyle w:val="4"/>
        <w:keepNext w:val="0"/>
        <w:keepLines w:val="0"/>
        <w:adjustRightInd w:val="0"/>
        <w:snapToGrid w:val="0"/>
        <w:spacing w:before="0" w:after="0" w:line="360" w:lineRule="auto"/>
        <w:rPr>
          <w:rFonts w:ascii="Times New Roman" w:eastAsia="宋体" w:hAnsi="Times New Roman"/>
          <w:sz w:val="24"/>
        </w:rPr>
      </w:pPr>
      <w:r>
        <w:rPr>
          <w:rFonts w:ascii="Times New Roman" w:eastAsia="宋体" w:hAnsi="Times New Roman" w:hint="eastAsia"/>
          <w:sz w:val="24"/>
        </w:rPr>
        <w:t xml:space="preserve">2.1.2.2  </w:t>
      </w:r>
      <w:r>
        <w:rPr>
          <w:rFonts w:ascii="Times New Roman" w:eastAsia="宋体" w:hAnsi="Times New Roman" w:hint="eastAsia"/>
          <w:sz w:val="24"/>
        </w:rPr>
        <w:t>滨南开发区</w:t>
      </w:r>
    </w:p>
    <w:p w14:paraId="14EA42A3" w14:textId="77777777" w:rsidR="003D6A63" w:rsidRDefault="00000000">
      <w:pPr>
        <w:pStyle w:val="affffffffff2"/>
        <w:adjustRightInd w:val="0"/>
        <w:snapToGrid w:val="0"/>
        <w:ind w:firstLine="480"/>
      </w:pPr>
      <w:r>
        <w:rPr>
          <w:rFonts w:hint="eastAsia"/>
        </w:rPr>
        <w:t>滨南开发区位于滨州市惠民县胡集镇滨南公司采油管理一区东院，员工</w:t>
      </w:r>
      <w:r>
        <w:rPr>
          <w:rFonts w:hint="eastAsia"/>
        </w:rPr>
        <w:t>28</w:t>
      </w:r>
      <w:r>
        <w:rPr>
          <w:rFonts w:hint="eastAsia"/>
        </w:rPr>
        <w:t>人，安全管理人员</w:t>
      </w:r>
      <w:r>
        <w:rPr>
          <w:rFonts w:hint="eastAsia"/>
        </w:rPr>
        <w:t>1</w:t>
      </w:r>
      <w:r>
        <w:rPr>
          <w:rFonts w:hint="eastAsia"/>
        </w:rPr>
        <w:t>人，管理</w:t>
      </w:r>
      <w:r>
        <w:rPr>
          <w:rFonts w:hint="eastAsia"/>
        </w:rPr>
        <w:t>9</w:t>
      </w:r>
      <w:r>
        <w:rPr>
          <w:rFonts w:hint="eastAsia"/>
        </w:rPr>
        <w:t>座计量间、</w:t>
      </w:r>
      <w:r>
        <w:rPr>
          <w:rFonts w:hint="eastAsia"/>
        </w:rPr>
        <w:t>10</w:t>
      </w:r>
      <w:r>
        <w:rPr>
          <w:rFonts w:hint="eastAsia"/>
        </w:rPr>
        <w:t>座配水间，总油井</w:t>
      </w:r>
      <w:r>
        <w:rPr>
          <w:rFonts w:hint="eastAsia"/>
        </w:rPr>
        <w:t>97</w:t>
      </w:r>
      <w:r>
        <w:rPr>
          <w:rFonts w:hint="eastAsia"/>
        </w:rPr>
        <w:t>口，总水井</w:t>
      </w:r>
      <w:r>
        <w:rPr>
          <w:rFonts w:hint="eastAsia"/>
        </w:rPr>
        <w:t>42</w:t>
      </w:r>
      <w:r>
        <w:rPr>
          <w:rFonts w:hint="eastAsia"/>
        </w:rPr>
        <w:t>口；特种设备</w:t>
      </w:r>
      <w:r>
        <w:rPr>
          <w:rFonts w:hint="eastAsia"/>
        </w:rPr>
        <w:t>6</w:t>
      </w:r>
      <w:r>
        <w:rPr>
          <w:rFonts w:hint="eastAsia"/>
        </w:rPr>
        <w:t>台。</w:t>
      </w:r>
    </w:p>
    <w:p w14:paraId="7A0B34D6" w14:textId="77777777" w:rsidR="003D6A63" w:rsidRDefault="00000000">
      <w:pPr>
        <w:pStyle w:val="4"/>
        <w:keepNext w:val="0"/>
        <w:keepLines w:val="0"/>
        <w:adjustRightInd w:val="0"/>
        <w:snapToGrid w:val="0"/>
        <w:spacing w:before="0" w:after="0" w:line="360" w:lineRule="auto"/>
        <w:rPr>
          <w:rFonts w:ascii="Times New Roman" w:eastAsia="宋体" w:hAnsi="Times New Roman"/>
          <w:sz w:val="24"/>
        </w:rPr>
      </w:pPr>
      <w:r>
        <w:rPr>
          <w:rFonts w:ascii="Times New Roman" w:eastAsia="宋体" w:hAnsi="Times New Roman" w:hint="eastAsia"/>
          <w:sz w:val="24"/>
        </w:rPr>
        <w:t>2.1.2.3</w:t>
      </w:r>
      <w:r>
        <w:rPr>
          <w:rFonts w:ascii="Times New Roman" w:eastAsia="宋体" w:hAnsi="Times New Roman"/>
          <w:sz w:val="24"/>
        </w:rPr>
        <w:t xml:space="preserve"> </w:t>
      </w:r>
      <w:r>
        <w:rPr>
          <w:rFonts w:ascii="Times New Roman" w:eastAsia="宋体" w:hAnsi="Times New Roman" w:hint="eastAsia"/>
          <w:sz w:val="24"/>
        </w:rPr>
        <w:t xml:space="preserve"> </w:t>
      </w:r>
      <w:r>
        <w:rPr>
          <w:rFonts w:ascii="Times New Roman" w:eastAsia="宋体" w:hAnsi="Times New Roman" w:hint="eastAsia"/>
          <w:sz w:val="24"/>
        </w:rPr>
        <w:t>高青开发区</w:t>
      </w:r>
    </w:p>
    <w:p w14:paraId="1AF6FCD7" w14:textId="77777777" w:rsidR="003D6A63" w:rsidRDefault="00000000">
      <w:pPr>
        <w:pStyle w:val="affffffffff2"/>
        <w:adjustRightInd w:val="0"/>
        <w:snapToGrid w:val="0"/>
        <w:ind w:firstLine="480"/>
      </w:pPr>
      <w:r>
        <w:rPr>
          <w:rFonts w:hint="eastAsia"/>
        </w:rPr>
        <w:t>高青开发区位于高青县，分布在高青县台孙村、滨城开发区十里堡村、博兴三里村。员工</w:t>
      </w:r>
      <w:r>
        <w:rPr>
          <w:rFonts w:hint="eastAsia"/>
        </w:rPr>
        <w:t>10</w:t>
      </w:r>
      <w:r>
        <w:rPr>
          <w:rFonts w:hint="eastAsia"/>
        </w:rPr>
        <w:t>人，安全管理人员</w:t>
      </w:r>
      <w:r>
        <w:rPr>
          <w:rFonts w:hint="eastAsia"/>
        </w:rPr>
        <w:t>2</w:t>
      </w:r>
      <w:r>
        <w:rPr>
          <w:rFonts w:hint="eastAsia"/>
        </w:rPr>
        <w:t>人，总油井</w:t>
      </w:r>
      <w:r>
        <w:rPr>
          <w:rFonts w:hint="eastAsia"/>
        </w:rPr>
        <w:t>4</w:t>
      </w:r>
      <w:r>
        <w:rPr>
          <w:rFonts w:hint="eastAsia"/>
        </w:rPr>
        <w:t>口，总水井</w:t>
      </w:r>
      <w:r>
        <w:rPr>
          <w:rFonts w:hint="eastAsia"/>
        </w:rPr>
        <w:t>1</w:t>
      </w:r>
      <w:r>
        <w:rPr>
          <w:rFonts w:hint="eastAsia"/>
        </w:rPr>
        <w:t>口；特种设备</w:t>
      </w:r>
      <w:r>
        <w:rPr>
          <w:rFonts w:hint="eastAsia"/>
        </w:rPr>
        <w:t>3</w:t>
      </w:r>
      <w:r>
        <w:rPr>
          <w:rFonts w:hint="eastAsia"/>
        </w:rPr>
        <w:t>台。</w:t>
      </w:r>
    </w:p>
    <w:p w14:paraId="104E8AC4"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r>
        <w:rPr>
          <w:rFonts w:eastAsia="黑体" w:hint="eastAsia"/>
          <w:b w:val="0"/>
          <w:spacing w:val="0"/>
          <w:sz w:val="24"/>
          <w:szCs w:val="24"/>
        </w:rPr>
        <w:t xml:space="preserve">2.1.3  </w:t>
      </w:r>
      <w:r>
        <w:rPr>
          <w:rFonts w:eastAsia="黑体" w:hint="eastAsia"/>
          <w:b w:val="0"/>
          <w:spacing w:val="0"/>
          <w:sz w:val="24"/>
          <w:szCs w:val="24"/>
        </w:rPr>
        <w:t>地理位置</w:t>
      </w:r>
    </w:p>
    <w:p w14:paraId="302E3FB2" w14:textId="77777777" w:rsidR="003D6A63" w:rsidRDefault="00000000">
      <w:pPr>
        <w:pStyle w:val="nlw1"/>
        <w:adjustRightInd w:val="0"/>
        <w:snapToGrid w:val="0"/>
        <w:spacing w:line="360" w:lineRule="auto"/>
        <w:ind w:firstLine="480"/>
        <w:rPr>
          <w:rFonts w:ascii="Times New Roman" w:hAnsi="Times New Roman"/>
          <w:sz w:val="24"/>
          <w:szCs w:val="24"/>
        </w:rPr>
      </w:pPr>
      <w:r>
        <w:rPr>
          <w:rFonts w:ascii="Times New Roman" w:hAnsi="Times New Roman" w:hint="eastAsia"/>
          <w:sz w:val="24"/>
          <w:szCs w:val="24"/>
        </w:rPr>
        <w:t>中胜公司</w:t>
      </w:r>
      <w:r>
        <w:rPr>
          <w:rFonts w:ascii="Times New Roman" w:hAnsi="Times New Roman" w:hint="eastAsia"/>
          <w:sz w:val="24"/>
          <w:szCs w:val="24"/>
          <w:lang w:val="en-US"/>
        </w:rPr>
        <w:t>机关办公地点位于东营市东营区西四路与淄博路交叉口东南方向。</w:t>
      </w:r>
      <w:r>
        <w:rPr>
          <w:rFonts w:ascii="Times New Roman" w:hAnsi="Times New Roman"/>
          <w:sz w:val="24"/>
          <w:szCs w:val="24"/>
        </w:rPr>
        <w:t>地理位置见图</w:t>
      </w:r>
      <w:r>
        <w:rPr>
          <w:rFonts w:ascii="Times New Roman" w:hAnsi="Times New Roman"/>
          <w:sz w:val="24"/>
          <w:szCs w:val="24"/>
        </w:rPr>
        <w:t>2.1-</w:t>
      </w:r>
      <w:r>
        <w:rPr>
          <w:rFonts w:ascii="Times New Roman" w:hAnsi="Times New Roman" w:hint="eastAsia"/>
          <w:sz w:val="24"/>
          <w:szCs w:val="24"/>
          <w:lang w:val="en-US"/>
        </w:rPr>
        <w:t>2</w:t>
      </w:r>
      <w:r>
        <w:rPr>
          <w:rFonts w:ascii="Times New Roman" w:hAnsi="Times New Roman"/>
          <w:sz w:val="24"/>
          <w:szCs w:val="24"/>
        </w:rPr>
        <w:t>。</w:t>
      </w:r>
    </w:p>
    <w:p w14:paraId="794E55DE" w14:textId="77777777" w:rsidR="003D6A63" w:rsidRDefault="00000000">
      <w:pPr>
        <w:pStyle w:val="nlw1"/>
        <w:spacing w:line="240" w:lineRule="auto"/>
        <w:ind w:firstLineChars="0" w:firstLine="0"/>
        <w:rPr>
          <w:rFonts w:ascii="Times New Roman" w:hAnsi="Times New Roman"/>
        </w:rPr>
      </w:pPr>
      <w:r>
        <w:rPr>
          <w:noProof/>
        </w:rPr>
        <w:lastRenderedPageBreak/>
        <mc:AlternateContent>
          <mc:Choice Requires="wps">
            <w:drawing>
              <wp:anchor distT="0" distB="0" distL="114300" distR="114300" simplePos="0" relativeHeight="251656192" behindDoc="0" locked="0" layoutInCell="1" allowOverlap="1" wp14:anchorId="648E7B2E" wp14:editId="49189137">
                <wp:simplePos x="0" y="0"/>
                <wp:positionH relativeFrom="column">
                  <wp:posOffset>3199765</wp:posOffset>
                </wp:positionH>
                <wp:positionV relativeFrom="paragraph">
                  <wp:posOffset>1165860</wp:posOffset>
                </wp:positionV>
                <wp:extent cx="870585" cy="285750"/>
                <wp:effectExtent l="45720" t="209550" r="10795" b="12700"/>
                <wp:wrapNone/>
                <wp:docPr id="117" name="自选图形 82"/>
                <wp:cNvGraphicFramePr/>
                <a:graphic xmlns:a="http://schemas.openxmlformats.org/drawingml/2006/main">
                  <a:graphicData uri="http://schemas.microsoft.com/office/word/2010/wordprocessingShape">
                    <wps:wsp>
                      <wps:cNvSpPr/>
                      <wps:spPr>
                        <a:xfrm>
                          <a:off x="0" y="0"/>
                          <a:ext cx="870585" cy="285750"/>
                        </a:xfrm>
                        <a:prstGeom prst="wedgeRoundRectCallout">
                          <a:avLst>
                            <a:gd name="adj1" fmla="val -52986"/>
                            <a:gd name="adj2" fmla="val -118019"/>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03248C1E" w14:textId="77777777" w:rsidR="003D6A63" w:rsidRDefault="00000000">
                            <w:r>
                              <w:rPr>
                                <w:rFonts w:hint="eastAsia"/>
                              </w:rPr>
                              <w:t>中胜公司</w:t>
                            </w:r>
                          </w:p>
                        </w:txbxContent>
                      </wps:txbx>
                      <wps:bodyPr upright="1"/>
                    </wps:wsp>
                  </a:graphicData>
                </a:graphic>
              </wp:anchor>
            </w:drawing>
          </mc:Choice>
          <mc:Fallback>
            <w:pict>
              <v:shapetype w14:anchorId="648E7B2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自选图形 82" o:spid="_x0000_s1043" type="#_x0000_t62" style="position:absolute;left:0;text-align:left;margin-left:251.95pt;margin-top:91.8pt;width:68.55pt;height:22.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" adj="-645,-14692">
                <v:textbox>
                  <w:txbxContent>
                    <w:p w14:paraId="03248C1E" w14:textId="77777777" w:rsidR="003D6A63" w:rsidRDefault="00000000">
                      <w:r>
                        <w:rPr>
                          <w:rFonts w:hint="eastAsia"/>
                        </w:rPr>
                        <w:t>中胜公司</w:t>
                      </w:r>
                    </w:p>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4E87CE56" wp14:editId="4B038D89">
                <wp:simplePos x="0" y="0"/>
                <wp:positionH relativeFrom="column">
                  <wp:posOffset>3009265</wp:posOffset>
                </wp:positionH>
                <wp:positionV relativeFrom="paragraph">
                  <wp:posOffset>842645</wp:posOffset>
                </wp:positionV>
                <wp:extent cx="196850" cy="158750"/>
                <wp:effectExtent l="45085" t="35560" r="50165" b="34290"/>
                <wp:wrapNone/>
                <wp:docPr id="119" name="自选图形 83"/>
                <wp:cNvGraphicFramePr/>
                <a:graphic xmlns:a="http://schemas.openxmlformats.org/drawingml/2006/main">
                  <a:graphicData uri="http://schemas.microsoft.com/office/word/2010/wordprocessingShape">
                    <wps:wsp>
                      <wps:cNvSpPr/>
                      <wps:spPr>
                        <a:xfrm>
                          <a:off x="0" y="0"/>
                          <a:ext cx="196850" cy="158750"/>
                        </a:xfrm>
                        <a:prstGeom prst="star5">
                          <a:avLst/>
                        </a:prstGeom>
                        <a:solidFill>
                          <a:srgbClr val="FFFFFF"/>
                        </a:solidFill>
                        <a:ln w="25400" cap="flat" cmpd="sng">
                          <a:solidFill>
                            <a:srgbClr val="C00000"/>
                          </a:solidFill>
                          <a:prstDash val="solid"/>
                          <a:miter/>
                          <a:headEnd type="none" w="med" len="med"/>
                          <a:tailEnd type="none" w="med" len="med"/>
                        </a:ln>
                      </wps:spPr>
                      <wps:bodyPr upright="1"/>
                    </wps:wsp>
                  </a:graphicData>
                </a:graphic>
              </wp:anchor>
            </w:drawing>
          </mc:Choice>
          <mc:Fallback>
            <w:pict>
              <v:shape w14:anchorId="2587689E" id="自选图形 83" o:spid="_x0000_s1026" style="position:absolute;left:0;text-align:left;margin-left:236.95pt;margin-top:66.35pt;width:15.5pt;height:12.5pt;z-index:251657216;visibility:visible;mso-wrap-style:square;mso-wrap-distance-left:9pt;mso-wrap-distance-top:0;mso-wrap-distance-right:9pt;mso-wrap-distance-bottom:0;mso-position-horizontal:absolute;mso-position-horizontal-relative:text;mso-position-vertical:absolute;mso-position-vertical-relative:text;v-text-anchor:top" coordsize="196850,158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" path="m,60637r75190,l98425,r23235,60637l196850,60637,136019,98112r23236,60638l98425,121273,37595,158750,60831,98112,,60637xe" strokecolor="#c00000" strokeweight="2pt">
                <v:stroke joinstyle="miter"/>
                <v:path arrowok="t" o:connecttype="custom" o:connectlocs="0,60637;75190,60637;98425,0;121660,60637;196850,60637;136019,98112;159255,158750;98425,121273;37595,158750;60831,98112;0,60637" o:connectangles="0,0,0,0,0,0,0,0,0,0,0"/>
              </v:shape>
            </w:pict>
          </mc:Fallback>
        </mc:AlternateContent>
      </w:r>
      <w:r>
        <w:rPr>
          <w:rFonts w:ascii="Times New Roman" w:hAnsi="Times New Roman" w:hint="eastAsia"/>
          <w:noProof/>
        </w:rPr>
        <w:drawing>
          <wp:inline distT="0" distB="0" distL="114300" distR="114300" wp14:anchorId="6259A7DE" wp14:editId="2489ED74">
            <wp:extent cx="5751195" cy="3696970"/>
            <wp:effectExtent l="0" t="0" r="1905" b="11430"/>
            <wp:docPr id="12" name="图片 12" descr="中胜公司地理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中胜公司地理位置图"/>
                    <pic:cNvPicPr>
                      <a:picLocks noChangeAspect="1"/>
                    </pic:cNvPicPr>
                  </pic:nvPicPr>
                  <pic:blipFill>
                    <a:blip r:embed="rId16"/>
                    <a:stretch>
                      <a:fillRect/>
                    </a:stretch>
                  </pic:blipFill>
                  <pic:spPr>
                    <a:xfrm>
                      <a:off x="0" y="0"/>
                      <a:ext cx="5751195" cy="3696970"/>
                    </a:xfrm>
                    <a:prstGeom prst="rect">
                      <a:avLst/>
                    </a:prstGeom>
                  </pic:spPr>
                </pic:pic>
              </a:graphicData>
            </a:graphic>
          </wp:inline>
        </w:drawing>
      </w:r>
    </w:p>
    <w:p w14:paraId="4D412D6B" w14:textId="77777777" w:rsidR="003D6A63" w:rsidRDefault="00000000">
      <w:pPr>
        <w:pStyle w:val="nlw1"/>
        <w:adjustRightInd w:val="0"/>
        <w:snapToGrid w:val="0"/>
        <w:spacing w:line="360" w:lineRule="auto"/>
        <w:ind w:firstLineChars="0" w:firstLine="0"/>
        <w:jc w:val="center"/>
        <w:rPr>
          <w:rFonts w:ascii="Times New Roman" w:eastAsia="黑体" w:hAnsi="Times New Roman"/>
          <w:sz w:val="21"/>
          <w:szCs w:val="21"/>
        </w:rPr>
      </w:pPr>
      <w:r>
        <w:rPr>
          <w:rFonts w:ascii="Times New Roman" w:eastAsia="黑体" w:hAnsi="Times New Roman"/>
          <w:sz w:val="21"/>
          <w:szCs w:val="21"/>
        </w:rPr>
        <w:t>图</w:t>
      </w:r>
      <w:r>
        <w:rPr>
          <w:rFonts w:ascii="Times New Roman" w:eastAsia="黑体" w:hAnsi="Times New Roman"/>
          <w:sz w:val="21"/>
          <w:szCs w:val="21"/>
        </w:rPr>
        <w:t>2.1-</w:t>
      </w:r>
      <w:r>
        <w:rPr>
          <w:rFonts w:ascii="Times New Roman" w:eastAsia="黑体" w:hAnsi="Times New Roman" w:hint="eastAsia"/>
          <w:sz w:val="21"/>
          <w:szCs w:val="21"/>
          <w:lang w:val="en-US"/>
        </w:rPr>
        <w:t>2</w:t>
      </w:r>
      <w:r>
        <w:rPr>
          <w:rFonts w:ascii="Times New Roman" w:eastAsia="黑体" w:hAnsi="Times New Roman"/>
          <w:sz w:val="21"/>
          <w:szCs w:val="21"/>
        </w:rPr>
        <w:t xml:space="preserve"> </w:t>
      </w:r>
      <w:r>
        <w:rPr>
          <w:rFonts w:ascii="Times New Roman" w:eastAsia="黑体" w:hAnsi="Times New Roman" w:hint="eastAsia"/>
          <w:sz w:val="21"/>
          <w:szCs w:val="21"/>
        </w:rPr>
        <w:t>中胜公司</w:t>
      </w:r>
      <w:r>
        <w:rPr>
          <w:rFonts w:ascii="Times New Roman" w:eastAsia="黑体" w:hAnsi="Times New Roman"/>
          <w:sz w:val="21"/>
          <w:szCs w:val="21"/>
        </w:rPr>
        <w:t>地理位置图</w:t>
      </w:r>
    </w:p>
    <w:p w14:paraId="587840CE" w14:textId="77777777" w:rsidR="003D6A63" w:rsidRDefault="00000000">
      <w:pPr>
        <w:pStyle w:val="3"/>
        <w:keepNext w:val="0"/>
        <w:keepLines w:val="0"/>
        <w:adjustRightInd w:val="0"/>
        <w:snapToGrid w:val="0"/>
        <w:spacing w:before="0" w:after="0" w:line="360" w:lineRule="auto"/>
        <w:ind w:firstLine="200"/>
        <w:rPr>
          <w:rFonts w:eastAsia="黑体"/>
          <w:b w:val="0"/>
          <w:spacing w:val="0"/>
          <w:sz w:val="24"/>
          <w:szCs w:val="24"/>
        </w:rPr>
      </w:pPr>
      <w:r>
        <w:rPr>
          <w:rFonts w:eastAsia="黑体" w:hint="eastAsia"/>
          <w:b w:val="0"/>
          <w:spacing w:val="0"/>
          <w:sz w:val="24"/>
          <w:szCs w:val="24"/>
        </w:rPr>
        <w:t xml:space="preserve">2.1.4  </w:t>
      </w:r>
      <w:r>
        <w:rPr>
          <w:rFonts w:eastAsia="黑体" w:hint="eastAsia"/>
          <w:b w:val="0"/>
          <w:spacing w:val="0"/>
          <w:sz w:val="24"/>
          <w:szCs w:val="24"/>
        </w:rPr>
        <w:t>自然环境</w:t>
      </w:r>
    </w:p>
    <w:p w14:paraId="185AFDFF" w14:textId="77777777" w:rsidR="003D6A63" w:rsidRDefault="00000000">
      <w:pPr>
        <w:pStyle w:val="affffffffff2"/>
        <w:adjustRightInd w:val="0"/>
        <w:snapToGrid w:val="0"/>
        <w:ind w:firstLine="480"/>
      </w:pPr>
      <w:r>
        <w:rPr>
          <w:rFonts w:hint="eastAsia"/>
          <w:lang w:val="zh-CN"/>
        </w:rPr>
        <w:t>中胜公司</w:t>
      </w:r>
      <w:r>
        <w:rPr>
          <w:rFonts w:hint="eastAsia"/>
        </w:rPr>
        <w:t>城中开发区</w:t>
      </w:r>
      <w:r>
        <w:rPr>
          <w:rFonts w:hint="eastAsia"/>
          <w:lang w:val="zh-CN"/>
        </w:rPr>
        <w:t>地处山东省东营市境内，</w:t>
      </w:r>
      <w:r>
        <w:rPr>
          <w:rFonts w:hint="eastAsia"/>
        </w:rPr>
        <w:t>高青开发区</w:t>
      </w:r>
      <w:r>
        <w:rPr>
          <w:rFonts w:hint="eastAsia"/>
          <w:lang w:val="zh-CN"/>
        </w:rPr>
        <w:t>地处山东省</w:t>
      </w:r>
      <w:r>
        <w:rPr>
          <w:rFonts w:hint="eastAsia"/>
        </w:rPr>
        <w:t>淄博市</w:t>
      </w:r>
      <w:r>
        <w:rPr>
          <w:rFonts w:hint="eastAsia"/>
          <w:lang w:val="zh-CN"/>
        </w:rPr>
        <w:t>境内，</w:t>
      </w:r>
      <w:r>
        <w:rPr>
          <w:rFonts w:hint="eastAsia"/>
        </w:rPr>
        <w:t>滨南开发区地处山东省滨州市境内；以下为各地区自然环境。</w:t>
      </w:r>
    </w:p>
    <w:p w14:paraId="75CEED56" w14:textId="77777777" w:rsidR="003D6A63" w:rsidRDefault="00000000">
      <w:pPr>
        <w:pStyle w:val="4"/>
        <w:keepNext w:val="0"/>
        <w:keepLines w:val="0"/>
        <w:adjustRightInd w:val="0"/>
        <w:snapToGrid w:val="0"/>
        <w:spacing w:before="0" w:after="0" w:line="360" w:lineRule="auto"/>
        <w:rPr>
          <w:rFonts w:ascii="Times New Roman" w:eastAsia="宋体" w:hAnsi="Times New Roman"/>
          <w:sz w:val="24"/>
        </w:rPr>
      </w:pPr>
      <w:r>
        <w:rPr>
          <w:rFonts w:ascii="Times New Roman" w:eastAsia="宋体" w:hAnsi="Times New Roman" w:hint="eastAsia"/>
          <w:sz w:val="24"/>
        </w:rPr>
        <w:t xml:space="preserve">2.1.4.1 </w:t>
      </w:r>
      <w:r>
        <w:rPr>
          <w:rFonts w:ascii="Times New Roman" w:eastAsia="宋体" w:hAnsi="Times New Roman" w:hint="eastAsia"/>
          <w:sz w:val="24"/>
        </w:rPr>
        <w:t>气象条件</w:t>
      </w:r>
    </w:p>
    <w:p w14:paraId="1E73E3F2" w14:textId="77777777" w:rsidR="003D6A63" w:rsidRDefault="00000000">
      <w:pPr>
        <w:pStyle w:val="affffffffff2"/>
        <w:adjustRightInd w:val="0"/>
        <w:snapToGrid w:val="0"/>
        <w:ind w:firstLineChars="100" w:firstLine="240"/>
      </w:pPr>
      <w:r>
        <w:rPr>
          <w:rFonts w:hint="eastAsia"/>
        </w:rPr>
        <w:t>（</w:t>
      </w:r>
      <w:r>
        <w:rPr>
          <w:rFonts w:hint="eastAsia"/>
        </w:rPr>
        <w:t>1</w:t>
      </w:r>
      <w:r>
        <w:rPr>
          <w:rFonts w:hint="eastAsia"/>
        </w:rPr>
        <w:t>）东营市气象条件</w:t>
      </w:r>
    </w:p>
    <w:p w14:paraId="5EFC7D60" w14:textId="77777777" w:rsidR="003D6A63" w:rsidRDefault="00000000">
      <w:pPr>
        <w:pStyle w:val="affffffffff2"/>
        <w:adjustRightInd w:val="0"/>
        <w:snapToGrid w:val="0"/>
        <w:ind w:firstLine="480"/>
        <w:rPr>
          <w:lang w:val="zh-CN"/>
        </w:rPr>
      </w:pPr>
      <w:r>
        <w:rPr>
          <w:rFonts w:hint="eastAsia"/>
        </w:rPr>
        <w:t>1</w:t>
      </w:r>
      <w:r>
        <w:rPr>
          <w:rFonts w:hint="eastAsia"/>
          <w:lang w:val="zh-CN"/>
        </w:rPr>
        <w:t>）气温</w:t>
      </w:r>
    </w:p>
    <w:p w14:paraId="1762AA23" w14:textId="77777777" w:rsidR="003D6A63" w:rsidRDefault="00000000">
      <w:pPr>
        <w:pStyle w:val="affffffffff2"/>
        <w:adjustRightInd w:val="0"/>
        <w:snapToGrid w:val="0"/>
        <w:ind w:firstLine="480"/>
        <w:rPr>
          <w:lang w:val="zh-CN"/>
        </w:rPr>
      </w:pPr>
      <w:r>
        <w:rPr>
          <w:rFonts w:hint="eastAsia"/>
          <w:lang w:val="zh-CN"/>
        </w:rPr>
        <w:t>东营地区常年平均气温</w:t>
      </w:r>
      <w:r>
        <w:rPr>
          <w:rFonts w:hint="eastAsia"/>
          <w:lang w:val="zh-CN"/>
        </w:rPr>
        <w:t>12.8</w:t>
      </w:r>
      <w:r>
        <w:rPr>
          <w:rFonts w:hint="eastAsia"/>
          <w:lang w:val="zh-CN"/>
        </w:rPr>
        <w:t>℃。</w:t>
      </w:r>
      <w:r>
        <w:rPr>
          <w:rFonts w:hint="eastAsia"/>
          <w:lang w:val="zh-CN"/>
        </w:rPr>
        <w:t>1</w:t>
      </w:r>
      <w:r>
        <w:rPr>
          <w:rFonts w:hint="eastAsia"/>
          <w:lang w:val="zh-CN"/>
        </w:rPr>
        <w:t>月最冷，月平均气温</w:t>
      </w:r>
      <w:r>
        <w:rPr>
          <w:rFonts w:hint="eastAsia"/>
          <w:lang w:val="zh-CN"/>
        </w:rPr>
        <w:t>-3.0</w:t>
      </w:r>
      <w:r>
        <w:rPr>
          <w:rFonts w:hint="eastAsia"/>
          <w:lang w:val="zh-CN"/>
        </w:rPr>
        <w:t>℃；</w:t>
      </w:r>
      <w:r>
        <w:rPr>
          <w:rFonts w:hint="eastAsia"/>
          <w:lang w:val="zh-CN"/>
        </w:rPr>
        <w:t>7</w:t>
      </w:r>
      <w:r>
        <w:rPr>
          <w:rFonts w:hint="eastAsia"/>
          <w:lang w:val="zh-CN"/>
        </w:rPr>
        <w:t>月最热，月平均气温</w:t>
      </w:r>
      <w:r>
        <w:rPr>
          <w:rFonts w:hint="eastAsia"/>
          <w:lang w:val="zh-CN"/>
        </w:rPr>
        <w:t>26.6</w:t>
      </w:r>
      <w:r>
        <w:rPr>
          <w:rFonts w:hint="eastAsia"/>
          <w:lang w:val="zh-CN"/>
        </w:rPr>
        <w:t>℃。年内温差为</w:t>
      </w:r>
      <w:r>
        <w:rPr>
          <w:rFonts w:hint="eastAsia"/>
          <w:lang w:val="zh-CN"/>
        </w:rPr>
        <w:t>29.6</w:t>
      </w:r>
      <w:r>
        <w:rPr>
          <w:rFonts w:hint="eastAsia"/>
          <w:lang w:val="zh-CN"/>
        </w:rPr>
        <w:t>℃。极端最高气温多出现在</w:t>
      </w:r>
      <w:r>
        <w:rPr>
          <w:rFonts w:hint="eastAsia"/>
          <w:lang w:val="zh-CN"/>
        </w:rPr>
        <w:t>6</w:t>
      </w:r>
      <w:r>
        <w:rPr>
          <w:rFonts w:hint="eastAsia"/>
          <w:lang w:val="zh-CN"/>
        </w:rPr>
        <w:t>～</w:t>
      </w:r>
      <w:r>
        <w:rPr>
          <w:rFonts w:hint="eastAsia"/>
          <w:lang w:val="zh-CN"/>
        </w:rPr>
        <w:t>7</w:t>
      </w:r>
      <w:r>
        <w:rPr>
          <w:rFonts w:hint="eastAsia"/>
          <w:lang w:val="zh-CN"/>
        </w:rPr>
        <w:t>月，极端高温为东营黄河三角洲</w:t>
      </w:r>
      <w:r>
        <w:rPr>
          <w:rFonts w:hint="eastAsia"/>
          <w:lang w:val="zh-CN"/>
        </w:rPr>
        <w:t>41.5</w:t>
      </w:r>
      <w:r>
        <w:rPr>
          <w:rFonts w:hint="eastAsia"/>
          <w:lang w:val="zh-CN"/>
        </w:rPr>
        <w:t>℃；极端最低气温多出现在</w:t>
      </w:r>
      <w:r>
        <w:rPr>
          <w:rFonts w:hint="eastAsia"/>
          <w:lang w:val="zh-CN"/>
        </w:rPr>
        <w:t>1</w:t>
      </w:r>
      <w:r>
        <w:rPr>
          <w:rFonts w:hint="eastAsia"/>
          <w:lang w:val="zh-CN"/>
        </w:rPr>
        <w:t>～</w:t>
      </w:r>
      <w:r>
        <w:rPr>
          <w:rFonts w:hint="eastAsia"/>
          <w:lang w:val="zh-CN"/>
        </w:rPr>
        <w:t>2</w:t>
      </w:r>
      <w:r>
        <w:rPr>
          <w:rFonts w:hint="eastAsia"/>
          <w:lang w:val="zh-CN"/>
        </w:rPr>
        <w:t>月，极端低温为</w:t>
      </w:r>
      <w:r>
        <w:rPr>
          <w:rFonts w:hint="eastAsia"/>
          <w:lang w:val="zh-CN"/>
        </w:rPr>
        <w:t>-23.3</w:t>
      </w:r>
      <w:r>
        <w:rPr>
          <w:rFonts w:hint="eastAsia"/>
          <w:lang w:val="zh-CN"/>
        </w:rPr>
        <w:t>℃。</w:t>
      </w:r>
    </w:p>
    <w:p w14:paraId="3F25C786" w14:textId="77777777" w:rsidR="003D6A63" w:rsidRDefault="00000000">
      <w:pPr>
        <w:pStyle w:val="affffffffff2"/>
        <w:adjustRightInd w:val="0"/>
        <w:snapToGrid w:val="0"/>
        <w:ind w:firstLine="480"/>
      </w:pPr>
      <w:r>
        <w:rPr>
          <w:rFonts w:hint="eastAsia"/>
        </w:rPr>
        <w:t>2</w:t>
      </w:r>
      <w:r>
        <w:rPr>
          <w:rFonts w:hint="eastAsia"/>
        </w:rPr>
        <w:t>）降水</w:t>
      </w:r>
    </w:p>
    <w:p w14:paraId="27642C1C" w14:textId="77777777" w:rsidR="003D6A63" w:rsidRDefault="00000000">
      <w:pPr>
        <w:pStyle w:val="affffffffff2"/>
        <w:adjustRightInd w:val="0"/>
        <w:snapToGrid w:val="0"/>
        <w:ind w:firstLine="480"/>
        <w:rPr>
          <w:lang w:val="zh-CN"/>
        </w:rPr>
      </w:pPr>
      <w:r>
        <w:rPr>
          <w:rFonts w:hint="eastAsia"/>
          <w:lang w:val="zh-CN"/>
        </w:rPr>
        <w:t>东营地区年平均降雨量为</w:t>
      </w:r>
      <w:r>
        <w:rPr>
          <w:rFonts w:hint="eastAsia"/>
          <w:lang w:val="zh-CN"/>
        </w:rPr>
        <w:t>544.4mm</w:t>
      </w:r>
      <w:r>
        <w:rPr>
          <w:rFonts w:hint="eastAsia"/>
          <w:lang w:val="zh-CN"/>
        </w:rPr>
        <w:t>，年度变化幅度较大，降雨量最多的年份为</w:t>
      </w:r>
      <w:r>
        <w:rPr>
          <w:rFonts w:hint="eastAsia"/>
          <w:lang w:val="zh-CN"/>
        </w:rPr>
        <w:t>1003.8mm</w:t>
      </w:r>
      <w:r>
        <w:rPr>
          <w:rFonts w:hint="eastAsia"/>
          <w:lang w:val="zh-CN"/>
        </w:rPr>
        <w:t>，降雨量最小的年份为</w:t>
      </w:r>
      <w:r>
        <w:rPr>
          <w:rFonts w:hint="eastAsia"/>
          <w:lang w:val="zh-CN"/>
        </w:rPr>
        <w:t>322.7mm</w:t>
      </w:r>
      <w:r>
        <w:rPr>
          <w:rFonts w:hint="eastAsia"/>
          <w:lang w:val="zh-CN"/>
        </w:rPr>
        <w:t>，属降雨不稳定地区。全年降雪量偏少，历年各月平均降雨量最多的是七月，为</w:t>
      </w:r>
      <w:r>
        <w:rPr>
          <w:rFonts w:hint="eastAsia"/>
          <w:lang w:val="zh-CN"/>
        </w:rPr>
        <w:t>183.4mm</w:t>
      </w:r>
      <w:r>
        <w:rPr>
          <w:rFonts w:hint="eastAsia"/>
          <w:lang w:val="zh-CN"/>
        </w:rPr>
        <w:t>，最少的是</w:t>
      </w:r>
      <w:r>
        <w:rPr>
          <w:rFonts w:hint="eastAsia"/>
          <w:lang w:val="zh-CN"/>
        </w:rPr>
        <w:t>1</w:t>
      </w:r>
      <w:r>
        <w:rPr>
          <w:rFonts w:hint="eastAsia"/>
          <w:lang w:val="zh-CN"/>
        </w:rPr>
        <w:t>月为</w:t>
      </w:r>
      <w:r>
        <w:rPr>
          <w:rFonts w:hint="eastAsia"/>
          <w:lang w:val="zh-CN"/>
        </w:rPr>
        <w:t>3.4mm</w:t>
      </w:r>
      <w:r>
        <w:rPr>
          <w:rFonts w:hint="eastAsia"/>
          <w:lang w:val="zh-CN"/>
        </w:rPr>
        <w:t>。</w:t>
      </w:r>
    </w:p>
    <w:p w14:paraId="48FCEC23" w14:textId="77777777" w:rsidR="003D6A63" w:rsidRDefault="00000000">
      <w:pPr>
        <w:pStyle w:val="affffffffff2"/>
        <w:adjustRightInd w:val="0"/>
        <w:snapToGrid w:val="0"/>
        <w:ind w:firstLine="480"/>
      </w:pPr>
      <w:r>
        <w:rPr>
          <w:rFonts w:hint="eastAsia"/>
        </w:rPr>
        <w:t>3</w:t>
      </w:r>
      <w:r>
        <w:rPr>
          <w:rFonts w:hint="eastAsia"/>
        </w:rPr>
        <w:t>）风况</w:t>
      </w:r>
    </w:p>
    <w:p w14:paraId="29FBDCDF" w14:textId="77777777" w:rsidR="003D6A63" w:rsidRDefault="00000000">
      <w:pPr>
        <w:pStyle w:val="affffffffff2"/>
        <w:adjustRightInd w:val="0"/>
        <w:snapToGrid w:val="0"/>
        <w:ind w:firstLine="480"/>
        <w:rPr>
          <w:lang w:val="zh-CN"/>
        </w:rPr>
      </w:pPr>
      <w:r>
        <w:rPr>
          <w:rFonts w:hint="eastAsia"/>
          <w:lang w:val="zh-CN"/>
        </w:rPr>
        <w:t>东营地区是多风地区，年平均风速</w:t>
      </w:r>
      <w:r>
        <w:rPr>
          <w:rFonts w:hint="eastAsia"/>
          <w:lang w:val="zh-CN"/>
        </w:rPr>
        <w:t>3.7m/s</w:t>
      </w:r>
      <w:r>
        <w:rPr>
          <w:rFonts w:hint="eastAsia"/>
          <w:lang w:val="zh-CN"/>
        </w:rPr>
        <w:t>，全年以</w:t>
      </w:r>
      <w:r>
        <w:rPr>
          <w:rFonts w:hint="eastAsia"/>
          <w:lang w:val="zh-CN"/>
        </w:rPr>
        <w:t>3</w:t>
      </w:r>
      <w:r>
        <w:rPr>
          <w:rFonts w:hint="eastAsia"/>
          <w:lang w:val="zh-CN"/>
        </w:rPr>
        <w:t>～</w:t>
      </w:r>
      <w:r>
        <w:rPr>
          <w:rFonts w:hint="eastAsia"/>
          <w:lang w:val="zh-CN"/>
        </w:rPr>
        <w:t>6</w:t>
      </w:r>
      <w:r>
        <w:rPr>
          <w:rFonts w:hint="eastAsia"/>
          <w:lang w:val="zh-CN"/>
        </w:rPr>
        <w:t>月较大，其中四月最大，九月份最小。风向随季节性有明显变化。夏季盛行</w:t>
      </w:r>
      <w:r>
        <w:rPr>
          <w:rFonts w:hint="eastAsia"/>
          <w:lang w:val="zh-CN"/>
        </w:rPr>
        <w:t>SE</w:t>
      </w:r>
      <w:r>
        <w:rPr>
          <w:rFonts w:hint="eastAsia"/>
          <w:lang w:val="zh-CN"/>
        </w:rPr>
        <w:t>风，冬季盛行</w:t>
      </w:r>
      <w:r>
        <w:rPr>
          <w:rFonts w:hint="eastAsia"/>
          <w:lang w:val="zh-CN"/>
        </w:rPr>
        <w:t>NW</w:t>
      </w:r>
      <w:r>
        <w:rPr>
          <w:rFonts w:hint="eastAsia"/>
          <w:lang w:val="zh-CN"/>
        </w:rPr>
        <w:t>风。全年各风</w:t>
      </w:r>
      <w:r>
        <w:rPr>
          <w:rFonts w:hint="eastAsia"/>
          <w:lang w:val="zh-CN"/>
        </w:rPr>
        <w:lastRenderedPageBreak/>
        <w:t>向平均风速以</w:t>
      </w:r>
      <w:r>
        <w:rPr>
          <w:rFonts w:hint="eastAsia"/>
          <w:lang w:val="zh-CN"/>
        </w:rPr>
        <w:t>NNE</w:t>
      </w:r>
      <w:r>
        <w:rPr>
          <w:rFonts w:hint="eastAsia"/>
          <w:lang w:val="zh-CN"/>
        </w:rPr>
        <w:t>、</w:t>
      </w:r>
      <w:r>
        <w:rPr>
          <w:rFonts w:hint="eastAsia"/>
          <w:lang w:val="zh-CN"/>
        </w:rPr>
        <w:t>NE</w:t>
      </w:r>
      <w:r>
        <w:rPr>
          <w:rFonts w:hint="eastAsia"/>
          <w:lang w:val="zh-CN"/>
        </w:rPr>
        <w:t>、</w:t>
      </w:r>
      <w:r>
        <w:rPr>
          <w:rFonts w:hint="eastAsia"/>
          <w:lang w:val="zh-CN"/>
        </w:rPr>
        <w:t>ENE</w:t>
      </w:r>
      <w:r>
        <w:rPr>
          <w:rFonts w:hint="eastAsia"/>
          <w:lang w:val="zh-CN"/>
        </w:rPr>
        <w:t>最大。以</w:t>
      </w:r>
      <w:r>
        <w:rPr>
          <w:rFonts w:hint="eastAsia"/>
          <w:lang w:val="zh-CN"/>
        </w:rPr>
        <w:t>S</w:t>
      </w:r>
      <w:r>
        <w:rPr>
          <w:rFonts w:hint="eastAsia"/>
          <w:lang w:val="zh-CN"/>
        </w:rPr>
        <w:t>、</w:t>
      </w:r>
      <w:r>
        <w:rPr>
          <w:rFonts w:hint="eastAsia"/>
          <w:lang w:val="zh-CN"/>
        </w:rPr>
        <w:t>SE</w:t>
      </w:r>
      <w:r>
        <w:rPr>
          <w:rFonts w:hint="eastAsia"/>
          <w:lang w:val="zh-CN"/>
        </w:rPr>
        <w:t>、</w:t>
      </w:r>
      <w:r>
        <w:rPr>
          <w:rFonts w:hint="eastAsia"/>
          <w:lang w:val="zh-CN"/>
        </w:rPr>
        <w:t>SW</w:t>
      </w:r>
      <w:r>
        <w:rPr>
          <w:rFonts w:hint="eastAsia"/>
          <w:lang w:val="zh-CN"/>
        </w:rPr>
        <w:t>风速最小。</w:t>
      </w:r>
    </w:p>
    <w:p w14:paraId="3E552EE7" w14:textId="77777777" w:rsidR="003D6A63" w:rsidRDefault="00000000">
      <w:pPr>
        <w:pStyle w:val="affffffffff2"/>
        <w:numPr>
          <w:ilvl w:val="0"/>
          <w:numId w:val="12"/>
        </w:numPr>
        <w:adjustRightInd w:val="0"/>
        <w:snapToGrid w:val="0"/>
        <w:ind w:firstLine="480"/>
      </w:pPr>
      <w:r>
        <w:rPr>
          <w:rFonts w:hint="eastAsia"/>
        </w:rPr>
        <w:t>雷暴日</w:t>
      </w:r>
    </w:p>
    <w:p w14:paraId="64F5303A" w14:textId="77777777" w:rsidR="003D6A63" w:rsidRDefault="00000000">
      <w:pPr>
        <w:pStyle w:val="affffffffff2"/>
        <w:adjustRightInd w:val="0"/>
        <w:snapToGrid w:val="0"/>
        <w:ind w:firstLine="480"/>
      </w:pPr>
      <w:r>
        <w:rPr>
          <w:rFonts w:hint="eastAsia"/>
          <w:lang w:val="zh-CN"/>
        </w:rPr>
        <w:t>根据</w:t>
      </w:r>
      <w:r>
        <w:rPr>
          <w:rFonts w:hint="eastAsia"/>
          <w:lang w:val="zh-CN"/>
        </w:rPr>
        <w:t>1954-2012</w:t>
      </w:r>
      <w:r>
        <w:rPr>
          <w:rFonts w:hint="eastAsia"/>
          <w:lang w:val="zh-CN"/>
        </w:rPr>
        <w:t>年东营市气象观测、土地利用类型等信息数据，东营市发生雷电次数最多月份为</w:t>
      </w:r>
      <w:r>
        <w:rPr>
          <w:rFonts w:hint="eastAsia"/>
          <w:lang w:val="zh-CN"/>
        </w:rPr>
        <w:t>7</w:t>
      </w:r>
      <w:r>
        <w:rPr>
          <w:rFonts w:hint="eastAsia"/>
          <w:lang w:val="zh-CN"/>
        </w:rPr>
        <w:t>月，其次为</w:t>
      </w:r>
      <w:r>
        <w:rPr>
          <w:rFonts w:hint="eastAsia"/>
          <w:lang w:val="zh-CN"/>
        </w:rPr>
        <w:t>8</w:t>
      </w:r>
      <w:r>
        <w:rPr>
          <w:rFonts w:hint="eastAsia"/>
          <w:lang w:val="zh-CN"/>
        </w:rPr>
        <w:t>月和</w:t>
      </w:r>
      <w:r>
        <w:rPr>
          <w:rFonts w:hint="eastAsia"/>
          <w:lang w:val="zh-CN"/>
        </w:rPr>
        <w:t>6</w:t>
      </w:r>
      <w:r>
        <w:rPr>
          <w:rFonts w:hint="eastAsia"/>
          <w:lang w:val="zh-CN"/>
        </w:rPr>
        <w:t>月，</w:t>
      </w:r>
      <w:r>
        <w:rPr>
          <w:rFonts w:hint="eastAsia"/>
          <w:lang w:val="zh-CN"/>
        </w:rPr>
        <w:t>12</w:t>
      </w:r>
      <w:r>
        <w:rPr>
          <w:rFonts w:hint="eastAsia"/>
          <w:lang w:val="zh-CN"/>
        </w:rPr>
        <w:t>月和</w:t>
      </w:r>
      <w:r>
        <w:rPr>
          <w:rFonts w:hint="eastAsia"/>
          <w:lang w:val="zh-CN"/>
        </w:rPr>
        <w:t>1</w:t>
      </w:r>
      <w:r>
        <w:rPr>
          <w:rFonts w:hint="eastAsia"/>
          <w:lang w:val="zh-CN"/>
        </w:rPr>
        <w:t>月基本没有雷电发生。雷电高风险区主要位于河口区南部，垦利县东北部沿海区域。在气象数据记录中东营市年平均雷暴日数为</w:t>
      </w:r>
      <w:r>
        <w:rPr>
          <w:rFonts w:hint="eastAsia"/>
          <w:lang w:val="zh-CN"/>
        </w:rPr>
        <w:t>32.2</w:t>
      </w:r>
      <w:r>
        <w:rPr>
          <w:rFonts w:hint="eastAsia"/>
          <w:lang w:val="zh-CN"/>
        </w:rPr>
        <w:t>天</w:t>
      </w:r>
      <w:r>
        <w:rPr>
          <w:rFonts w:hint="eastAsia"/>
          <w:lang w:val="zh-CN"/>
        </w:rPr>
        <w:t>/</w:t>
      </w:r>
      <w:r>
        <w:rPr>
          <w:rFonts w:hint="eastAsia"/>
          <w:lang w:val="zh-CN"/>
        </w:rPr>
        <w:t>年。</w:t>
      </w:r>
    </w:p>
    <w:p w14:paraId="2D4818E2" w14:textId="77777777" w:rsidR="003D6A63" w:rsidRDefault="00000000">
      <w:pPr>
        <w:pStyle w:val="affffffffff2"/>
        <w:adjustRightInd w:val="0"/>
        <w:snapToGrid w:val="0"/>
        <w:ind w:firstLineChars="100" w:firstLine="240"/>
      </w:pPr>
      <w:r>
        <w:rPr>
          <w:rFonts w:hint="eastAsia"/>
        </w:rPr>
        <w:t>（</w:t>
      </w:r>
      <w:r>
        <w:rPr>
          <w:rFonts w:hint="eastAsia"/>
        </w:rPr>
        <w:t>2</w:t>
      </w:r>
      <w:r>
        <w:rPr>
          <w:rFonts w:hint="eastAsia"/>
        </w:rPr>
        <w:t>）淄博市气象条件</w:t>
      </w:r>
    </w:p>
    <w:p w14:paraId="41EF5A96" w14:textId="77777777" w:rsidR="003D6A63" w:rsidRDefault="00000000">
      <w:pPr>
        <w:pStyle w:val="affffffffff2"/>
        <w:adjustRightInd w:val="0"/>
        <w:snapToGrid w:val="0"/>
        <w:ind w:firstLine="480"/>
      </w:pPr>
      <w:r>
        <w:rPr>
          <w:rFonts w:hint="eastAsia"/>
        </w:rPr>
        <w:t>1</w:t>
      </w:r>
      <w:r>
        <w:rPr>
          <w:rFonts w:hint="eastAsia"/>
        </w:rPr>
        <w:t>）气温</w:t>
      </w:r>
    </w:p>
    <w:p w14:paraId="16730715" w14:textId="77777777" w:rsidR="003D6A63" w:rsidRDefault="00000000">
      <w:pPr>
        <w:pStyle w:val="affffffffff2"/>
        <w:adjustRightInd w:val="0"/>
        <w:snapToGrid w:val="0"/>
        <w:ind w:firstLine="480"/>
        <w:rPr>
          <w:lang w:val="zh-CN"/>
        </w:rPr>
      </w:pPr>
      <w:r>
        <w:rPr>
          <w:rFonts w:hint="eastAsia"/>
        </w:rPr>
        <w:t>淄博地区年平均气温</w:t>
      </w:r>
      <w:r>
        <w:t>11.9~13.1</w:t>
      </w:r>
      <w:r>
        <w:rPr>
          <w:rFonts w:hint="eastAsia"/>
        </w:rPr>
        <w:t>℃；最高年平均气温；</w:t>
      </w:r>
      <w:r>
        <w:t>19</w:t>
      </w:r>
      <w:r>
        <w:rPr>
          <w:rFonts w:hint="eastAsia"/>
        </w:rPr>
        <w:t>℃；最低年平均气温</w:t>
      </w:r>
      <w:r>
        <w:t>7</w:t>
      </w:r>
      <w:r>
        <w:rPr>
          <w:rFonts w:hint="eastAsia"/>
        </w:rPr>
        <w:t>℃；七月平均气温</w:t>
      </w:r>
      <w:r>
        <w:t>22</w:t>
      </w:r>
      <w:r>
        <w:rPr>
          <w:rFonts w:hint="eastAsia"/>
        </w:rPr>
        <w:t>℃；一月平均气温</w:t>
      </w:r>
      <w:r>
        <w:t>-7</w:t>
      </w:r>
      <w:r>
        <w:rPr>
          <w:rFonts w:hint="eastAsia"/>
        </w:rPr>
        <w:t>℃；极端最高温</w:t>
      </w:r>
      <w:r>
        <w:t>42.1</w:t>
      </w:r>
      <w:r>
        <w:rPr>
          <w:rFonts w:hint="eastAsia"/>
        </w:rPr>
        <w:t>℃；极端最低温度：</w:t>
      </w:r>
      <w:r>
        <w:t>-23</w:t>
      </w:r>
      <w:r>
        <w:rPr>
          <w:rFonts w:hint="eastAsia"/>
        </w:rPr>
        <w:t>℃。</w:t>
      </w:r>
    </w:p>
    <w:p w14:paraId="55E37B42" w14:textId="77777777" w:rsidR="003D6A63" w:rsidRDefault="00000000">
      <w:pPr>
        <w:pStyle w:val="affffffffff2"/>
        <w:adjustRightInd w:val="0"/>
        <w:snapToGrid w:val="0"/>
        <w:ind w:firstLine="480"/>
        <w:rPr>
          <w:lang w:val="zh-CN"/>
        </w:rPr>
      </w:pPr>
      <w:r>
        <w:rPr>
          <w:rFonts w:hint="eastAsia"/>
        </w:rPr>
        <w:t>2</w:t>
      </w:r>
      <w:r>
        <w:rPr>
          <w:rFonts w:hint="eastAsia"/>
          <w:lang w:val="zh-CN"/>
        </w:rPr>
        <w:t>）降水</w:t>
      </w:r>
    </w:p>
    <w:p w14:paraId="12FC6986" w14:textId="77777777" w:rsidR="003D6A63" w:rsidRDefault="00000000">
      <w:pPr>
        <w:pStyle w:val="affffffffff2"/>
        <w:adjustRightInd w:val="0"/>
        <w:snapToGrid w:val="0"/>
        <w:ind w:firstLine="480"/>
      </w:pPr>
      <w:r>
        <w:rPr>
          <w:rFonts w:hint="eastAsia"/>
        </w:rPr>
        <w:t>淄博地区年均降水量为</w:t>
      </w:r>
      <w:r>
        <w:t>550</w:t>
      </w:r>
      <w:r>
        <w:rPr>
          <w:rFonts w:hint="eastAsia"/>
        </w:rPr>
        <w:t>～</w:t>
      </w:r>
      <w:r>
        <w:t>800mm</w:t>
      </w:r>
      <w:r>
        <w:rPr>
          <w:rFonts w:hint="eastAsia"/>
        </w:rPr>
        <w:t>，一般集中在</w:t>
      </w:r>
      <w:r>
        <w:t>6-10</w:t>
      </w:r>
      <w:r>
        <w:rPr>
          <w:rFonts w:hint="eastAsia"/>
        </w:rPr>
        <w:t>月份，占全年降水的</w:t>
      </w:r>
      <w:r>
        <w:t>78.7%</w:t>
      </w:r>
      <w:r>
        <w:rPr>
          <w:rFonts w:hint="eastAsia"/>
        </w:rPr>
        <w:t>，各月降水悬殊，年内各季降水量相差悬殊，稳定性差。</w:t>
      </w:r>
    </w:p>
    <w:p w14:paraId="7868E549" w14:textId="77777777" w:rsidR="003D6A63" w:rsidRDefault="00000000">
      <w:pPr>
        <w:pStyle w:val="affffffffff2"/>
        <w:adjustRightInd w:val="0"/>
        <w:snapToGrid w:val="0"/>
        <w:ind w:firstLine="480"/>
        <w:rPr>
          <w:lang w:val="zh-CN"/>
        </w:rPr>
      </w:pPr>
      <w:r>
        <w:rPr>
          <w:rFonts w:hint="eastAsia"/>
        </w:rPr>
        <w:t>3</w:t>
      </w:r>
      <w:r>
        <w:rPr>
          <w:rFonts w:hint="eastAsia"/>
          <w:lang w:val="zh-CN"/>
        </w:rPr>
        <w:t>）风况</w:t>
      </w:r>
    </w:p>
    <w:p w14:paraId="6B3116C8" w14:textId="77777777" w:rsidR="003D6A63" w:rsidRDefault="00000000">
      <w:pPr>
        <w:pStyle w:val="affffffffff2"/>
        <w:adjustRightInd w:val="0"/>
        <w:snapToGrid w:val="0"/>
        <w:ind w:firstLine="480"/>
      </w:pPr>
      <w:r>
        <w:rPr>
          <w:rFonts w:hint="eastAsia"/>
        </w:rPr>
        <w:t>淄博地区年主导风向为西南风和南风，频率</w:t>
      </w:r>
      <w:r>
        <w:t>12%</w:t>
      </w:r>
      <w:r>
        <w:rPr>
          <w:rFonts w:hint="eastAsia"/>
        </w:rPr>
        <w:t>以上；全年平均风速</w:t>
      </w:r>
      <w:r>
        <w:t>3.4m/s</w:t>
      </w:r>
      <w:r>
        <w:rPr>
          <w:rFonts w:hint="eastAsia"/>
        </w:rPr>
        <w:t>，最大频率风向南南西，频率</w:t>
      </w:r>
      <w:r>
        <w:rPr>
          <w:rFonts w:hint="eastAsia"/>
        </w:rPr>
        <w:t>30%</w:t>
      </w:r>
      <w:r>
        <w:rPr>
          <w:rFonts w:hint="eastAsia"/>
        </w:rPr>
        <w:t>～</w:t>
      </w:r>
      <w:r>
        <w:rPr>
          <w:rFonts w:hint="eastAsia"/>
        </w:rPr>
        <w:t>40%</w:t>
      </w:r>
      <w:r>
        <w:rPr>
          <w:rFonts w:hint="eastAsia"/>
        </w:rPr>
        <w:t>。</w:t>
      </w:r>
    </w:p>
    <w:p w14:paraId="5543DAD6" w14:textId="77777777" w:rsidR="003D6A63" w:rsidRDefault="00000000">
      <w:pPr>
        <w:pStyle w:val="affffffffff2"/>
        <w:adjustRightInd w:val="0"/>
        <w:snapToGrid w:val="0"/>
        <w:ind w:leftChars="200" w:left="420" w:firstLineChars="0" w:firstLine="0"/>
      </w:pPr>
      <w:r>
        <w:rPr>
          <w:rFonts w:hint="eastAsia"/>
        </w:rPr>
        <w:t>4</w:t>
      </w:r>
      <w:r>
        <w:rPr>
          <w:rFonts w:hint="eastAsia"/>
        </w:rPr>
        <w:t>）雷暴日</w:t>
      </w:r>
    </w:p>
    <w:p w14:paraId="272F180A" w14:textId="77777777" w:rsidR="003D6A63" w:rsidRDefault="00000000">
      <w:pPr>
        <w:pStyle w:val="affffffffff2"/>
        <w:adjustRightInd w:val="0"/>
        <w:snapToGrid w:val="0"/>
        <w:ind w:firstLine="480"/>
      </w:pPr>
      <w:r>
        <w:rPr>
          <w:rFonts w:hint="eastAsia"/>
        </w:rPr>
        <w:t>淄博地区属于雷暴多发区，年平均雷暴日为</w:t>
      </w:r>
      <w:r>
        <w:rPr>
          <w:rFonts w:hint="eastAsia"/>
        </w:rPr>
        <w:t>20.6d</w:t>
      </w:r>
      <w:r>
        <w:rPr>
          <w:rFonts w:hint="eastAsia"/>
        </w:rPr>
        <w:t>。雷暴日有明显季节特征，夏季最多，冬季最少。</w:t>
      </w:r>
    </w:p>
    <w:p w14:paraId="54B9F85F" w14:textId="77777777" w:rsidR="003D6A63" w:rsidRDefault="00000000">
      <w:pPr>
        <w:pStyle w:val="affffffffff2"/>
        <w:adjustRightInd w:val="0"/>
        <w:snapToGrid w:val="0"/>
        <w:ind w:firstLineChars="100" w:firstLine="240"/>
      </w:pPr>
      <w:r>
        <w:rPr>
          <w:rFonts w:hint="eastAsia"/>
        </w:rPr>
        <w:t>（</w:t>
      </w:r>
      <w:r>
        <w:rPr>
          <w:rFonts w:hint="eastAsia"/>
        </w:rPr>
        <w:t>3</w:t>
      </w:r>
      <w:r>
        <w:rPr>
          <w:rFonts w:hint="eastAsia"/>
        </w:rPr>
        <w:t>）滨州市气象条件</w:t>
      </w:r>
    </w:p>
    <w:p w14:paraId="7D7A2BF3" w14:textId="77777777" w:rsidR="003D6A63" w:rsidRDefault="00000000">
      <w:pPr>
        <w:pStyle w:val="affffffffff2"/>
        <w:adjustRightInd w:val="0"/>
        <w:snapToGrid w:val="0"/>
        <w:ind w:firstLine="480"/>
      </w:pPr>
      <w:r>
        <w:rPr>
          <w:rFonts w:hint="eastAsia"/>
        </w:rPr>
        <w:t>1</w:t>
      </w:r>
      <w:r>
        <w:rPr>
          <w:rFonts w:hint="eastAsia"/>
        </w:rPr>
        <w:t>）气温</w:t>
      </w:r>
    </w:p>
    <w:p w14:paraId="52F50881" w14:textId="77777777" w:rsidR="003D6A63" w:rsidRDefault="00000000">
      <w:pPr>
        <w:pStyle w:val="affffffffff2"/>
        <w:adjustRightInd w:val="0"/>
        <w:snapToGrid w:val="0"/>
        <w:ind w:firstLine="480"/>
      </w:pPr>
      <w:r>
        <w:rPr>
          <w:rFonts w:hint="eastAsia"/>
        </w:rPr>
        <w:t>滨州地区年平均气温</w:t>
      </w:r>
      <w:r>
        <w:t>12.9</w:t>
      </w:r>
      <w:r>
        <w:rPr>
          <w:rFonts w:hint="eastAsia"/>
        </w:rPr>
        <w:t>℃；最高年平均气温；</w:t>
      </w:r>
      <w:r>
        <w:t>18.2</w:t>
      </w:r>
      <w:r>
        <w:rPr>
          <w:rFonts w:hint="eastAsia"/>
        </w:rPr>
        <w:t>℃；最低年平均气温</w:t>
      </w:r>
      <w:r>
        <w:t>7.4</w:t>
      </w:r>
      <w:r>
        <w:rPr>
          <w:rFonts w:hint="eastAsia"/>
        </w:rPr>
        <w:t>℃；七月平均气温</w:t>
      </w:r>
      <w:r>
        <w:t>22.1</w:t>
      </w:r>
      <w:r>
        <w:rPr>
          <w:rFonts w:hint="eastAsia"/>
        </w:rPr>
        <w:t>℃；一月平均气温</w:t>
      </w:r>
      <w:r>
        <w:t>-2.7</w:t>
      </w:r>
      <w:r>
        <w:rPr>
          <w:rFonts w:hint="eastAsia"/>
        </w:rPr>
        <w:t>℃；最高温度</w:t>
      </w:r>
      <w:r>
        <w:t>40.7</w:t>
      </w:r>
      <w:r>
        <w:rPr>
          <w:rFonts w:hint="eastAsia"/>
        </w:rPr>
        <w:t>℃；最低温度：</w:t>
      </w:r>
      <w:r>
        <w:t>-17.3</w:t>
      </w:r>
      <w:r>
        <w:rPr>
          <w:rFonts w:hint="eastAsia"/>
        </w:rPr>
        <w:t>℃。</w:t>
      </w:r>
    </w:p>
    <w:p w14:paraId="1D542730" w14:textId="77777777" w:rsidR="003D6A63" w:rsidRPr="009F7011" w:rsidRDefault="00000000">
      <w:pPr>
        <w:pStyle w:val="affffffffff2"/>
        <w:adjustRightInd w:val="0"/>
        <w:snapToGrid w:val="0"/>
        <w:ind w:firstLine="480"/>
      </w:pPr>
      <w:r>
        <w:rPr>
          <w:rFonts w:hint="eastAsia"/>
        </w:rPr>
        <w:t>2</w:t>
      </w:r>
      <w:r w:rsidRPr="009F7011">
        <w:rPr>
          <w:rFonts w:hint="eastAsia"/>
        </w:rPr>
        <w:t>）</w:t>
      </w:r>
      <w:r>
        <w:rPr>
          <w:rFonts w:hint="eastAsia"/>
          <w:lang w:val="zh-CN"/>
        </w:rPr>
        <w:t>降水</w:t>
      </w:r>
    </w:p>
    <w:p w14:paraId="40702C9C" w14:textId="77777777" w:rsidR="003D6A63" w:rsidRDefault="00000000">
      <w:pPr>
        <w:pStyle w:val="affffffffff2"/>
        <w:adjustRightInd w:val="0"/>
        <w:snapToGrid w:val="0"/>
        <w:ind w:firstLine="480"/>
      </w:pPr>
      <w:r>
        <w:rPr>
          <w:rFonts w:hint="eastAsia"/>
        </w:rPr>
        <w:t>滨州地区年平均降水量</w:t>
      </w:r>
      <w:r>
        <w:t>549.8mm</w:t>
      </w:r>
      <w:r>
        <w:rPr>
          <w:rFonts w:hint="eastAsia"/>
        </w:rPr>
        <w:t>；年最大降水量</w:t>
      </w:r>
      <w:r>
        <w:t>968.4m</w:t>
      </w:r>
      <w:r>
        <w:rPr>
          <w:rFonts w:hint="eastAsia"/>
        </w:rPr>
        <w:t>；年最小降水量</w:t>
      </w:r>
      <w:r>
        <w:t>319.5mm</w:t>
      </w:r>
      <w:r>
        <w:rPr>
          <w:rFonts w:hint="eastAsia"/>
        </w:rPr>
        <w:t>；日最大降水量</w:t>
      </w:r>
      <w:r>
        <w:t>150.4m</w:t>
      </w:r>
      <w:r>
        <w:rPr>
          <w:rFonts w:hint="eastAsia"/>
        </w:rPr>
        <w:t>。</w:t>
      </w:r>
      <w:r>
        <w:rPr>
          <w:rFonts w:hint="eastAsia"/>
        </w:rPr>
        <w:t xml:space="preserve"> </w:t>
      </w:r>
    </w:p>
    <w:p w14:paraId="2A6C4426" w14:textId="77777777" w:rsidR="003D6A63" w:rsidRDefault="00000000">
      <w:pPr>
        <w:pStyle w:val="affffffffff2"/>
        <w:adjustRightInd w:val="0"/>
        <w:snapToGrid w:val="0"/>
        <w:ind w:firstLine="480"/>
        <w:rPr>
          <w:lang w:val="zh-CN"/>
        </w:rPr>
      </w:pPr>
      <w:r>
        <w:rPr>
          <w:rFonts w:hint="eastAsia"/>
        </w:rPr>
        <w:t>3</w:t>
      </w:r>
      <w:r>
        <w:rPr>
          <w:rFonts w:hint="eastAsia"/>
          <w:lang w:val="zh-CN"/>
        </w:rPr>
        <w:t>）风况</w:t>
      </w:r>
    </w:p>
    <w:p w14:paraId="167F39BA" w14:textId="77777777" w:rsidR="003D6A63" w:rsidRDefault="00000000">
      <w:pPr>
        <w:pStyle w:val="affffffffff2"/>
        <w:adjustRightInd w:val="0"/>
        <w:snapToGrid w:val="0"/>
        <w:ind w:firstLine="480"/>
      </w:pPr>
      <w:r>
        <w:rPr>
          <w:rFonts w:hint="eastAsia"/>
        </w:rPr>
        <w:t>滨州地区年主导风向东南风，频率</w:t>
      </w:r>
      <w:r>
        <w:t>8-10%</w:t>
      </w:r>
      <w:r>
        <w:rPr>
          <w:rFonts w:hint="eastAsia"/>
        </w:rPr>
        <w:t>；最大频率风向东南风；最小频率风向北北东。</w:t>
      </w:r>
    </w:p>
    <w:p w14:paraId="29D658D5" w14:textId="77777777" w:rsidR="003D6A63" w:rsidRDefault="00000000">
      <w:pPr>
        <w:pStyle w:val="affffffffff2"/>
        <w:adjustRightInd w:val="0"/>
        <w:snapToGrid w:val="0"/>
        <w:ind w:leftChars="200" w:left="420" w:firstLineChars="0" w:firstLine="0"/>
      </w:pPr>
      <w:r>
        <w:rPr>
          <w:rFonts w:hint="eastAsia"/>
        </w:rPr>
        <w:t>4</w:t>
      </w:r>
      <w:r>
        <w:rPr>
          <w:rFonts w:hint="eastAsia"/>
        </w:rPr>
        <w:t>）雷暴日</w:t>
      </w:r>
    </w:p>
    <w:p w14:paraId="1F1AA911" w14:textId="77777777" w:rsidR="003D6A63" w:rsidRDefault="00000000">
      <w:pPr>
        <w:pStyle w:val="affffffffff2"/>
        <w:adjustRightInd w:val="0"/>
        <w:snapToGrid w:val="0"/>
        <w:ind w:firstLine="480"/>
      </w:pPr>
      <w:r>
        <w:rPr>
          <w:rFonts w:hint="eastAsia"/>
        </w:rPr>
        <w:lastRenderedPageBreak/>
        <w:t>滨州市属于雷暴活动较频繁的地区，年平均雷暴日为</w:t>
      </w:r>
      <w:r>
        <w:rPr>
          <w:rFonts w:hint="eastAsia"/>
        </w:rPr>
        <w:t>26.6d</w:t>
      </w:r>
      <w:r>
        <w:rPr>
          <w:rFonts w:hint="eastAsia"/>
        </w:rPr>
        <w:t>。滨州市雷暴出现在</w:t>
      </w:r>
      <w:r>
        <w:rPr>
          <w:rFonts w:hint="eastAsia"/>
        </w:rPr>
        <w:t>3-11</w:t>
      </w:r>
      <w:r>
        <w:rPr>
          <w:rFonts w:hint="eastAsia"/>
        </w:rPr>
        <w:t>月份，夏季</w:t>
      </w:r>
      <w:r>
        <w:rPr>
          <w:rFonts w:hint="eastAsia"/>
        </w:rPr>
        <w:t>6-8</w:t>
      </w:r>
      <w:r>
        <w:rPr>
          <w:rFonts w:hint="eastAsia"/>
        </w:rPr>
        <w:t>月是雷暴多发季节，其中</w:t>
      </w:r>
      <w:r>
        <w:rPr>
          <w:rFonts w:hint="eastAsia"/>
        </w:rPr>
        <w:t>7</w:t>
      </w:r>
      <w:r>
        <w:rPr>
          <w:rFonts w:hint="eastAsia"/>
        </w:rPr>
        <w:t>月份雷暴活动频繁，占雷暴总日数的</w:t>
      </w:r>
      <w:r>
        <w:rPr>
          <w:rFonts w:hint="eastAsia"/>
        </w:rPr>
        <w:t>33.8%</w:t>
      </w:r>
      <w:r>
        <w:rPr>
          <w:rFonts w:hint="eastAsia"/>
        </w:rPr>
        <w:t>。</w:t>
      </w:r>
    </w:p>
    <w:p w14:paraId="5CD4A1CE" w14:textId="77777777" w:rsidR="003D6A63" w:rsidRDefault="00000000">
      <w:pPr>
        <w:pStyle w:val="4"/>
        <w:keepNext w:val="0"/>
        <w:keepLines w:val="0"/>
        <w:adjustRightInd w:val="0"/>
        <w:snapToGrid w:val="0"/>
        <w:spacing w:before="0" w:after="0" w:line="360" w:lineRule="auto"/>
        <w:rPr>
          <w:rFonts w:ascii="Times New Roman" w:eastAsia="宋体" w:hAnsi="Times New Roman"/>
          <w:sz w:val="24"/>
        </w:rPr>
      </w:pPr>
      <w:r>
        <w:rPr>
          <w:rFonts w:ascii="Times New Roman" w:eastAsia="宋体" w:hAnsi="Times New Roman" w:hint="eastAsia"/>
          <w:sz w:val="24"/>
        </w:rPr>
        <w:t xml:space="preserve">2.1.4.2 </w:t>
      </w:r>
      <w:r>
        <w:rPr>
          <w:rFonts w:ascii="Times New Roman" w:eastAsia="宋体" w:hAnsi="Times New Roman" w:hint="eastAsia"/>
          <w:sz w:val="24"/>
        </w:rPr>
        <w:t>地震及抗震设防烈度</w:t>
      </w:r>
    </w:p>
    <w:p w14:paraId="64503141" w14:textId="77777777" w:rsidR="003D6A63" w:rsidRDefault="00000000">
      <w:pPr>
        <w:pStyle w:val="affffffffff2"/>
        <w:adjustRightInd w:val="0"/>
        <w:snapToGrid w:val="0"/>
        <w:ind w:firstLine="480"/>
      </w:pPr>
      <w:r>
        <w:rPr>
          <w:rFonts w:hint="eastAsia"/>
        </w:rPr>
        <w:t>经过地区的地震动反应谱特征周期、地震动峰值加速度分布、抗震设防烈度见下表</w:t>
      </w:r>
      <w:r>
        <w:rPr>
          <w:rFonts w:hint="eastAsia"/>
        </w:rPr>
        <w:t>2.1-3</w:t>
      </w:r>
      <w:r>
        <w:rPr>
          <w:rFonts w:hint="eastAsia"/>
        </w:rPr>
        <w:t>。地震动反应谱特征周期、地震动峰值加速度分布数据来源为《中国地震动参数区划图》（</w:t>
      </w:r>
      <w:r>
        <w:rPr>
          <w:rFonts w:hint="eastAsia"/>
        </w:rPr>
        <w:t>GB18306-2015</w:t>
      </w:r>
      <w:r>
        <w:rPr>
          <w:rFonts w:hint="eastAsia"/>
        </w:rPr>
        <w:t>）。</w:t>
      </w:r>
    </w:p>
    <w:p w14:paraId="737E6726" w14:textId="77777777" w:rsidR="003D6A63" w:rsidRDefault="00000000">
      <w:pPr>
        <w:pStyle w:val="nlw1"/>
        <w:adjustRightInd w:val="0"/>
        <w:snapToGrid w:val="0"/>
        <w:spacing w:line="360" w:lineRule="auto"/>
        <w:ind w:firstLineChars="0" w:firstLine="0"/>
        <w:jc w:val="center"/>
        <w:rPr>
          <w:rFonts w:ascii="Times New Roman" w:eastAsia="黑体" w:hAnsi="Times New Roman"/>
          <w:sz w:val="21"/>
          <w:szCs w:val="21"/>
        </w:rPr>
      </w:pPr>
      <w:r>
        <w:rPr>
          <w:rFonts w:ascii="Times New Roman" w:eastAsia="黑体" w:hAnsi="Times New Roman" w:hint="eastAsia"/>
          <w:sz w:val="21"/>
          <w:szCs w:val="21"/>
        </w:rPr>
        <w:t>表</w:t>
      </w:r>
      <w:r>
        <w:rPr>
          <w:rFonts w:ascii="Times New Roman" w:eastAsia="黑体" w:hAnsi="Times New Roman"/>
          <w:sz w:val="21"/>
          <w:szCs w:val="21"/>
        </w:rPr>
        <w:fldChar w:fldCharType="begin"/>
      </w:r>
      <w:r>
        <w:rPr>
          <w:rFonts w:ascii="Times New Roman" w:eastAsia="黑体" w:hAnsi="Times New Roman"/>
          <w:sz w:val="21"/>
          <w:szCs w:val="21"/>
        </w:rPr>
        <w:instrText xml:space="preserve"> </w:instrText>
      </w:r>
      <w:r>
        <w:rPr>
          <w:rFonts w:ascii="Times New Roman" w:eastAsia="黑体" w:hAnsi="Times New Roman" w:hint="eastAsia"/>
          <w:sz w:val="21"/>
          <w:szCs w:val="21"/>
        </w:rPr>
        <w:instrText>STYLEREF 2 \s</w:instrText>
      </w:r>
      <w:r>
        <w:rPr>
          <w:rFonts w:ascii="Times New Roman" w:eastAsia="黑体" w:hAnsi="Times New Roman"/>
          <w:sz w:val="21"/>
          <w:szCs w:val="21"/>
        </w:rPr>
        <w:instrText xml:space="preserve"> </w:instrText>
      </w:r>
      <w:r>
        <w:rPr>
          <w:rFonts w:ascii="Times New Roman" w:eastAsia="黑体" w:hAnsi="Times New Roman"/>
          <w:sz w:val="21"/>
          <w:szCs w:val="21"/>
        </w:rPr>
        <w:fldChar w:fldCharType="separate"/>
      </w:r>
      <w:r>
        <w:rPr>
          <w:rFonts w:ascii="Times New Roman" w:eastAsia="黑体" w:hAnsi="Times New Roman"/>
          <w:sz w:val="21"/>
          <w:szCs w:val="21"/>
        </w:rPr>
        <w:t>2.1</w:t>
      </w:r>
      <w:r>
        <w:rPr>
          <w:rFonts w:ascii="Times New Roman" w:eastAsia="黑体" w:hAnsi="Times New Roman"/>
          <w:sz w:val="21"/>
          <w:szCs w:val="21"/>
        </w:rPr>
        <w:fldChar w:fldCharType="end"/>
      </w:r>
      <w:r>
        <w:rPr>
          <w:rFonts w:ascii="Times New Roman" w:eastAsia="黑体" w:hAnsi="Times New Roman"/>
          <w:sz w:val="21"/>
          <w:szCs w:val="21"/>
        </w:rPr>
        <w:noBreakHyphen/>
      </w:r>
      <w:r>
        <w:rPr>
          <w:rFonts w:ascii="Times New Roman" w:eastAsia="黑体" w:hAnsi="Times New Roman" w:hint="eastAsia"/>
          <w:sz w:val="21"/>
          <w:szCs w:val="21"/>
          <w:lang w:val="en-US"/>
        </w:rPr>
        <w:t>2</w:t>
      </w:r>
      <w:r>
        <w:rPr>
          <w:rFonts w:ascii="Times New Roman" w:eastAsia="黑体" w:hAnsi="Times New Roman"/>
          <w:sz w:val="21"/>
          <w:szCs w:val="21"/>
        </w:rPr>
        <w:t xml:space="preserve">  </w:t>
      </w:r>
      <w:r>
        <w:rPr>
          <w:rFonts w:ascii="Times New Roman" w:eastAsia="黑体" w:hAnsi="Times New Roman" w:hint="eastAsia"/>
          <w:sz w:val="21"/>
          <w:szCs w:val="21"/>
        </w:rPr>
        <w:t>地震动反应谱特征周期及地震动峰值加速度分布表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841"/>
        <w:gridCol w:w="721"/>
        <w:gridCol w:w="1009"/>
        <w:gridCol w:w="1726"/>
        <w:gridCol w:w="1871"/>
        <w:gridCol w:w="1731"/>
        <w:gridCol w:w="1389"/>
      </w:tblGrid>
      <w:tr w:rsidR="003D6A63" w14:paraId="414F0DF7" w14:textId="77777777">
        <w:trPr>
          <w:trHeight w:val="374"/>
          <w:tblHeader/>
        </w:trPr>
        <w:tc>
          <w:tcPr>
            <w:tcW w:w="453" w:type="pct"/>
            <w:vAlign w:val="center"/>
          </w:tcPr>
          <w:p w14:paraId="53480328" w14:textId="77777777" w:rsidR="003D6A63" w:rsidRDefault="00000000">
            <w:pPr>
              <w:pStyle w:val="affffffffff"/>
              <w:ind w:left="-80" w:right="-69"/>
              <w:jc w:val="center"/>
              <w:rPr>
                <w:b/>
                <w:bCs/>
              </w:rPr>
            </w:pPr>
            <w:r>
              <w:rPr>
                <w:b/>
                <w:bCs/>
              </w:rPr>
              <w:t>序号</w:t>
            </w:r>
          </w:p>
        </w:tc>
        <w:tc>
          <w:tcPr>
            <w:tcW w:w="931" w:type="pct"/>
            <w:gridSpan w:val="2"/>
            <w:vAlign w:val="center"/>
          </w:tcPr>
          <w:p w14:paraId="0CADF42B" w14:textId="77777777" w:rsidR="003D6A63" w:rsidRDefault="00000000">
            <w:pPr>
              <w:pStyle w:val="affffffffff"/>
              <w:ind w:left="-80" w:right="-69"/>
              <w:jc w:val="center"/>
              <w:rPr>
                <w:b/>
                <w:bCs/>
              </w:rPr>
            </w:pPr>
            <w:r>
              <w:rPr>
                <w:b/>
                <w:bCs/>
              </w:rPr>
              <w:t>行政区划</w:t>
            </w:r>
          </w:p>
        </w:tc>
        <w:tc>
          <w:tcPr>
            <w:tcW w:w="928" w:type="pct"/>
            <w:vAlign w:val="center"/>
          </w:tcPr>
          <w:p w14:paraId="087CD8E9" w14:textId="77777777" w:rsidR="003D6A63" w:rsidRDefault="00000000">
            <w:pPr>
              <w:pStyle w:val="affffffffff"/>
              <w:ind w:left="-80" w:right="-69"/>
              <w:jc w:val="center"/>
              <w:rPr>
                <w:b/>
                <w:bCs/>
              </w:rPr>
            </w:pPr>
            <w:r>
              <w:rPr>
                <w:b/>
                <w:bCs/>
              </w:rPr>
              <w:t>峰值加速度</w:t>
            </w:r>
            <w:r>
              <w:rPr>
                <w:b/>
                <w:bCs/>
              </w:rPr>
              <w:t>/g</w:t>
            </w:r>
          </w:p>
        </w:tc>
        <w:tc>
          <w:tcPr>
            <w:tcW w:w="1006" w:type="pct"/>
            <w:vAlign w:val="center"/>
          </w:tcPr>
          <w:p w14:paraId="389A1A78" w14:textId="77777777" w:rsidR="003D6A63" w:rsidRDefault="00000000">
            <w:pPr>
              <w:pStyle w:val="affffffffff"/>
              <w:ind w:left="-80" w:right="-69"/>
              <w:jc w:val="center"/>
              <w:rPr>
                <w:b/>
                <w:bCs/>
              </w:rPr>
            </w:pPr>
            <w:r>
              <w:rPr>
                <w:b/>
                <w:bCs/>
              </w:rPr>
              <w:t>反应谱特征周期</w:t>
            </w:r>
            <w:r>
              <w:rPr>
                <w:b/>
                <w:bCs/>
              </w:rPr>
              <w:t>/s</w:t>
            </w:r>
          </w:p>
        </w:tc>
        <w:tc>
          <w:tcPr>
            <w:tcW w:w="931" w:type="pct"/>
            <w:vAlign w:val="center"/>
          </w:tcPr>
          <w:p w14:paraId="0AF62D70" w14:textId="77777777" w:rsidR="003D6A63" w:rsidRDefault="00000000">
            <w:pPr>
              <w:pStyle w:val="affffffffff"/>
              <w:ind w:left="-80" w:right="-69"/>
              <w:jc w:val="center"/>
              <w:rPr>
                <w:b/>
                <w:bCs/>
              </w:rPr>
            </w:pPr>
            <w:r>
              <w:rPr>
                <w:b/>
                <w:bCs/>
              </w:rPr>
              <w:t>抗震设防烈度</w:t>
            </w:r>
          </w:p>
        </w:tc>
        <w:tc>
          <w:tcPr>
            <w:tcW w:w="747" w:type="pct"/>
            <w:vAlign w:val="center"/>
          </w:tcPr>
          <w:p w14:paraId="2139CBE0" w14:textId="77777777" w:rsidR="003D6A63" w:rsidRDefault="00000000">
            <w:pPr>
              <w:pStyle w:val="affffffffff"/>
              <w:ind w:left="-80" w:right="-69"/>
              <w:jc w:val="center"/>
              <w:rPr>
                <w:b/>
                <w:bCs/>
              </w:rPr>
            </w:pPr>
            <w:r>
              <w:rPr>
                <w:b/>
                <w:bCs/>
              </w:rPr>
              <w:t>备注</w:t>
            </w:r>
          </w:p>
        </w:tc>
      </w:tr>
      <w:tr w:rsidR="003D6A63" w14:paraId="485BFB1A" w14:textId="77777777">
        <w:trPr>
          <w:trHeight w:val="374"/>
        </w:trPr>
        <w:tc>
          <w:tcPr>
            <w:tcW w:w="453" w:type="pct"/>
            <w:vAlign w:val="center"/>
          </w:tcPr>
          <w:p w14:paraId="10D7A269" w14:textId="77777777" w:rsidR="003D6A63" w:rsidRDefault="00000000">
            <w:pPr>
              <w:pStyle w:val="affffffffff"/>
              <w:ind w:left="-80" w:right="-69"/>
              <w:jc w:val="center"/>
            </w:pPr>
            <w:r>
              <w:rPr>
                <w:rFonts w:hint="eastAsia"/>
              </w:rPr>
              <w:t>1</w:t>
            </w:r>
          </w:p>
        </w:tc>
        <w:tc>
          <w:tcPr>
            <w:tcW w:w="388" w:type="pct"/>
            <w:vAlign w:val="center"/>
          </w:tcPr>
          <w:p w14:paraId="3B7E5C47" w14:textId="77777777" w:rsidR="003D6A63" w:rsidRDefault="00000000">
            <w:pPr>
              <w:pStyle w:val="affffffffff"/>
              <w:ind w:left="-80" w:right="-69"/>
              <w:jc w:val="center"/>
            </w:pPr>
            <w:r>
              <w:rPr>
                <w:rFonts w:hint="eastAsia"/>
              </w:rPr>
              <w:t>淄博市</w:t>
            </w:r>
          </w:p>
        </w:tc>
        <w:tc>
          <w:tcPr>
            <w:tcW w:w="543" w:type="pct"/>
            <w:vAlign w:val="center"/>
          </w:tcPr>
          <w:p w14:paraId="79A6EA3A" w14:textId="77777777" w:rsidR="003D6A63" w:rsidRDefault="00000000">
            <w:pPr>
              <w:pStyle w:val="affffffffff"/>
              <w:ind w:left="-80" w:right="-69"/>
              <w:jc w:val="center"/>
            </w:pPr>
            <w:r>
              <w:rPr>
                <w:rFonts w:hint="eastAsia"/>
              </w:rPr>
              <w:t>高青县</w:t>
            </w:r>
          </w:p>
        </w:tc>
        <w:tc>
          <w:tcPr>
            <w:tcW w:w="928" w:type="pct"/>
            <w:vAlign w:val="center"/>
          </w:tcPr>
          <w:p w14:paraId="1374BC7E" w14:textId="77777777" w:rsidR="003D6A63" w:rsidRDefault="00000000">
            <w:pPr>
              <w:pStyle w:val="affffffffff"/>
              <w:ind w:left="-80" w:right="-69"/>
              <w:jc w:val="center"/>
            </w:pPr>
            <w:r>
              <w:rPr>
                <w:rFonts w:hint="eastAsia"/>
              </w:rPr>
              <w:t>0.1</w:t>
            </w:r>
          </w:p>
        </w:tc>
        <w:tc>
          <w:tcPr>
            <w:tcW w:w="1006" w:type="pct"/>
            <w:vAlign w:val="center"/>
          </w:tcPr>
          <w:p w14:paraId="006FE659" w14:textId="77777777" w:rsidR="003D6A63" w:rsidRDefault="00000000">
            <w:pPr>
              <w:pStyle w:val="affffffffff"/>
              <w:ind w:left="-80" w:right="-69"/>
              <w:jc w:val="center"/>
            </w:pPr>
            <w:r>
              <w:rPr>
                <w:rFonts w:hint="eastAsia"/>
              </w:rPr>
              <w:t>0.45</w:t>
            </w:r>
          </w:p>
        </w:tc>
        <w:tc>
          <w:tcPr>
            <w:tcW w:w="931" w:type="pct"/>
            <w:vAlign w:val="center"/>
          </w:tcPr>
          <w:p w14:paraId="5FE49D20" w14:textId="77777777" w:rsidR="003D6A63" w:rsidRDefault="00000000">
            <w:pPr>
              <w:pStyle w:val="affffffffff"/>
              <w:ind w:left="-80" w:right="-69"/>
              <w:jc w:val="center"/>
            </w:pPr>
            <w:r>
              <w:rPr>
                <w:rFonts w:hint="eastAsia"/>
              </w:rPr>
              <w:t>7</w:t>
            </w:r>
            <w:r>
              <w:rPr>
                <w:rFonts w:hint="eastAsia"/>
              </w:rPr>
              <w:t>度</w:t>
            </w:r>
          </w:p>
        </w:tc>
        <w:tc>
          <w:tcPr>
            <w:tcW w:w="747" w:type="pct"/>
            <w:vAlign w:val="center"/>
          </w:tcPr>
          <w:p w14:paraId="606CC8B0" w14:textId="77777777" w:rsidR="003D6A63" w:rsidRDefault="003D6A63">
            <w:pPr>
              <w:pStyle w:val="affffffffff"/>
              <w:ind w:left="-80" w:right="-69"/>
              <w:jc w:val="center"/>
            </w:pPr>
          </w:p>
        </w:tc>
      </w:tr>
      <w:tr w:rsidR="003D6A63" w14:paraId="456BC0FB" w14:textId="77777777">
        <w:trPr>
          <w:trHeight w:val="374"/>
        </w:trPr>
        <w:tc>
          <w:tcPr>
            <w:tcW w:w="453" w:type="pct"/>
            <w:vAlign w:val="center"/>
          </w:tcPr>
          <w:p w14:paraId="0BBCF542" w14:textId="77777777" w:rsidR="003D6A63" w:rsidRDefault="00000000">
            <w:pPr>
              <w:pStyle w:val="affffffffff"/>
              <w:ind w:left="-80" w:right="-69"/>
              <w:jc w:val="center"/>
            </w:pPr>
            <w:r>
              <w:rPr>
                <w:rFonts w:hint="eastAsia"/>
              </w:rPr>
              <w:t>2</w:t>
            </w:r>
          </w:p>
        </w:tc>
        <w:tc>
          <w:tcPr>
            <w:tcW w:w="388" w:type="pct"/>
            <w:vMerge w:val="restart"/>
            <w:vAlign w:val="center"/>
          </w:tcPr>
          <w:p w14:paraId="6B198C29" w14:textId="77777777" w:rsidR="003D6A63" w:rsidRDefault="00000000">
            <w:pPr>
              <w:pStyle w:val="affffffffff"/>
              <w:ind w:left="-80" w:right="-69"/>
              <w:jc w:val="center"/>
            </w:pPr>
            <w:r>
              <w:rPr>
                <w:rFonts w:hint="eastAsia"/>
              </w:rPr>
              <w:t>滨州市</w:t>
            </w:r>
          </w:p>
        </w:tc>
        <w:tc>
          <w:tcPr>
            <w:tcW w:w="543" w:type="pct"/>
            <w:vAlign w:val="center"/>
          </w:tcPr>
          <w:p w14:paraId="4E230105" w14:textId="77777777" w:rsidR="003D6A63" w:rsidRDefault="00000000">
            <w:pPr>
              <w:pStyle w:val="affffffffff"/>
              <w:ind w:left="-80" w:right="-69"/>
              <w:jc w:val="center"/>
            </w:pPr>
            <w:r>
              <w:rPr>
                <w:rFonts w:hint="eastAsia"/>
              </w:rPr>
              <w:t>博兴县</w:t>
            </w:r>
          </w:p>
        </w:tc>
        <w:tc>
          <w:tcPr>
            <w:tcW w:w="928" w:type="pct"/>
            <w:vAlign w:val="center"/>
          </w:tcPr>
          <w:p w14:paraId="2FEB0E09" w14:textId="77777777" w:rsidR="003D6A63" w:rsidRDefault="00000000">
            <w:pPr>
              <w:pStyle w:val="affffffffff"/>
              <w:ind w:left="-80" w:right="-69"/>
              <w:jc w:val="center"/>
            </w:pPr>
            <w:r>
              <w:rPr>
                <w:rFonts w:hint="eastAsia"/>
              </w:rPr>
              <w:t>0.1</w:t>
            </w:r>
          </w:p>
        </w:tc>
        <w:tc>
          <w:tcPr>
            <w:tcW w:w="1006" w:type="pct"/>
            <w:vAlign w:val="center"/>
          </w:tcPr>
          <w:p w14:paraId="6786345A" w14:textId="77777777" w:rsidR="003D6A63" w:rsidRDefault="00000000">
            <w:pPr>
              <w:pStyle w:val="affffffffff"/>
              <w:ind w:left="-80" w:right="-69"/>
              <w:jc w:val="center"/>
            </w:pPr>
            <w:r>
              <w:rPr>
                <w:rFonts w:hint="eastAsia"/>
              </w:rPr>
              <w:t>0.45</w:t>
            </w:r>
          </w:p>
        </w:tc>
        <w:tc>
          <w:tcPr>
            <w:tcW w:w="931" w:type="pct"/>
            <w:vAlign w:val="center"/>
          </w:tcPr>
          <w:p w14:paraId="22934CAB" w14:textId="77777777" w:rsidR="003D6A63" w:rsidRDefault="00000000">
            <w:pPr>
              <w:jc w:val="center"/>
            </w:pPr>
            <w:r>
              <w:rPr>
                <w:rFonts w:hint="eastAsia"/>
              </w:rPr>
              <w:t>7</w:t>
            </w:r>
            <w:r>
              <w:rPr>
                <w:rFonts w:hint="eastAsia"/>
              </w:rPr>
              <w:t>度</w:t>
            </w:r>
          </w:p>
        </w:tc>
        <w:tc>
          <w:tcPr>
            <w:tcW w:w="747" w:type="pct"/>
            <w:vAlign w:val="center"/>
          </w:tcPr>
          <w:p w14:paraId="07F10C26" w14:textId="77777777" w:rsidR="003D6A63" w:rsidRDefault="003D6A63">
            <w:pPr>
              <w:pStyle w:val="affffffffff"/>
              <w:ind w:left="-80" w:right="-69"/>
              <w:jc w:val="center"/>
            </w:pPr>
          </w:p>
        </w:tc>
      </w:tr>
      <w:tr w:rsidR="003D6A63" w14:paraId="29B269AB" w14:textId="77777777">
        <w:trPr>
          <w:trHeight w:val="374"/>
        </w:trPr>
        <w:tc>
          <w:tcPr>
            <w:tcW w:w="453" w:type="pct"/>
            <w:vAlign w:val="center"/>
          </w:tcPr>
          <w:p w14:paraId="51D73958" w14:textId="77777777" w:rsidR="003D6A63" w:rsidRDefault="00000000">
            <w:pPr>
              <w:pStyle w:val="affffffffff"/>
              <w:ind w:left="-80" w:right="-69"/>
              <w:jc w:val="center"/>
            </w:pPr>
            <w:r>
              <w:rPr>
                <w:rFonts w:hint="eastAsia"/>
              </w:rPr>
              <w:t>3</w:t>
            </w:r>
          </w:p>
        </w:tc>
        <w:tc>
          <w:tcPr>
            <w:tcW w:w="388" w:type="pct"/>
            <w:vMerge/>
            <w:vAlign w:val="center"/>
          </w:tcPr>
          <w:p w14:paraId="48BFCED8" w14:textId="77777777" w:rsidR="003D6A63" w:rsidRDefault="003D6A63">
            <w:pPr>
              <w:pStyle w:val="affffffffff"/>
              <w:ind w:left="-80" w:right="-69"/>
              <w:jc w:val="center"/>
            </w:pPr>
          </w:p>
        </w:tc>
        <w:tc>
          <w:tcPr>
            <w:tcW w:w="543" w:type="pct"/>
            <w:vAlign w:val="center"/>
          </w:tcPr>
          <w:p w14:paraId="016F0133" w14:textId="77777777" w:rsidR="003D6A63" w:rsidRDefault="00000000">
            <w:pPr>
              <w:pStyle w:val="affffffffff"/>
              <w:ind w:left="-80" w:right="-69"/>
              <w:jc w:val="center"/>
            </w:pPr>
            <w:r>
              <w:rPr>
                <w:rFonts w:hint="eastAsia"/>
              </w:rPr>
              <w:t>滨城区</w:t>
            </w:r>
          </w:p>
        </w:tc>
        <w:tc>
          <w:tcPr>
            <w:tcW w:w="928" w:type="pct"/>
            <w:vAlign w:val="center"/>
          </w:tcPr>
          <w:p w14:paraId="1A8DB501" w14:textId="77777777" w:rsidR="003D6A63" w:rsidRDefault="00000000">
            <w:pPr>
              <w:pStyle w:val="affffffffff"/>
              <w:ind w:left="-80" w:right="-69"/>
              <w:jc w:val="center"/>
            </w:pPr>
            <w:r>
              <w:rPr>
                <w:rFonts w:hint="eastAsia"/>
              </w:rPr>
              <w:t>0.1</w:t>
            </w:r>
          </w:p>
        </w:tc>
        <w:tc>
          <w:tcPr>
            <w:tcW w:w="1006" w:type="pct"/>
            <w:vAlign w:val="center"/>
          </w:tcPr>
          <w:p w14:paraId="4965B909" w14:textId="77777777" w:rsidR="003D6A63" w:rsidRDefault="00000000">
            <w:pPr>
              <w:pStyle w:val="affffffffff"/>
              <w:ind w:left="-80" w:right="-69"/>
              <w:jc w:val="center"/>
            </w:pPr>
            <w:r>
              <w:rPr>
                <w:rFonts w:hint="eastAsia"/>
              </w:rPr>
              <w:t>0.45</w:t>
            </w:r>
          </w:p>
        </w:tc>
        <w:tc>
          <w:tcPr>
            <w:tcW w:w="931" w:type="pct"/>
            <w:vAlign w:val="center"/>
          </w:tcPr>
          <w:p w14:paraId="5E787329" w14:textId="77777777" w:rsidR="003D6A63" w:rsidRDefault="00000000">
            <w:pPr>
              <w:jc w:val="center"/>
            </w:pPr>
            <w:r>
              <w:rPr>
                <w:rFonts w:hint="eastAsia"/>
              </w:rPr>
              <w:t>7</w:t>
            </w:r>
            <w:r>
              <w:rPr>
                <w:rFonts w:hint="eastAsia"/>
              </w:rPr>
              <w:t>度</w:t>
            </w:r>
          </w:p>
        </w:tc>
        <w:tc>
          <w:tcPr>
            <w:tcW w:w="747" w:type="pct"/>
            <w:vAlign w:val="center"/>
          </w:tcPr>
          <w:p w14:paraId="4DE6C8CE" w14:textId="77777777" w:rsidR="003D6A63" w:rsidRDefault="003D6A63">
            <w:pPr>
              <w:pStyle w:val="affffffffff"/>
              <w:ind w:left="-80" w:right="-69"/>
              <w:jc w:val="center"/>
            </w:pPr>
          </w:p>
        </w:tc>
      </w:tr>
      <w:tr w:rsidR="003D6A63" w14:paraId="237C40F7" w14:textId="77777777">
        <w:trPr>
          <w:trHeight w:val="374"/>
        </w:trPr>
        <w:tc>
          <w:tcPr>
            <w:tcW w:w="453" w:type="pct"/>
            <w:vAlign w:val="center"/>
          </w:tcPr>
          <w:p w14:paraId="3C8C8F00" w14:textId="77777777" w:rsidR="003D6A63" w:rsidRDefault="00000000">
            <w:pPr>
              <w:pStyle w:val="affffffffff"/>
              <w:ind w:left="-80" w:right="-69"/>
              <w:jc w:val="center"/>
            </w:pPr>
            <w:r>
              <w:rPr>
                <w:rFonts w:hint="eastAsia"/>
              </w:rPr>
              <w:t>4</w:t>
            </w:r>
          </w:p>
        </w:tc>
        <w:tc>
          <w:tcPr>
            <w:tcW w:w="388" w:type="pct"/>
            <w:vMerge w:val="restart"/>
            <w:vAlign w:val="center"/>
          </w:tcPr>
          <w:p w14:paraId="7756D095" w14:textId="77777777" w:rsidR="003D6A63" w:rsidRDefault="00000000">
            <w:pPr>
              <w:pStyle w:val="affffffffff"/>
              <w:ind w:left="-80" w:right="-69"/>
              <w:jc w:val="center"/>
            </w:pPr>
            <w:r>
              <w:rPr>
                <w:rFonts w:hint="eastAsia"/>
              </w:rPr>
              <w:t>东营市</w:t>
            </w:r>
          </w:p>
        </w:tc>
        <w:tc>
          <w:tcPr>
            <w:tcW w:w="543" w:type="pct"/>
            <w:vAlign w:val="center"/>
          </w:tcPr>
          <w:p w14:paraId="588CDF4F" w14:textId="77777777" w:rsidR="003D6A63" w:rsidRDefault="00000000">
            <w:pPr>
              <w:pStyle w:val="affffffffff"/>
              <w:ind w:left="-80" w:right="-69"/>
              <w:jc w:val="center"/>
            </w:pPr>
            <w:r>
              <w:rPr>
                <w:rFonts w:hint="eastAsia"/>
              </w:rPr>
              <w:t>东营区</w:t>
            </w:r>
          </w:p>
        </w:tc>
        <w:tc>
          <w:tcPr>
            <w:tcW w:w="928" w:type="pct"/>
            <w:vAlign w:val="center"/>
          </w:tcPr>
          <w:p w14:paraId="2F5FCB38" w14:textId="77777777" w:rsidR="003D6A63" w:rsidRDefault="00000000">
            <w:pPr>
              <w:pStyle w:val="affffffffff"/>
              <w:ind w:left="-80" w:right="-69"/>
              <w:jc w:val="center"/>
            </w:pPr>
            <w:r>
              <w:rPr>
                <w:rFonts w:hint="eastAsia"/>
              </w:rPr>
              <w:t>0.1</w:t>
            </w:r>
          </w:p>
        </w:tc>
        <w:tc>
          <w:tcPr>
            <w:tcW w:w="1006" w:type="pct"/>
            <w:vAlign w:val="center"/>
          </w:tcPr>
          <w:p w14:paraId="0903DDF1" w14:textId="77777777" w:rsidR="003D6A63" w:rsidRDefault="00000000">
            <w:pPr>
              <w:pStyle w:val="affffffffff"/>
              <w:ind w:left="-80" w:right="-69"/>
              <w:jc w:val="center"/>
            </w:pPr>
            <w:r>
              <w:rPr>
                <w:rFonts w:hint="eastAsia"/>
              </w:rPr>
              <w:t>0.45</w:t>
            </w:r>
          </w:p>
        </w:tc>
        <w:tc>
          <w:tcPr>
            <w:tcW w:w="931" w:type="pct"/>
            <w:vAlign w:val="center"/>
          </w:tcPr>
          <w:p w14:paraId="74661BAC" w14:textId="77777777" w:rsidR="003D6A63" w:rsidRDefault="00000000">
            <w:pPr>
              <w:jc w:val="center"/>
            </w:pPr>
            <w:r>
              <w:rPr>
                <w:rFonts w:hint="eastAsia"/>
              </w:rPr>
              <w:t>7</w:t>
            </w:r>
            <w:r>
              <w:rPr>
                <w:rFonts w:hint="eastAsia"/>
              </w:rPr>
              <w:t>度</w:t>
            </w:r>
          </w:p>
        </w:tc>
        <w:tc>
          <w:tcPr>
            <w:tcW w:w="747" w:type="pct"/>
            <w:vAlign w:val="center"/>
          </w:tcPr>
          <w:p w14:paraId="0C408D60" w14:textId="77777777" w:rsidR="003D6A63" w:rsidRDefault="003D6A63">
            <w:pPr>
              <w:pStyle w:val="affffffffff"/>
              <w:ind w:left="-80" w:right="-69"/>
              <w:jc w:val="center"/>
            </w:pPr>
          </w:p>
        </w:tc>
      </w:tr>
      <w:tr w:rsidR="003D6A63" w14:paraId="2136457E" w14:textId="77777777">
        <w:trPr>
          <w:trHeight w:val="374"/>
        </w:trPr>
        <w:tc>
          <w:tcPr>
            <w:tcW w:w="453" w:type="pct"/>
            <w:vAlign w:val="center"/>
          </w:tcPr>
          <w:p w14:paraId="70D51A32" w14:textId="77777777" w:rsidR="003D6A63" w:rsidRDefault="00000000">
            <w:pPr>
              <w:pStyle w:val="affffffffff"/>
              <w:ind w:left="-80" w:right="-69"/>
              <w:jc w:val="center"/>
            </w:pPr>
            <w:r>
              <w:rPr>
                <w:rFonts w:hint="eastAsia"/>
              </w:rPr>
              <w:t>5</w:t>
            </w:r>
          </w:p>
        </w:tc>
        <w:tc>
          <w:tcPr>
            <w:tcW w:w="388" w:type="pct"/>
            <w:vMerge/>
            <w:vAlign w:val="center"/>
          </w:tcPr>
          <w:p w14:paraId="3A5AE188" w14:textId="77777777" w:rsidR="003D6A63" w:rsidRDefault="003D6A63">
            <w:pPr>
              <w:pStyle w:val="affffffffff"/>
              <w:ind w:left="-80" w:right="-69"/>
              <w:jc w:val="center"/>
            </w:pPr>
          </w:p>
        </w:tc>
        <w:tc>
          <w:tcPr>
            <w:tcW w:w="543" w:type="pct"/>
            <w:vAlign w:val="center"/>
          </w:tcPr>
          <w:p w14:paraId="4B8AF180" w14:textId="77777777" w:rsidR="003D6A63" w:rsidRDefault="00000000">
            <w:pPr>
              <w:pStyle w:val="affffffffff"/>
              <w:ind w:left="-80" w:right="-69"/>
              <w:jc w:val="center"/>
            </w:pPr>
            <w:r>
              <w:rPr>
                <w:rFonts w:hint="eastAsia"/>
              </w:rPr>
              <w:t>广饶县</w:t>
            </w:r>
          </w:p>
        </w:tc>
        <w:tc>
          <w:tcPr>
            <w:tcW w:w="928" w:type="pct"/>
            <w:vAlign w:val="center"/>
          </w:tcPr>
          <w:p w14:paraId="2C5FA633" w14:textId="77777777" w:rsidR="003D6A63" w:rsidRDefault="00000000">
            <w:pPr>
              <w:pStyle w:val="affffffffff"/>
              <w:ind w:left="-80" w:right="-69"/>
              <w:jc w:val="center"/>
            </w:pPr>
            <w:r>
              <w:rPr>
                <w:rFonts w:hint="eastAsia"/>
              </w:rPr>
              <w:t>0.1</w:t>
            </w:r>
          </w:p>
        </w:tc>
        <w:tc>
          <w:tcPr>
            <w:tcW w:w="1006" w:type="pct"/>
            <w:vAlign w:val="center"/>
          </w:tcPr>
          <w:p w14:paraId="6C77BF2D" w14:textId="77777777" w:rsidR="003D6A63" w:rsidRDefault="00000000">
            <w:pPr>
              <w:pStyle w:val="affffffffff"/>
              <w:ind w:left="-80" w:right="-69"/>
              <w:jc w:val="center"/>
            </w:pPr>
            <w:r>
              <w:rPr>
                <w:rFonts w:hint="eastAsia"/>
              </w:rPr>
              <w:t>0.45</w:t>
            </w:r>
          </w:p>
        </w:tc>
        <w:tc>
          <w:tcPr>
            <w:tcW w:w="931" w:type="pct"/>
            <w:vAlign w:val="center"/>
          </w:tcPr>
          <w:p w14:paraId="48EE1A95" w14:textId="77777777" w:rsidR="003D6A63" w:rsidRDefault="00000000">
            <w:pPr>
              <w:jc w:val="center"/>
            </w:pPr>
            <w:r>
              <w:rPr>
                <w:rFonts w:hint="eastAsia"/>
              </w:rPr>
              <w:t>7</w:t>
            </w:r>
            <w:r>
              <w:rPr>
                <w:rFonts w:hint="eastAsia"/>
              </w:rPr>
              <w:t>度</w:t>
            </w:r>
          </w:p>
        </w:tc>
        <w:tc>
          <w:tcPr>
            <w:tcW w:w="747" w:type="pct"/>
            <w:vAlign w:val="center"/>
          </w:tcPr>
          <w:p w14:paraId="717E9C12" w14:textId="77777777" w:rsidR="003D6A63" w:rsidRDefault="003D6A63">
            <w:pPr>
              <w:pStyle w:val="affffffffff"/>
              <w:ind w:left="-80" w:right="-69"/>
              <w:jc w:val="center"/>
            </w:pPr>
          </w:p>
        </w:tc>
      </w:tr>
    </w:tbl>
    <w:p w14:paraId="3A14BC6E" w14:textId="77777777" w:rsidR="003D6A63" w:rsidRDefault="00000000">
      <w:pPr>
        <w:pStyle w:val="4"/>
        <w:keepNext w:val="0"/>
        <w:keepLines w:val="0"/>
        <w:adjustRightInd w:val="0"/>
        <w:snapToGrid w:val="0"/>
        <w:spacing w:beforeLines="50" w:before="120" w:after="0" w:line="360" w:lineRule="auto"/>
        <w:rPr>
          <w:rFonts w:ascii="Times New Roman" w:eastAsia="宋体" w:hAnsi="Times New Roman"/>
          <w:sz w:val="24"/>
        </w:rPr>
      </w:pPr>
      <w:r>
        <w:rPr>
          <w:rFonts w:ascii="Times New Roman" w:eastAsia="宋体" w:hAnsi="Times New Roman" w:hint="eastAsia"/>
          <w:sz w:val="24"/>
        </w:rPr>
        <w:t xml:space="preserve">2.1.4.3 </w:t>
      </w:r>
      <w:r>
        <w:rPr>
          <w:rFonts w:ascii="Times New Roman" w:eastAsia="宋体" w:hAnsi="Times New Roman" w:hint="eastAsia"/>
          <w:sz w:val="24"/>
        </w:rPr>
        <w:t>社会环境</w:t>
      </w:r>
    </w:p>
    <w:p w14:paraId="488D90A4" w14:textId="77777777" w:rsidR="003D6A63" w:rsidRDefault="00000000">
      <w:pPr>
        <w:pStyle w:val="affffffffff2"/>
        <w:adjustRightInd w:val="0"/>
        <w:snapToGrid w:val="0"/>
        <w:ind w:firstLine="480"/>
      </w:pPr>
      <w:r>
        <w:rPr>
          <w:rFonts w:hint="eastAsia"/>
        </w:rPr>
        <w:t>各开发区、采油井场位置比较分散，井场、站场及管线主要分布于城区、农田和荒地中，周围分布有居民区、厂矿企业、公路、铁路、河流等。近几年随着城区的扩建，部分管线、站场被城区包围。</w:t>
      </w:r>
    </w:p>
    <w:p w14:paraId="79F2C4C2" w14:textId="77777777" w:rsidR="003D6A63" w:rsidRDefault="00000000">
      <w:pPr>
        <w:pStyle w:val="2"/>
        <w:keepNext w:val="0"/>
        <w:keepLines w:val="0"/>
        <w:adjustRightInd w:val="0"/>
        <w:snapToGrid w:val="0"/>
        <w:spacing w:before="0" w:after="0" w:line="360" w:lineRule="auto"/>
        <w:rPr>
          <w:rFonts w:ascii="Times New Roman" w:hAnsi="Times New Roman"/>
          <w:b w:val="0"/>
          <w:spacing w:val="0"/>
          <w:sz w:val="28"/>
        </w:rPr>
      </w:pPr>
      <w:bookmarkStart w:id="53" w:name="_Toc7397"/>
      <w:r>
        <w:rPr>
          <w:rFonts w:ascii="Times New Roman" w:hAnsi="Times New Roman" w:hint="eastAsia"/>
          <w:b w:val="0"/>
          <w:spacing w:val="0"/>
          <w:sz w:val="28"/>
        </w:rPr>
        <w:t xml:space="preserve">2.2  </w:t>
      </w:r>
      <w:r>
        <w:rPr>
          <w:rFonts w:ascii="Times New Roman" w:hAnsi="Times New Roman" w:hint="eastAsia"/>
          <w:b w:val="0"/>
          <w:spacing w:val="0"/>
          <w:sz w:val="28"/>
        </w:rPr>
        <w:t>油气田基本情况</w:t>
      </w:r>
      <w:bookmarkEnd w:id="53"/>
    </w:p>
    <w:p w14:paraId="717336DE"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r>
        <w:rPr>
          <w:rFonts w:eastAsia="黑体" w:hint="eastAsia"/>
          <w:b w:val="0"/>
          <w:spacing w:val="0"/>
          <w:sz w:val="24"/>
          <w:szCs w:val="24"/>
        </w:rPr>
        <w:t xml:space="preserve">2.2.1  </w:t>
      </w:r>
      <w:r>
        <w:rPr>
          <w:rFonts w:eastAsia="黑体" w:hint="eastAsia"/>
          <w:b w:val="0"/>
          <w:spacing w:val="0"/>
          <w:sz w:val="24"/>
          <w:szCs w:val="24"/>
        </w:rPr>
        <w:t>油气藏基本情况</w:t>
      </w:r>
    </w:p>
    <w:p w14:paraId="6C0CCE2B" w14:textId="77777777" w:rsidR="003D6A63" w:rsidRDefault="00000000">
      <w:pPr>
        <w:pStyle w:val="nlw1"/>
        <w:adjustRightInd w:val="0"/>
        <w:snapToGrid w:val="0"/>
        <w:spacing w:line="360" w:lineRule="auto"/>
        <w:ind w:firstLine="480"/>
        <w:rPr>
          <w:rFonts w:ascii="Times New Roman" w:hAnsi="Times New Roman"/>
          <w:sz w:val="24"/>
          <w:szCs w:val="24"/>
          <w:lang w:val="en-US"/>
        </w:rPr>
      </w:pPr>
      <w:r>
        <w:rPr>
          <w:rFonts w:ascii="Times New Roman" w:hAnsi="Times New Roman"/>
          <w:color w:val="000000" w:themeColor="text1"/>
          <w:sz w:val="24"/>
          <w:szCs w:val="24"/>
          <w:lang w:val="en-US"/>
        </w:rPr>
        <w:t>涉及企业机密，不予公开</w:t>
      </w:r>
      <w:r>
        <w:rPr>
          <w:rFonts w:ascii="Times New Roman" w:hAnsi="Times New Roman" w:hint="eastAsia"/>
          <w:sz w:val="24"/>
          <w:szCs w:val="24"/>
          <w:lang w:val="en-US"/>
        </w:rPr>
        <w:t>。</w:t>
      </w:r>
    </w:p>
    <w:p w14:paraId="424E3AA3"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r>
        <w:rPr>
          <w:rFonts w:eastAsia="黑体" w:hint="eastAsia"/>
          <w:b w:val="0"/>
          <w:spacing w:val="0"/>
          <w:sz w:val="24"/>
          <w:szCs w:val="24"/>
        </w:rPr>
        <w:t xml:space="preserve">2.2.2  </w:t>
      </w:r>
      <w:r>
        <w:rPr>
          <w:rFonts w:eastAsia="黑体" w:hint="eastAsia"/>
          <w:b w:val="0"/>
          <w:spacing w:val="0"/>
          <w:sz w:val="24"/>
          <w:szCs w:val="24"/>
        </w:rPr>
        <w:t>原油产量</w:t>
      </w:r>
    </w:p>
    <w:p w14:paraId="4E2C5229" w14:textId="77777777" w:rsidR="003D6A63" w:rsidRDefault="00000000">
      <w:pPr>
        <w:pStyle w:val="nlw1"/>
        <w:adjustRightInd w:val="0"/>
        <w:snapToGrid w:val="0"/>
        <w:spacing w:line="360" w:lineRule="auto"/>
        <w:ind w:firstLine="480"/>
        <w:rPr>
          <w:rFonts w:ascii="Times New Roman" w:eastAsia="黑体" w:hAnsi="Times New Roman"/>
          <w:sz w:val="24"/>
          <w:szCs w:val="24"/>
          <w:lang w:val="en-US"/>
        </w:rPr>
      </w:pPr>
      <w:r>
        <w:rPr>
          <w:rFonts w:ascii="Times New Roman" w:hAnsi="Times New Roman"/>
          <w:color w:val="000000" w:themeColor="text1"/>
          <w:sz w:val="24"/>
          <w:szCs w:val="24"/>
          <w:lang w:val="en-US"/>
        </w:rPr>
        <w:t>涉及企业机密，不予公开</w:t>
      </w:r>
      <w:r>
        <w:rPr>
          <w:rFonts w:ascii="Times New Roman" w:hAnsi="Times New Roman" w:hint="eastAsia"/>
          <w:sz w:val="24"/>
          <w:szCs w:val="24"/>
          <w:lang w:val="en-US"/>
        </w:rPr>
        <w:t>。</w:t>
      </w:r>
    </w:p>
    <w:p w14:paraId="1558CBA9"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r>
        <w:rPr>
          <w:rFonts w:eastAsia="黑体" w:hint="eastAsia"/>
          <w:b w:val="0"/>
          <w:spacing w:val="0"/>
          <w:sz w:val="24"/>
          <w:szCs w:val="24"/>
        </w:rPr>
        <w:t xml:space="preserve">2.2.3  </w:t>
      </w:r>
      <w:r>
        <w:rPr>
          <w:rFonts w:eastAsia="黑体" w:hint="eastAsia"/>
          <w:b w:val="0"/>
          <w:spacing w:val="0"/>
          <w:sz w:val="24"/>
          <w:szCs w:val="24"/>
        </w:rPr>
        <w:t>地面设施基本情况</w:t>
      </w:r>
    </w:p>
    <w:p w14:paraId="0A89C0EE" w14:textId="77777777" w:rsidR="003D6A63" w:rsidRDefault="00000000">
      <w:pPr>
        <w:pStyle w:val="nlw1"/>
        <w:adjustRightInd w:val="0"/>
        <w:snapToGrid w:val="0"/>
        <w:spacing w:line="360" w:lineRule="auto"/>
        <w:ind w:firstLine="480"/>
        <w:rPr>
          <w:rFonts w:ascii="Times New Roman" w:hAnsi="Times New Roman"/>
          <w:sz w:val="24"/>
          <w:szCs w:val="24"/>
          <w:lang w:val="en-US"/>
        </w:rPr>
      </w:pPr>
      <w:r>
        <w:rPr>
          <w:rFonts w:ascii="Times New Roman" w:hAnsi="Times New Roman"/>
          <w:color w:val="000000" w:themeColor="text1"/>
          <w:sz w:val="24"/>
          <w:szCs w:val="24"/>
          <w:lang w:val="en-US"/>
        </w:rPr>
        <w:t>涉及企业机密，不予公开</w:t>
      </w:r>
      <w:r>
        <w:rPr>
          <w:rFonts w:ascii="Times New Roman" w:hAnsi="Times New Roman" w:hint="eastAsia"/>
          <w:sz w:val="24"/>
          <w:szCs w:val="24"/>
          <w:lang w:val="en-US"/>
        </w:rPr>
        <w:t>。</w:t>
      </w:r>
    </w:p>
    <w:p w14:paraId="61BB1638" w14:textId="77777777" w:rsidR="003D6A63" w:rsidRDefault="00000000">
      <w:pPr>
        <w:pStyle w:val="2"/>
        <w:keepNext w:val="0"/>
        <w:keepLines w:val="0"/>
        <w:adjustRightInd w:val="0"/>
        <w:snapToGrid w:val="0"/>
        <w:spacing w:before="0" w:after="0" w:line="360" w:lineRule="auto"/>
        <w:rPr>
          <w:rFonts w:ascii="Times New Roman" w:hAnsi="Times New Roman"/>
          <w:b w:val="0"/>
          <w:spacing w:val="0"/>
          <w:sz w:val="28"/>
        </w:rPr>
      </w:pPr>
      <w:bookmarkStart w:id="54" w:name="_Toc9992"/>
      <w:r>
        <w:rPr>
          <w:rFonts w:ascii="Times New Roman" w:hAnsi="Times New Roman" w:hint="eastAsia"/>
          <w:b w:val="0"/>
          <w:spacing w:val="0"/>
          <w:sz w:val="28"/>
        </w:rPr>
        <w:t xml:space="preserve">2.3  </w:t>
      </w:r>
      <w:r>
        <w:rPr>
          <w:rFonts w:ascii="Times New Roman" w:hAnsi="Times New Roman" w:hint="eastAsia"/>
          <w:b w:val="0"/>
          <w:spacing w:val="0"/>
          <w:sz w:val="28"/>
        </w:rPr>
        <w:t>设备设施及生产作业现状</w:t>
      </w:r>
      <w:bookmarkEnd w:id="54"/>
    </w:p>
    <w:p w14:paraId="61503F2E"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r>
        <w:rPr>
          <w:rFonts w:eastAsia="黑体" w:hint="eastAsia"/>
          <w:b w:val="0"/>
          <w:spacing w:val="0"/>
          <w:sz w:val="24"/>
          <w:szCs w:val="24"/>
        </w:rPr>
        <w:t xml:space="preserve">2.3.1  </w:t>
      </w:r>
      <w:r>
        <w:rPr>
          <w:rFonts w:eastAsia="黑体" w:hint="eastAsia"/>
          <w:b w:val="0"/>
          <w:spacing w:val="0"/>
          <w:sz w:val="24"/>
          <w:szCs w:val="24"/>
        </w:rPr>
        <w:t>采油系统</w:t>
      </w:r>
    </w:p>
    <w:p w14:paraId="5E94A392" w14:textId="77777777" w:rsidR="003D6A63" w:rsidRDefault="00000000">
      <w:pPr>
        <w:pStyle w:val="4"/>
        <w:keepNext w:val="0"/>
        <w:keepLines w:val="0"/>
        <w:adjustRightInd w:val="0"/>
        <w:snapToGrid w:val="0"/>
        <w:spacing w:before="0" w:after="0" w:line="360" w:lineRule="auto"/>
        <w:rPr>
          <w:rFonts w:ascii="Times New Roman" w:eastAsia="宋体" w:hAnsi="Times New Roman"/>
          <w:sz w:val="24"/>
        </w:rPr>
      </w:pPr>
      <w:r>
        <w:rPr>
          <w:rFonts w:ascii="Times New Roman" w:eastAsia="宋体" w:hAnsi="Times New Roman" w:hint="eastAsia"/>
          <w:sz w:val="24"/>
        </w:rPr>
        <w:t xml:space="preserve">2.3.1.1  </w:t>
      </w:r>
      <w:r>
        <w:rPr>
          <w:rFonts w:ascii="Times New Roman" w:eastAsia="宋体" w:hAnsi="Times New Roman" w:hint="eastAsia"/>
          <w:sz w:val="24"/>
        </w:rPr>
        <w:t>机械采油</w:t>
      </w:r>
    </w:p>
    <w:p w14:paraId="07540C68" w14:textId="77777777" w:rsidR="003D6A63" w:rsidRDefault="00000000">
      <w:pPr>
        <w:adjustRightInd w:val="0"/>
        <w:snapToGrid w:val="0"/>
        <w:spacing w:line="360" w:lineRule="auto"/>
        <w:ind w:firstLine="561"/>
        <w:rPr>
          <w:color w:val="000000"/>
          <w:sz w:val="24"/>
        </w:rPr>
      </w:pPr>
      <w:r>
        <w:rPr>
          <w:rFonts w:hint="eastAsia"/>
          <w:color w:val="000000"/>
          <w:sz w:val="24"/>
        </w:rPr>
        <w:t>中胜公司</w:t>
      </w:r>
      <w:r>
        <w:rPr>
          <w:color w:val="000000"/>
          <w:sz w:val="24"/>
        </w:rPr>
        <w:t>原油的开采主要以机械采油为主，</w:t>
      </w:r>
      <w:r>
        <w:rPr>
          <w:rFonts w:hint="eastAsia"/>
          <w:color w:val="000000"/>
          <w:sz w:val="24"/>
        </w:rPr>
        <w:t>主要</w:t>
      </w:r>
      <w:r>
        <w:rPr>
          <w:color w:val="000000"/>
          <w:sz w:val="24"/>
        </w:rPr>
        <w:t>采用游梁式抽油机</w:t>
      </w:r>
      <w:r>
        <w:rPr>
          <w:rFonts w:hint="eastAsia"/>
          <w:color w:val="000000"/>
          <w:sz w:val="24"/>
        </w:rPr>
        <w:t>、</w:t>
      </w:r>
      <w:r>
        <w:rPr>
          <w:color w:val="000000"/>
          <w:sz w:val="24"/>
        </w:rPr>
        <w:t>皮带式抽油机。</w:t>
      </w:r>
    </w:p>
    <w:p w14:paraId="3E6CA8A1" w14:textId="77777777" w:rsidR="003D6A63" w:rsidRDefault="00000000">
      <w:pPr>
        <w:adjustRightInd w:val="0"/>
        <w:snapToGrid w:val="0"/>
        <w:spacing w:line="360" w:lineRule="auto"/>
        <w:ind w:firstLineChars="100" w:firstLine="240"/>
        <w:rPr>
          <w:color w:val="000000"/>
          <w:sz w:val="24"/>
        </w:rPr>
      </w:pPr>
      <w:r>
        <w:rPr>
          <w:color w:val="000000"/>
          <w:sz w:val="24"/>
        </w:rPr>
        <w:t>（</w:t>
      </w:r>
      <w:r>
        <w:rPr>
          <w:color w:val="000000"/>
          <w:sz w:val="24"/>
        </w:rPr>
        <w:t>1</w:t>
      </w:r>
      <w:r>
        <w:rPr>
          <w:color w:val="000000"/>
          <w:sz w:val="24"/>
        </w:rPr>
        <w:t>）游梁式抽油机</w:t>
      </w:r>
    </w:p>
    <w:p w14:paraId="698E00D4" w14:textId="77777777" w:rsidR="003D6A63" w:rsidRDefault="00000000">
      <w:pPr>
        <w:adjustRightInd w:val="0"/>
        <w:snapToGrid w:val="0"/>
        <w:spacing w:line="360" w:lineRule="auto"/>
        <w:ind w:firstLineChars="200" w:firstLine="480"/>
        <w:rPr>
          <w:color w:val="000000"/>
          <w:sz w:val="24"/>
        </w:rPr>
      </w:pPr>
      <w:r>
        <w:rPr>
          <w:color w:val="000000"/>
          <w:sz w:val="24"/>
        </w:rPr>
        <w:lastRenderedPageBreak/>
        <w:t>游梁式抽油机，也称梁式抽油机、游梁式曲柄平衡抽油机，指含有游梁，通过连杆机构换向，曲柄重块平衡的抽油机，俗称磕头机。从采油方式上为有杆类采油设备（从采油方式上可分为两类，即有杆类采油设备和无杆类采油设备）。</w:t>
      </w:r>
    </w:p>
    <w:p w14:paraId="07C2A4C7" w14:textId="77777777" w:rsidR="003D6A63" w:rsidRDefault="00000000">
      <w:pPr>
        <w:adjustRightInd w:val="0"/>
        <w:snapToGrid w:val="0"/>
        <w:spacing w:line="360" w:lineRule="auto"/>
        <w:ind w:firstLineChars="200" w:firstLine="480"/>
        <w:rPr>
          <w:color w:val="000000"/>
          <w:sz w:val="24"/>
        </w:rPr>
      </w:pPr>
      <w:r>
        <w:rPr>
          <w:color w:val="000000"/>
          <w:sz w:val="24"/>
        </w:rPr>
        <w:t>游梁式抽油机主要由游梁</w:t>
      </w:r>
      <w:r>
        <w:rPr>
          <w:color w:val="000000"/>
          <w:sz w:val="24"/>
        </w:rPr>
        <w:t>—</w:t>
      </w:r>
      <w:r>
        <w:rPr>
          <w:color w:val="000000"/>
          <w:sz w:val="24"/>
        </w:rPr>
        <w:t>连杆</w:t>
      </w:r>
      <w:r>
        <w:rPr>
          <w:color w:val="000000"/>
          <w:sz w:val="24"/>
        </w:rPr>
        <w:t>—</w:t>
      </w:r>
      <w:r>
        <w:rPr>
          <w:color w:val="000000"/>
          <w:sz w:val="24"/>
        </w:rPr>
        <w:t>曲柄机构、减速箱、动力设备和辅助装备等四大部分组成。</w:t>
      </w:r>
    </w:p>
    <w:p w14:paraId="51381F03" w14:textId="77777777" w:rsidR="003D6A63" w:rsidRDefault="00000000">
      <w:pPr>
        <w:adjustRightInd w:val="0"/>
        <w:snapToGrid w:val="0"/>
        <w:spacing w:line="360" w:lineRule="auto"/>
        <w:ind w:firstLineChars="200" w:firstLine="480"/>
        <w:rPr>
          <w:color w:val="000000"/>
          <w:sz w:val="24"/>
        </w:rPr>
      </w:pPr>
      <w:r>
        <w:rPr>
          <w:color w:val="000000"/>
          <w:sz w:val="24"/>
        </w:rPr>
        <w:t>工作时，电动机的传动经变速箱、曲柄连杆机构变成驴头的上下运动，驴头经光杆、抽油杆带动井下深井泵的柱塞作上下运动，从而不断地把井中的原油抽出井筒。</w:t>
      </w:r>
    </w:p>
    <w:p w14:paraId="710AA32F" w14:textId="77777777" w:rsidR="003D6A63" w:rsidRDefault="00000000">
      <w:pPr>
        <w:pStyle w:val="affffffffff7"/>
        <w:adjustRightInd w:val="0"/>
        <w:snapToGrid w:val="0"/>
        <w:ind w:firstLine="480"/>
        <w:rPr>
          <w:sz w:val="24"/>
          <w:szCs w:val="24"/>
        </w:rPr>
      </w:pPr>
      <w:r>
        <w:rPr>
          <w:sz w:val="24"/>
          <w:szCs w:val="24"/>
        </w:rPr>
        <w:t>抽油装置示意图见</w:t>
      </w:r>
      <w:r>
        <w:rPr>
          <w:rFonts w:hint="eastAsia"/>
          <w:sz w:val="24"/>
          <w:szCs w:val="24"/>
        </w:rPr>
        <w:t>2.3-1</w:t>
      </w:r>
      <w:r>
        <w:rPr>
          <w:rFonts w:hint="eastAsia"/>
          <w:sz w:val="24"/>
          <w:szCs w:val="24"/>
        </w:rPr>
        <w:t>，游梁式抽油装置示意图见</w:t>
      </w:r>
      <w:r>
        <w:rPr>
          <w:rFonts w:hint="eastAsia"/>
          <w:sz w:val="24"/>
          <w:szCs w:val="24"/>
        </w:rPr>
        <w:t>2.3-2</w:t>
      </w:r>
      <w:r>
        <w:rPr>
          <w:sz w:val="24"/>
          <w:szCs w:val="24"/>
        </w:rPr>
        <w:t>。</w:t>
      </w:r>
    </w:p>
    <w:p w14:paraId="40232DE5" w14:textId="77777777" w:rsidR="003D6A63" w:rsidRDefault="00000000">
      <w:pPr>
        <w:pStyle w:val="Default"/>
        <w:jc w:val="center"/>
      </w:pPr>
      <w:r>
        <w:rPr>
          <w:noProof/>
        </w:rPr>
        <w:drawing>
          <wp:inline distT="0" distB="0" distL="0" distR="0" wp14:anchorId="5A675401" wp14:editId="490E9489">
            <wp:extent cx="3237865" cy="2865755"/>
            <wp:effectExtent l="0" t="0" r="635" b="4445"/>
            <wp:docPr id="417" name="图片 417" descr="001抽油装置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图片 417" descr="001抽油装置示意图"/>
                    <pic:cNvPicPr>
                      <a:picLocks noChangeAspect="1" noChangeArrowheads="1"/>
                    </pic:cNvPicPr>
                  </pic:nvPicPr>
                  <pic:blipFill>
                    <a:blip r:embed="rId17">
                      <a:lum contrast="54000"/>
                      <a:extLst>
                        <a:ext uri="{28A0092B-C50C-407E-A947-70E740481C1C}">
                          <a14:useLocalDpi xmlns:a14="http://schemas.microsoft.com/office/drawing/2010/main" val="0"/>
                        </a:ext>
                      </a:extLst>
                    </a:blip>
                    <a:srcRect/>
                    <a:stretch>
                      <a:fillRect/>
                    </a:stretch>
                  </pic:blipFill>
                  <pic:spPr>
                    <a:xfrm>
                      <a:off x="0" y="0"/>
                      <a:ext cx="3237865" cy="2865755"/>
                    </a:xfrm>
                    <a:prstGeom prst="rect">
                      <a:avLst/>
                    </a:prstGeom>
                    <a:noFill/>
                    <a:ln>
                      <a:noFill/>
                    </a:ln>
                  </pic:spPr>
                </pic:pic>
              </a:graphicData>
            </a:graphic>
          </wp:inline>
        </w:drawing>
      </w:r>
    </w:p>
    <w:p w14:paraId="20A492B8" w14:textId="77777777" w:rsidR="003D6A63" w:rsidRDefault="00000000">
      <w:pPr>
        <w:pStyle w:val="affffffffd"/>
        <w:tabs>
          <w:tab w:val="left" w:pos="3240"/>
        </w:tabs>
        <w:spacing w:before="120" w:line="360" w:lineRule="auto"/>
        <w:rPr>
          <w:rFonts w:ascii="Times New Roman" w:hAnsi="Times New Roman"/>
        </w:rPr>
      </w:pPr>
      <w:bookmarkStart w:id="55" w:name="_Hlk34168350"/>
      <w:r>
        <w:rPr>
          <w:rFonts w:ascii="Times New Roman" w:hAnsi="Times New Roman"/>
        </w:rPr>
        <w:t>图</w:t>
      </w:r>
      <w:r>
        <w:rPr>
          <w:rFonts w:ascii="Times New Roman" w:hAnsi="Times New Roman"/>
        </w:rPr>
        <w:t>2.</w:t>
      </w:r>
      <w:r>
        <w:rPr>
          <w:rFonts w:ascii="Times New Roman" w:hAnsi="Times New Roman" w:hint="eastAsia"/>
        </w:rPr>
        <w:t>3</w:t>
      </w:r>
      <w:r>
        <w:rPr>
          <w:rFonts w:ascii="Times New Roman" w:hAnsi="Times New Roman"/>
        </w:rPr>
        <w:t xml:space="preserve">-1  </w:t>
      </w:r>
      <w:r>
        <w:rPr>
          <w:rFonts w:ascii="Times New Roman" w:hAnsi="Times New Roman"/>
          <w:lang w:bidi="en-US"/>
        </w:rPr>
        <w:t>抽油装置示意图</w:t>
      </w:r>
      <w:bookmarkEnd w:id="55"/>
    </w:p>
    <w:p w14:paraId="649D5F3A" w14:textId="77777777" w:rsidR="003D6A63" w:rsidRDefault="00000000">
      <w:pPr>
        <w:tabs>
          <w:tab w:val="left" w:pos="3240"/>
        </w:tabs>
        <w:adjustRightInd w:val="0"/>
        <w:snapToGrid w:val="0"/>
        <w:spacing w:line="360" w:lineRule="auto"/>
        <w:ind w:firstLineChars="200" w:firstLine="420"/>
        <w:rPr>
          <w:bCs/>
          <w:color w:val="000000"/>
          <w:szCs w:val="21"/>
          <w:lang w:bidi="en-US"/>
        </w:rPr>
      </w:pPr>
      <w:r>
        <w:rPr>
          <w:bCs/>
          <w:color w:val="000000"/>
          <w:szCs w:val="21"/>
          <w:lang w:bidi="en-US"/>
        </w:rPr>
        <w:t>注：</w:t>
      </w:r>
      <w:r>
        <w:rPr>
          <w:bCs/>
          <w:color w:val="000000"/>
          <w:szCs w:val="21"/>
          <w:lang w:bidi="en-US"/>
        </w:rPr>
        <w:t>1-</w:t>
      </w:r>
      <w:r>
        <w:rPr>
          <w:bCs/>
          <w:color w:val="000000"/>
          <w:szCs w:val="21"/>
          <w:lang w:bidi="en-US"/>
        </w:rPr>
        <w:t>吸入阀；</w:t>
      </w:r>
      <w:r>
        <w:rPr>
          <w:bCs/>
          <w:color w:val="000000"/>
          <w:szCs w:val="21"/>
          <w:lang w:bidi="en-US"/>
        </w:rPr>
        <w:t>2-</w:t>
      </w:r>
      <w:r>
        <w:rPr>
          <w:bCs/>
          <w:color w:val="000000"/>
          <w:szCs w:val="21"/>
          <w:lang w:bidi="en-US"/>
        </w:rPr>
        <w:t>泵筒；</w:t>
      </w:r>
      <w:r>
        <w:rPr>
          <w:bCs/>
          <w:color w:val="000000"/>
          <w:szCs w:val="21"/>
          <w:lang w:bidi="en-US"/>
        </w:rPr>
        <w:t>3-</w:t>
      </w:r>
      <w:r>
        <w:rPr>
          <w:bCs/>
          <w:color w:val="000000"/>
          <w:szCs w:val="21"/>
          <w:lang w:bidi="en-US"/>
        </w:rPr>
        <w:t>柱塞；</w:t>
      </w:r>
      <w:r>
        <w:rPr>
          <w:bCs/>
          <w:color w:val="000000"/>
          <w:szCs w:val="21"/>
          <w:lang w:bidi="en-US"/>
        </w:rPr>
        <w:t>4-</w:t>
      </w:r>
      <w:r>
        <w:rPr>
          <w:bCs/>
          <w:color w:val="000000"/>
          <w:szCs w:val="21"/>
          <w:lang w:bidi="en-US"/>
        </w:rPr>
        <w:t>排出阀；</w:t>
      </w:r>
      <w:r>
        <w:rPr>
          <w:bCs/>
          <w:color w:val="000000"/>
          <w:szCs w:val="21"/>
          <w:lang w:bidi="en-US"/>
        </w:rPr>
        <w:t>5-</w:t>
      </w:r>
      <w:r>
        <w:rPr>
          <w:bCs/>
          <w:color w:val="000000"/>
          <w:szCs w:val="21"/>
          <w:lang w:bidi="en-US"/>
        </w:rPr>
        <w:t>抽油；</w:t>
      </w:r>
      <w:r>
        <w:rPr>
          <w:bCs/>
          <w:color w:val="000000"/>
          <w:szCs w:val="21"/>
          <w:lang w:bidi="en-US"/>
        </w:rPr>
        <w:t>6-</w:t>
      </w:r>
      <w:r>
        <w:rPr>
          <w:bCs/>
          <w:color w:val="000000"/>
          <w:szCs w:val="21"/>
          <w:lang w:bidi="en-US"/>
        </w:rPr>
        <w:t>油管；</w:t>
      </w:r>
      <w:r>
        <w:rPr>
          <w:bCs/>
          <w:color w:val="000000"/>
          <w:szCs w:val="21"/>
          <w:lang w:bidi="en-US"/>
        </w:rPr>
        <w:t>7-</w:t>
      </w:r>
      <w:r>
        <w:rPr>
          <w:bCs/>
          <w:color w:val="000000"/>
          <w:szCs w:val="21"/>
          <w:lang w:bidi="en-US"/>
        </w:rPr>
        <w:t>套管；</w:t>
      </w:r>
      <w:r>
        <w:rPr>
          <w:bCs/>
          <w:color w:val="000000"/>
          <w:szCs w:val="21"/>
          <w:lang w:bidi="en-US"/>
        </w:rPr>
        <w:t>8-</w:t>
      </w:r>
      <w:r>
        <w:rPr>
          <w:bCs/>
          <w:color w:val="000000"/>
          <w:szCs w:val="21"/>
          <w:lang w:bidi="en-US"/>
        </w:rPr>
        <w:t>三通；</w:t>
      </w:r>
      <w:r>
        <w:rPr>
          <w:bCs/>
          <w:color w:val="000000"/>
          <w:szCs w:val="21"/>
          <w:lang w:bidi="en-US"/>
        </w:rPr>
        <w:t>9-</w:t>
      </w:r>
      <w:r>
        <w:rPr>
          <w:bCs/>
          <w:color w:val="000000"/>
          <w:szCs w:val="21"/>
          <w:lang w:bidi="en-US"/>
        </w:rPr>
        <w:t>盘根盒；</w:t>
      </w:r>
      <w:r>
        <w:rPr>
          <w:bCs/>
          <w:color w:val="000000"/>
          <w:szCs w:val="21"/>
          <w:lang w:bidi="en-US"/>
        </w:rPr>
        <w:t>10-</w:t>
      </w:r>
      <w:r>
        <w:rPr>
          <w:bCs/>
          <w:color w:val="000000"/>
          <w:szCs w:val="21"/>
          <w:lang w:bidi="en-US"/>
        </w:rPr>
        <w:t>驴头；</w:t>
      </w:r>
      <w:r>
        <w:rPr>
          <w:bCs/>
          <w:color w:val="000000"/>
          <w:szCs w:val="21"/>
          <w:lang w:bidi="en-US"/>
        </w:rPr>
        <w:t>11-</w:t>
      </w:r>
      <w:r>
        <w:rPr>
          <w:bCs/>
          <w:color w:val="000000"/>
          <w:szCs w:val="21"/>
          <w:lang w:bidi="en-US"/>
        </w:rPr>
        <w:t>游梁；</w:t>
      </w:r>
      <w:r>
        <w:rPr>
          <w:bCs/>
          <w:color w:val="000000"/>
          <w:szCs w:val="21"/>
          <w:lang w:bidi="en-US"/>
        </w:rPr>
        <w:t>12-</w:t>
      </w:r>
      <w:r>
        <w:rPr>
          <w:bCs/>
          <w:color w:val="000000"/>
          <w:szCs w:val="21"/>
          <w:lang w:bidi="en-US"/>
        </w:rPr>
        <w:t>连杆；</w:t>
      </w:r>
      <w:r>
        <w:rPr>
          <w:bCs/>
          <w:color w:val="000000"/>
          <w:szCs w:val="21"/>
          <w:lang w:bidi="en-US"/>
        </w:rPr>
        <w:t>13-</w:t>
      </w:r>
      <w:r>
        <w:rPr>
          <w:bCs/>
          <w:color w:val="000000"/>
          <w:szCs w:val="21"/>
          <w:lang w:bidi="en-US"/>
        </w:rPr>
        <w:t>曲柄；</w:t>
      </w:r>
      <w:r>
        <w:rPr>
          <w:bCs/>
          <w:color w:val="000000"/>
          <w:szCs w:val="21"/>
          <w:lang w:bidi="en-US"/>
        </w:rPr>
        <w:t>14-</w:t>
      </w:r>
      <w:r>
        <w:rPr>
          <w:bCs/>
          <w:color w:val="000000"/>
          <w:szCs w:val="21"/>
          <w:lang w:bidi="en-US"/>
        </w:rPr>
        <w:t>减速箱；</w:t>
      </w:r>
      <w:r>
        <w:rPr>
          <w:bCs/>
          <w:color w:val="000000"/>
          <w:szCs w:val="21"/>
          <w:lang w:bidi="en-US"/>
        </w:rPr>
        <w:t>15-</w:t>
      </w:r>
      <w:r>
        <w:rPr>
          <w:bCs/>
          <w:color w:val="000000"/>
          <w:szCs w:val="21"/>
          <w:lang w:bidi="en-US"/>
        </w:rPr>
        <w:t>动力机。</w:t>
      </w:r>
    </w:p>
    <w:p w14:paraId="045B31BB" w14:textId="77777777" w:rsidR="003D6A63" w:rsidRDefault="00000000">
      <w:pPr>
        <w:pStyle w:val="Default"/>
        <w:jc w:val="center"/>
      </w:pPr>
      <w:r>
        <w:rPr>
          <w:noProof/>
        </w:rPr>
        <w:drawing>
          <wp:inline distT="0" distB="0" distL="0" distR="0" wp14:anchorId="4F65345E" wp14:editId="7896E9DD">
            <wp:extent cx="3455670" cy="2439670"/>
            <wp:effectExtent l="9525" t="9525" r="14605" b="14605"/>
            <wp:docPr id="418" name="图片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图片 418"/>
                    <pic:cNvPicPr>
                      <a:picLocks noChangeAspect="1" noChangeArrowheads="1"/>
                    </pic:cNvPicPr>
                  </pic:nvPicPr>
                  <pic:blipFill>
                    <a:blip r:embed="rId18" cstate="print">
                      <a:lum contrast="48000"/>
                      <a:extLst>
                        <a:ext uri="{28A0092B-C50C-407E-A947-70E740481C1C}">
                          <a14:useLocalDpi xmlns:a14="http://schemas.microsoft.com/office/drawing/2010/main" val="0"/>
                        </a:ext>
                      </a:extLst>
                    </a:blip>
                    <a:srcRect/>
                    <a:stretch>
                      <a:fillRect/>
                    </a:stretch>
                  </pic:blipFill>
                  <pic:spPr>
                    <a:xfrm>
                      <a:off x="0" y="0"/>
                      <a:ext cx="3455670" cy="2439670"/>
                    </a:xfrm>
                    <a:prstGeom prst="rect">
                      <a:avLst/>
                    </a:prstGeom>
                    <a:noFill/>
                    <a:ln w="6350" cmpd="sng">
                      <a:solidFill>
                        <a:srgbClr val="000000"/>
                      </a:solidFill>
                      <a:miter lim="800000"/>
                      <a:headEnd/>
                      <a:tailEnd/>
                    </a:ln>
                    <a:effectLst/>
                  </pic:spPr>
                </pic:pic>
              </a:graphicData>
            </a:graphic>
          </wp:inline>
        </w:drawing>
      </w:r>
    </w:p>
    <w:p w14:paraId="398F7780" w14:textId="77777777" w:rsidR="003D6A63" w:rsidRDefault="00000000">
      <w:pPr>
        <w:tabs>
          <w:tab w:val="left" w:pos="3240"/>
        </w:tabs>
        <w:adjustRightInd w:val="0"/>
        <w:snapToGrid w:val="0"/>
        <w:spacing w:line="348" w:lineRule="auto"/>
        <w:ind w:firstLineChars="200" w:firstLine="420"/>
        <w:jc w:val="center"/>
        <w:rPr>
          <w:rFonts w:eastAsia="黑体"/>
          <w:color w:val="000000"/>
          <w:szCs w:val="21"/>
        </w:rPr>
      </w:pPr>
      <w:bookmarkStart w:id="56" w:name="_Hlk34168388"/>
      <w:r>
        <w:rPr>
          <w:rFonts w:eastAsia="黑体"/>
          <w:szCs w:val="21"/>
        </w:rPr>
        <w:t>图</w:t>
      </w:r>
      <w:r>
        <w:rPr>
          <w:rFonts w:eastAsia="黑体"/>
          <w:szCs w:val="21"/>
        </w:rPr>
        <w:t>2.</w:t>
      </w:r>
      <w:r>
        <w:rPr>
          <w:rFonts w:eastAsia="黑体" w:hint="eastAsia"/>
          <w:szCs w:val="21"/>
        </w:rPr>
        <w:t>3</w:t>
      </w:r>
      <w:r>
        <w:rPr>
          <w:rFonts w:eastAsia="黑体"/>
          <w:szCs w:val="21"/>
        </w:rPr>
        <w:t xml:space="preserve">-2  </w:t>
      </w:r>
      <w:r>
        <w:rPr>
          <w:rFonts w:eastAsia="黑体"/>
          <w:szCs w:val="21"/>
        </w:rPr>
        <w:t>游梁式</w:t>
      </w:r>
      <w:r>
        <w:rPr>
          <w:rFonts w:eastAsia="黑体"/>
          <w:szCs w:val="21"/>
          <w:lang w:bidi="en-US"/>
        </w:rPr>
        <w:t>抽油装置示意图</w:t>
      </w:r>
    </w:p>
    <w:bookmarkEnd w:id="56"/>
    <w:p w14:paraId="4FE8358D" w14:textId="77777777" w:rsidR="003D6A63" w:rsidRDefault="00000000">
      <w:pPr>
        <w:tabs>
          <w:tab w:val="left" w:pos="3240"/>
        </w:tabs>
        <w:adjustRightInd w:val="0"/>
        <w:snapToGrid w:val="0"/>
        <w:spacing w:line="360" w:lineRule="auto"/>
        <w:ind w:firstLineChars="200" w:firstLine="420"/>
        <w:rPr>
          <w:bCs/>
          <w:color w:val="000000"/>
          <w:szCs w:val="21"/>
          <w:lang w:bidi="en-US"/>
        </w:rPr>
      </w:pPr>
      <w:r>
        <w:rPr>
          <w:rFonts w:hint="eastAsia"/>
          <w:bCs/>
          <w:color w:val="000000"/>
          <w:szCs w:val="21"/>
          <w:lang w:bidi="en-US"/>
        </w:rPr>
        <w:lastRenderedPageBreak/>
        <w:t>注：</w:t>
      </w:r>
      <w:r>
        <w:rPr>
          <w:rFonts w:hint="eastAsia"/>
          <w:bCs/>
          <w:color w:val="000000"/>
          <w:szCs w:val="21"/>
          <w:lang w:bidi="en-US"/>
        </w:rPr>
        <w:t>1-</w:t>
      </w:r>
      <w:r>
        <w:rPr>
          <w:rFonts w:hint="eastAsia"/>
          <w:bCs/>
          <w:color w:val="000000"/>
          <w:szCs w:val="21"/>
          <w:lang w:bidi="en-US"/>
        </w:rPr>
        <w:t>刹车装置；</w:t>
      </w:r>
      <w:r>
        <w:rPr>
          <w:rFonts w:hint="eastAsia"/>
          <w:bCs/>
          <w:color w:val="000000"/>
          <w:szCs w:val="21"/>
          <w:lang w:bidi="en-US"/>
        </w:rPr>
        <w:t>2-</w:t>
      </w:r>
      <w:r>
        <w:rPr>
          <w:rFonts w:hint="eastAsia"/>
          <w:bCs/>
          <w:color w:val="000000"/>
          <w:szCs w:val="21"/>
          <w:lang w:bidi="en-US"/>
        </w:rPr>
        <w:t>电动机；</w:t>
      </w:r>
      <w:r>
        <w:rPr>
          <w:rFonts w:hint="eastAsia"/>
          <w:bCs/>
          <w:color w:val="000000"/>
          <w:szCs w:val="21"/>
          <w:lang w:bidi="en-US"/>
        </w:rPr>
        <w:t>3-</w:t>
      </w:r>
      <w:r>
        <w:rPr>
          <w:rFonts w:hint="eastAsia"/>
          <w:bCs/>
          <w:color w:val="000000"/>
          <w:szCs w:val="21"/>
          <w:lang w:bidi="en-US"/>
        </w:rPr>
        <w:t>减速箱皮带轮；</w:t>
      </w:r>
      <w:r>
        <w:rPr>
          <w:rFonts w:hint="eastAsia"/>
          <w:bCs/>
          <w:color w:val="000000"/>
          <w:szCs w:val="21"/>
          <w:lang w:bidi="en-US"/>
        </w:rPr>
        <w:t>4-</w:t>
      </w:r>
      <w:r>
        <w:rPr>
          <w:rFonts w:hint="eastAsia"/>
          <w:bCs/>
          <w:color w:val="000000"/>
          <w:szCs w:val="21"/>
          <w:lang w:bidi="en-US"/>
        </w:rPr>
        <w:t>减速箱；</w:t>
      </w:r>
      <w:r>
        <w:rPr>
          <w:rFonts w:hint="eastAsia"/>
          <w:bCs/>
          <w:color w:val="000000"/>
          <w:szCs w:val="21"/>
          <w:lang w:bidi="en-US"/>
        </w:rPr>
        <w:t>5-</w:t>
      </w:r>
      <w:r>
        <w:rPr>
          <w:rFonts w:hint="eastAsia"/>
          <w:bCs/>
          <w:color w:val="000000"/>
          <w:szCs w:val="21"/>
          <w:lang w:bidi="en-US"/>
        </w:rPr>
        <w:t>输入轴；</w:t>
      </w:r>
      <w:r>
        <w:rPr>
          <w:rFonts w:hint="eastAsia"/>
          <w:bCs/>
          <w:color w:val="000000"/>
          <w:szCs w:val="21"/>
          <w:lang w:bidi="en-US"/>
        </w:rPr>
        <w:t>6-</w:t>
      </w:r>
      <w:r>
        <w:rPr>
          <w:rFonts w:hint="eastAsia"/>
          <w:bCs/>
          <w:color w:val="000000"/>
          <w:szCs w:val="21"/>
          <w:lang w:bidi="en-US"/>
        </w:rPr>
        <w:t>中间轴；</w:t>
      </w:r>
      <w:r>
        <w:rPr>
          <w:rFonts w:hint="eastAsia"/>
          <w:bCs/>
          <w:color w:val="000000"/>
          <w:szCs w:val="21"/>
          <w:lang w:bidi="en-US"/>
        </w:rPr>
        <w:t>7-</w:t>
      </w:r>
      <w:r>
        <w:rPr>
          <w:rFonts w:hint="eastAsia"/>
          <w:bCs/>
          <w:color w:val="000000"/>
          <w:szCs w:val="21"/>
          <w:lang w:bidi="en-US"/>
        </w:rPr>
        <w:t>输出轴；</w:t>
      </w:r>
      <w:r>
        <w:rPr>
          <w:rFonts w:hint="eastAsia"/>
          <w:bCs/>
          <w:color w:val="000000"/>
          <w:szCs w:val="21"/>
          <w:lang w:bidi="en-US"/>
        </w:rPr>
        <w:t>8-</w:t>
      </w:r>
      <w:r>
        <w:rPr>
          <w:rFonts w:hint="eastAsia"/>
          <w:bCs/>
          <w:color w:val="000000"/>
          <w:szCs w:val="21"/>
          <w:lang w:bidi="en-US"/>
        </w:rPr>
        <w:t>曲柄；</w:t>
      </w:r>
      <w:r>
        <w:rPr>
          <w:rFonts w:hint="eastAsia"/>
          <w:bCs/>
          <w:color w:val="000000"/>
          <w:szCs w:val="21"/>
          <w:lang w:bidi="en-US"/>
        </w:rPr>
        <w:t>9-</w:t>
      </w:r>
      <w:r>
        <w:rPr>
          <w:rFonts w:hint="eastAsia"/>
          <w:bCs/>
          <w:color w:val="000000"/>
          <w:szCs w:val="21"/>
          <w:lang w:bidi="en-US"/>
        </w:rPr>
        <w:t>连杆轴；</w:t>
      </w:r>
      <w:r>
        <w:rPr>
          <w:rFonts w:hint="eastAsia"/>
          <w:bCs/>
          <w:color w:val="000000"/>
          <w:szCs w:val="21"/>
          <w:lang w:bidi="en-US"/>
        </w:rPr>
        <w:t>10-</w:t>
      </w:r>
      <w:r>
        <w:rPr>
          <w:rFonts w:hint="eastAsia"/>
          <w:bCs/>
          <w:color w:val="000000"/>
          <w:szCs w:val="21"/>
          <w:lang w:bidi="en-US"/>
        </w:rPr>
        <w:t>支架；</w:t>
      </w:r>
      <w:r>
        <w:rPr>
          <w:rFonts w:hint="eastAsia"/>
          <w:bCs/>
          <w:color w:val="000000"/>
          <w:szCs w:val="21"/>
          <w:lang w:bidi="en-US"/>
        </w:rPr>
        <w:t>11-</w:t>
      </w:r>
      <w:r>
        <w:rPr>
          <w:rFonts w:hint="eastAsia"/>
          <w:bCs/>
          <w:color w:val="000000"/>
          <w:szCs w:val="21"/>
          <w:lang w:bidi="en-US"/>
        </w:rPr>
        <w:t>曲柄平衡块；</w:t>
      </w:r>
      <w:r>
        <w:rPr>
          <w:rFonts w:hint="eastAsia"/>
          <w:bCs/>
          <w:color w:val="000000"/>
          <w:szCs w:val="21"/>
          <w:lang w:bidi="en-US"/>
        </w:rPr>
        <w:t>12-</w:t>
      </w:r>
      <w:r>
        <w:rPr>
          <w:rFonts w:hint="eastAsia"/>
          <w:bCs/>
          <w:color w:val="000000"/>
          <w:szCs w:val="21"/>
          <w:lang w:bidi="en-US"/>
        </w:rPr>
        <w:t>连杆；</w:t>
      </w:r>
      <w:r>
        <w:rPr>
          <w:rFonts w:hint="eastAsia"/>
          <w:bCs/>
          <w:color w:val="000000"/>
          <w:szCs w:val="21"/>
          <w:lang w:bidi="en-US"/>
        </w:rPr>
        <w:t>13-</w:t>
      </w:r>
      <w:r>
        <w:rPr>
          <w:rFonts w:hint="eastAsia"/>
          <w:bCs/>
          <w:color w:val="000000"/>
          <w:szCs w:val="21"/>
          <w:lang w:bidi="en-US"/>
        </w:rPr>
        <w:t>横梁轴；</w:t>
      </w:r>
      <w:r>
        <w:rPr>
          <w:rFonts w:hint="eastAsia"/>
          <w:bCs/>
          <w:color w:val="000000"/>
          <w:szCs w:val="21"/>
          <w:lang w:bidi="en-US"/>
        </w:rPr>
        <w:t>14-</w:t>
      </w:r>
      <w:r>
        <w:rPr>
          <w:rFonts w:hint="eastAsia"/>
          <w:bCs/>
          <w:color w:val="000000"/>
          <w:szCs w:val="21"/>
          <w:lang w:bidi="en-US"/>
        </w:rPr>
        <w:t>横梁；</w:t>
      </w:r>
      <w:r>
        <w:rPr>
          <w:rFonts w:hint="eastAsia"/>
          <w:bCs/>
          <w:color w:val="000000"/>
          <w:szCs w:val="21"/>
          <w:lang w:bidi="en-US"/>
        </w:rPr>
        <w:t>15-</w:t>
      </w:r>
      <w:r>
        <w:rPr>
          <w:rFonts w:hint="eastAsia"/>
          <w:bCs/>
          <w:color w:val="000000"/>
          <w:szCs w:val="21"/>
          <w:lang w:bidi="en-US"/>
        </w:rPr>
        <w:t>游梁平衡块；</w:t>
      </w:r>
      <w:r>
        <w:rPr>
          <w:rFonts w:hint="eastAsia"/>
          <w:bCs/>
          <w:color w:val="000000"/>
          <w:szCs w:val="21"/>
          <w:lang w:bidi="en-US"/>
        </w:rPr>
        <w:t>16-</w:t>
      </w:r>
      <w:r>
        <w:rPr>
          <w:rFonts w:hint="eastAsia"/>
          <w:bCs/>
          <w:color w:val="000000"/>
          <w:szCs w:val="21"/>
          <w:lang w:bidi="en-US"/>
        </w:rPr>
        <w:t>游梁；</w:t>
      </w:r>
      <w:r>
        <w:rPr>
          <w:rFonts w:hint="eastAsia"/>
          <w:bCs/>
          <w:color w:val="000000"/>
          <w:szCs w:val="21"/>
          <w:lang w:bidi="en-US"/>
        </w:rPr>
        <w:t>17-</w:t>
      </w:r>
      <w:r>
        <w:rPr>
          <w:rFonts w:hint="eastAsia"/>
          <w:bCs/>
          <w:color w:val="000000"/>
          <w:szCs w:val="21"/>
          <w:lang w:bidi="en-US"/>
        </w:rPr>
        <w:t>游梁轴；</w:t>
      </w:r>
      <w:r>
        <w:rPr>
          <w:rFonts w:hint="eastAsia"/>
          <w:bCs/>
          <w:color w:val="000000"/>
          <w:szCs w:val="21"/>
          <w:lang w:bidi="en-US"/>
        </w:rPr>
        <w:t>18-</w:t>
      </w:r>
      <w:r>
        <w:rPr>
          <w:rFonts w:hint="eastAsia"/>
          <w:bCs/>
          <w:color w:val="000000"/>
          <w:szCs w:val="21"/>
          <w:lang w:bidi="en-US"/>
        </w:rPr>
        <w:t>驴头；</w:t>
      </w:r>
      <w:r>
        <w:rPr>
          <w:rFonts w:hint="eastAsia"/>
          <w:bCs/>
          <w:color w:val="000000"/>
          <w:szCs w:val="21"/>
          <w:lang w:bidi="en-US"/>
        </w:rPr>
        <w:t>19-</w:t>
      </w:r>
      <w:r>
        <w:rPr>
          <w:rFonts w:hint="eastAsia"/>
          <w:bCs/>
          <w:color w:val="000000"/>
          <w:szCs w:val="21"/>
          <w:lang w:bidi="en-US"/>
        </w:rPr>
        <w:t>悬绳器；</w:t>
      </w:r>
      <w:r>
        <w:rPr>
          <w:rFonts w:hint="eastAsia"/>
          <w:bCs/>
          <w:color w:val="000000"/>
          <w:szCs w:val="21"/>
          <w:lang w:bidi="en-US"/>
        </w:rPr>
        <w:t>20-</w:t>
      </w:r>
      <w:r>
        <w:rPr>
          <w:rFonts w:hint="eastAsia"/>
          <w:bCs/>
          <w:color w:val="000000"/>
          <w:szCs w:val="21"/>
          <w:lang w:bidi="en-US"/>
        </w:rPr>
        <w:t>底座。</w:t>
      </w:r>
    </w:p>
    <w:p w14:paraId="1A5B4A13" w14:textId="77777777" w:rsidR="003D6A63" w:rsidRDefault="00000000">
      <w:pPr>
        <w:adjustRightInd w:val="0"/>
        <w:snapToGrid w:val="0"/>
        <w:spacing w:line="360" w:lineRule="auto"/>
        <w:ind w:firstLineChars="100" w:firstLine="240"/>
        <w:rPr>
          <w:color w:val="000000"/>
          <w:sz w:val="24"/>
        </w:rPr>
      </w:pPr>
      <w:r>
        <w:rPr>
          <w:color w:val="000000"/>
          <w:sz w:val="24"/>
        </w:rPr>
        <w:t>（</w:t>
      </w:r>
      <w:r>
        <w:rPr>
          <w:color w:val="000000"/>
          <w:sz w:val="24"/>
        </w:rPr>
        <w:t>2</w:t>
      </w:r>
      <w:r>
        <w:rPr>
          <w:color w:val="000000"/>
          <w:sz w:val="24"/>
        </w:rPr>
        <w:t>）皮带式抽油机</w:t>
      </w:r>
    </w:p>
    <w:p w14:paraId="3B358B4D" w14:textId="77777777" w:rsidR="003D6A63" w:rsidRDefault="00000000">
      <w:pPr>
        <w:adjustRightInd w:val="0"/>
        <w:snapToGrid w:val="0"/>
        <w:spacing w:line="360" w:lineRule="auto"/>
        <w:ind w:firstLine="561"/>
        <w:rPr>
          <w:color w:val="000000"/>
          <w:sz w:val="24"/>
        </w:rPr>
      </w:pPr>
      <w:r>
        <w:rPr>
          <w:color w:val="000000"/>
          <w:sz w:val="24"/>
        </w:rPr>
        <w:t>常用的链条式抽油机，主要由六大系统组成：动力传动系统、换向系统、平衡系统、悬重系统、润滑系统、电控系统。</w:t>
      </w:r>
    </w:p>
    <w:p w14:paraId="102DDEFE" w14:textId="77777777" w:rsidR="003D6A63" w:rsidRDefault="00000000">
      <w:pPr>
        <w:widowControl/>
        <w:adjustRightInd w:val="0"/>
        <w:snapToGrid w:val="0"/>
        <w:jc w:val="center"/>
      </w:pPr>
      <w:r>
        <w:rPr>
          <w:noProof/>
        </w:rPr>
        <w:drawing>
          <wp:inline distT="0" distB="0" distL="0" distR="0" wp14:anchorId="5096BCD1" wp14:editId="41D68FBE">
            <wp:extent cx="2576830" cy="3014345"/>
            <wp:effectExtent l="0" t="0" r="1270" b="8255"/>
            <wp:docPr id="419" name="图片 419" descr="C:\Users\lenovo\Desktop\37EA8700-43AD-48b1-A7CE-679F4518B484.png37EA8700-43AD-48b1-A7CE-679F4518B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图片 419" descr="C:\Users\lenovo\Desktop\37EA8700-43AD-48b1-A7CE-679F4518B484.png37EA8700-43AD-48b1-A7CE-679F4518B484"/>
                    <pic:cNvPicPr>
                      <a:picLocks noChangeAspect="1" noChangeArrowheads="1"/>
                    </pic:cNvPicPr>
                  </pic:nvPicPr>
                  <pic:blipFill>
                    <a:blip r:embed="rId19"/>
                    <a:srcRect/>
                    <a:stretch>
                      <a:fillRect/>
                    </a:stretch>
                  </pic:blipFill>
                  <pic:spPr>
                    <a:xfrm>
                      <a:off x="0" y="0"/>
                      <a:ext cx="2576830" cy="3014345"/>
                    </a:xfrm>
                    <a:prstGeom prst="rect">
                      <a:avLst/>
                    </a:prstGeom>
                    <a:noFill/>
                    <a:ln>
                      <a:noFill/>
                    </a:ln>
                  </pic:spPr>
                </pic:pic>
              </a:graphicData>
            </a:graphic>
          </wp:inline>
        </w:drawing>
      </w:r>
    </w:p>
    <w:p w14:paraId="4AD07DD4" w14:textId="77777777" w:rsidR="003D6A63" w:rsidRDefault="00000000">
      <w:pPr>
        <w:tabs>
          <w:tab w:val="left" w:pos="3240"/>
        </w:tabs>
        <w:adjustRightInd w:val="0"/>
        <w:snapToGrid w:val="0"/>
        <w:spacing w:line="348" w:lineRule="auto"/>
        <w:ind w:firstLineChars="200" w:firstLine="420"/>
        <w:jc w:val="center"/>
      </w:pPr>
      <w:r>
        <w:rPr>
          <w:rFonts w:eastAsia="黑体"/>
          <w:szCs w:val="21"/>
        </w:rPr>
        <w:t>图</w:t>
      </w:r>
      <w:r>
        <w:rPr>
          <w:rFonts w:eastAsia="黑体"/>
          <w:szCs w:val="21"/>
        </w:rPr>
        <w:t>2.</w:t>
      </w:r>
      <w:r>
        <w:rPr>
          <w:rFonts w:eastAsia="黑体" w:hint="eastAsia"/>
          <w:szCs w:val="21"/>
        </w:rPr>
        <w:t>3</w:t>
      </w:r>
      <w:r>
        <w:rPr>
          <w:rFonts w:eastAsia="黑体"/>
          <w:szCs w:val="21"/>
        </w:rPr>
        <w:t xml:space="preserve">-3  </w:t>
      </w:r>
      <w:r>
        <w:rPr>
          <w:rFonts w:eastAsia="黑体"/>
          <w:szCs w:val="21"/>
        </w:rPr>
        <w:t>皮带式</w:t>
      </w:r>
      <w:r>
        <w:rPr>
          <w:rFonts w:eastAsia="黑体"/>
          <w:szCs w:val="21"/>
          <w:lang w:bidi="en-US"/>
        </w:rPr>
        <w:t>抽油装置示意图</w:t>
      </w:r>
    </w:p>
    <w:p w14:paraId="3B7819C3" w14:textId="77777777" w:rsidR="003D6A63" w:rsidRDefault="00000000">
      <w:pPr>
        <w:pStyle w:val="4"/>
        <w:keepNext w:val="0"/>
        <w:keepLines w:val="0"/>
        <w:adjustRightInd w:val="0"/>
        <w:snapToGrid w:val="0"/>
        <w:spacing w:before="0" w:after="0" w:line="360" w:lineRule="auto"/>
        <w:rPr>
          <w:rFonts w:ascii="Times New Roman" w:eastAsia="宋体" w:hAnsi="Times New Roman"/>
          <w:sz w:val="24"/>
        </w:rPr>
      </w:pPr>
      <w:r>
        <w:rPr>
          <w:rFonts w:ascii="Times New Roman" w:eastAsia="宋体" w:hAnsi="Times New Roman" w:hint="eastAsia"/>
          <w:sz w:val="24"/>
        </w:rPr>
        <w:t xml:space="preserve">2.3.1.2  </w:t>
      </w:r>
      <w:r>
        <w:rPr>
          <w:rFonts w:ascii="Times New Roman" w:eastAsia="宋体" w:hAnsi="Times New Roman" w:hint="eastAsia"/>
          <w:sz w:val="24"/>
        </w:rPr>
        <w:t>油气计量</w:t>
      </w:r>
    </w:p>
    <w:p w14:paraId="09812F53" w14:textId="77777777" w:rsidR="003D6A63" w:rsidRDefault="00000000">
      <w:pPr>
        <w:tabs>
          <w:tab w:val="left" w:pos="3240"/>
        </w:tabs>
        <w:adjustRightInd w:val="0"/>
        <w:snapToGrid w:val="0"/>
        <w:spacing w:line="360" w:lineRule="auto"/>
        <w:ind w:firstLineChars="200" w:firstLine="480"/>
        <w:rPr>
          <w:bCs/>
          <w:color w:val="000000"/>
          <w:sz w:val="24"/>
        </w:rPr>
      </w:pPr>
      <w:r>
        <w:rPr>
          <w:rFonts w:hint="eastAsia"/>
          <w:color w:val="000000"/>
          <w:sz w:val="24"/>
        </w:rPr>
        <w:t>中胜公司现有计量站</w:t>
      </w:r>
      <w:r>
        <w:rPr>
          <w:rFonts w:hint="eastAsia"/>
          <w:color w:val="000000"/>
          <w:sz w:val="24"/>
        </w:rPr>
        <w:t>11</w:t>
      </w:r>
      <w:r>
        <w:rPr>
          <w:rFonts w:hint="eastAsia"/>
          <w:color w:val="000000"/>
          <w:sz w:val="24"/>
        </w:rPr>
        <w:t>座，计量站</w:t>
      </w:r>
      <w:r>
        <w:rPr>
          <w:color w:val="000000"/>
          <w:sz w:val="24"/>
        </w:rPr>
        <w:t>一般布置在</w:t>
      </w:r>
      <w:r>
        <w:rPr>
          <w:color w:val="000000"/>
          <w:sz w:val="24"/>
        </w:rPr>
        <w:t>8</w:t>
      </w:r>
      <w:r>
        <w:rPr>
          <w:color w:val="000000"/>
          <w:sz w:val="24"/>
        </w:rPr>
        <w:t>～</w:t>
      </w:r>
      <w:r>
        <w:rPr>
          <w:color w:val="000000"/>
          <w:sz w:val="24"/>
        </w:rPr>
        <w:t>12</w:t>
      </w:r>
      <w:r>
        <w:rPr>
          <w:color w:val="000000"/>
          <w:sz w:val="24"/>
        </w:rPr>
        <w:t>口井的适当位置上，每口井单管油气混输集中</w:t>
      </w:r>
      <w:r>
        <w:rPr>
          <w:rFonts w:hint="eastAsia"/>
          <w:color w:val="000000"/>
          <w:sz w:val="24"/>
        </w:rPr>
        <w:t>到计量站。</w:t>
      </w:r>
      <w:r>
        <w:rPr>
          <w:bCs/>
          <w:color w:val="000000"/>
          <w:sz w:val="24"/>
        </w:rPr>
        <w:t>单井来的油气先经过加热炉加热，之后进计量分离器分别对油、气计量，完成计量后的油、气再度混合进集油管线出站输至</w:t>
      </w:r>
      <w:r>
        <w:rPr>
          <w:rFonts w:hint="eastAsia"/>
          <w:bCs/>
          <w:color w:val="000000"/>
          <w:sz w:val="24"/>
        </w:rPr>
        <w:t>现河采油厂河</w:t>
      </w:r>
      <w:r>
        <w:rPr>
          <w:rFonts w:hint="eastAsia"/>
          <w:bCs/>
          <w:color w:val="000000"/>
          <w:sz w:val="24"/>
        </w:rPr>
        <w:t>50</w:t>
      </w:r>
      <w:r>
        <w:rPr>
          <w:rFonts w:hint="eastAsia"/>
          <w:bCs/>
          <w:color w:val="000000"/>
          <w:sz w:val="24"/>
        </w:rPr>
        <w:t>接转站、滨南采油厂滨五联合站</w:t>
      </w:r>
      <w:r>
        <w:rPr>
          <w:bCs/>
          <w:color w:val="000000"/>
          <w:sz w:val="24"/>
        </w:rPr>
        <w:t>。</w:t>
      </w:r>
    </w:p>
    <w:p w14:paraId="3C0142B1"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r>
        <w:rPr>
          <w:rFonts w:eastAsia="黑体" w:hint="eastAsia"/>
          <w:b w:val="0"/>
          <w:spacing w:val="0"/>
          <w:sz w:val="24"/>
          <w:szCs w:val="24"/>
        </w:rPr>
        <w:t xml:space="preserve">2.3.2  </w:t>
      </w:r>
      <w:r>
        <w:rPr>
          <w:rFonts w:eastAsia="黑体" w:hint="eastAsia"/>
          <w:b w:val="0"/>
          <w:spacing w:val="0"/>
          <w:sz w:val="24"/>
          <w:szCs w:val="24"/>
        </w:rPr>
        <w:t>注水系统</w:t>
      </w:r>
    </w:p>
    <w:p w14:paraId="17685B57" w14:textId="77777777" w:rsidR="003D6A63" w:rsidRDefault="00000000">
      <w:pPr>
        <w:adjustRightInd w:val="0"/>
        <w:snapToGrid w:val="0"/>
        <w:spacing w:line="360" w:lineRule="auto"/>
        <w:ind w:firstLineChars="200" w:firstLine="480"/>
        <w:rPr>
          <w:sz w:val="24"/>
        </w:rPr>
      </w:pPr>
      <w:r>
        <w:rPr>
          <w:sz w:val="24"/>
        </w:rPr>
        <w:t>通过注水井向油层注水补充能量，保持油层压力，是在依靠天然能量进行采油之后或油田开发早期为了提高采收率和采油速度而被广泛采用的一项重要的开发措施。</w:t>
      </w:r>
    </w:p>
    <w:p w14:paraId="1984E6AF" w14:textId="77777777" w:rsidR="003D6A63" w:rsidRDefault="00000000">
      <w:pPr>
        <w:adjustRightInd w:val="0"/>
        <w:snapToGrid w:val="0"/>
        <w:spacing w:line="360" w:lineRule="auto"/>
        <w:ind w:firstLineChars="200" w:firstLine="480"/>
        <w:rPr>
          <w:sz w:val="24"/>
        </w:rPr>
      </w:pPr>
      <w:r>
        <w:rPr>
          <w:sz w:val="24"/>
        </w:rPr>
        <w:t>油田注水工艺，根据油田不同开发阶段的需要，在分层注水方面主要采取固定配水管柱、偏芯配水管柱和空芯配水管柱等工艺技术；在水井解堵增注方面主要采取化学解堵增注和物理解堵增注工艺技术。</w:t>
      </w:r>
    </w:p>
    <w:p w14:paraId="1A928565" w14:textId="77777777" w:rsidR="003D6A63" w:rsidRDefault="00000000">
      <w:pPr>
        <w:adjustRightInd w:val="0"/>
        <w:snapToGrid w:val="0"/>
        <w:spacing w:line="360" w:lineRule="auto"/>
        <w:ind w:firstLineChars="100" w:firstLine="240"/>
        <w:rPr>
          <w:sz w:val="24"/>
        </w:rPr>
      </w:pPr>
      <w:r>
        <w:rPr>
          <w:sz w:val="24"/>
        </w:rPr>
        <w:t>（</w:t>
      </w:r>
      <w:r>
        <w:rPr>
          <w:sz w:val="24"/>
        </w:rPr>
        <w:t>1</w:t>
      </w:r>
      <w:r>
        <w:rPr>
          <w:sz w:val="24"/>
        </w:rPr>
        <w:t>）注水</w:t>
      </w:r>
      <w:r>
        <w:rPr>
          <w:rFonts w:hint="eastAsia"/>
          <w:sz w:val="24"/>
        </w:rPr>
        <w:t>站</w:t>
      </w:r>
    </w:p>
    <w:p w14:paraId="0214218D" w14:textId="77777777" w:rsidR="003D6A63" w:rsidRDefault="00000000">
      <w:pPr>
        <w:adjustRightInd w:val="0"/>
        <w:snapToGrid w:val="0"/>
        <w:spacing w:line="360" w:lineRule="auto"/>
        <w:ind w:firstLineChars="200" w:firstLine="480"/>
        <w:rPr>
          <w:sz w:val="24"/>
        </w:rPr>
      </w:pPr>
      <w:r>
        <w:rPr>
          <w:sz w:val="24"/>
        </w:rPr>
        <w:t>注水</w:t>
      </w:r>
      <w:r>
        <w:rPr>
          <w:rFonts w:hint="eastAsia"/>
          <w:sz w:val="24"/>
        </w:rPr>
        <w:t>设施是注水系统的核心部分，其主要作用是将来水升压，以满足注水井对注水</w:t>
      </w:r>
      <w:r>
        <w:rPr>
          <w:rFonts w:hint="eastAsia"/>
          <w:sz w:val="24"/>
        </w:rPr>
        <w:lastRenderedPageBreak/>
        <w:t>压力的要求。站内注水工艺流程主要考虑满足注水水质、计量、操作管理及分层注水等方面的要求。其工艺流程为：水源井→配水间→注水井。</w:t>
      </w:r>
    </w:p>
    <w:p w14:paraId="5957D7FE" w14:textId="77777777" w:rsidR="003D6A63" w:rsidRDefault="00000000">
      <w:pPr>
        <w:adjustRightInd w:val="0"/>
        <w:snapToGrid w:val="0"/>
        <w:spacing w:line="360" w:lineRule="auto"/>
        <w:ind w:firstLineChars="200" w:firstLine="480"/>
        <w:rPr>
          <w:sz w:val="24"/>
        </w:rPr>
      </w:pPr>
      <w:r>
        <w:rPr>
          <w:rFonts w:hint="eastAsia"/>
          <w:sz w:val="24"/>
        </w:rPr>
        <w:t>公司的产品是原油，针对公司生产过程中存在含蜡、油稠、粘度较高、含胶质沥青质一级脱水外销的油井，根据各井实际情况，分别加入清蜡剂、破乳剂、降粘剂等，用以达到清蜡、降粘、油水分离等目的。</w:t>
      </w:r>
    </w:p>
    <w:p w14:paraId="1A0606D7" w14:textId="77777777" w:rsidR="003D6A63" w:rsidRDefault="00000000">
      <w:pPr>
        <w:adjustRightInd w:val="0"/>
        <w:snapToGrid w:val="0"/>
        <w:spacing w:line="360" w:lineRule="auto"/>
        <w:ind w:firstLineChars="200" w:firstLine="480"/>
        <w:rPr>
          <w:sz w:val="24"/>
        </w:rPr>
      </w:pPr>
      <w:r>
        <w:rPr>
          <w:rFonts w:hint="eastAsia"/>
          <w:sz w:val="24"/>
        </w:rPr>
        <w:t>中胜公司注水设施主要为往复式注水泵，注水泵台账见表</w:t>
      </w:r>
      <w:r>
        <w:rPr>
          <w:rFonts w:hint="eastAsia"/>
          <w:sz w:val="24"/>
        </w:rPr>
        <w:t>2.3-1</w:t>
      </w:r>
      <w:r>
        <w:rPr>
          <w:rFonts w:hint="eastAsia"/>
          <w:sz w:val="24"/>
        </w:rPr>
        <w:t>。</w:t>
      </w:r>
    </w:p>
    <w:p w14:paraId="74412F3C" w14:textId="77777777" w:rsidR="003D6A63" w:rsidRDefault="00000000">
      <w:pPr>
        <w:pStyle w:val="nlw1"/>
        <w:adjustRightInd w:val="0"/>
        <w:snapToGrid w:val="0"/>
        <w:spacing w:line="360" w:lineRule="auto"/>
        <w:ind w:firstLineChars="0" w:firstLine="0"/>
        <w:jc w:val="center"/>
        <w:rPr>
          <w:rFonts w:ascii="Times New Roman" w:eastAsia="黑体" w:hAnsi="Times New Roman"/>
          <w:sz w:val="21"/>
          <w:szCs w:val="21"/>
          <w:lang w:val="en-US"/>
        </w:rPr>
      </w:pPr>
      <w:r>
        <w:rPr>
          <w:rFonts w:ascii="Times New Roman" w:eastAsia="黑体" w:hAnsi="Times New Roman" w:hint="eastAsia"/>
          <w:sz w:val="21"/>
          <w:szCs w:val="21"/>
          <w:lang w:val="en-US"/>
        </w:rPr>
        <w:t>表</w:t>
      </w:r>
      <w:r>
        <w:rPr>
          <w:rFonts w:ascii="Times New Roman" w:eastAsia="黑体" w:hAnsi="Times New Roman" w:hint="eastAsia"/>
          <w:sz w:val="21"/>
          <w:szCs w:val="21"/>
          <w:lang w:val="en-US"/>
        </w:rPr>
        <w:t xml:space="preserve">2.3-1 </w:t>
      </w:r>
      <w:r>
        <w:rPr>
          <w:rFonts w:ascii="Times New Roman" w:eastAsia="黑体" w:hAnsi="Times New Roman" w:hint="eastAsia"/>
          <w:sz w:val="21"/>
          <w:szCs w:val="21"/>
          <w:lang w:val="en-US"/>
        </w:rPr>
        <w:t>中胜公司注水设施台账</w:t>
      </w:r>
    </w:p>
    <w:tbl>
      <w:tblPr>
        <w:tblW w:w="9290" w:type="dxa"/>
        <w:tblInd w:w="96"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2611"/>
        <w:gridCol w:w="3339"/>
        <w:gridCol w:w="3340"/>
      </w:tblGrid>
      <w:tr w:rsidR="003D6A63" w14:paraId="19BEAFE0" w14:textId="77777777">
        <w:trPr>
          <w:trHeight w:val="340"/>
        </w:trPr>
        <w:tc>
          <w:tcPr>
            <w:tcW w:w="2611" w:type="dxa"/>
            <w:tcBorders>
              <w:tl2br w:val="nil"/>
              <w:tr2bl w:val="nil"/>
            </w:tcBorders>
            <w:shd w:val="clear" w:color="auto" w:fill="auto"/>
            <w:vAlign w:val="center"/>
          </w:tcPr>
          <w:p w14:paraId="03BDF56E"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开发区</w:t>
            </w:r>
          </w:p>
        </w:tc>
        <w:tc>
          <w:tcPr>
            <w:tcW w:w="3339" w:type="dxa"/>
            <w:tcBorders>
              <w:tl2br w:val="nil"/>
              <w:tr2bl w:val="nil"/>
            </w:tcBorders>
            <w:shd w:val="clear" w:color="auto" w:fill="auto"/>
            <w:vAlign w:val="center"/>
          </w:tcPr>
          <w:p w14:paraId="297D2E57"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注水泵类型</w:t>
            </w:r>
          </w:p>
        </w:tc>
        <w:tc>
          <w:tcPr>
            <w:tcW w:w="3340" w:type="dxa"/>
            <w:tcBorders>
              <w:tl2br w:val="nil"/>
              <w:tr2bl w:val="nil"/>
            </w:tcBorders>
            <w:shd w:val="clear" w:color="auto" w:fill="auto"/>
            <w:vAlign w:val="center"/>
          </w:tcPr>
          <w:p w14:paraId="42678DFB"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规格型号</w:t>
            </w:r>
          </w:p>
        </w:tc>
      </w:tr>
      <w:tr w:rsidR="003D6A63" w14:paraId="6452BEDB" w14:textId="77777777">
        <w:trPr>
          <w:trHeight w:val="340"/>
        </w:trPr>
        <w:tc>
          <w:tcPr>
            <w:tcW w:w="2611" w:type="dxa"/>
            <w:tcBorders>
              <w:tl2br w:val="nil"/>
              <w:tr2bl w:val="nil"/>
            </w:tcBorders>
            <w:shd w:val="clear" w:color="auto" w:fill="auto"/>
            <w:vAlign w:val="center"/>
          </w:tcPr>
          <w:p w14:paraId="436DE81C"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滨南开发区</w:t>
            </w:r>
          </w:p>
        </w:tc>
        <w:tc>
          <w:tcPr>
            <w:tcW w:w="3339" w:type="dxa"/>
            <w:tcBorders>
              <w:tl2br w:val="nil"/>
              <w:tr2bl w:val="nil"/>
            </w:tcBorders>
            <w:shd w:val="clear" w:color="auto" w:fill="auto"/>
            <w:vAlign w:val="center"/>
          </w:tcPr>
          <w:p w14:paraId="6A6E5BCD"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往复式注水泵</w:t>
            </w:r>
          </w:p>
        </w:tc>
        <w:tc>
          <w:tcPr>
            <w:tcW w:w="3340" w:type="dxa"/>
            <w:tcBorders>
              <w:tl2br w:val="nil"/>
              <w:tr2bl w:val="nil"/>
            </w:tcBorders>
            <w:shd w:val="clear" w:color="auto" w:fill="auto"/>
            <w:vAlign w:val="center"/>
          </w:tcPr>
          <w:p w14:paraId="26C4BB50"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375PZ-5/16-8</w:t>
            </w:r>
          </w:p>
        </w:tc>
      </w:tr>
      <w:tr w:rsidR="003D6A63" w14:paraId="3ED8BC9A" w14:textId="77777777">
        <w:trPr>
          <w:trHeight w:val="340"/>
        </w:trPr>
        <w:tc>
          <w:tcPr>
            <w:tcW w:w="2611" w:type="dxa"/>
            <w:tcBorders>
              <w:tl2br w:val="nil"/>
              <w:tr2bl w:val="nil"/>
            </w:tcBorders>
            <w:shd w:val="clear" w:color="auto" w:fill="auto"/>
            <w:vAlign w:val="center"/>
          </w:tcPr>
          <w:p w14:paraId="5570CCBF"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城中开发区</w:t>
            </w:r>
          </w:p>
        </w:tc>
        <w:tc>
          <w:tcPr>
            <w:tcW w:w="3339" w:type="dxa"/>
            <w:tcBorders>
              <w:tl2br w:val="nil"/>
              <w:tr2bl w:val="nil"/>
            </w:tcBorders>
            <w:shd w:val="clear" w:color="auto" w:fill="auto"/>
            <w:vAlign w:val="center"/>
          </w:tcPr>
          <w:p w14:paraId="636B9885"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往复式注水泵</w:t>
            </w:r>
          </w:p>
        </w:tc>
        <w:tc>
          <w:tcPr>
            <w:tcW w:w="3340" w:type="dxa"/>
            <w:tcBorders>
              <w:tl2br w:val="nil"/>
              <w:tr2bl w:val="nil"/>
            </w:tcBorders>
            <w:shd w:val="clear" w:color="auto" w:fill="auto"/>
            <w:vAlign w:val="center"/>
          </w:tcPr>
          <w:p w14:paraId="31C71E0E"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5-10m3/h回注污水30-40Mpa</w:t>
            </w:r>
          </w:p>
        </w:tc>
      </w:tr>
      <w:tr w:rsidR="003D6A63" w14:paraId="3146C1DB" w14:textId="77777777">
        <w:trPr>
          <w:trHeight w:val="340"/>
        </w:trPr>
        <w:tc>
          <w:tcPr>
            <w:tcW w:w="2611" w:type="dxa"/>
            <w:tcBorders>
              <w:tl2br w:val="nil"/>
              <w:tr2bl w:val="nil"/>
            </w:tcBorders>
            <w:shd w:val="clear" w:color="auto" w:fill="auto"/>
            <w:vAlign w:val="center"/>
          </w:tcPr>
          <w:p w14:paraId="1BC83EA8"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城中开发区</w:t>
            </w:r>
          </w:p>
        </w:tc>
        <w:tc>
          <w:tcPr>
            <w:tcW w:w="3339" w:type="dxa"/>
            <w:tcBorders>
              <w:tl2br w:val="nil"/>
              <w:tr2bl w:val="nil"/>
            </w:tcBorders>
            <w:shd w:val="clear" w:color="auto" w:fill="auto"/>
            <w:vAlign w:val="center"/>
          </w:tcPr>
          <w:p w14:paraId="6C187D48"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往复式注水泵</w:t>
            </w:r>
          </w:p>
        </w:tc>
        <w:tc>
          <w:tcPr>
            <w:tcW w:w="3340" w:type="dxa"/>
            <w:tcBorders>
              <w:tl2br w:val="nil"/>
              <w:tr2bl w:val="nil"/>
            </w:tcBorders>
            <w:shd w:val="clear" w:color="auto" w:fill="auto"/>
            <w:vAlign w:val="center"/>
          </w:tcPr>
          <w:p w14:paraId="028B3396"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3ZS-127-12.6/25型增压注水泵</w:t>
            </w:r>
          </w:p>
        </w:tc>
      </w:tr>
      <w:tr w:rsidR="003D6A63" w14:paraId="5B5F9C12" w14:textId="77777777">
        <w:trPr>
          <w:trHeight w:val="340"/>
        </w:trPr>
        <w:tc>
          <w:tcPr>
            <w:tcW w:w="2611" w:type="dxa"/>
            <w:tcBorders>
              <w:tl2br w:val="nil"/>
              <w:tr2bl w:val="nil"/>
            </w:tcBorders>
            <w:shd w:val="clear" w:color="auto" w:fill="auto"/>
            <w:vAlign w:val="center"/>
          </w:tcPr>
          <w:p w14:paraId="0287C987"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城中开发区</w:t>
            </w:r>
          </w:p>
        </w:tc>
        <w:tc>
          <w:tcPr>
            <w:tcW w:w="3339" w:type="dxa"/>
            <w:tcBorders>
              <w:tl2br w:val="nil"/>
              <w:tr2bl w:val="nil"/>
            </w:tcBorders>
            <w:shd w:val="clear" w:color="auto" w:fill="auto"/>
            <w:vAlign w:val="center"/>
          </w:tcPr>
          <w:p w14:paraId="2E4AF7CB"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往复式注水泵</w:t>
            </w:r>
          </w:p>
        </w:tc>
        <w:tc>
          <w:tcPr>
            <w:tcW w:w="3340" w:type="dxa"/>
            <w:tcBorders>
              <w:tl2br w:val="nil"/>
              <w:tr2bl w:val="nil"/>
            </w:tcBorders>
            <w:shd w:val="clear" w:color="auto" w:fill="auto"/>
            <w:vAlign w:val="center"/>
          </w:tcPr>
          <w:p w14:paraId="0D10DF9F"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B81.30S-5/12</w:t>
            </w:r>
          </w:p>
        </w:tc>
      </w:tr>
      <w:tr w:rsidR="003D6A63" w14:paraId="719DCF43" w14:textId="77777777">
        <w:trPr>
          <w:trHeight w:val="340"/>
        </w:trPr>
        <w:tc>
          <w:tcPr>
            <w:tcW w:w="2611" w:type="dxa"/>
            <w:tcBorders>
              <w:tl2br w:val="nil"/>
              <w:tr2bl w:val="nil"/>
            </w:tcBorders>
            <w:shd w:val="clear" w:color="auto" w:fill="auto"/>
            <w:vAlign w:val="center"/>
          </w:tcPr>
          <w:p w14:paraId="7DF3390D"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城中开发区</w:t>
            </w:r>
          </w:p>
        </w:tc>
        <w:tc>
          <w:tcPr>
            <w:tcW w:w="3339" w:type="dxa"/>
            <w:tcBorders>
              <w:tl2br w:val="nil"/>
              <w:tr2bl w:val="nil"/>
            </w:tcBorders>
            <w:shd w:val="clear" w:color="auto" w:fill="auto"/>
            <w:vAlign w:val="center"/>
          </w:tcPr>
          <w:p w14:paraId="76E091BE"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往复式注水泵</w:t>
            </w:r>
          </w:p>
        </w:tc>
        <w:tc>
          <w:tcPr>
            <w:tcW w:w="3340" w:type="dxa"/>
            <w:tcBorders>
              <w:tl2br w:val="nil"/>
              <w:tr2bl w:val="nil"/>
            </w:tcBorders>
            <w:shd w:val="clear" w:color="auto" w:fill="auto"/>
            <w:vAlign w:val="center"/>
          </w:tcPr>
          <w:p w14:paraId="20442721"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375S-24/40</w:t>
            </w:r>
          </w:p>
        </w:tc>
      </w:tr>
      <w:tr w:rsidR="003D6A63" w14:paraId="45EABEBA" w14:textId="77777777">
        <w:trPr>
          <w:trHeight w:val="340"/>
        </w:trPr>
        <w:tc>
          <w:tcPr>
            <w:tcW w:w="2611" w:type="dxa"/>
            <w:tcBorders>
              <w:tl2br w:val="nil"/>
              <w:tr2bl w:val="nil"/>
            </w:tcBorders>
            <w:shd w:val="clear" w:color="auto" w:fill="auto"/>
            <w:vAlign w:val="center"/>
          </w:tcPr>
          <w:p w14:paraId="4E2538F9"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城中开发区</w:t>
            </w:r>
          </w:p>
        </w:tc>
        <w:tc>
          <w:tcPr>
            <w:tcW w:w="3339" w:type="dxa"/>
            <w:tcBorders>
              <w:tl2br w:val="nil"/>
              <w:tr2bl w:val="nil"/>
            </w:tcBorders>
            <w:shd w:val="clear" w:color="auto" w:fill="auto"/>
            <w:vAlign w:val="center"/>
          </w:tcPr>
          <w:p w14:paraId="05077736"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往复式注水泵</w:t>
            </w:r>
          </w:p>
        </w:tc>
        <w:tc>
          <w:tcPr>
            <w:tcW w:w="3340" w:type="dxa"/>
            <w:tcBorders>
              <w:tl2br w:val="nil"/>
              <w:tr2bl w:val="nil"/>
            </w:tcBorders>
            <w:shd w:val="clear" w:color="auto" w:fill="auto"/>
            <w:vAlign w:val="center"/>
          </w:tcPr>
          <w:p w14:paraId="0A75026D"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5-10m3/h30-50Mpa-撬1泵</w:t>
            </w:r>
          </w:p>
        </w:tc>
      </w:tr>
      <w:tr w:rsidR="003D6A63" w14:paraId="5CE96AF5" w14:textId="77777777">
        <w:trPr>
          <w:trHeight w:val="340"/>
        </w:trPr>
        <w:tc>
          <w:tcPr>
            <w:tcW w:w="2611" w:type="dxa"/>
            <w:tcBorders>
              <w:tl2br w:val="nil"/>
              <w:tr2bl w:val="nil"/>
            </w:tcBorders>
            <w:shd w:val="clear" w:color="auto" w:fill="auto"/>
            <w:vAlign w:val="center"/>
          </w:tcPr>
          <w:p w14:paraId="59A3C913"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高青开发区</w:t>
            </w:r>
          </w:p>
        </w:tc>
        <w:tc>
          <w:tcPr>
            <w:tcW w:w="3339" w:type="dxa"/>
            <w:tcBorders>
              <w:tl2br w:val="nil"/>
              <w:tr2bl w:val="nil"/>
            </w:tcBorders>
            <w:shd w:val="clear" w:color="auto" w:fill="auto"/>
            <w:vAlign w:val="center"/>
          </w:tcPr>
          <w:p w14:paraId="7B65C021"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往复式注水泵</w:t>
            </w:r>
          </w:p>
        </w:tc>
        <w:tc>
          <w:tcPr>
            <w:tcW w:w="3340" w:type="dxa"/>
            <w:tcBorders>
              <w:tl2br w:val="nil"/>
              <w:tr2bl w:val="nil"/>
            </w:tcBorders>
            <w:shd w:val="clear" w:color="auto" w:fill="auto"/>
            <w:vAlign w:val="center"/>
          </w:tcPr>
          <w:p w14:paraId="0988B737"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3ZS75型增高压注水泵</w:t>
            </w:r>
          </w:p>
        </w:tc>
      </w:tr>
      <w:tr w:rsidR="003D6A63" w14:paraId="221830D8" w14:textId="77777777">
        <w:trPr>
          <w:trHeight w:val="340"/>
        </w:trPr>
        <w:tc>
          <w:tcPr>
            <w:tcW w:w="2611" w:type="dxa"/>
            <w:tcBorders>
              <w:tl2br w:val="nil"/>
              <w:tr2bl w:val="nil"/>
            </w:tcBorders>
            <w:shd w:val="clear" w:color="auto" w:fill="auto"/>
            <w:vAlign w:val="center"/>
          </w:tcPr>
          <w:p w14:paraId="01B918C4"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高青开发区</w:t>
            </w:r>
          </w:p>
        </w:tc>
        <w:tc>
          <w:tcPr>
            <w:tcW w:w="3339" w:type="dxa"/>
            <w:tcBorders>
              <w:tl2br w:val="nil"/>
              <w:tr2bl w:val="nil"/>
            </w:tcBorders>
            <w:shd w:val="clear" w:color="auto" w:fill="auto"/>
            <w:vAlign w:val="center"/>
          </w:tcPr>
          <w:p w14:paraId="34F7CFED"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往复式注水泵</w:t>
            </w:r>
          </w:p>
        </w:tc>
        <w:tc>
          <w:tcPr>
            <w:tcW w:w="3340" w:type="dxa"/>
            <w:tcBorders>
              <w:tl2br w:val="nil"/>
              <w:tr2bl w:val="nil"/>
            </w:tcBorders>
            <w:shd w:val="clear" w:color="auto" w:fill="auto"/>
            <w:vAlign w:val="center"/>
          </w:tcPr>
          <w:p w14:paraId="21F07DD6"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B81 3DS 5/12</w:t>
            </w:r>
          </w:p>
        </w:tc>
      </w:tr>
    </w:tbl>
    <w:p w14:paraId="1516877E" w14:textId="77777777" w:rsidR="003D6A63" w:rsidRDefault="00000000">
      <w:pPr>
        <w:adjustRightInd w:val="0"/>
        <w:snapToGrid w:val="0"/>
        <w:spacing w:beforeLines="50" w:before="120" w:line="360" w:lineRule="auto"/>
        <w:ind w:firstLineChars="100" w:firstLine="240"/>
        <w:rPr>
          <w:sz w:val="24"/>
        </w:rPr>
      </w:pPr>
      <w:r>
        <w:rPr>
          <w:sz w:val="24"/>
        </w:rPr>
        <w:t>（</w:t>
      </w:r>
      <w:r>
        <w:rPr>
          <w:sz w:val="24"/>
        </w:rPr>
        <w:t>2</w:t>
      </w:r>
      <w:r>
        <w:rPr>
          <w:sz w:val="24"/>
        </w:rPr>
        <w:t>）配水间</w:t>
      </w:r>
    </w:p>
    <w:p w14:paraId="1C58A905" w14:textId="77777777" w:rsidR="003D6A63" w:rsidRDefault="00000000">
      <w:pPr>
        <w:adjustRightInd w:val="0"/>
        <w:snapToGrid w:val="0"/>
        <w:spacing w:line="360" w:lineRule="auto"/>
        <w:ind w:firstLineChars="200" w:firstLine="480"/>
        <w:rPr>
          <w:sz w:val="24"/>
        </w:rPr>
      </w:pPr>
      <w:r>
        <w:rPr>
          <w:sz w:val="24"/>
        </w:rPr>
        <w:t>配水间用来调节、控制和计量注水井</w:t>
      </w:r>
      <w:r>
        <w:rPr>
          <w:rFonts w:hint="eastAsia"/>
          <w:sz w:val="24"/>
        </w:rPr>
        <w:t>的注水</w:t>
      </w:r>
      <w:r>
        <w:rPr>
          <w:sz w:val="24"/>
        </w:rPr>
        <w:t>量，分为单井配水间和多井配水间两种。其主要设施为分水器、正常注水和旁通备用管汇、压力表和流量计。</w:t>
      </w:r>
    </w:p>
    <w:p w14:paraId="1058D9CB" w14:textId="77777777" w:rsidR="003D6A63" w:rsidRDefault="00000000">
      <w:pPr>
        <w:adjustRightInd w:val="0"/>
        <w:snapToGrid w:val="0"/>
        <w:spacing w:line="360" w:lineRule="auto"/>
        <w:ind w:firstLineChars="100" w:firstLine="240"/>
        <w:rPr>
          <w:sz w:val="24"/>
        </w:rPr>
      </w:pPr>
      <w:r>
        <w:rPr>
          <w:sz w:val="24"/>
        </w:rPr>
        <w:t>（</w:t>
      </w:r>
      <w:r>
        <w:rPr>
          <w:sz w:val="24"/>
        </w:rPr>
        <w:t>3</w:t>
      </w:r>
      <w:r>
        <w:rPr>
          <w:sz w:val="24"/>
        </w:rPr>
        <w:t>）注水井</w:t>
      </w:r>
    </w:p>
    <w:p w14:paraId="3BA80455" w14:textId="77777777" w:rsidR="003D6A63" w:rsidRDefault="00000000">
      <w:pPr>
        <w:adjustRightInd w:val="0"/>
        <w:snapToGrid w:val="0"/>
        <w:spacing w:line="360" w:lineRule="auto"/>
        <w:ind w:firstLineChars="200" w:firstLine="480"/>
        <w:rPr>
          <w:sz w:val="24"/>
        </w:rPr>
      </w:pPr>
      <w:r>
        <w:rPr>
          <w:rFonts w:hint="eastAsia"/>
          <w:sz w:val="24"/>
        </w:rPr>
        <w:t>注水井是</w:t>
      </w:r>
      <w:r>
        <w:rPr>
          <w:sz w:val="24"/>
        </w:rPr>
        <w:t>注入水从地面进入地层的通道，井口装置与自喷井相似；不同点是无清蜡闸门，不装油嘴，同时承高压。除井口装置外，注水井内还根据注水要求下有相应的注水管柱。</w:t>
      </w:r>
    </w:p>
    <w:p w14:paraId="37BB0493" w14:textId="77777777" w:rsidR="003D6A63" w:rsidRDefault="00000000">
      <w:pPr>
        <w:adjustRightInd w:val="0"/>
        <w:snapToGrid w:val="0"/>
        <w:spacing w:line="360" w:lineRule="auto"/>
        <w:ind w:firstLineChars="100" w:firstLine="240"/>
        <w:rPr>
          <w:sz w:val="24"/>
        </w:rPr>
      </w:pPr>
      <w:r>
        <w:rPr>
          <w:sz w:val="24"/>
        </w:rPr>
        <w:t>（</w:t>
      </w:r>
      <w:r>
        <w:rPr>
          <w:sz w:val="24"/>
        </w:rPr>
        <w:t>4</w:t>
      </w:r>
      <w:r>
        <w:rPr>
          <w:sz w:val="24"/>
        </w:rPr>
        <w:t>）注水管道</w:t>
      </w:r>
    </w:p>
    <w:p w14:paraId="1CAB511F" w14:textId="77777777" w:rsidR="003D6A63" w:rsidRDefault="00000000">
      <w:pPr>
        <w:adjustRightInd w:val="0"/>
        <w:snapToGrid w:val="0"/>
        <w:spacing w:line="360" w:lineRule="auto"/>
        <w:ind w:firstLineChars="200" w:firstLine="480"/>
        <w:rPr>
          <w:sz w:val="24"/>
        </w:rPr>
      </w:pPr>
      <w:r>
        <w:rPr>
          <w:sz w:val="24"/>
        </w:rPr>
        <w:t>注水管道有无缝钢管和玻璃钢管</w:t>
      </w:r>
      <w:r>
        <w:rPr>
          <w:rFonts w:hint="eastAsia"/>
          <w:sz w:val="24"/>
        </w:rPr>
        <w:t>两种</w:t>
      </w:r>
      <w:r>
        <w:rPr>
          <w:sz w:val="24"/>
        </w:rPr>
        <w:t>。管网以枝状为主。</w:t>
      </w:r>
      <w:r>
        <w:rPr>
          <w:rFonts w:hint="eastAsia"/>
          <w:sz w:val="24"/>
        </w:rPr>
        <w:t>注水管线参数见表</w:t>
      </w:r>
      <w:r>
        <w:rPr>
          <w:rFonts w:hint="eastAsia"/>
          <w:sz w:val="24"/>
        </w:rPr>
        <w:t>2.3-2</w:t>
      </w:r>
      <w:r>
        <w:rPr>
          <w:rFonts w:hint="eastAsia"/>
          <w:sz w:val="24"/>
        </w:rPr>
        <w:t>。</w:t>
      </w:r>
    </w:p>
    <w:p w14:paraId="7353E44E" w14:textId="77777777" w:rsidR="003D6A63" w:rsidRDefault="00000000">
      <w:pPr>
        <w:pStyle w:val="nlw1"/>
        <w:adjustRightInd w:val="0"/>
        <w:snapToGrid w:val="0"/>
        <w:spacing w:line="360" w:lineRule="auto"/>
        <w:ind w:firstLineChars="0" w:firstLine="0"/>
        <w:jc w:val="center"/>
        <w:rPr>
          <w:rFonts w:ascii="Times New Roman" w:eastAsia="黑体" w:hAnsi="Times New Roman"/>
          <w:sz w:val="21"/>
          <w:szCs w:val="21"/>
          <w:lang w:val="en-US"/>
        </w:rPr>
      </w:pPr>
      <w:r>
        <w:rPr>
          <w:rFonts w:ascii="Times New Roman" w:eastAsia="黑体" w:hAnsi="Times New Roman" w:hint="eastAsia"/>
          <w:sz w:val="21"/>
          <w:szCs w:val="21"/>
          <w:lang w:val="en-US"/>
        </w:rPr>
        <w:t>表</w:t>
      </w:r>
      <w:r>
        <w:rPr>
          <w:rFonts w:ascii="Times New Roman" w:eastAsia="黑体" w:hAnsi="Times New Roman" w:hint="eastAsia"/>
          <w:sz w:val="21"/>
          <w:szCs w:val="21"/>
          <w:lang w:val="en-US"/>
        </w:rPr>
        <w:t xml:space="preserve">2.3-2 </w:t>
      </w:r>
      <w:r>
        <w:rPr>
          <w:rFonts w:ascii="Times New Roman" w:eastAsia="黑体" w:hAnsi="Times New Roman" w:hint="eastAsia"/>
          <w:sz w:val="21"/>
          <w:szCs w:val="21"/>
          <w:lang w:val="en-US"/>
        </w:rPr>
        <w:t>中胜公司注水管线台账</w:t>
      </w:r>
    </w:p>
    <w:tbl>
      <w:tblPr>
        <w:tblW w:w="4996"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857"/>
        <w:gridCol w:w="3947"/>
        <w:gridCol w:w="990"/>
        <w:gridCol w:w="1043"/>
        <w:gridCol w:w="989"/>
        <w:gridCol w:w="1455"/>
      </w:tblGrid>
      <w:tr w:rsidR="003D6A63" w14:paraId="05BDAEB9" w14:textId="77777777">
        <w:trPr>
          <w:trHeight w:val="340"/>
          <w:tblHeader/>
        </w:trPr>
        <w:tc>
          <w:tcPr>
            <w:tcW w:w="461" w:type="pct"/>
            <w:tcBorders>
              <w:tl2br w:val="nil"/>
              <w:tr2bl w:val="nil"/>
            </w:tcBorders>
            <w:shd w:val="clear" w:color="auto" w:fill="auto"/>
            <w:vAlign w:val="center"/>
          </w:tcPr>
          <w:p w14:paraId="746A8090" w14:textId="77777777" w:rsidR="003D6A63" w:rsidRDefault="00000000">
            <w:pPr>
              <w:widowControl/>
              <w:jc w:val="center"/>
              <w:textAlignment w:val="bottom"/>
              <w:rPr>
                <w:b/>
                <w:bCs/>
                <w:color w:val="000000"/>
                <w:szCs w:val="21"/>
              </w:rPr>
            </w:pPr>
            <w:r>
              <w:rPr>
                <w:b/>
                <w:bCs/>
                <w:color w:val="000000"/>
                <w:szCs w:val="21"/>
              </w:rPr>
              <w:t>开发区</w:t>
            </w:r>
          </w:p>
        </w:tc>
        <w:tc>
          <w:tcPr>
            <w:tcW w:w="2124" w:type="pct"/>
            <w:tcBorders>
              <w:tl2br w:val="nil"/>
              <w:tr2bl w:val="nil"/>
            </w:tcBorders>
            <w:shd w:val="clear" w:color="auto" w:fill="auto"/>
            <w:vAlign w:val="center"/>
          </w:tcPr>
          <w:p w14:paraId="34D31ACF" w14:textId="77777777" w:rsidR="003D6A63" w:rsidRDefault="00000000">
            <w:pPr>
              <w:widowControl/>
              <w:jc w:val="center"/>
              <w:textAlignment w:val="bottom"/>
              <w:rPr>
                <w:b/>
                <w:bCs/>
                <w:color w:val="000000"/>
                <w:szCs w:val="21"/>
              </w:rPr>
            </w:pPr>
            <w:r>
              <w:rPr>
                <w:b/>
                <w:bCs/>
                <w:color w:val="000000"/>
                <w:szCs w:val="21"/>
              </w:rPr>
              <w:t>管线名称</w:t>
            </w:r>
          </w:p>
        </w:tc>
        <w:tc>
          <w:tcPr>
            <w:tcW w:w="533" w:type="pct"/>
            <w:tcBorders>
              <w:tl2br w:val="nil"/>
              <w:tr2bl w:val="nil"/>
            </w:tcBorders>
            <w:shd w:val="clear" w:color="auto" w:fill="auto"/>
            <w:vAlign w:val="center"/>
          </w:tcPr>
          <w:p w14:paraId="21B852D7" w14:textId="77777777" w:rsidR="003D6A63" w:rsidRDefault="00000000">
            <w:pPr>
              <w:widowControl/>
              <w:jc w:val="center"/>
              <w:textAlignment w:val="bottom"/>
              <w:rPr>
                <w:b/>
                <w:bCs/>
                <w:color w:val="000000"/>
                <w:szCs w:val="21"/>
              </w:rPr>
            </w:pPr>
            <w:r>
              <w:rPr>
                <w:b/>
                <w:bCs/>
                <w:color w:val="000000"/>
                <w:szCs w:val="21"/>
              </w:rPr>
              <w:t>长度</w:t>
            </w:r>
            <w:r>
              <w:rPr>
                <w:b/>
                <w:bCs/>
                <w:color w:val="000000"/>
                <w:szCs w:val="21"/>
              </w:rPr>
              <w:t>m</w:t>
            </w:r>
          </w:p>
        </w:tc>
        <w:tc>
          <w:tcPr>
            <w:tcW w:w="562" w:type="pct"/>
            <w:tcBorders>
              <w:tl2br w:val="nil"/>
              <w:tr2bl w:val="nil"/>
            </w:tcBorders>
            <w:shd w:val="clear" w:color="auto" w:fill="auto"/>
            <w:vAlign w:val="center"/>
          </w:tcPr>
          <w:p w14:paraId="374EBB34" w14:textId="77777777" w:rsidR="003D6A63" w:rsidRDefault="00000000">
            <w:pPr>
              <w:widowControl/>
              <w:jc w:val="center"/>
              <w:textAlignment w:val="bottom"/>
              <w:rPr>
                <w:b/>
                <w:bCs/>
                <w:color w:val="000000"/>
                <w:szCs w:val="21"/>
              </w:rPr>
            </w:pPr>
            <w:r>
              <w:rPr>
                <w:b/>
                <w:bCs/>
                <w:color w:val="000000"/>
                <w:szCs w:val="21"/>
              </w:rPr>
              <w:t>外径</w:t>
            </w:r>
            <w:r>
              <w:rPr>
                <w:b/>
                <w:bCs/>
                <w:color w:val="000000"/>
                <w:szCs w:val="21"/>
              </w:rPr>
              <w:t>mm</w:t>
            </w:r>
          </w:p>
        </w:tc>
        <w:tc>
          <w:tcPr>
            <w:tcW w:w="533" w:type="pct"/>
            <w:tcBorders>
              <w:tl2br w:val="nil"/>
              <w:tr2bl w:val="nil"/>
            </w:tcBorders>
            <w:shd w:val="clear" w:color="auto" w:fill="auto"/>
            <w:vAlign w:val="center"/>
          </w:tcPr>
          <w:p w14:paraId="62707D19" w14:textId="77777777" w:rsidR="003D6A63" w:rsidRDefault="00000000">
            <w:pPr>
              <w:widowControl/>
              <w:jc w:val="center"/>
              <w:textAlignment w:val="bottom"/>
              <w:rPr>
                <w:b/>
                <w:bCs/>
                <w:color w:val="000000"/>
                <w:szCs w:val="21"/>
              </w:rPr>
            </w:pPr>
            <w:r>
              <w:rPr>
                <w:b/>
                <w:bCs/>
                <w:color w:val="000000"/>
                <w:szCs w:val="21"/>
              </w:rPr>
              <w:t>壁厚</w:t>
            </w:r>
            <w:r>
              <w:rPr>
                <w:b/>
                <w:bCs/>
                <w:color w:val="000000"/>
                <w:szCs w:val="21"/>
              </w:rPr>
              <w:t>mm</w:t>
            </w:r>
          </w:p>
        </w:tc>
        <w:tc>
          <w:tcPr>
            <w:tcW w:w="783" w:type="pct"/>
            <w:tcBorders>
              <w:tl2br w:val="nil"/>
              <w:tr2bl w:val="nil"/>
            </w:tcBorders>
            <w:shd w:val="clear" w:color="auto" w:fill="auto"/>
            <w:vAlign w:val="center"/>
          </w:tcPr>
          <w:p w14:paraId="107C25AA" w14:textId="77777777" w:rsidR="003D6A63" w:rsidRDefault="00000000">
            <w:pPr>
              <w:widowControl/>
              <w:jc w:val="center"/>
              <w:textAlignment w:val="bottom"/>
              <w:rPr>
                <w:b/>
                <w:bCs/>
                <w:color w:val="000000"/>
                <w:szCs w:val="21"/>
              </w:rPr>
            </w:pPr>
            <w:r>
              <w:rPr>
                <w:b/>
                <w:bCs/>
                <w:color w:val="000000"/>
                <w:szCs w:val="21"/>
              </w:rPr>
              <w:t>管线材质</w:t>
            </w:r>
          </w:p>
        </w:tc>
      </w:tr>
      <w:tr w:rsidR="003D6A63" w14:paraId="3E82438D" w14:textId="77777777">
        <w:trPr>
          <w:trHeight w:val="340"/>
        </w:trPr>
        <w:tc>
          <w:tcPr>
            <w:tcW w:w="461" w:type="pct"/>
            <w:vMerge w:val="restart"/>
            <w:tcBorders>
              <w:tl2br w:val="nil"/>
              <w:tr2bl w:val="nil"/>
            </w:tcBorders>
            <w:shd w:val="clear" w:color="auto" w:fill="auto"/>
            <w:vAlign w:val="center"/>
          </w:tcPr>
          <w:p w14:paraId="58E49904" w14:textId="77777777" w:rsidR="003D6A63" w:rsidRDefault="00000000">
            <w:pPr>
              <w:widowControl/>
              <w:jc w:val="center"/>
              <w:textAlignment w:val="bottom"/>
              <w:rPr>
                <w:color w:val="000000"/>
                <w:szCs w:val="21"/>
              </w:rPr>
            </w:pPr>
            <w:r>
              <w:rPr>
                <w:color w:val="000000"/>
                <w:szCs w:val="21"/>
              </w:rPr>
              <w:t>滨南</w:t>
            </w:r>
          </w:p>
          <w:p w14:paraId="54CF15EE" w14:textId="77777777" w:rsidR="003D6A63" w:rsidRDefault="00000000">
            <w:pPr>
              <w:widowControl/>
              <w:jc w:val="center"/>
              <w:textAlignment w:val="bottom"/>
              <w:rPr>
                <w:color w:val="000000"/>
                <w:szCs w:val="21"/>
              </w:rPr>
            </w:pPr>
            <w:r>
              <w:rPr>
                <w:color w:val="000000"/>
                <w:szCs w:val="21"/>
              </w:rPr>
              <w:t>开发区</w:t>
            </w:r>
          </w:p>
        </w:tc>
        <w:tc>
          <w:tcPr>
            <w:tcW w:w="2124" w:type="pct"/>
            <w:tcBorders>
              <w:tl2br w:val="nil"/>
              <w:tr2bl w:val="nil"/>
            </w:tcBorders>
            <w:shd w:val="clear" w:color="auto" w:fill="auto"/>
            <w:vAlign w:val="center"/>
          </w:tcPr>
          <w:p w14:paraId="27891F62" w14:textId="77777777" w:rsidR="003D6A63" w:rsidRDefault="00000000">
            <w:pPr>
              <w:widowControl/>
              <w:jc w:val="center"/>
              <w:textAlignment w:val="bottom"/>
              <w:rPr>
                <w:color w:val="000000"/>
                <w:szCs w:val="21"/>
              </w:rPr>
            </w:pPr>
            <w:r>
              <w:rPr>
                <w:color w:val="000000"/>
                <w:szCs w:val="21"/>
              </w:rPr>
              <w:t>林一注至林东</w:t>
            </w:r>
            <w:r>
              <w:rPr>
                <w:color w:val="000000"/>
                <w:szCs w:val="21"/>
              </w:rPr>
              <w:t>15</w:t>
            </w:r>
            <w:r>
              <w:rPr>
                <w:color w:val="000000"/>
                <w:szCs w:val="21"/>
              </w:rPr>
              <w:t>号站注水干线</w:t>
            </w:r>
          </w:p>
        </w:tc>
        <w:tc>
          <w:tcPr>
            <w:tcW w:w="533" w:type="pct"/>
            <w:tcBorders>
              <w:tl2br w:val="nil"/>
              <w:tr2bl w:val="nil"/>
            </w:tcBorders>
            <w:shd w:val="clear" w:color="auto" w:fill="auto"/>
            <w:vAlign w:val="center"/>
          </w:tcPr>
          <w:p w14:paraId="5285B6DC" w14:textId="77777777" w:rsidR="003D6A63" w:rsidRDefault="00000000">
            <w:pPr>
              <w:widowControl/>
              <w:jc w:val="center"/>
              <w:textAlignment w:val="bottom"/>
              <w:rPr>
                <w:color w:val="000000"/>
                <w:szCs w:val="21"/>
              </w:rPr>
            </w:pPr>
            <w:r>
              <w:rPr>
                <w:color w:val="000000"/>
                <w:szCs w:val="21"/>
              </w:rPr>
              <w:t>700</w:t>
            </w:r>
          </w:p>
        </w:tc>
        <w:tc>
          <w:tcPr>
            <w:tcW w:w="562" w:type="pct"/>
            <w:tcBorders>
              <w:tl2br w:val="nil"/>
              <w:tr2bl w:val="nil"/>
            </w:tcBorders>
            <w:shd w:val="clear" w:color="auto" w:fill="auto"/>
            <w:vAlign w:val="center"/>
          </w:tcPr>
          <w:p w14:paraId="6EC501F7" w14:textId="77777777" w:rsidR="003D6A63" w:rsidRDefault="00000000">
            <w:pPr>
              <w:widowControl/>
              <w:jc w:val="center"/>
              <w:textAlignment w:val="bottom"/>
              <w:rPr>
                <w:color w:val="000000"/>
                <w:szCs w:val="21"/>
              </w:rPr>
            </w:pPr>
            <w:r>
              <w:rPr>
                <w:color w:val="000000"/>
                <w:szCs w:val="21"/>
              </w:rPr>
              <w:t>114</w:t>
            </w:r>
          </w:p>
        </w:tc>
        <w:tc>
          <w:tcPr>
            <w:tcW w:w="533" w:type="pct"/>
            <w:tcBorders>
              <w:tl2br w:val="nil"/>
              <w:tr2bl w:val="nil"/>
            </w:tcBorders>
            <w:shd w:val="clear" w:color="auto" w:fill="auto"/>
            <w:vAlign w:val="center"/>
          </w:tcPr>
          <w:p w14:paraId="16E95E17" w14:textId="77777777" w:rsidR="003D6A63" w:rsidRDefault="00000000">
            <w:pPr>
              <w:widowControl/>
              <w:jc w:val="center"/>
              <w:textAlignment w:val="bottom"/>
              <w:rPr>
                <w:color w:val="000000"/>
                <w:szCs w:val="21"/>
              </w:rPr>
            </w:pPr>
            <w:r>
              <w:rPr>
                <w:color w:val="000000"/>
                <w:szCs w:val="21"/>
              </w:rPr>
              <w:t>10</w:t>
            </w:r>
          </w:p>
        </w:tc>
        <w:tc>
          <w:tcPr>
            <w:tcW w:w="783" w:type="pct"/>
            <w:tcBorders>
              <w:tl2br w:val="nil"/>
              <w:tr2bl w:val="nil"/>
            </w:tcBorders>
            <w:shd w:val="clear" w:color="auto" w:fill="auto"/>
            <w:vAlign w:val="center"/>
          </w:tcPr>
          <w:p w14:paraId="11CB477D" w14:textId="77777777" w:rsidR="003D6A63" w:rsidRDefault="00000000">
            <w:pPr>
              <w:widowControl/>
              <w:jc w:val="center"/>
              <w:textAlignment w:val="bottom"/>
              <w:rPr>
                <w:color w:val="000000"/>
                <w:szCs w:val="21"/>
              </w:rPr>
            </w:pPr>
            <w:r>
              <w:rPr>
                <w:color w:val="000000"/>
                <w:szCs w:val="21"/>
              </w:rPr>
              <w:t>金属</w:t>
            </w:r>
          </w:p>
        </w:tc>
      </w:tr>
      <w:tr w:rsidR="003D6A63" w14:paraId="49E21D1B" w14:textId="77777777">
        <w:trPr>
          <w:trHeight w:val="340"/>
        </w:trPr>
        <w:tc>
          <w:tcPr>
            <w:tcW w:w="461" w:type="pct"/>
            <w:vMerge/>
            <w:tcBorders>
              <w:tl2br w:val="nil"/>
              <w:tr2bl w:val="nil"/>
            </w:tcBorders>
            <w:shd w:val="clear" w:color="auto" w:fill="auto"/>
            <w:vAlign w:val="center"/>
          </w:tcPr>
          <w:p w14:paraId="26665A75" w14:textId="77777777" w:rsidR="003D6A63" w:rsidRDefault="003D6A63">
            <w:pPr>
              <w:widowControl/>
              <w:jc w:val="center"/>
              <w:textAlignment w:val="bottom"/>
              <w:rPr>
                <w:color w:val="000000"/>
                <w:szCs w:val="21"/>
              </w:rPr>
            </w:pPr>
          </w:p>
        </w:tc>
        <w:tc>
          <w:tcPr>
            <w:tcW w:w="2124" w:type="pct"/>
            <w:tcBorders>
              <w:tl2br w:val="nil"/>
              <w:tr2bl w:val="nil"/>
            </w:tcBorders>
            <w:shd w:val="clear" w:color="auto" w:fill="auto"/>
            <w:vAlign w:val="center"/>
          </w:tcPr>
          <w:p w14:paraId="3FA8F300" w14:textId="77777777" w:rsidR="003D6A63" w:rsidRDefault="00000000">
            <w:pPr>
              <w:widowControl/>
              <w:jc w:val="center"/>
              <w:textAlignment w:val="bottom"/>
              <w:rPr>
                <w:color w:val="000000"/>
                <w:szCs w:val="21"/>
              </w:rPr>
            </w:pPr>
            <w:r>
              <w:rPr>
                <w:color w:val="000000"/>
                <w:szCs w:val="21"/>
              </w:rPr>
              <w:t>林东</w:t>
            </w:r>
            <w:r>
              <w:rPr>
                <w:color w:val="000000"/>
                <w:szCs w:val="21"/>
              </w:rPr>
              <w:t>15</w:t>
            </w:r>
            <w:r>
              <w:rPr>
                <w:color w:val="000000"/>
                <w:szCs w:val="21"/>
              </w:rPr>
              <w:t>号站至林东</w:t>
            </w:r>
            <w:r>
              <w:rPr>
                <w:color w:val="000000"/>
                <w:szCs w:val="21"/>
              </w:rPr>
              <w:t>16</w:t>
            </w:r>
            <w:r>
              <w:rPr>
                <w:color w:val="000000"/>
                <w:szCs w:val="21"/>
              </w:rPr>
              <w:t>号站注水干线</w:t>
            </w:r>
          </w:p>
        </w:tc>
        <w:tc>
          <w:tcPr>
            <w:tcW w:w="533" w:type="pct"/>
            <w:tcBorders>
              <w:tl2br w:val="nil"/>
              <w:tr2bl w:val="nil"/>
            </w:tcBorders>
            <w:shd w:val="clear" w:color="auto" w:fill="auto"/>
            <w:vAlign w:val="center"/>
          </w:tcPr>
          <w:p w14:paraId="4F7F1F31" w14:textId="77777777" w:rsidR="003D6A63" w:rsidRDefault="00000000">
            <w:pPr>
              <w:widowControl/>
              <w:jc w:val="center"/>
              <w:textAlignment w:val="bottom"/>
              <w:rPr>
                <w:color w:val="000000"/>
                <w:szCs w:val="21"/>
              </w:rPr>
            </w:pPr>
            <w:r>
              <w:rPr>
                <w:color w:val="000000"/>
                <w:szCs w:val="21"/>
              </w:rPr>
              <w:t>1230</w:t>
            </w:r>
          </w:p>
        </w:tc>
        <w:tc>
          <w:tcPr>
            <w:tcW w:w="562" w:type="pct"/>
            <w:tcBorders>
              <w:tl2br w:val="nil"/>
              <w:tr2bl w:val="nil"/>
            </w:tcBorders>
            <w:shd w:val="clear" w:color="auto" w:fill="auto"/>
            <w:vAlign w:val="center"/>
          </w:tcPr>
          <w:p w14:paraId="5ADC6C9F" w14:textId="77777777" w:rsidR="003D6A63" w:rsidRDefault="00000000">
            <w:pPr>
              <w:widowControl/>
              <w:jc w:val="center"/>
              <w:textAlignment w:val="bottom"/>
              <w:rPr>
                <w:color w:val="000000"/>
                <w:szCs w:val="21"/>
              </w:rPr>
            </w:pPr>
            <w:r>
              <w:rPr>
                <w:color w:val="000000"/>
                <w:szCs w:val="21"/>
              </w:rPr>
              <w:t>114</w:t>
            </w:r>
          </w:p>
        </w:tc>
        <w:tc>
          <w:tcPr>
            <w:tcW w:w="533" w:type="pct"/>
            <w:tcBorders>
              <w:tl2br w:val="nil"/>
              <w:tr2bl w:val="nil"/>
            </w:tcBorders>
            <w:shd w:val="clear" w:color="auto" w:fill="auto"/>
            <w:vAlign w:val="center"/>
          </w:tcPr>
          <w:p w14:paraId="553FF716" w14:textId="77777777" w:rsidR="003D6A63" w:rsidRDefault="00000000">
            <w:pPr>
              <w:widowControl/>
              <w:jc w:val="center"/>
              <w:textAlignment w:val="bottom"/>
              <w:rPr>
                <w:color w:val="000000"/>
                <w:szCs w:val="21"/>
              </w:rPr>
            </w:pPr>
            <w:r>
              <w:rPr>
                <w:color w:val="000000"/>
                <w:szCs w:val="21"/>
              </w:rPr>
              <w:t>10</w:t>
            </w:r>
          </w:p>
        </w:tc>
        <w:tc>
          <w:tcPr>
            <w:tcW w:w="783" w:type="pct"/>
            <w:tcBorders>
              <w:tl2br w:val="nil"/>
              <w:tr2bl w:val="nil"/>
            </w:tcBorders>
            <w:shd w:val="clear" w:color="auto" w:fill="auto"/>
            <w:vAlign w:val="center"/>
          </w:tcPr>
          <w:p w14:paraId="11F6F357" w14:textId="77777777" w:rsidR="003D6A63" w:rsidRDefault="00000000">
            <w:pPr>
              <w:widowControl/>
              <w:jc w:val="center"/>
              <w:textAlignment w:val="bottom"/>
              <w:rPr>
                <w:color w:val="000000"/>
                <w:szCs w:val="21"/>
              </w:rPr>
            </w:pPr>
            <w:r>
              <w:rPr>
                <w:color w:val="000000"/>
                <w:szCs w:val="21"/>
              </w:rPr>
              <w:t>金属</w:t>
            </w:r>
          </w:p>
        </w:tc>
      </w:tr>
      <w:tr w:rsidR="003D6A63" w14:paraId="24847AD4" w14:textId="77777777">
        <w:trPr>
          <w:trHeight w:val="340"/>
        </w:trPr>
        <w:tc>
          <w:tcPr>
            <w:tcW w:w="461" w:type="pct"/>
            <w:vMerge/>
            <w:tcBorders>
              <w:tl2br w:val="nil"/>
              <w:tr2bl w:val="nil"/>
            </w:tcBorders>
            <w:shd w:val="clear" w:color="auto" w:fill="auto"/>
            <w:vAlign w:val="center"/>
          </w:tcPr>
          <w:p w14:paraId="0283801C" w14:textId="77777777" w:rsidR="003D6A63" w:rsidRDefault="003D6A63">
            <w:pPr>
              <w:widowControl/>
              <w:jc w:val="center"/>
              <w:textAlignment w:val="bottom"/>
              <w:rPr>
                <w:color w:val="000000"/>
                <w:szCs w:val="21"/>
              </w:rPr>
            </w:pPr>
          </w:p>
        </w:tc>
        <w:tc>
          <w:tcPr>
            <w:tcW w:w="2124" w:type="pct"/>
            <w:tcBorders>
              <w:tl2br w:val="nil"/>
              <w:tr2bl w:val="nil"/>
            </w:tcBorders>
            <w:shd w:val="clear" w:color="auto" w:fill="auto"/>
            <w:vAlign w:val="center"/>
          </w:tcPr>
          <w:p w14:paraId="09D669D9" w14:textId="77777777" w:rsidR="003D6A63" w:rsidRDefault="00000000">
            <w:pPr>
              <w:widowControl/>
              <w:jc w:val="center"/>
              <w:textAlignment w:val="bottom"/>
              <w:rPr>
                <w:color w:val="000000"/>
                <w:szCs w:val="21"/>
              </w:rPr>
            </w:pPr>
            <w:r>
              <w:rPr>
                <w:color w:val="000000"/>
                <w:szCs w:val="21"/>
              </w:rPr>
              <w:t>林东</w:t>
            </w:r>
            <w:r>
              <w:rPr>
                <w:color w:val="000000"/>
                <w:szCs w:val="21"/>
              </w:rPr>
              <w:t>15</w:t>
            </w:r>
            <w:r>
              <w:rPr>
                <w:color w:val="000000"/>
                <w:szCs w:val="21"/>
              </w:rPr>
              <w:t>号站至林东</w:t>
            </w:r>
            <w:r>
              <w:rPr>
                <w:color w:val="000000"/>
                <w:szCs w:val="21"/>
              </w:rPr>
              <w:t>11</w:t>
            </w:r>
            <w:r>
              <w:rPr>
                <w:color w:val="000000"/>
                <w:szCs w:val="21"/>
              </w:rPr>
              <w:t>号站注水干线</w:t>
            </w:r>
          </w:p>
        </w:tc>
        <w:tc>
          <w:tcPr>
            <w:tcW w:w="533" w:type="pct"/>
            <w:tcBorders>
              <w:tl2br w:val="nil"/>
              <w:tr2bl w:val="nil"/>
            </w:tcBorders>
            <w:shd w:val="clear" w:color="auto" w:fill="auto"/>
            <w:vAlign w:val="center"/>
          </w:tcPr>
          <w:p w14:paraId="01A75BBE" w14:textId="77777777" w:rsidR="003D6A63" w:rsidRDefault="00000000">
            <w:pPr>
              <w:widowControl/>
              <w:jc w:val="center"/>
              <w:textAlignment w:val="bottom"/>
              <w:rPr>
                <w:color w:val="000000"/>
                <w:szCs w:val="21"/>
              </w:rPr>
            </w:pPr>
            <w:r>
              <w:rPr>
                <w:color w:val="000000"/>
                <w:szCs w:val="21"/>
              </w:rPr>
              <w:t>1300</w:t>
            </w:r>
          </w:p>
        </w:tc>
        <w:tc>
          <w:tcPr>
            <w:tcW w:w="562" w:type="pct"/>
            <w:tcBorders>
              <w:tl2br w:val="nil"/>
              <w:tr2bl w:val="nil"/>
            </w:tcBorders>
            <w:shd w:val="clear" w:color="auto" w:fill="auto"/>
            <w:vAlign w:val="center"/>
          </w:tcPr>
          <w:p w14:paraId="0C772B16" w14:textId="77777777" w:rsidR="003D6A63" w:rsidRDefault="00000000">
            <w:pPr>
              <w:widowControl/>
              <w:jc w:val="center"/>
              <w:textAlignment w:val="bottom"/>
              <w:rPr>
                <w:color w:val="000000"/>
                <w:szCs w:val="21"/>
              </w:rPr>
            </w:pPr>
            <w:r>
              <w:rPr>
                <w:color w:val="000000"/>
                <w:szCs w:val="21"/>
              </w:rPr>
              <w:t>DN100</w:t>
            </w:r>
          </w:p>
        </w:tc>
        <w:tc>
          <w:tcPr>
            <w:tcW w:w="533" w:type="pct"/>
            <w:tcBorders>
              <w:tl2br w:val="nil"/>
              <w:tr2bl w:val="nil"/>
            </w:tcBorders>
            <w:shd w:val="clear" w:color="auto" w:fill="auto"/>
            <w:vAlign w:val="center"/>
          </w:tcPr>
          <w:p w14:paraId="52BC8F83" w14:textId="77777777" w:rsidR="003D6A63" w:rsidRDefault="00000000">
            <w:pPr>
              <w:widowControl/>
              <w:jc w:val="center"/>
              <w:textAlignment w:val="bottom"/>
              <w:rPr>
                <w:color w:val="000000"/>
                <w:szCs w:val="21"/>
              </w:rPr>
            </w:pPr>
            <w:r>
              <w:rPr>
                <w:color w:val="000000"/>
                <w:szCs w:val="21"/>
              </w:rPr>
              <w:t>/</w:t>
            </w:r>
          </w:p>
        </w:tc>
        <w:tc>
          <w:tcPr>
            <w:tcW w:w="783" w:type="pct"/>
            <w:tcBorders>
              <w:tl2br w:val="nil"/>
              <w:tr2bl w:val="nil"/>
            </w:tcBorders>
            <w:shd w:val="clear" w:color="auto" w:fill="auto"/>
            <w:vAlign w:val="center"/>
          </w:tcPr>
          <w:p w14:paraId="26DA6C96" w14:textId="77777777" w:rsidR="003D6A63" w:rsidRDefault="00000000">
            <w:pPr>
              <w:widowControl/>
              <w:jc w:val="center"/>
              <w:textAlignment w:val="bottom"/>
              <w:rPr>
                <w:color w:val="000000"/>
                <w:szCs w:val="21"/>
              </w:rPr>
            </w:pPr>
            <w:r>
              <w:rPr>
                <w:color w:val="000000"/>
                <w:szCs w:val="21"/>
              </w:rPr>
              <w:t>非金属</w:t>
            </w:r>
          </w:p>
        </w:tc>
      </w:tr>
      <w:tr w:rsidR="003D6A63" w14:paraId="62476272" w14:textId="77777777">
        <w:trPr>
          <w:trHeight w:val="340"/>
        </w:trPr>
        <w:tc>
          <w:tcPr>
            <w:tcW w:w="461" w:type="pct"/>
            <w:vMerge/>
            <w:tcBorders>
              <w:tl2br w:val="nil"/>
              <w:tr2bl w:val="nil"/>
            </w:tcBorders>
            <w:shd w:val="clear" w:color="auto" w:fill="auto"/>
            <w:vAlign w:val="center"/>
          </w:tcPr>
          <w:p w14:paraId="0968E3AC" w14:textId="77777777" w:rsidR="003D6A63" w:rsidRDefault="003D6A63">
            <w:pPr>
              <w:widowControl/>
              <w:jc w:val="center"/>
              <w:textAlignment w:val="bottom"/>
              <w:rPr>
                <w:color w:val="000000"/>
                <w:szCs w:val="21"/>
              </w:rPr>
            </w:pPr>
          </w:p>
        </w:tc>
        <w:tc>
          <w:tcPr>
            <w:tcW w:w="2124" w:type="pct"/>
            <w:tcBorders>
              <w:tl2br w:val="nil"/>
              <w:tr2bl w:val="nil"/>
            </w:tcBorders>
            <w:shd w:val="clear" w:color="auto" w:fill="auto"/>
            <w:vAlign w:val="center"/>
          </w:tcPr>
          <w:p w14:paraId="17F2E9FF" w14:textId="77777777" w:rsidR="003D6A63" w:rsidRDefault="00000000">
            <w:pPr>
              <w:widowControl/>
              <w:jc w:val="center"/>
              <w:textAlignment w:val="bottom"/>
              <w:rPr>
                <w:color w:val="000000"/>
                <w:szCs w:val="21"/>
              </w:rPr>
            </w:pPr>
            <w:r>
              <w:rPr>
                <w:color w:val="000000"/>
                <w:szCs w:val="21"/>
              </w:rPr>
              <w:t>林东</w:t>
            </w:r>
            <w:r>
              <w:rPr>
                <w:color w:val="000000"/>
                <w:szCs w:val="21"/>
              </w:rPr>
              <w:t>11</w:t>
            </w:r>
            <w:r>
              <w:rPr>
                <w:color w:val="000000"/>
                <w:szCs w:val="21"/>
              </w:rPr>
              <w:t>号站至林东</w:t>
            </w:r>
            <w:r>
              <w:rPr>
                <w:color w:val="000000"/>
                <w:szCs w:val="21"/>
              </w:rPr>
              <w:t>12</w:t>
            </w:r>
            <w:r>
              <w:rPr>
                <w:color w:val="000000"/>
                <w:szCs w:val="21"/>
              </w:rPr>
              <w:t>号站注水干线</w:t>
            </w:r>
          </w:p>
        </w:tc>
        <w:tc>
          <w:tcPr>
            <w:tcW w:w="533" w:type="pct"/>
            <w:tcBorders>
              <w:tl2br w:val="nil"/>
              <w:tr2bl w:val="nil"/>
            </w:tcBorders>
            <w:shd w:val="clear" w:color="auto" w:fill="auto"/>
            <w:vAlign w:val="center"/>
          </w:tcPr>
          <w:p w14:paraId="5D078B11" w14:textId="77777777" w:rsidR="003D6A63" w:rsidRDefault="00000000">
            <w:pPr>
              <w:widowControl/>
              <w:jc w:val="center"/>
              <w:textAlignment w:val="bottom"/>
              <w:rPr>
                <w:color w:val="000000"/>
                <w:szCs w:val="21"/>
              </w:rPr>
            </w:pPr>
            <w:r>
              <w:rPr>
                <w:color w:val="000000"/>
                <w:szCs w:val="21"/>
              </w:rPr>
              <w:t>1200</w:t>
            </w:r>
          </w:p>
        </w:tc>
        <w:tc>
          <w:tcPr>
            <w:tcW w:w="562" w:type="pct"/>
            <w:tcBorders>
              <w:tl2br w:val="nil"/>
              <w:tr2bl w:val="nil"/>
            </w:tcBorders>
            <w:shd w:val="clear" w:color="auto" w:fill="auto"/>
            <w:vAlign w:val="center"/>
          </w:tcPr>
          <w:p w14:paraId="056EE432" w14:textId="77777777" w:rsidR="003D6A63" w:rsidRDefault="00000000">
            <w:pPr>
              <w:widowControl/>
              <w:jc w:val="center"/>
              <w:textAlignment w:val="bottom"/>
              <w:rPr>
                <w:color w:val="000000"/>
                <w:szCs w:val="21"/>
              </w:rPr>
            </w:pPr>
            <w:r>
              <w:rPr>
                <w:color w:val="000000"/>
                <w:szCs w:val="21"/>
              </w:rPr>
              <w:t>DN80</w:t>
            </w:r>
          </w:p>
        </w:tc>
        <w:tc>
          <w:tcPr>
            <w:tcW w:w="533" w:type="pct"/>
            <w:tcBorders>
              <w:tl2br w:val="nil"/>
              <w:tr2bl w:val="nil"/>
            </w:tcBorders>
            <w:shd w:val="clear" w:color="auto" w:fill="auto"/>
            <w:vAlign w:val="center"/>
          </w:tcPr>
          <w:p w14:paraId="0A34FD8D" w14:textId="77777777" w:rsidR="003D6A63" w:rsidRDefault="00000000">
            <w:pPr>
              <w:widowControl/>
              <w:jc w:val="center"/>
              <w:textAlignment w:val="bottom"/>
              <w:rPr>
                <w:color w:val="000000"/>
                <w:szCs w:val="21"/>
              </w:rPr>
            </w:pPr>
            <w:r>
              <w:rPr>
                <w:color w:val="000000"/>
                <w:szCs w:val="21"/>
              </w:rPr>
              <w:t>/</w:t>
            </w:r>
          </w:p>
        </w:tc>
        <w:tc>
          <w:tcPr>
            <w:tcW w:w="783" w:type="pct"/>
            <w:tcBorders>
              <w:tl2br w:val="nil"/>
              <w:tr2bl w:val="nil"/>
            </w:tcBorders>
            <w:shd w:val="clear" w:color="auto" w:fill="auto"/>
            <w:vAlign w:val="center"/>
          </w:tcPr>
          <w:p w14:paraId="2DEFC438" w14:textId="77777777" w:rsidR="003D6A63" w:rsidRDefault="00000000">
            <w:pPr>
              <w:widowControl/>
              <w:jc w:val="center"/>
              <w:textAlignment w:val="bottom"/>
              <w:rPr>
                <w:color w:val="000000"/>
                <w:szCs w:val="21"/>
              </w:rPr>
            </w:pPr>
            <w:r>
              <w:rPr>
                <w:color w:val="000000"/>
                <w:szCs w:val="21"/>
              </w:rPr>
              <w:t>非金属</w:t>
            </w:r>
          </w:p>
        </w:tc>
      </w:tr>
      <w:tr w:rsidR="003D6A63" w14:paraId="01AD327D" w14:textId="77777777">
        <w:trPr>
          <w:trHeight w:val="340"/>
        </w:trPr>
        <w:tc>
          <w:tcPr>
            <w:tcW w:w="461" w:type="pct"/>
            <w:vMerge/>
            <w:tcBorders>
              <w:tl2br w:val="nil"/>
              <w:tr2bl w:val="nil"/>
            </w:tcBorders>
            <w:shd w:val="clear" w:color="auto" w:fill="auto"/>
            <w:vAlign w:val="center"/>
          </w:tcPr>
          <w:p w14:paraId="6798A1E7" w14:textId="77777777" w:rsidR="003D6A63" w:rsidRDefault="003D6A63">
            <w:pPr>
              <w:widowControl/>
              <w:jc w:val="center"/>
              <w:textAlignment w:val="bottom"/>
              <w:rPr>
                <w:color w:val="000000"/>
                <w:szCs w:val="21"/>
              </w:rPr>
            </w:pPr>
          </w:p>
        </w:tc>
        <w:tc>
          <w:tcPr>
            <w:tcW w:w="2124" w:type="pct"/>
            <w:tcBorders>
              <w:tl2br w:val="nil"/>
              <w:tr2bl w:val="nil"/>
            </w:tcBorders>
            <w:shd w:val="clear" w:color="auto" w:fill="auto"/>
            <w:vAlign w:val="center"/>
          </w:tcPr>
          <w:p w14:paraId="658809BC" w14:textId="77777777" w:rsidR="003D6A63" w:rsidRDefault="00000000">
            <w:pPr>
              <w:widowControl/>
              <w:jc w:val="center"/>
              <w:textAlignment w:val="bottom"/>
              <w:rPr>
                <w:color w:val="000000"/>
                <w:szCs w:val="21"/>
              </w:rPr>
            </w:pPr>
            <w:r>
              <w:rPr>
                <w:color w:val="000000"/>
                <w:szCs w:val="21"/>
              </w:rPr>
              <w:t>林东</w:t>
            </w:r>
            <w:r>
              <w:rPr>
                <w:color w:val="000000"/>
                <w:szCs w:val="21"/>
              </w:rPr>
              <w:t>12</w:t>
            </w:r>
            <w:r>
              <w:rPr>
                <w:color w:val="000000"/>
                <w:szCs w:val="21"/>
              </w:rPr>
              <w:t>号站至林东</w:t>
            </w:r>
            <w:r>
              <w:rPr>
                <w:color w:val="000000"/>
                <w:szCs w:val="21"/>
              </w:rPr>
              <w:t>13</w:t>
            </w:r>
            <w:r>
              <w:rPr>
                <w:color w:val="000000"/>
                <w:szCs w:val="21"/>
              </w:rPr>
              <w:t>号站注水干线</w:t>
            </w:r>
          </w:p>
        </w:tc>
        <w:tc>
          <w:tcPr>
            <w:tcW w:w="533" w:type="pct"/>
            <w:tcBorders>
              <w:tl2br w:val="nil"/>
              <w:tr2bl w:val="nil"/>
            </w:tcBorders>
            <w:shd w:val="clear" w:color="auto" w:fill="auto"/>
            <w:vAlign w:val="center"/>
          </w:tcPr>
          <w:p w14:paraId="2EEA63F0" w14:textId="77777777" w:rsidR="003D6A63" w:rsidRDefault="00000000">
            <w:pPr>
              <w:widowControl/>
              <w:jc w:val="center"/>
              <w:textAlignment w:val="bottom"/>
              <w:rPr>
                <w:color w:val="000000"/>
                <w:szCs w:val="21"/>
              </w:rPr>
            </w:pPr>
            <w:r>
              <w:rPr>
                <w:color w:val="000000"/>
                <w:szCs w:val="21"/>
              </w:rPr>
              <w:t>850</w:t>
            </w:r>
          </w:p>
        </w:tc>
        <w:tc>
          <w:tcPr>
            <w:tcW w:w="562" w:type="pct"/>
            <w:tcBorders>
              <w:tl2br w:val="nil"/>
              <w:tr2bl w:val="nil"/>
            </w:tcBorders>
            <w:shd w:val="clear" w:color="auto" w:fill="auto"/>
            <w:vAlign w:val="center"/>
          </w:tcPr>
          <w:p w14:paraId="7108C494" w14:textId="77777777" w:rsidR="003D6A63" w:rsidRDefault="00000000">
            <w:pPr>
              <w:widowControl/>
              <w:jc w:val="center"/>
              <w:textAlignment w:val="bottom"/>
              <w:rPr>
                <w:color w:val="000000"/>
                <w:szCs w:val="21"/>
              </w:rPr>
            </w:pPr>
            <w:r>
              <w:rPr>
                <w:color w:val="000000"/>
                <w:szCs w:val="21"/>
              </w:rPr>
              <w:t>114</w:t>
            </w:r>
          </w:p>
        </w:tc>
        <w:tc>
          <w:tcPr>
            <w:tcW w:w="533" w:type="pct"/>
            <w:tcBorders>
              <w:tl2br w:val="nil"/>
              <w:tr2bl w:val="nil"/>
            </w:tcBorders>
            <w:shd w:val="clear" w:color="auto" w:fill="auto"/>
            <w:vAlign w:val="center"/>
          </w:tcPr>
          <w:p w14:paraId="786A4C29" w14:textId="77777777" w:rsidR="003D6A63" w:rsidRDefault="00000000">
            <w:pPr>
              <w:widowControl/>
              <w:jc w:val="center"/>
              <w:textAlignment w:val="bottom"/>
              <w:rPr>
                <w:color w:val="000000"/>
                <w:szCs w:val="21"/>
              </w:rPr>
            </w:pPr>
            <w:r>
              <w:rPr>
                <w:color w:val="000000"/>
                <w:szCs w:val="21"/>
              </w:rPr>
              <w:t>10</w:t>
            </w:r>
          </w:p>
        </w:tc>
        <w:tc>
          <w:tcPr>
            <w:tcW w:w="783" w:type="pct"/>
            <w:tcBorders>
              <w:tl2br w:val="nil"/>
              <w:tr2bl w:val="nil"/>
            </w:tcBorders>
            <w:shd w:val="clear" w:color="auto" w:fill="auto"/>
            <w:vAlign w:val="center"/>
          </w:tcPr>
          <w:p w14:paraId="20F8BE67" w14:textId="77777777" w:rsidR="003D6A63" w:rsidRDefault="00000000">
            <w:pPr>
              <w:widowControl/>
              <w:jc w:val="center"/>
              <w:textAlignment w:val="bottom"/>
              <w:rPr>
                <w:color w:val="000000"/>
                <w:szCs w:val="21"/>
              </w:rPr>
            </w:pPr>
            <w:r>
              <w:rPr>
                <w:color w:val="000000"/>
                <w:szCs w:val="21"/>
              </w:rPr>
              <w:t>金属</w:t>
            </w:r>
          </w:p>
        </w:tc>
      </w:tr>
      <w:tr w:rsidR="003D6A63" w14:paraId="06FBEFA2" w14:textId="77777777">
        <w:trPr>
          <w:trHeight w:val="340"/>
        </w:trPr>
        <w:tc>
          <w:tcPr>
            <w:tcW w:w="461" w:type="pct"/>
            <w:vMerge/>
            <w:tcBorders>
              <w:tl2br w:val="nil"/>
              <w:tr2bl w:val="nil"/>
            </w:tcBorders>
            <w:shd w:val="clear" w:color="auto" w:fill="auto"/>
            <w:vAlign w:val="center"/>
          </w:tcPr>
          <w:p w14:paraId="6C769A4F" w14:textId="77777777" w:rsidR="003D6A63" w:rsidRDefault="003D6A63">
            <w:pPr>
              <w:widowControl/>
              <w:jc w:val="center"/>
              <w:textAlignment w:val="bottom"/>
              <w:rPr>
                <w:color w:val="000000"/>
                <w:szCs w:val="21"/>
              </w:rPr>
            </w:pPr>
          </w:p>
        </w:tc>
        <w:tc>
          <w:tcPr>
            <w:tcW w:w="2124" w:type="pct"/>
            <w:tcBorders>
              <w:tl2br w:val="nil"/>
              <w:tr2bl w:val="nil"/>
            </w:tcBorders>
            <w:shd w:val="clear" w:color="auto" w:fill="auto"/>
            <w:vAlign w:val="center"/>
          </w:tcPr>
          <w:p w14:paraId="1D0AABAF" w14:textId="77777777" w:rsidR="003D6A63" w:rsidRDefault="00000000">
            <w:pPr>
              <w:widowControl/>
              <w:jc w:val="center"/>
              <w:textAlignment w:val="bottom"/>
              <w:rPr>
                <w:color w:val="000000"/>
                <w:szCs w:val="21"/>
              </w:rPr>
            </w:pPr>
            <w:r>
              <w:rPr>
                <w:color w:val="000000"/>
                <w:szCs w:val="21"/>
              </w:rPr>
              <w:t>林一注至林中</w:t>
            </w:r>
            <w:r>
              <w:rPr>
                <w:color w:val="000000"/>
                <w:szCs w:val="21"/>
              </w:rPr>
              <w:t>8</w:t>
            </w:r>
            <w:r>
              <w:rPr>
                <w:color w:val="000000"/>
                <w:szCs w:val="21"/>
              </w:rPr>
              <w:t>号站、</w:t>
            </w:r>
            <w:r>
              <w:rPr>
                <w:color w:val="000000"/>
                <w:szCs w:val="21"/>
              </w:rPr>
              <w:t>16</w:t>
            </w:r>
            <w:r>
              <w:rPr>
                <w:color w:val="000000"/>
                <w:szCs w:val="21"/>
              </w:rPr>
              <w:t>号站控制阀组注</w:t>
            </w:r>
            <w:r>
              <w:rPr>
                <w:color w:val="000000"/>
                <w:szCs w:val="21"/>
              </w:rPr>
              <w:lastRenderedPageBreak/>
              <w:t>水干线</w:t>
            </w:r>
          </w:p>
        </w:tc>
        <w:tc>
          <w:tcPr>
            <w:tcW w:w="533" w:type="pct"/>
            <w:tcBorders>
              <w:tl2br w:val="nil"/>
              <w:tr2bl w:val="nil"/>
            </w:tcBorders>
            <w:shd w:val="clear" w:color="auto" w:fill="auto"/>
            <w:vAlign w:val="center"/>
          </w:tcPr>
          <w:p w14:paraId="3D692108" w14:textId="77777777" w:rsidR="003D6A63" w:rsidRDefault="00000000">
            <w:pPr>
              <w:widowControl/>
              <w:jc w:val="center"/>
              <w:textAlignment w:val="bottom"/>
              <w:rPr>
                <w:color w:val="000000"/>
                <w:szCs w:val="21"/>
              </w:rPr>
            </w:pPr>
            <w:r>
              <w:rPr>
                <w:color w:val="000000"/>
                <w:szCs w:val="21"/>
              </w:rPr>
              <w:lastRenderedPageBreak/>
              <w:t>2850</w:t>
            </w:r>
          </w:p>
        </w:tc>
        <w:tc>
          <w:tcPr>
            <w:tcW w:w="562" w:type="pct"/>
            <w:tcBorders>
              <w:tl2br w:val="nil"/>
              <w:tr2bl w:val="nil"/>
            </w:tcBorders>
            <w:shd w:val="clear" w:color="auto" w:fill="auto"/>
            <w:vAlign w:val="center"/>
          </w:tcPr>
          <w:p w14:paraId="0524FC30" w14:textId="77777777" w:rsidR="003D6A63" w:rsidRDefault="00000000">
            <w:pPr>
              <w:widowControl/>
              <w:jc w:val="center"/>
              <w:textAlignment w:val="bottom"/>
              <w:rPr>
                <w:color w:val="000000"/>
                <w:szCs w:val="21"/>
              </w:rPr>
            </w:pPr>
            <w:r>
              <w:rPr>
                <w:color w:val="000000"/>
                <w:szCs w:val="21"/>
              </w:rPr>
              <w:t>114</w:t>
            </w:r>
          </w:p>
        </w:tc>
        <w:tc>
          <w:tcPr>
            <w:tcW w:w="533" w:type="pct"/>
            <w:tcBorders>
              <w:tl2br w:val="nil"/>
              <w:tr2bl w:val="nil"/>
            </w:tcBorders>
            <w:shd w:val="clear" w:color="auto" w:fill="auto"/>
            <w:vAlign w:val="center"/>
          </w:tcPr>
          <w:p w14:paraId="76EB6D77" w14:textId="77777777" w:rsidR="003D6A63" w:rsidRDefault="00000000">
            <w:pPr>
              <w:widowControl/>
              <w:jc w:val="center"/>
              <w:textAlignment w:val="bottom"/>
              <w:rPr>
                <w:color w:val="000000"/>
                <w:szCs w:val="21"/>
              </w:rPr>
            </w:pPr>
            <w:r>
              <w:rPr>
                <w:color w:val="000000"/>
                <w:szCs w:val="21"/>
              </w:rPr>
              <w:t>10</w:t>
            </w:r>
          </w:p>
        </w:tc>
        <w:tc>
          <w:tcPr>
            <w:tcW w:w="783" w:type="pct"/>
            <w:tcBorders>
              <w:tl2br w:val="nil"/>
              <w:tr2bl w:val="nil"/>
            </w:tcBorders>
            <w:shd w:val="clear" w:color="auto" w:fill="auto"/>
            <w:vAlign w:val="center"/>
          </w:tcPr>
          <w:p w14:paraId="40D358A1" w14:textId="77777777" w:rsidR="003D6A63" w:rsidRDefault="00000000">
            <w:pPr>
              <w:widowControl/>
              <w:jc w:val="center"/>
              <w:textAlignment w:val="bottom"/>
              <w:rPr>
                <w:color w:val="000000"/>
                <w:szCs w:val="21"/>
              </w:rPr>
            </w:pPr>
            <w:r>
              <w:rPr>
                <w:color w:val="000000"/>
                <w:szCs w:val="21"/>
              </w:rPr>
              <w:t>金属</w:t>
            </w:r>
          </w:p>
        </w:tc>
      </w:tr>
      <w:tr w:rsidR="003D6A63" w14:paraId="3FA1215D" w14:textId="77777777">
        <w:trPr>
          <w:trHeight w:val="340"/>
        </w:trPr>
        <w:tc>
          <w:tcPr>
            <w:tcW w:w="461" w:type="pct"/>
            <w:vMerge/>
            <w:tcBorders>
              <w:tl2br w:val="nil"/>
              <w:tr2bl w:val="nil"/>
            </w:tcBorders>
            <w:shd w:val="clear" w:color="auto" w:fill="auto"/>
            <w:vAlign w:val="center"/>
          </w:tcPr>
          <w:p w14:paraId="0A24D6D9" w14:textId="77777777" w:rsidR="003D6A63" w:rsidRDefault="003D6A63">
            <w:pPr>
              <w:widowControl/>
              <w:jc w:val="center"/>
              <w:textAlignment w:val="bottom"/>
              <w:rPr>
                <w:color w:val="000000"/>
                <w:szCs w:val="21"/>
              </w:rPr>
            </w:pPr>
          </w:p>
        </w:tc>
        <w:tc>
          <w:tcPr>
            <w:tcW w:w="2124" w:type="pct"/>
            <w:tcBorders>
              <w:tl2br w:val="nil"/>
              <w:tr2bl w:val="nil"/>
            </w:tcBorders>
            <w:shd w:val="clear" w:color="auto" w:fill="auto"/>
            <w:vAlign w:val="center"/>
          </w:tcPr>
          <w:p w14:paraId="4252F0C3" w14:textId="77777777" w:rsidR="003D6A63" w:rsidRDefault="00000000">
            <w:pPr>
              <w:widowControl/>
              <w:jc w:val="center"/>
              <w:textAlignment w:val="bottom"/>
              <w:rPr>
                <w:color w:val="000000"/>
                <w:szCs w:val="21"/>
              </w:rPr>
            </w:pPr>
            <w:r>
              <w:rPr>
                <w:color w:val="000000"/>
                <w:szCs w:val="21"/>
              </w:rPr>
              <w:t>林中</w:t>
            </w:r>
            <w:r>
              <w:rPr>
                <w:color w:val="000000"/>
                <w:szCs w:val="21"/>
              </w:rPr>
              <w:t>8</w:t>
            </w:r>
            <w:r>
              <w:rPr>
                <w:color w:val="000000"/>
                <w:szCs w:val="21"/>
              </w:rPr>
              <w:t>号站、</w:t>
            </w:r>
            <w:r>
              <w:rPr>
                <w:color w:val="000000"/>
                <w:szCs w:val="21"/>
              </w:rPr>
              <w:t>16</w:t>
            </w:r>
            <w:r>
              <w:rPr>
                <w:color w:val="000000"/>
                <w:szCs w:val="21"/>
              </w:rPr>
              <w:t>号站注水干线控制阀组至林中</w:t>
            </w:r>
            <w:r>
              <w:rPr>
                <w:color w:val="000000"/>
                <w:szCs w:val="21"/>
              </w:rPr>
              <w:t>16</w:t>
            </w:r>
            <w:r>
              <w:rPr>
                <w:color w:val="000000"/>
                <w:szCs w:val="21"/>
              </w:rPr>
              <w:t>号站注水干线</w:t>
            </w:r>
          </w:p>
        </w:tc>
        <w:tc>
          <w:tcPr>
            <w:tcW w:w="533" w:type="pct"/>
            <w:tcBorders>
              <w:tl2br w:val="nil"/>
              <w:tr2bl w:val="nil"/>
            </w:tcBorders>
            <w:shd w:val="clear" w:color="auto" w:fill="auto"/>
            <w:vAlign w:val="center"/>
          </w:tcPr>
          <w:p w14:paraId="02EB4FF2" w14:textId="77777777" w:rsidR="003D6A63" w:rsidRDefault="00000000">
            <w:pPr>
              <w:widowControl/>
              <w:jc w:val="center"/>
              <w:textAlignment w:val="bottom"/>
              <w:rPr>
                <w:color w:val="000000"/>
                <w:szCs w:val="21"/>
              </w:rPr>
            </w:pPr>
            <w:r>
              <w:rPr>
                <w:color w:val="000000"/>
                <w:szCs w:val="21"/>
              </w:rPr>
              <w:t>850</w:t>
            </w:r>
          </w:p>
        </w:tc>
        <w:tc>
          <w:tcPr>
            <w:tcW w:w="562" w:type="pct"/>
            <w:tcBorders>
              <w:tl2br w:val="nil"/>
              <w:tr2bl w:val="nil"/>
            </w:tcBorders>
            <w:shd w:val="clear" w:color="auto" w:fill="auto"/>
            <w:vAlign w:val="center"/>
          </w:tcPr>
          <w:p w14:paraId="1866A7FF" w14:textId="77777777" w:rsidR="003D6A63" w:rsidRDefault="00000000">
            <w:pPr>
              <w:widowControl/>
              <w:jc w:val="center"/>
              <w:textAlignment w:val="bottom"/>
              <w:rPr>
                <w:color w:val="000000"/>
                <w:szCs w:val="21"/>
              </w:rPr>
            </w:pPr>
            <w:r>
              <w:rPr>
                <w:color w:val="000000"/>
                <w:szCs w:val="21"/>
              </w:rPr>
              <w:t>114</w:t>
            </w:r>
          </w:p>
        </w:tc>
        <w:tc>
          <w:tcPr>
            <w:tcW w:w="533" w:type="pct"/>
            <w:tcBorders>
              <w:tl2br w:val="nil"/>
              <w:tr2bl w:val="nil"/>
            </w:tcBorders>
            <w:shd w:val="clear" w:color="auto" w:fill="auto"/>
            <w:vAlign w:val="center"/>
          </w:tcPr>
          <w:p w14:paraId="35479424" w14:textId="77777777" w:rsidR="003D6A63" w:rsidRDefault="00000000">
            <w:pPr>
              <w:widowControl/>
              <w:jc w:val="center"/>
              <w:textAlignment w:val="bottom"/>
              <w:rPr>
                <w:color w:val="000000"/>
                <w:szCs w:val="21"/>
              </w:rPr>
            </w:pPr>
            <w:r>
              <w:rPr>
                <w:color w:val="000000"/>
                <w:szCs w:val="21"/>
              </w:rPr>
              <w:t>10</w:t>
            </w:r>
          </w:p>
        </w:tc>
        <w:tc>
          <w:tcPr>
            <w:tcW w:w="783" w:type="pct"/>
            <w:tcBorders>
              <w:tl2br w:val="nil"/>
              <w:tr2bl w:val="nil"/>
            </w:tcBorders>
            <w:shd w:val="clear" w:color="auto" w:fill="auto"/>
            <w:vAlign w:val="center"/>
          </w:tcPr>
          <w:p w14:paraId="160B03E5" w14:textId="77777777" w:rsidR="003D6A63" w:rsidRDefault="00000000">
            <w:pPr>
              <w:widowControl/>
              <w:jc w:val="center"/>
              <w:textAlignment w:val="bottom"/>
              <w:rPr>
                <w:color w:val="000000"/>
                <w:szCs w:val="21"/>
              </w:rPr>
            </w:pPr>
            <w:r>
              <w:rPr>
                <w:color w:val="000000"/>
                <w:szCs w:val="21"/>
              </w:rPr>
              <w:t>金属</w:t>
            </w:r>
          </w:p>
        </w:tc>
      </w:tr>
      <w:tr w:rsidR="003D6A63" w14:paraId="4AD88D97" w14:textId="77777777">
        <w:trPr>
          <w:trHeight w:val="340"/>
        </w:trPr>
        <w:tc>
          <w:tcPr>
            <w:tcW w:w="461" w:type="pct"/>
            <w:vMerge/>
            <w:tcBorders>
              <w:tl2br w:val="nil"/>
              <w:tr2bl w:val="nil"/>
            </w:tcBorders>
            <w:shd w:val="clear" w:color="auto" w:fill="auto"/>
            <w:vAlign w:val="center"/>
          </w:tcPr>
          <w:p w14:paraId="2389B6F7" w14:textId="77777777" w:rsidR="003D6A63" w:rsidRDefault="003D6A63">
            <w:pPr>
              <w:widowControl/>
              <w:jc w:val="center"/>
              <w:textAlignment w:val="bottom"/>
              <w:rPr>
                <w:color w:val="000000"/>
                <w:szCs w:val="21"/>
              </w:rPr>
            </w:pPr>
          </w:p>
        </w:tc>
        <w:tc>
          <w:tcPr>
            <w:tcW w:w="2124" w:type="pct"/>
            <w:tcBorders>
              <w:tl2br w:val="nil"/>
              <w:tr2bl w:val="nil"/>
            </w:tcBorders>
            <w:shd w:val="clear" w:color="auto" w:fill="auto"/>
            <w:vAlign w:val="center"/>
          </w:tcPr>
          <w:p w14:paraId="753CF4D3" w14:textId="77777777" w:rsidR="003D6A63" w:rsidRDefault="00000000">
            <w:pPr>
              <w:widowControl/>
              <w:jc w:val="center"/>
              <w:textAlignment w:val="bottom"/>
              <w:rPr>
                <w:color w:val="000000"/>
                <w:szCs w:val="21"/>
              </w:rPr>
            </w:pPr>
            <w:r>
              <w:rPr>
                <w:color w:val="000000"/>
                <w:szCs w:val="21"/>
              </w:rPr>
              <w:t>林中</w:t>
            </w:r>
            <w:r>
              <w:rPr>
                <w:color w:val="000000"/>
                <w:szCs w:val="21"/>
              </w:rPr>
              <w:t>16</w:t>
            </w:r>
            <w:r>
              <w:rPr>
                <w:color w:val="000000"/>
                <w:szCs w:val="21"/>
              </w:rPr>
              <w:t>号站至</w:t>
            </w:r>
            <w:r>
              <w:rPr>
                <w:color w:val="000000"/>
                <w:szCs w:val="21"/>
              </w:rPr>
              <w:t>B602</w:t>
            </w:r>
            <w:r>
              <w:rPr>
                <w:color w:val="000000"/>
                <w:szCs w:val="21"/>
              </w:rPr>
              <w:t>注水干线控制阀组注水干线</w:t>
            </w:r>
          </w:p>
        </w:tc>
        <w:tc>
          <w:tcPr>
            <w:tcW w:w="533" w:type="pct"/>
            <w:tcBorders>
              <w:tl2br w:val="nil"/>
              <w:tr2bl w:val="nil"/>
            </w:tcBorders>
            <w:shd w:val="clear" w:color="auto" w:fill="auto"/>
            <w:vAlign w:val="center"/>
          </w:tcPr>
          <w:p w14:paraId="3E892D5A" w14:textId="77777777" w:rsidR="003D6A63" w:rsidRDefault="00000000">
            <w:pPr>
              <w:widowControl/>
              <w:jc w:val="center"/>
              <w:textAlignment w:val="bottom"/>
              <w:rPr>
                <w:color w:val="000000"/>
                <w:szCs w:val="21"/>
              </w:rPr>
            </w:pPr>
            <w:r>
              <w:rPr>
                <w:color w:val="000000"/>
                <w:szCs w:val="21"/>
              </w:rPr>
              <w:t>750</w:t>
            </w:r>
          </w:p>
        </w:tc>
        <w:tc>
          <w:tcPr>
            <w:tcW w:w="562" w:type="pct"/>
            <w:tcBorders>
              <w:tl2br w:val="nil"/>
              <w:tr2bl w:val="nil"/>
            </w:tcBorders>
            <w:shd w:val="clear" w:color="auto" w:fill="auto"/>
            <w:vAlign w:val="center"/>
          </w:tcPr>
          <w:p w14:paraId="2F9DA259" w14:textId="77777777" w:rsidR="003D6A63" w:rsidRDefault="00000000">
            <w:pPr>
              <w:widowControl/>
              <w:jc w:val="center"/>
              <w:textAlignment w:val="bottom"/>
              <w:rPr>
                <w:color w:val="000000"/>
                <w:szCs w:val="21"/>
              </w:rPr>
            </w:pPr>
            <w:r>
              <w:rPr>
                <w:color w:val="000000"/>
                <w:szCs w:val="21"/>
              </w:rPr>
              <w:t>114</w:t>
            </w:r>
          </w:p>
        </w:tc>
        <w:tc>
          <w:tcPr>
            <w:tcW w:w="533" w:type="pct"/>
            <w:tcBorders>
              <w:tl2br w:val="nil"/>
              <w:tr2bl w:val="nil"/>
            </w:tcBorders>
            <w:shd w:val="clear" w:color="auto" w:fill="auto"/>
            <w:vAlign w:val="center"/>
          </w:tcPr>
          <w:p w14:paraId="4D6A0334" w14:textId="77777777" w:rsidR="003D6A63" w:rsidRDefault="00000000">
            <w:pPr>
              <w:widowControl/>
              <w:jc w:val="center"/>
              <w:textAlignment w:val="bottom"/>
              <w:rPr>
                <w:color w:val="000000"/>
                <w:szCs w:val="21"/>
              </w:rPr>
            </w:pPr>
            <w:r>
              <w:rPr>
                <w:color w:val="000000"/>
                <w:szCs w:val="21"/>
              </w:rPr>
              <w:t>18</w:t>
            </w:r>
          </w:p>
        </w:tc>
        <w:tc>
          <w:tcPr>
            <w:tcW w:w="783" w:type="pct"/>
            <w:tcBorders>
              <w:tl2br w:val="nil"/>
              <w:tr2bl w:val="nil"/>
            </w:tcBorders>
            <w:shd w:val="clear" w:color="auto" w:fill="auto"/>
            <w:vAlign w:val="center"/>
          </w:tcPr>
          <w:p w14:paraId="7709B7AE" w14:textId="77777777" w:rsidR="003D6A63" w:rsidRDefault="00000000">
            <w:pPr>
              <w:widowControl/>
              <w:jc w:val="center"/>
              <w:textAlignment w:val="bottom"/>
              <w:rPr>
                <w:color w:val="000000"/>
                <w:szCs w:val="21"/>
              </w:rPr>
            </w:pPr>
            <w:r>
              <w:rPr>
                <w:color w:val="000000"/>
                <w:szCs w:val="21"/>
              </w:rPr>
              <w:t>金属</w:t>
            </w:r>
          </w:p>
        </w:tc>
      </w:tr>
      <w:tr w:rsidR="003D6A63" w14:paraId="543BD2AF" w14:textId="77777777">
        <w:trPr>
          <w:trHeight w:val="340"/>
        </w:trPr>
        <w:tc>
          <w:tcPr>
            <w:tcW w:w="461" w:type="pct"/>
            <w:vMerge/>
            <w:tcBorders>
              <w:tl2br w:val="nil"/>
              <w:tr2bl w:val="nil"/>
            </w:tcBorders>
            <w:shd w:val="clear" w:color="auto" w:fill="auto"/>
            <w:vAlign w:val="center"/>
          </w:tcPr>
          <w:p w14:paraId="70BCAB99" w14:textId="77777777" w:rsidR="003D6A63" w:rsidRDefault="003D6A63">
            <w:pPr>
              <w:widowControl/>
              <w:jc w:val="center"/>
              <w:textAlignment w:val="bottom"/>
              <w:rPr>
                <w:color w:val="000000"/>
                <w:szCs w:val="21"/>
              </w:rPr>
            </w:pPr>
          </w:p>
        </w:tc>
        <w:tc>
          <w:tcPr>
            <w:tcW w:w="2124" w:type="pct"/>
            <w:tcBorders>
              <w:tl2br w:val="nil"/>
              <w:tr2bl w:val="nil"/>
            </w:tcBorders>
            <w:shd w:val="clear" w:color="auto" w:fill="auto"/>
            <w:vAlign w:val="center"/>
          </w:tcPr>
          <w:p w14:paraId="1110134E" w14:textId="77777777" w:rsidR="003D6A63" w:rsidRDefault="00000000">
            <w:pPr>
              <w:widowControl/>
              <w:jc w:val="center"/>
              <w:textAlignment w:val="bottom"/>
              <w:rPr>
                <w:color w:val="000000"/>
                <w:szCs w:val="21"/>
              </w:rPr>
            </w:pPr>
            <w:r>
              <w:rPr>
                <w:color w:val="000000"/>
                <w:szCs w:val="21"/>
              </w:rPr>
              <w:t>林中</w:t>
            </w:r>
            <w:r>
              <w:rPr>
                <w:color w:val="000000"/>
                <w:szCs w:val="21"/>
              </w:rPr>
              <w:t>16</w:t>
            </w:r>
            <w:r>
              <w:rPr>
                <w:color w:val="000000"/>
                <w:szCs w:val="21"/>
              </w:rPr>
              <w:t>号站注水干线至林中</w:t>
            </w:r>
            <w:r>
              <w:rPr>
                <w:color w:val="000000"/>
                <w:szCs w:val="21"/>
              </w:rPr>
              <w:t>20</w:t>
            </w:r>
            <w:r>
              <w:rPr>
                <w:color w:val="000000"/>
                <w:szCs w:val="21"/>
              </w:rPr>
              <w:t>号站注水干线</w:t>
            </w:r>
          </w:p>
        </w:tc>
        <w:tc>
          <w:tcPr>
            <w:tcW w:w="533" w:type="pct"/>
            <w:tcBorders>
              <w:tl2br w:val="nil"/>
              <w:tr2bl w:val="nil"/>
            </w:tcBorders>
            <w:shd w:val="clear" w:color="auto" w:fill="auto"/>
            <w:vAlign w:val="center"/>
          </w:tcPr>
          <w:p w14:paraId="30C16197" w14:textId="77777777" w:rsidR="003D6A63" w:rsidRDefault="00000000">
            <w:pPr>
              <w:widowControl/>
              <w:jc w:val="center"/>
              <w:textAlignment w:val="bottom"/>
              <w:rPr>
                <w:color w:val="000000"/>
                <w:szCs w:val="21"/>
              </w:rPr>
            </w:pPr>
            <w:r>
              <w:rPr>
                <w:color w:val="000000"/>
                <w:szCs w:val="21"/>
              </w:rPr>
              <w:t>550</w:t>
            </w:r>
          </w:p>
        </w:tc>
        <w:tc>
          <w:tcPr>
            <w:tcW w:w="562" w:type="pct"/>
            <w:tcBorders>
              <w:tl2br w:val="nil"/>
              <w:tr2bl w:val="nil"/>
            </w:tcBorders>
            <w:shd w:val="clear" w:color="auto" w:fill="auto"/>
            <w:vAlign w:val="center"/>
          </w:tcPr>
          <w:p w14:paraId="05C9B7EC" w14:textId="77777777" w:rsidR="003D6A63" w:rsidRDefault="00000000">
            <w:pPr>
              <w:widowControl/>
              <w:jc w:val="center"/>
              <w:textAlignment w:val="bottom"/>
              <w:rPr>
                <w:color w:val="000000"/>
                <w:szCs w:val="21"/>
              </w:rPr>
            </w:pPr>
            <w:r>
              <w:rPr>
                <w:color w:val="000000"/>
                <w:szCs w:val="21"/>
              </w:rPr>
              <w:t>89</w:t>
            </w:r>
          </w:p>
        </w:tc>
        <w:tc>
          <w:tcPr>
            <w:tcW w:w="533" w:type="pct"/>
            <w:tcBorders>
              <w:tl2br w:val="nil"/>
              <w:tr2bl w:val="nil"/>
            </w:tcBorders>
            <w:shd w:val="clear" w:color="auto" w:fill="auto"/>
            <w:vAlign w:val="center"/>
          </w:tcPr>
          <w:p w14:paraId="26A198F3" w14:textId="77777777" w:rsidR="003D6A63" w:rsidRDefault="00000000">
            <w:pPr>
              <w:widowControl/>
              <w:jc w:val="center"/>
              <w:textAlignment w:val="bottom"/>
              <w:rPr>
                <w:color w:val="000000"/>
                <w:szCs w:val="21"/>
              </w:rPr>
            </w:pPr>
            <w:r>
              <w:rPr>
                <w:color w:val="000000"/>
                <w:szCs w:val="21"/>
              </w:rPr>
              <w:t>5</w:t>
            </w:r>
          </w:p>
        </w:tc>
        <w:tc>
          <w:tcPr>
            <w:tcW w:w="783" w:type="pct"/>
            <w:tcBorders>
              <w:tl2br w:val="nil"/>
              <w:tr2bl w:val="nil"/>
            </w:tcBorders>
            <w:shd w:val="clear" w:color="auto" w:fill="auto"/>
            <w:vAlign w:val="center"/>
          </w:tcPr>
          <w:p w14:paraId="20756F4E" w14:textId="77777777" w:rsidR="003D6A63" w:rsidRDefault="00000000">
            <w:pPr>
              <w:widowControl/>
              <w:jc w:val="center"/>
              <w:textAlignment w:val="bottom"/>
              <w:rPr>
                <w:color w:val="000000"/>
                <w:szCs w:val="21"/>
              </w:rPr>
            </w:pPr>
            <w:r>
              <w:rPr>
                <w:color w:val="000000"/>
                <w:szCs w:val="21"/>
              </w:rPr>
              <w:t>金属</w:t>
            </w:r>
          </w:p>
        </w:tc>
      </w:tr>
      <w:tr w:rsidR="003D6A63" w14:paraId="7B07A3EF" w14:textId="77777777">
        <w:trPr>
          <w:trHeight w:val="340"/>
        </w:trPr>
        <w:tc>
          <w:tcPr>
            <w:tcW w:w="461" w:type="pct"/>
            <w:vMerge/>
            <w:tcBorders>
              <w:tl2br w:val="nil"/>
              <w:tr2bl w:val="nil"/>
            </w:tcBorders>
            <w:shd w:val="clear" w:color="auto" w:fill="auto"/>
            <w:vAlign w:val="center"/>
          </w:tcPr>
          <w:p w14:paraId="160E6B21" w14:textId="77777777" w:rsidR="003D6A63" w:rsidRDefault="003D6A63">
            <w:pPr>
              <w:widowControl/>
              <w:jc w:val="center"/>
              <w:textAlignment w:val="bottom"/>
              <w:rPr>
                <w:color w:val="000000"/>
                <w:szCs w:val="21"/>
              </w:rPr>
            </w:pPr>
          </w:p>
        </w:tc>
        <w:tc>
          <w:tcPr>
            <w:tcW w:w="2124" w:type="pct"/>
            <w:tcBorders>
              <w:tl2br w:val="nil"/>
              <w:tr2bl w:val="nil"/>
            </w:tcBorders>
            <w:shd w:val="clear" w:color="auto" w:fill="auto"/>
            <w:vAlign w:val="center"/>
          </w:tcPr>
          <w:p w14:paraId="42308583" w14:textId="77777777" w:rsidR="003D6A63" w:rsidRDefault="00000000">
            <w:pPr>
              <w:widowControl/>
              <w:jc w:val="center"/>
              <w:textAlignment w:val="bottom"/>
              <w:rPr>
                <w:color w:val="000000"/>
                <w:szCs w:val="21"/>
              </w:rPr>
            </w:pPr>
            <w:r>
              <w:rPr>
                <w:color w:val="000000"/>
                <w:szCs w:val="21"/>
              </w:rPr>
              <w:t>B602</w:t>
            </w:r>
            <w:r>
              <w:rPr>
                <w:color w:val="000000"/>
                <w:szCs w:val="21"/>
              </w:rPr>
              <w:t>注水干线控制阀组至林中</w:t>
            </w:r>
            <w:r>
              <w:rPr>
                <w:color w:val="000000"/>
                <w:szCs w:val="21"/>
              </w:rPr>
              <w:t>17</w:t>
            </w:r>
            <w:r>
              <w:rPr>
                <w:color w:val="000000"/>
                <w:szCs w:val="21"/>
              </w:rPr>
              <w:t>号站注水干线</w:t>
            </w:r>
          </w:p>
        </w:tc>
        <w:tc>
          <w:tcPr>
            <w:tcW w:w="533" w:type="pct"/>
            <w:tcBorders>
              <w:tl2br w:val="nil"/>
              <w:tr2bl w:val="nil"/>
            </w:tcBorders>
            <w:shd w:val="clear" w:color="auto" w:fill="auto"/>
            <w:vAlign w:val="center"/>
          </w:tcPr>
          <w:p w14:paraId="5A7ED917" w14:textId="77777777" w:rsidR="003D6A63" w:rsidRDefault="00000000">
            <w:pPr>
              <w:widowControl/>
              <w:jc w:val="center"/>
              <w:textAlignment w:val="bottom"/>
              <w:rPr>
                <w:color w:val="000000"/>
                <w:szCs w:val="21"/>
              </w:rPr>
            </w:pPr>
            <w:r>
              <w:rPr>
                <w:color w:val="000000"/>
                <w:szCs w:val="21"/>
              </w:rPr>
              <w:t>600</w:t>
            </w:r>
          </w:p>
        </w:tc>
        <w:tc>
          <w:tcPr>
            <w:tcW w:w="562" w:type="pct"/>
            <w:tcBorders>
              <w:tl2br w:val="nil"/>
              <w:tr2bl w:val="nil"/>
            </w:tcBorders>
            <w:shd w:val="clear" w:color="auto" w:fill="auto"/>
            <w:vAlign w:val="center"/>
          </w:tcPr>
          <w:p w14:paraId="4F5B33C7" w14:textId="77777777" w:rsidR="003D6A63" w:rsidRDefault="00000000">
            <w:pPr>
              <w:widowControl/>
              <w:jc w:val="center"/>
              <w:textAlignment w:val="bottom"/>
              <w:rPr>
                <w:color w:val="000000"/>
                <w:szCs w:val="21"/>
              </w:rPr>
            </w:pPr>
            <w:r>
              <w:rPr>
                <w:color w:val="000000"/>
                <w:szCs w:val="21"/>
              </w:rPr>
              <w:t>DN150</w:t>
            </w:r>
          </w:p>
        </w:tc>
        <w:tc>
          <w:tcPr>
            <w:tcW w:w="533" w:type="pct"/>
            <w:tcBorders>
              <w:tl2br w:val="nil"/>
              <w:tr2bl w:val="nil"/>
            </w:tcBorders>
            <w:shd w:val="clear" w:color="auto" w:fill="auto"/>
            <w:vAlign w:val="center"/>
          </w:tcPr>
          <w:p w14:paraId="78DE2CC3" w14:textId="77777777" w:rsidR="003D6A63" w:rsidRDefault="00000000">
            <w:pPr>
              <w:widowControl/>
              <w:jc w:val="center"/>
              <w:textAlignment w:val="bottom"/>
              <w:rPr>
                <w:color w:val="000000"/>
                <w:szCs w:val="21"/>
              </w:rPr>
            </w:pPr>
            <w:r>
              <w:rPr>
                <w:color w:val="000000"/>
                <w:szCs w:val="21"/>
              </w:rPr>
              <w:t>/</w:t>
            </w:r>
          </w:p>
        </w:tc>
        <w:tc>
          <w:tcPr>
            <w:tcW w:w="783" w:type="pct"/>
            <w:tcBorders>
              <w:tl2br w:val="nil"/>
              <w:tr2bl w:val="nil"/>
            </w:tcBorders>
            <w:shd w:val="clear" w:color="auto" w:fill="auto"/>
            <w:vAlign w:val="center"/>
          </w:tcPr>
          <w:p w14:paraId="7E681C03" w14:textId="77777777" w:rsidR="003D6A63" w:rsidRDefault="00000000">
            <w:pPr>
              <w:widowControl/>
              <w:jc w:val="center"/>
              <w:textAlignment w:val="bottom"/>
              <w:rPr>
                <w:color w:val="000000"/>
                <w:szCs w:val="21"/>
              </w:rPr>
            </w:pPr>
            <w:r>
              <w:rPr>
                <w:color w:val="000000"/>
                <w:szCs w:val="21"/>
              </w:rPr>
              <w:t>非金属</w:t>
            </w:r>
          </w:p>
        </w:tc>
      </w:tr>
      <w:tr w:rsidR="003D6A63" w14:paraId="6C201F38" w14:textId="77777777">
        <w:trPr>
          <w:trHeight w:val="340"/>
        </w:trPr>
        <w:tc>
          <w:tcPr>
            <w:tcW w:w="461" w:type="pct"/>
            <w:vMerge/>
            <w:tcBorders>
              <w:tl2br w:val="nil"/>
              <w:tr2bl w:val="nil"/>
            </w:tcBorders>
            <w:shd w:val="clear" w:color="auto" w:fill="auto"/>
            <w:vAlign w:val="center"/>
          </w:tcPr>
          <w:p w14:paraId="6F2909F9" w14:textId="77777777" w:rsidR="003D6A63" w:rsidRDefault="003D6A63">
            <w:pPr>
              <w:widowControl/>
              <w:jc w:val="center"/>
              <w:textAlignment w:val="bottom"/>
              <w:rPr>
                <w:color w:val="000000"/>
                <w:szCs w:val="21"/>
              </w:rPr>
            </w:pPr>
          </w:p>
        </w:tc>
        <w:tc>
          <w:tcPr>
            <w:tcW w:w="2124" w:type="pct"/>
            <w:tcBorders>
              <w:tl2br w:val="nil"/>
              <w:tr2bl w:val="nil"/>
            </w:tcBorders>
            <w:shd w:val="clear" w:color="auto" w:fill="auto"/>
            <w:vAlign w:val="center"/>
          </w:tcPr>
          <w:p w14:paraId="147082EE" w14:textId="77777777" w:rsidR="003D6A63" w:rsidRDefault="00000000">
            <w:pPr>
              <w:widowControl/>
              <w:jc w:val="center"/>
              <w:textAlignment w:val="bottom"/>
              <w:rPr>
                <w:color w:val="000000"/>
                <w:szCs w:val="21"/>
              </w:rPr>
            </w:pPr>
            <w:r>
              <w:rPr>
                <w:color w:val="000000"/>
                <w:szCs w:val="21"/>
              </w:rPr>
              <w:t>B602</w:t>
            </w:r>
            <w:r>
              <w:rPr>
                <w:color w:val="000000"/>
                <w:szCs w:val="21"/>
              </w:rPr>
              <w:t>注水干线控制阀组至林中</w:t>
            </w:r>
            <w:r>
              <w:rPr>
                <w:color w:val="000000"/>
                <w:szCs w:val="21"/>
              </w:rPr>
              <w:t>18</w:t>
            </w:r>
            <w:r>
              <w:rPr>
                <w:color w:val="000000"/>
                <w:szCs w:val="21"/>
              </w:rPr>
              <w:t>号站注水干线</w:t>
            </w:r>
          </w:p>
        </w:tc>
        <w:tc>
          <w:tcPr>
            <w:tcW w:w="533" w:type="pct"/>
            <w:tcBorders>
              <w:tl2br w:val="nil"/>
              <w:tr2bl w:val="nil"/>
            </w:tcBorders>
            <w:shd w:val="clear" w:color="auto" w:fill="auto"/>
            <w:vAlign w:val="center"/>
          </w:tcPr>
          <w:p w14:paraId="3B5BA679" w14:textId="77777777" w:rsidR="003D6A63" w:rsidRDefault="00000000">
            <w:pPr>
              <w:widowControl/>
              <w:jc w:val="center"/>
              <w:textAlignment w:val="bottom"/>
              <w:rPr>
                <w:color w:val="000000"/>
                <w:szCs w:val="21"/>
              </w:rPr>
            </w:pPr>
            <w:r>
              <w:rPr>
                <w:color w:val="000000"/>
                <w:szCs w:val="21"/>
              </w:rPr>
              <w:t>930</w:t>
            </w:r>
          </w:p>
        </w:tc>
        <w:tc>
          <w:tcPr>
            <w:tcW w:w="562" w:type="pct"/>
            <w:tcBorders>
              <w:tl2br w:val="nil"/>
              <w:tr2bl w:val="nil"/>
            </w:tcBorders>
            <w:shd w:val="clear" w:color="auto" w:fill="auto"/>
            <w:vAlign w:val="center"/>
          </w:tcPr>
          <w:p w14:paraId="460E4AC5" w14:textId="77777777" w:rsidR="003D6A63" w:rsidRDefault="00000000">
            <w:pPr>
              <w:widowControl/>
              <w:jc w:val="center"/>
              <w:textAlignment w:val="bottom"/>
              <w:rPr>
                <w:color w:val="000000"/>
                <w:szCs w:val="21"/>
              </w:rPr>
            </w:pPr>
            <w:r>
              <w:rPr>
                <w:color w:val="000000"/>
                <w:szCs w:val="21"/>
              </w:rPr>
              <w:t>114</w:t>
            </w:r>
          </w:p>
        </w:tc>
        <w:tc>
          <w:tcPr>
            <w:tcW w:w="533" w:type="pct"/>
            <w:tcBorders>
              <w:tl2br w:val="nil"/>
              <w:tr2bl w:val="nil"/>
            </w:tcBorders>
            <w:shd w:val="clear" w:color="auto" w:fill="auto"/>
            <w:vAlign w:val="center"/>
          </w:tcPr>
          <w:p w14:paraId="2D57471A" w14:textId="77777777" w:rsidR="003D6A63" w:rsidRDefault="00000000">
            <w:pPr>
              <w:widowControl/>
              <w:jc w:val="center"/>
              <w:textAlignment w:val="bottom"/>
              <w:rPr>
                <w:color w:val="000000"/>
                <w:szCs w:val="21"/>
              </w:rPr>
            </w:pPr>
            <w:r>
              <w:rPr>
                <w:color w:val="000000"/>
                <w:szCs w:val="21"/>
              </w:rPr>
              <w:t>10</w:t>
            </w:r>
          </w:p>
        </w:tc>
        <w:tc>
          <w:tcPr>
            <w:tcW w:w="783" w:type="pct"/>
            <w:tcBorders>
              <w:tl2br w:val="nil"/>
              <w:tr2bl w:val="nil"/>
            </w:tcBorders>
            <w:shd w:val="clear" w:color="auto" w:fill="auto"/>
            <w:vAlign w:val="center"/>
          </w:tcPr>
          <w:p w14:paraId="084F7AA1" w14:textId="77777777" w:rsidR="003D6A63" w:rsidRDefault="00000000">
            <w:pPr>
              <w:widowControl/>
              <w:jc w:val="center"/>
              <w:textAlignment w:val="bottom"/>
              <w:rPr>
                <w:color w:val="000000"/>
                <w:szCs w:val="21"/>
              </w:rPr>
            </w:pPr>
            <w:r>
              <w:rPr>
                <w:color w:val="000000"/>
                <w:szCs w:val="21"/>
              </w:rPr>
              <w:t>金属</w:t>
            </w:r>
          </w:p>
        </w:tc>
      </w:tr>
      <w:tr w:rsidR="003D6A63" w14:paraId="4B47B896" w14:textId="77777777">
        <w:trPr>
          <w:trHeight w:val="340"/>
        </w:trPr>
        <w:tc>
          <w:tcPr>
            <w:tcW w:w="461" w:type="pct"/>
            <w:vMerge/>
            <w:tcBorders>
              <w:tl2br w:val="nil"/>
              <w:tr2bl w:val="nil"/>
            </w:tcBorders>
            <w:shd w:val="clear" w:color="auto" w:fill="auto"/>
            <w:vAlign w:val="center"/>
          </w:tcPr>
          <w:p w14:paraId="275A920B" w14:textId="77777777" w:rsidR="003D6A63" w:rsidRDefault="003D6A63">
            <w:pPr>
              <w:widowControl/>
              <w:jc w:val="center"/>
              <w:textAlignment w:val="bottom"/>
              <w:rPr>
                <w:color w:val="000000"/>
                <w:szCs w:val="21"/>
              </w:rPr>
            </w:pPr>
          </w:p>
        </w:tc>
        <w:tc>
          <w:tcPr>
            <w:tcW w:w="2124" w:type="pct"/>
            <w:tcBorders>
              <w:tl2br w:val="nil"/>
              <w:tr2bl w:val="nil"/>
            </w:tcBorders>
            <w:shd w:val="clear" w:color="auto" w:fill="auto"/>
            <w:vAlign w:val="center"/>
          </w:tcPr>
          <w:p w14:paraId="58A17CA6" w14:textId="77777777" w:rsidR="003D6A63" w:rsidRDefault="00000000">
            <w:pPr>
              <w:widowControl/>
              <w:jc w:val="center"/>
              <w:textAlignment w:val="bottom"/>
              <w:rPr>
                <w:color w:val="000000"/>
                <w:szCs w:val="21"/>
              </w:rPr>
            </w:pPr>
            <w:r>
              <w:rPr>
                <w:color w:val="000000"/>
                <w:szCs w:val="21"/>
              </w:rPr>
              <w:t>滨</w:t>
            </w:r>
            <w:r>
              <w:rPr>
                <w:color w:val="000000"/>
                <w:szCs w:val="21"/>
              </w:rPr>
              <w:t>603</w:t>
            </w:r>
          </w:p>
        </w:tc>
        <w:tc>
          <w:tcPr>
            <w:tcW w:w="533" w:type="pct"/>
            <w:tcBorders>
              <w:tl2br w:val="nil"/>
              <w:tr2bl w:val="nil"/>
            </w:tcBorders>
            <w:shd w:val="clear" w:color="auto" w:fill="auto"/>
            <w:vAlign w:val="center"/>
          </w:tcPr>
          <w:p w14:paraId="4637BF2D" w14:textId="77777777" w:rsidR="003D6A63" w:rsidRDefault="00000000">
            <w:pPr>
              <w:widowControl/>
              <w:jc w:val="center"/>
              <w:textAlignment w:val="bottom"/>
              <w:rPr>
                <w:color w:val="000000"/>
                <w:szCs w:val="21"/>
              </w:rPr>
            </w:pPr>
            <w:r>
              <w:rPr>
                <w:color w:val="000000"/>
                <w:szCs w:val="21"/>
              </w:rPr>
              <w:t>1400</w:t>
            </w:r>
          </w:p>
        </w:tc>
        <w:tc>
          <w:tcPr>
            <w:tcW w:w="562" w:type="pct"/>
            <w:tcBorders>
              <w:tl2br w:val="nil"/>
              <w:tr2bl w:val="nil"/>
            </w:tcBorders>
            <w:shd w:val="clear" w:color="auto" w:fill="auto"/>
            <w:vAlign w:val="center"/>
          </w:tcPr>
          <w:p w14:paraId="63ADF724" w14:textId="77777777" w:rsidR="003D6A63" w:rsidRDefault="00000000">
            <w:pPr>
              <w:widowControl/>
              <w:jc w:val="center"/>
              <w:textAlignment w:val="bottom"/>
              <w:rPr>
                <w:color w:val="000000"/>
                <w:szCs w:val="21"/>
              </w:rPr>
            </w:pPr>
            <w:r>
              <w:rPr>
                <w:color w:val="000000"/>
                <w:szCs w:val="21"/>
              </w:rPr>
              <w:t>114</w:t>
            </w:r>
          </w:p>
        </w:tc>
        <w:tc>
          <w:tcPr>
            <w:tcW w:w="533" w:type="pct"/>
            <w:tcBorders>
              <w:tl2br w:val="nil"/>
              <w:tr2bl w:val="nil"/>
            </w:tcBorders>
            <w:shd w:val="clear" w:color="auto" w:fill="auto"/>
            <w:vAlign w:val="center"/>
          </w:tcPr>
          <w:p w14:paraId="23EEF918" w14:textId="77777777" w:rsidR="003D6A63" w:rsidRDefault="00000000">
            <w:pPr>
              <w:widowControl/>
              <w:jc w:val="center"/>
              <w:textAlignment w:val="bottom"/>
              <w:rPr>
                <w:color w:val="000000"/>
                <w:szCs w:val="21"/>
              </w:rPr>
            </w:pPr>
            <w:r>
              <w:rPr>
                <w:color w:val="000000"/>
                <w:szCs w:val="21"/>
              </w:rPr>
              <w:t>9</w:t>
            </w:r>
          </w:p>
        </w:tc>
        <w:tc>
          <w:tcPr>
            <w:tcW w:w="783" w:type="pct"/>
            <w:tcBorders>
              <w:tl2br w:val="nil"/>
              <w:tr2bl w:val="nil"/>
            </w:tcBorders>
            <w:shd w:val="clear" w:color="auto" w:fill="auto"/>
            <w:vAlign w:val="center"/>
          </w:tcPr>
          <w:p w14:paraId="21D6DF78" w14:textId="77777777" w:rsidR="003D6A63" w:rsidRDefault="00000000">
            <w:pPr>
              <w:widowControl/>
              <w:jc w:val="center"/>
              <w:textAlignment w:val="bottom"/>
              <w:rPr>
                <w:color w:val="000000"/>
                <w:szCs w:val="21"/>
              </w:rPr>
            </w:pPr>
            <w:r>
              <w:rPr>
                <w:color w:val="000000"/>
                <w:szCs w:val="21"/>
              </w:rPr>
              <w:t>金属</w:t>
            </w:r>
          </w:p>
        </w:tc>
      </w:tr>
      <w:tr w:rsidR="003D6A63" w14:paraId="14191B32" w14:textId="77777777">
        <w:trPr>
          <w:trHeight w:val="340"/>
        </w:trPr>
        <w:tc>
          <w:tcPr>
            <w:tcW w:w="461" w:type="pct"/>
            <w:vMerge w:val="restart"/>
            <w:tcBorders>
              <w:tl2br w:val="nil"/>
              <w:tr2bl w:val="nil"/>
            </w:tcBorders>
            <w:shd w:val="clear" w:color="auto" w:fill="auto"/>
            <w:vAlign w:val="center"/>
          </w:tcPr>
          <w:p w14:paraId="198142F6" w14:textId="77777777" w:rsidR="003D6A63" w:rsidRDefault="00000000">
            <w:pPr>
              <w:widowControl/>
              <w:jc w:val="center"/>
              <w:textAlignment w:val="bottom"/>
              <w:rPr>
                <w:color w:val="000000"/>
                <w:szCs w:val="21"/>
              </w:rPr>
            </w:pPr>
            <w:r>
              <w:rPr>
                <w:color w:val="000000"/>
                <w:szCs w:val="21"/>
              </w:rPr>
              <w:t>城中开发区</w:t>
            </w:r>
          </w:p>
        </w:tc>
        <w:tc>
          <w:tcPr>
            <w:tcW w:w="2124" w:type="pct"/>
            <w:tcBorders>
              <w:tl2br w:val="nil"/>
              <w:tr2bl w:val="nil"/>
            </w:tcBorders>
            <w:shd w:val="clear" w:color="auto" w:fill="auto"/>
            <w:noWrap/>
            <w:vAlign w:val="center"/>
          </w:tcPr>
          <w:p w14:paraId="0EF2A37F" w14:textId="77777777" w:rsidR="003D6A63" w:rsidRDefault="00000000">
            <w:pPr>
              <w:widowControl/>
              <w:jc w:val="center"/>
              <w:textAlignment w:val="bottom"/>
              <w:rPr>
                <w:color w:val="000000"/>
                <w:szCs w:val="21"/>
              </w:rPr>
            </w:pPr>
            <w:r>
              <w:rPr>
                <w:color w:val="000000"/>
                <w:szCs w:val="21"/>
              </w:rPr>
              <w:t>H67-3</w:t>
            </w:r>
            <w:r>
              <w:rPr>
                <w:color w:val="000000"/>
                <w:szCs w:val="21"/>
              </w:rPr>
              <w:t>注水管线</w:t>
            </w:r>
          </w:p>
        </w:tc>
        <w:tc>
          <w:tcPr>
            <w:tcW w:w="533" w:type="pct"/>
            <w:tcBorders>
              <w:tl2br w:val="nil"/>
              <w:tr2bl w:val="nil"/>
            </w:tcBorders>
            <w:shd w:val="clear" w:color="auto" w:fill="auto"/>
            <w:vAlign w:val="center"/>
          </w:tcPr>
          <w:p w14:paraId="0D770799" w14:textId="77777777" w:rsidR="003D6A63" w:rsidRDefault="00000000">
            <w:pPr>
              <w:widowControl/>
              <w:jc w:val="center"/>
              <w:textAlignment w:val="bottom"/>
              <w:rPr>
                <w:color w:val="000000"/>
                <w:szCs w:val="21"/>
              </w:rPr>
            </w:pPr>
            <w:r>
              <w:rPr>
                <w:color w:val="000000"/>
                <w:szCs w:val="21"/>
              </w:rPr>
              <w:t>180</w:t>
            </w:r>
          </w:p>
        </w:tc>
        <w:tc>
          <w:tcPr>
            <w:tcW w:w="562" w:type="pct"/>
            <w:tcBorders>
              <w:tl2br w:val="nil"/>
              <w:tr2bl w:val="nil"/>
            </w:tcBorders>
            <w:shd w:val="clear" w:color="auto" w:fill="auto"/>
            <w:vAlign w:val="center"/>
          </w:tcPr>
          <w:p w14:paraId="2A6B1E7F" w14:textId="77777777" w:rsidR="003D6A63" w:rsidRDefault="00000000">
            <w:pPr>
              <w:widowControl/>
              <w:jc w:val="center"/>
              <w:textAlignment w:val="bottom"/>
              <w:rPr>
                <w:color w:val="000000"/>
                <w:szCs w:val="21"/>
              </w:rPr>
            </w:pPr>
            <w:r>
              <w:rPr>
                <w:color w:val="000000"/>
                <w:szCs w:val="21"/>
              </w:rPr>
              <w:t>89</w:t>
            </w:r>
          </w:p>
        </w:tc>
        <w:tc>
          <w:tcPr>
            <w:tcW w:w="533" w:type="pct"/>
            <w:tcBorders>
              <w:tl2br w:val="nil"/>
              <w:tr2bl w:val="nil"/>
            </w:tcBorders>
            <w:shd w:val="clear" w:color="auto" w:fill="auto"/>
            <w:vAlign w:val="center"/>
          </w:tcPr>
          <w:p w14:paraId="6A7DC487" w14:textId="77777777" w:rsidR="003D6A63" w:rsidRDefault="00000000">
            <w:pPr>
              <w:widowControl/>
              <w:jc w:val="center"/>
              <w:textAlignment w:val="bottom"/>
              <w:rPr>
                <w:color w:val="000000"/>
                <w:szCs w:val="21"/>
              </w:rPr>
            </w:pPr>
            <w:r>
              <w:rPr>
                <w:color w:val="000000"/>
                <w:szCs w:val="21"/>
              </w:rPr>
              <w:t>8</w:t>
            </w:r>
          </w:p>
        </w:tc>
        <w:tc>
          <w:tcPr>
            <w:tcW w:w="783" w:type="pct"/>
            <w:tcBorders>
              <w:tl2br w:val="nil"/>
              <w:tr2bl w:val="nil"/>
            </w:tcBorders>
            <w:shd w:val="clear" w:color="auto" w:fill="auto"/>
            <w:vAlign w:val="center"/>
          </w:tcPr>
          <w:p w14:paraId="75E95970" w14:textId="77777777" w:rsidR="003D6A63" w:rsidRDefault="00000000">
            <w:pPr>
              <w:widowControl/>
              <w:jc w:val="center"/>
              <w:textAlignment w:val="bottom"/>
              <w:rPr>
                <w:color w:val="000000"/>
                <w:szCs w:val="21"/>
              </w:rPr>
            </w:pPr>
            <w:r>
              <w:rPr>
                <w:color w:val="000000"/>
                <w:szCs w:val="21"/>
              </w:rPr>
              <w:t>柔性复合管</w:t>
            </w:r>
          </w:p>
        </w:tc>
      </w:tr>
      <w:tr w:rsidR="003D6A63" w14:paraId="23196C2F" w14:textId="77777777">
        <w:trPr>
          <w:trHeight w:val="340"/>
        </w:trPr>
        <w:tc>
          <w:tcPr>
            <w:tcW w:w="461" w:type="pct"/>
            <w:vMerge/>
            <w:tcBorders>
              <w:tl2br w:val="nil"/>
              <w:tr2bl w:val="nil"/>
            </w:tcBorders>
            <w:shd w:val="clear" w:color="auto" w:fill="auto"/>
            <w:vAlign w:val="center"/>
          </w:tcPr>
          <w:p w14:paraId="22350A3C" w14:textId="77777777" w:rsidR="003D6A63" w:rsidRDefault="003D6A63">
            <w:pPr>
              <w:widowControl/>
              <w:jc w:val="center"/>
              <w:textAlignment w:val="bottom"/>
              <w:rPr>
                <w:color w:val="000000"/>
                <w:szCs w:val="21"/>
              </w:rPr>
            </w:pPr>
          </w:p>
        </w:tc>
        <w:tc>
          <w:tcPr>
            <w:tcW w:w="2124" w:type="pct"/>
            <w:tcBorders>
              <w:tl2br w:val="nil"/>
              <w:tr2bl w:val="nil"/>
            </w:tcBorders>
            <w:shd w:val="clear" w:color="auto" w:fill="auto"/>
            <w:vAlign w:val="center"/>
          </w:tcPr>
          <w:p w14:paraId="67D654B2" w14:textId="77777777" w:rsidR="003D6A63" w:rsidRDefault="00000000">
            <w:pPr>
              <w:widowControl/>
              <w:jc w:val="center"/>
              <w:textAlignment w:val="bottom"/>
              <w:rPr>
                <w:color w:val="000000"/>
                <w:szCs w:val="21"/>
              </w:rPr>
            </w:pPr>
            <w:r>
              <w:rPr>
                <w:color w:val="000000"/>
                <w:szCs w:val="21"/>
              </w:rPr>
              <w:t>河</w:t>
            </w:r>
            <w:r>
              <w:rPr>
                <w:color w:val="000000"/>
                <w:szCs w:val="21"/>
              </w:rPr>
              <w:t>73</w:t>
            </w:r>
            <w:r>
              <w:rPr>
                <w:color w:val="000000"/>
                <w:szCs w:val="21"/>
              </w:rPr>
              <w:t>注水管线</w:t>
            </w:r>
          </w:p>
        </w:tc>
        <w:tc>
          <w:tcPr>
            <w:tcW w:w="533" w:type="pct"/>
            <w:tcBorders>
              <w:tl2br w:val="nil"/>
              <w:tr2bl w:val="nil"/>
            </w:tcBorders>
            <w:shd w:val="clear" w:color="auto" w:fill="auto"/>
            <w:vAlign w:val="center"/>
          </w:tcPr>
          <w:p w14:paraId="247C13A5" w14:textId="77777777" w:rsidR="003D6A63" w:rsidRDefault="00000000">
            <w:pPr>
              <w:widowControl/>
              <w:jc w:val="center"/>
              <w:textAlignment w:val="bottom"/>
              <w:rPr>
                <w:color w:val="000000"/>
                <w:szCs w:val="21"/>
              </w:rPr>
            </w:pPr>
            <w:r>
              <w:rPr>
                <w:color w:val="000000"/>
                <w:szCs w:val="21"/>
              </w:rPr>
              <w:t>600</w:t>
            </w:r>
          </w:p>
        </w:tc>
        <w:tc>
          <w:tcPr>
            <w:tcW w:w="562" w:type="pct"/>
            <w:tcBorders>
              <w:tl2br w:val="nil"/>
              <w:tr2bl w:val="nil"/>
            </w:tcBorders>
            <w:shd w:val="clear" w:color="auto" w:fill="auto"/>
            <w:vAlign w:val="center"/>
          </w:tcPr>
          <w:p w14:paraId="470A78C2" w14:textId="77777777" w:rsidR="003D6A63" w:rsidRDefault="00000000">
            <w:pPr>
              <w:widowControl/>
              <w:jc w:val="center"/>
              <w:textAlignment w:val="bottom"/>
              <w:rPr>
                <w:color w:val="000000"/>
                <w:szCs w:val="21"/>
              </w:rPr>
            </w:pPr>
            <w:r>
              <w:rPr>
                <w:color w:val="000000"/>
                <w:szCs w:val="21"/>
              </w:rPr>
              <w:t>DN80</w:t>
            </w:r>
          </w:p>
        </w:tc>
        <w:tc>
          <w:tcPr>
            <w:tcW w:w="533" w:type="pct"/>
            <w:tcBorders>
              <w:tl2br w:val="nil"/>
              <w:tr2bl w:val="nil"/>
            </w:tcBorders>
            <w:shd w:val="clear" w:color="auto" w:fill="auto"/>
            <w:vAlign w:val="center"/>
          </w:tcPr>
          <w:p w14:paraId="77C77FD1" w14:textId="77777777" w:rsidR="003D6A63" w:rsidRDefault="00000000">
            <w:pPr>
              <w:widowControl/>
              <w:jc w:val="center"/>
              <w:textAlignment w:val="bottom"/>
              <w:rPr>
                <w:color w:val="000000"/>
                <w:szCs w:val="21"/>
              </w:rPr>
            </w:pPr>
            <w:r>
              <w:rPr>
                <w:color w:val="000000"/>
                <w:szCs w:val="21"/>
              </w:rPr>
              <w:t>/</w:t>
            </w:r>
          </w:p>
        </w:tc>
        <w:tc>
          <w:tcPr>
            <w:tcW w:w="783" w:type="pct"/>
            <w:tcBorders>
              <w:tl2br w:val="nil"/>
              <w:tr2bl w:val="nil"/>
            </w:tcBorders>
            <w:shd w:val="clear" w:color="auto" w:fill="auto"/>
            <w:vAlign w:val="center"/>
          </w:tcPr>
          <w:p w14:paraId="3B7F70DC" w14:textId="77777777" w:rsidR="003D6A63" w:rsidRDefault="00000000">
            <w:pPr>
              <w:widowControl/>
              <w:jc w:val="center"/>
              <w:textAlignment w:val="bottom"/>
              <w:rPr>
                <w:color w:val="000000"/>
                <w:szCs w:val="21"/>
              </w:rPr>
            </w:pPr>
            <w:r>
              <w:rPr>
                <w:color w:val="000000"/>
                <w:szCs w:val="21"/>
              </w:rPr>
              <w:t>PE</w:t>
            </w:r>
            <w:r>
              <w:rPr>
                <w:color w:val="000000"/>
                <w:szCs w:val="21"/>
              </w:rPr>
              <w:t>管</w:t>
            </w:r>
          </w:p>
        </w:tc>
      </w:tr>
      <w:tr w:rsidR="003D6A63" w14:paraId="44F6354A" w14:textId="77777777">
        <w:trPr>
          <w:trHeight w:val="340"/>
        </w:trPr>
        <w:tc>
          <w:tcPr>
            <w:tcW w:w="461" w:type="pct"/>
            <w:vMerge/>
            <w:tcBorders>
              <w:tl2br w:val="nil"/>
              <w:tr2bl w:val="nil"/>
            </w:tcBorders>
            <w:shd w:val="clear" w:color="auto" w:fill="auto"/>
            <w:vAlign w:val="center"/>
          </w:tcPr>
          <w:p w14:paraId="21580CC2" w14:textId="77777777" w:rsidR="003D6A63" w:rsidRDefault="003D6A63">
            <w:pPr>
              <w:widowControl/>
              <w:jc w:val="center"/>
              <w:textAlignment w:val="bottom"/>
              <w:rPr>
                <w:color w:val="000000"/>
                <w:szCs w:val="21"/>
              </w:rPr>
            </w:pPr>
          </w:p>
        </w:tc>
        <w:tc>
          <w:tcPr>
            <w:tcW w:w="2124" w:type="pct"/>
            <w:tcBorders>
              <w:tl2br w:val="nil"/>
              <w:tr2bl w:val="nil"/>
            </w:tcBorders>
            <w:shd w:val="clear" w:color="auto" w:fill="auto"/>
            <w:vAlign w:val="center"/>
          </w:tcPr>
          <w:p w14:paraId="49EE4578" w14:textId="77777777" w:rsidR="003D6A63" w:rsidRDefault="00000000">
            <w:pPr>
              <w:widowControl/>
              <w:jc w:val="center"/>
              <w:textAlignment w:val="bottom"/>
              <w:rPr>
                <w:color w:val="000000"/>
                <w:szCs w:val="21"/>
              </w:rPr>
            </w:pPr>
            <w:r>
              <w:rPr>
                <w:color w:val="000000"/>
                <w:szCs w:val="21"/>
              </w:rPr>
              <w:t>H51</w:t>
            </w:r>
            <w:r>
              <w:rPr>
                <w:color w:val="000000"/>
                <w:szCs w:val="21"/>
              </w:rPr>
              <w:t>注水支干线</w:t>
            </w:r>
          </w:p>
        </w:tc>
        <w:tc>
          <w:tcPr>
            <w:tcW w:w="533" w:type="pct"/>
            <w:tcBorders>
              <w:tl2br w:val="nil"/>
              <w:tr2bl w:val="nil"/>
            </w:tcBorders>
            <w:shd w:val="clear" w:color="auto" w:fill="auto"/>
            <w:vAlign w:val="center"/>
          </w:tcPr>
          <w:p w14:paraId="54EBE203" w14:textId="77777777" w:rsidR="003D6A63" w:rsidRDefault="00000000">
            <w:pPr>
              <w:widowControl/>
              <w:jc w:val="center"/>
              <w:textAlignment w:val="bottom"/>
              <w:rPr>
                <w:color w:val="000000"/>
                <w:szCs w:val="21"/>
              </w:rPr>
            </w:pPr>
            <w:r>
              <w:rPr>
                <w:color w:val="000000"/>
                <w:szCs w:val="21"/>
              </w:rPr>
              <w:t>350</w:t>
            </w:r>
          </w:p>
        </w:tc>
        <w:tc>
          <w:tcPr>
            <w:tcW w:w="562" w:type="pct"/>
            <w:tcBorders>
              <w:tl2br w:val="nil"/>
              <w:tr2bl w:val="nil"/>
            </w:tcBorders>
            <w:shd w:val="clear" w:color="auto" w:fill="auto"/>
            <w:vAlign w:val="center"/>
          </w:tcPr>
          <w:p w14:paraId="784A69A0" w14:textId="77777777" w:rsidR="003D6A63" w:rsidRDefault="00000000">
            <w:pPr>
              <w:widowControl/>
              <w:jc w:val="center"/>
              <w:textAlignment w:val="bottom"/>
              <w:rPr>
                <w:color w:val="000000"/>
                <w:szCs w:val="21"/>
              </w:rPr>
            </w:pPr>
            <w:r>
              <w:rPr>
                <w:color w:val="000000"/>
                <w:szCs w:val="21"/>
              </w:rPr>
              <w:t>89</w:t>
            </w:r>
          </w:p>
        </w:tc>
        <w:tc>
          <w:tcPr>
            <w:tcW w:w="533" w:type="pct"/>
            <w:tcBorders>
              <w:tl2br w:val="nil"/>
              <w:tr2bl w:val="nil"/>
            </w:tcBorders>
            <w:shd w:val="clear" w:color="auto" w:fill="auto"/>
            <w:vAlign w:val="center"/>
          </w:tcPr>
          <w:p w14:paraId="59C3057A" w14:textId="77777777" w:rsidR="003D6A63" w:rsidRDefault="00000000">
            <w:pPr>
              <w:widowControl/>
              <w:jc w:val="center"/>
              <w:textAlignment w:val="bottom"/>
              <w:rPr>
                <w:color w:val="000000"/>
                <w:szCs w:val="21"/>
              </w:rPr>
            </w:pPr>
            <w:r>
              <w:rPr>
                <w:color w:val="000000"/>
                <w:szCs w:val="21"/>
              </w:rPr>
              <w:t>/</w:t>
            </w:r>
          </w:p>
        </w:tc>
        <w:tc>
          <w:tcPr>
            <w:tcW w:w="783" w:type="pct"/>
            <w:tcBorders>
              <w:tl2br w:val="nil"/>
              <w:tr2bl w:val="nil"/>
            </w:tcBorders>
            <w:shd w:val="clear" w:color="auto" w:fill="auto"/>
            <w:vAlign w:val="center"/>
          </w:tcPr>
          <w:p w14:paraId="29B5F7F5" w14:textId="77777777" w:rsidR="003D6A63" w:rsidRDefault="00000000">
            <w:pPr>
              <w:widowControl/>
              <w:jc w:val="center"/>
              <w:textAlignment w:val="bottom"/>
              <w:rPr>
                <w:color w:val="000000"/>
                <w:szCs w:val="21"/>
              </w:rPr>
            </w:pPr>
            <w:r>
              <w:rPr>
                <w:color w:val="000000"/>
                <w:szCs w:val="21"/>
              </w:rPr>
              <w:t>柔性复合管</w:t>
            </w:r>
          </w:p>
        </w:tc>
      </w:tr>
      <w:tr w:rsidR="003D6A63" w14:paraId="496A0C79" w14:textId="77777777">
        <w:trPr>
          <w:trHeight w:val="340"/>
        </w:trPr>
        <w:tc>
          <w:tcPr>
            <w:tcW w:w="461" w:type="pct"/>
            <w:vMerge/>
            <w:tcBorders>
              <w:tl2br w:val="nil"/>
              <w:tr2bl w:val="nil"/>
            </w:tcBorders>
            <w:shd w:val="clear" w:color="auto" w:fill="auto"/>
            <w:vAlign w:val="center"/>
          </w:tcPr>
          <w:p w14:paraId="34673612" w14:textId="77777777" w:rsidR="003D6A63" w:rsidRDefault="003D6A63">
            <w:pPr>
              <w:widowControl/>
              <w:jc w:val="center"/>
              <w:textAlignment w:val="bottom"/>
              <w:rPr>
                <w:color w:val="000000"/>
                <w:szCs w:val="21"/>
              </w:rPr>
            </w:pPr>
          </w:p>
        </w:tc>
        <w:tc>
          <w:tcPr>
            <w:tcW w:w="2124" w:type="pct"/>
            <w:tcBorders>
              <w:tl2br w:val="nil"/>
              <w:tr2bl w:val="nil"/>
            </w:tcBorders>
            <w:shd w:val="clear" w:color="auto" w:fill="auto"/>
            <w:vAlign w:val="center"/>
          </w:tcPr>
          <w:p w14:paraId="76921060" w14:textId="77777777" w:rsidR="003D6A63" w:rsidRDefault="00000000">
            <w:pPr>
              <w:widowControl/>
              <w:jc w:val="center"/>
              <w:textAlignment w:val="bottom"/>
              <w:rPr>
                <w:color w:val="000000"/>
                <w:szCs w:val="21"/>
              </w:rPr>
            </w:pPr>
            <w:r>
              <w:rPr>
                <w:color w:val="000000"/>
                <w:szCs w:val="21"/>
              </w:rPr>
              <w:t>67-8</w:t>
            </w:r>
            <w:r>
              <w:rPr>
                <w:color w:val="000000"/>
                <w:szCs w:val="21"/>
              </w:rPr>
              <w:t>低压供水</w:t>
            </w:r>
          </w:p>
        </w:tc>
        <w:tc>
          <w:tcPr>
            <w:tcW w:w="533" w:type="pct"/>
            <w:tcBorders>
              <w:tl2br w:val="nil"/>
              <w:tr2bl w:val="nil"/>
            </w:tcBorders>
            <w:shd w:val="clear" w:color="auto" w:fill="auto"/>
            <w:vAlign w:val="center"/>
          </w:tcPr>
          <w:p w14:paraId="5C8B29C9" w14:textId="77777777" w:rsidR="003D6A63" w:rsidRDefault="00000000">
            <w:pPr>
              <w:widowControl/>
              <w:jc w:val="center"/>
              <w:textAlignment w:val="bottom"/>
              <w:rPr>
                <w:color w:val="000000"/>
                <w:szCs w:val="21"/>
              </w:rPr>
            </w:pPr>
            <w:r>
              <w:rPr>
                <w:color w:val="000000"/>
                <w:szCs w:val="21"/>
              </w:rPr>
              <w:t>265</w:t>
            </w:r>
          </w:p>
        </w:tc>
        <w:tc>
          <w:tcPr>
            <w:tcW w:w="562" w:type="pct"/>
            <w:tcBorders>
              <w:tl2br w:val="nil"/>
              <w:tr2bl w:val="nil"/>
            </w:tcBorders>
            <w:shd w:val="clear" w:color="auto" w:fill="auto"/>
            <w:vAlign w:val="center"/>
          </w:tcPr>
          <w:p w14:paraId="61CEE80C" w14:textId="77777777" w:rsidR="003D6A63" w:rsidRDefault="00000000">
            <w:pPr>
              <w:widowControl/>
              <w:jc w:val="center"/>
              <w:textAlignment w:val="bottom"/>
              <w:rPr>
                <w:color w:val="000000"/>
                <w:szCs w:val="21"/>
              </w:rPr>
            </w:pPr>
            <w:r>
              <w:rPr>
                <w:color w:val="000000"/>
                <w:szCs w:val="21"/>
              </w:rPr>
              <w:t>80</w:t>
            </w:r>
          </w:p>
        </w:tc>
        <w:tc>
          <w:tcPr>
            <w:tcW w:w="533" w:type="pct"/>
            <w:tcBorders>
              <w:tl2br w:val="nil"/>
              <w:tr2bl w:val="nil"/>
            </w:tcBorders>
            <w:shd w:val="clear" w:color="auto" w:fill="auto"/>
            <w:vAlign w:val="center"/>
          </w:tcPr>
          <w:p w14:paraId="59A90101" w14:textId="77777777" w:rsidR="003D6A63" w:rsidRDefault="00000000">
            <w:pPr>
              <w:widowControl/>
              <w:jc w:val="center"/>
              <w:textAlignment w:val="bottom"/>
              <w:rPr>
                <w:color w:val="000000"/>
                <w:szCs w:val="21"/>
              </w:rPr>
            </w:pPr>
            <w:r>
              <w:rPr>
                <w:color w:val="000000"/>
                <w:szCs w:val="21"/>
              </w:rPr>
              <w:t>/</w:t>
            </w:r>
          </w:p>
        </w:tc>
        <w:tc>
          <w:tcPr>
            <w:tcW w:w="783" w:type="pct"/>
            <w:tcBorders>
              <w:tl2br w:val="nil"/>
              <w:tr2bl w:val="nil"/>
            </w:tcBorders>
            <w:shd w:val="clear" w:color="auto" w:fill="auto"/>
            <w:vAlign w:val="center"/>
          </w:tcPr>
          <w:p w14:paraId="43986BBD" w14:textId="77777777" w:rsidR="003D6A63" w:rsidRDefault="00000000">
            <w:pPr>
              <w:widowControl/>
              <w:jc w:val="center"/>
              <w:textAlignment w:val="bottom"/>
              <w:rPr>
                <w:color w:val="000000"/>
                <w:szCs w:val="21"/>
              </w:rPr>
            </w:pPr>
            <w:r>
              <w:rPr>
                <w:color w:val="000000"/>
                <w:szCs w:val="21"/>
              </w:rPr>
              <w:t>柔性复合管</w:t>
            </w:r>
          </w:p>
        </w:tc>
      </w:tr>
    </w:tbl>
    <w:p w14:paraId="046D5D7F" w14:textId="77777777" w:rsidR="003D6A63" w:rsidRDefault="00000000">
      <w:pPr>
        <w:pStyle w:val="3"/>
        <w:keepNext w:val="0"/>
        <w:keepLines w:val="0"/>
        <w:adjustRightInd w:val="0"/>
        <w:snapToGrid w:val="0"/>
        <w:spacing w:beforeLines="50" w:before="120" w:after="0" w:line="360" w:lineRule="auto"/>
        <w:rPr>
          <w:rFonts w:eastAsia="黑体"/>
          <w:b w:val="0"/>
          <w:spacing w:val="0"/>
          <w:sz w:val="24"/>
          <w:szCs w:val="24"/>
        </w:rPr>
      </w:pPr>
      <w:r>
        <w:rPr>
          <w:rFonts w:eastAsia="黑体" w:hint="eastAsia"/>
          <w:b w:val="0"/>
          <w:spacing w:val="0"/>
          <w:sz w:val="24"/>
          <w:szCs w:val="24"/>
        </w:rPr>
        <w:t xml:space="preserve">2.3.3  </w:t>
      </w:r>
      <w:r>
        <w:rPr>
          <w:rFonts w:eastAsia="黑体" w:hint="eastAsia"/>
          <w:b w:val="0"/>
          <w:spacing w:val="0"/>
          <w:sz w:val="24"/>
          <w:szCs w:val="24"/>
        </w:rPr>
        <w:t>油气集输系统</w:t>
      </w:r>
    </w:p>
    <w:p w14:paraId="72A874F3" w14:textId="77777777" w:rsidR="003D6A63" w:rsidRDefault="00000000">
      <w:pPr>
        <w:adjustRightInd w:val="0"/>
        <w:snapToGrid w:val="0"/>
        <w:spacing w:line="360" w:lineRule="auto"/>
        <w:ind w:firstLine="561"/>
        <w:rPr>
          <w:kern w:val="0"/>
          <w:sz w:val="24"/>
        </w:rPr>
      </w:pPr>
      <w:r>
        <w:rPr>
          <w:rFonts w:hint="eastAsia"/>
          <w:kern w:val="0"/>
          <w:sz w:val="24"/>
        </w:rPr>
        <w:t>公司主要从事原油生产，其主要生产环节是由抽油设备（游梁式抽油机、皮带式抽油机等）把原油从地下举升到地面，经过计量、化验含水，通过管输或罐车送往河</w:t>
      </w:r>
      <w:r>
        <w:rPr>
          <w:rFonts w:hint="eastAsia"/>
          <w:kern w:val="0"/>
          <w:sz w:val="24"/>
        </w:rPr>
        <w:t>50</w:t>
      </w:r>
      <w:r>
        <w:rPr>
          <w:rFonts w:hint="eastAsia"/>
          <w:kern w:val="0"/>
          <w:sz w:val="24"/>
        </w:rPr>
        <w:t>接转站或滨五联合站卸油台。中胜公司油气处理设备见表</w:t>
      </w:r>
      <w:r>
        <w:rPr>
          <w:rFonts w:hint="eastAsia"/>
          <w:kern w:val="0"/>
          <w:sz w:val="24"/>
        </w:rPr>
        <w:t>2.3-3</w:t>
      </w:r>
      <w:r>
        <w:rPr>
          <w:rFonts w:hint="eastAsia"/>
          <w:kern w:val="0"/>
          <w:sz w:val="24"/>
        </w:rPr>
        <w:t>、集油管线台账见表</w:t>
      </w:r>
      <w:r>
        <w:rPr>
          <w:rFonts w:hint="eastAsia"/>
          <w:kern w:val="0"/>
          <w:sz w:val="24"/>
        </w:rPr>
        <w:t>2.3-4</w:t>
      </w:r>
      <w:r>
        <w:rPr>
          <w:rFonts w:hint="eastAsia"/>
          <w:kern w:val="0"/>
          <w:sz w:val="24"/>
        </w:rPr>
        <w:t>。</w:t>
      </w:r>
    </w:p>
    <w:p w14:paraId="439B87BC" w14:textId="77777777" w:rsidR="003D6A63" w:rsidRDefault="00000000">
      <w:pPr>
        <w:pStyle w:val="nlw1"/>
        <w:adjustRightInd w:val="0"/>
        <w:snapToGrid w:val="0"/>
        <w:spacing w:line="360" w:lineRule="auto"/>
        <w:ind w:firstLineChars="0" w:firstLine="0"/>
        <w:jc w:val="center"/>
        <w:rPr>
          <w:lang w:val="en-US"/>
        </w:rPr>
      </w:pPr>
      <w:r>
        <w:rPr>
          <w:rFonts w:ascii="Times New Roman" w:eastAsia="黑体" w:hAnsi="Times New Roman" w:hint="eastAsia"/>
          <w:sz w:val="21"/>
          <w:szCs w:val="21"/>
          <w:lang w:val="en-US"/>
        </w:rPr>
        <w:t>表</w:t>
      </w:r>
      <w:r>
        <w:rPr>
          <w:rFonts w:ascii="Times New Roman" w:eastAsia="黑体" w:hAnsi="Times New Roman" w:hint="eastAsia"/>
          <w:sz w:val="21"/>
          <w:szCs w:val="21"/>
          <w:lang w:val="en-US"/>
        </w:rPr>
        <w:t xml:space="preserve">2.3-3 </w:t>
      </w:r>
      <w:r>
        <w:rPr>
          <w:rFonts w:ascii="Times New Roman" w:eastAsia="黑体" w:hAnsi="Times New Roman" w:hint="eastAsia"/>
          <w:sz w:val="21"/>
          <w:szCs w:val="21"/>
          <w:lang w:val="en-US"/>
        </w:rPr>
        <w:t>中胜公司油气处理台账</w:t>
      </w:r>
    </w:p>
    <w:tbl>
      <w:tblPr>
        <w:tblW w:w="4998"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2839"/>
        <w:gridCol w:w="3456"/>
        <w:gridCol w:w="958"/>
        <w:gridCol w:w="2031"/>
      </w:tblGrid>
      <w:tr w:rsidR="003D6A63" w14:paraId="564882AA" w14:textId="77777777">
        <w:trPr>
          <w:trHeight w:val="280"/>
        </w:trPr>
        <w:tc>
          <w:tcPr>
            <w:tcW w:w="1528" w:type="pct"/>
            <w:tcBorders>
              <w:tl2br w:val="nil"/>
              <w:tr2bl w:val="nil"/>
            </w:tcBorders>
            <w:shd w:val="clear" w:color="auto" w:fill="auto"/>
            <w:noWrap/>
            <w:vAlign w:val="center"/>
          </w:tcPr>
          <w:p w14:paraId="40B32212"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分离器型号</w:t>
            </w:r>
          </w:p>
        </w:tc>
        <w:tc>
          <w:tcPr>
            <w:tcW w:w="1860" w:type="pct"/>
            <w:tcBorders>
              <w:tl2br w:val="nil"/>
              <w:tr2bl w:val="nil"/>
            </w:tcBorders>
            <w:shd w:val="clear" w:color="auto" w:fill="auto"/>
            <w:noWrap/>
            <w:vAlign w:val="center"/>
          </w:tcPr>
          <w:p w14:paraId="332EE029"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型号</w:t>
            </w:r>
          </w:p>
        </w:tc>
        <w:tc>
          <w:tcPr>
            <w:tcW w:w="516" w:type="pct"/>
            <w:tcBorders>
              <w:tl2br w:val="nil"/>
              <w:tr2bl w:val="nil"/>
            </w:tcBorders>
            <w:shd w:val="clear" w:color="auto" w:fill="auto"/>
            <w:noWrap/>
            <w:vAlign w:val="center"/>
          </w:tcPr>
          <w:p w14:paraId="285A53A5"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材质</w:t>
            </w:r>
          </w:p>
        </w:tc>
        <w:tc>
          <w:tcPr>
            <w:tcW w:w="1094" w:type="pct"/>
            <w:tcBorders>
              <w:tl2br w:val="nil"/>
              <w:tr2bl w:val="nil"/>
            </w:tcBorders>
            <w:shd w:val="clear" w:color="auto" w:fill="auto"/>
            <w:noWrap/>
            <w:vAlign w:val="center"/>
          </w:tcPr>
          <w:p w14:paraId="2C47B71C"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设计压力/温度</w:t>
            </w:r>
          </w:p>
        </w:tc>
      </w:tr>
      <w:tr w:rsidR="003D6A63" w14:paraId="218BBDF4" w14:textId="77777777">
        <w:trPr>
          <w:trHeight w:val="300"/>
        </w:trPr>
        <w:tc>
          <w:tcPr>
            <w:tcW w:w="1528" w:type="pct"/>
            <w:tcBorders>
              <w:tl2br w:val="nil"/>
              <w:tr2bl w:val="nil"/>
            </w:tcBorders>
            <w:shd w:val="clear" w:color="auto" w:fill="auto"/>
            <w:noWrap/>
            <w:vAlign w:val="center"/>
          </w:tcPr>
          <w:p w14:paraId="36C99743"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河55站量油分离器</w:t>
            </w:r>
          </w:p>
        </w:tc>
        <w:tc>
          <w:tcPr>
            <w:tcW w:w="1860" w:type="pct"/>
            <w:tcBorders>
              <w:tl2br w:val="nil"/>
              <w:tr2bl w:val="nil"/>
            </w:tcBorders>
            <w:shd w:val="clear" w:color="auto" w:fill="auto"/>
            <w:noWrap/>
            <w:vAlign w:val="center"/>
          </w:tcPr>
          <w:p w14:paraId="6EBCC791"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PW1.35MP∮800H=2445</w:t>
            </w:r>
          </w:p>
        </w:tc>
        <w:tc>
          <w:tcPr>
            <w:tcW w:w="516" w:type="pct"/>
            <w:tcBorders>
              <w:tl2br w:val="nil"/>
              <w:tr2bl w:val="nil"/>
            </w:tcBorders>
            <w:shd w:val="clear" w:color="auto" w:fill="auto"/>
            <w:noWrap/>
            <w:vAlign w:val="center"/>
          </w:tcPr>
          <w:p w14:paraId="5B410AE6"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20#钢</w:t>
            </w:r>
          </w:p>
        </w:tc>
        <w:tc>
          <w:tcPr>
            <w:tcW w:w="1094" w:type="pct"/>
            <w:tcBorders>
              <w:tl2br w:val="nil"/>
              <w:tr2bl w:val="nil"/>
            </w:tcBorders>
            <w:shd w:val="clear" w:color="auto" w:fill="auto"/>
            <w:noWrap/>
            <w:vAlign w:val="center"/>
          </w:tcPr>
          <w:p w14:paraId="694BF1E5"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1.35MP/90°</w:t>
            </w:r>
          </w:p>
        </w:tc>
      </w:tr>
      <w:tr w:rsidR="003D6A63" w14:paraId="7BD9DA04" w14:textId="77777777">
        <w:trPr>
          <w:trHeight w:val="300"/>
        </w:trPr>
        <w:tc>
          <w:tcPr>
            <w:tcW w:w="1528" w:type="pct"/>
            <w:tcBorders>
              <w:tl2br w:val="nil"/>
              <w:tr2bl w:val="nil"/>
            </w:tcBorders>
            <w:shd w:val="clear" w:color="auto" w:fill="auto"/>
            <w:noWrap/>
            <w:vAlign w:val="center"/>
          </w:tcPr>
          <w:p w14:paraId="0902F25D"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河67-8站量油分离器</w:t>
            </w:r>
          </w:p>
        </w:tc>
        <w:tc>
          <w:tcPr>
            <w:tcW w:w="1860" w:type="pct"/>
            <w:tcBorders>
              <w:tl2br w:val="nil"/>
              <w:tr2bl w:val="nil"/>
            </w:tcBorders>
            <w:shd w:val="clear" w:color="auto" w:fill="auto"/>
            <w:noWrap/>
            <w:vAlign w:val="center"/>
          </w:tcPr>
          <w:p w14:paraId="5118A084"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PW1.56MP∮800H=2300</w:t>
            </w:r>
          </w:p>
        </w:tc>
        <w:tc>
          <w:tcPr>
            <w:tcW w:w="516" w:type="pct"/>
            <w:tcBorders>
              <w:tl2br w:val="nil"/>
              <w:tr2bl w:val="nil"/>
            </w:tcBorders>
            <w:shd w:val="clear" w:color="auto" w:fill="auto"/>
            <w:noWrap/>
            <w:vAlign w:val="center"/>
          </w:tcPr>
          <w:p w14:paraId="38D2D3C7"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20#钢</w:t>
            </w:r>
          </w:p>
        </w:tc>
        <w:tc>
          <w:tcPr>
            <w:tcW w:w="1094" w:type="pct"/>
            <w:tcBorders>
              <w:tl2br w:val="nil"/>
              <w:tr2bl w:val="nil"/>
            </w:tcBorders>
            <w:shd w:val="clear" w:color="auto" w:fill="auto"/>
            <w:noWrap/>
            <w:vAlign w:val="center"/>
          </w:tcPr>
          <w:p w14:paraId="0B133B62"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1.56MP/90°</w:t>
            </w:r>
          </w:p>
        </w:tc>
      </w:tr>
      <w:tr w:rsidR="003D6A63" w14:paraId="42803F7E" w14:textId="77777777">
        <w:trPr>
          <w:trHeight w:val="300"/>
        </w:trPr>
        <w:tc>
          <w:tcPr>
            <w:tcW w:w="1528" w:type="pct"/>
            <w:tcBorders>
              <w:tl2br w:val="nil"/>
              <w:tr2bl w:val="nil"/>
            </w:tcBorders>
            <w:shd w:val="clear" w:color="auto" w:fill="auto"/>
            <w:noWrap/>
            <w:vAlign w:val="center"/>
          </w:tcPr>
          <w:p w14:paraId="6F8DCD3A"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H57-5站量油分离器</w:t>
            </w:r>
          </w:p>
        </w:tc>
        <w:tc>
          <w:tcPr>
            <w:tcW w:w="1860" w:type="pct"/>
            <w:tcBorders>
              <w:tl2br w:val="nil"/>
              <w:tr2bl w:val="nil"/>
            </w:tcBorders>
            <w:shd w:val="clear" w:color="auto" w:fill="auto"/>
            <w:noWrap/>
            <w:vAlign w:val="center"/>
          </w:tcPr>
          <w:p w14:paraId="2E071AFD"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PW1.6MP∮800H=2430</w:t>
            </w:r>
          </w:p>
        </w:tc>
        <w:tc>
          <w:tcPr>
            <w:tcW w:w="516" w:type="pct"/>
            <w:tcBorders>
              <w:tl2br w:val="nil"/>
              <w:tr2bl w:val="nil"/>
            </w:tcBorders>
            <w:shd w:val="clear" w:color="auto" w:fill="auto"/>
            <w:noWrap/>
            <w:vAlign w:val="center"/>
          </w:tcPr>
          <w:p w14:paraId="61A32B8F"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20#钢</w:t>
            </w:r>
          </w:p>
        </w:tc>
        <w:tc>
          <w:tcPr>
            <w:tcW w:w="1094" w:type="pct"/>
            <w:tcBorders>
              <w:tl2br w:val="nil"/>
              <w:tr2bl w:val="nil"/>
            </w:tcBorders>
            <w:shd w:val="clear" w:color="auto" w:fill="auto"/>
            <w:noWrap/>
            <w:vAlign w:val="center"/>
          </w:tcPr>
          <w:p w14:paraId="4BCAEA02"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1.6MP/90°</w:t>
            </w:r>
          </w:p>
        </w:tc>
      </w:tr>
      <w:tr w:rsidR="003D6A63" w14:paraId="7995F8AF" w14:textId="77777777">
        <w:trPr>
          <w:trHeight w:val="300"/>
        </w:trPr>
        <w:tc>
          <w:tcPr>
            <w:tcW w:w="1528" w:type="pct"/>
            <w:tcBorders>
              <w:tl2br w:val="nil"/>
              <w:tr2bl w:val="nil"/>
            </w:tcBorders>
            <w:shd w:val="clear" w:color="auto" w:fill="auto"/>
            <w:noWrap/>
            <w:vAlign w:val="center"/>
          </w:tcPr>
          <w:p w14:paraId="4D10ACC6"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河50站三相分离器</w:t>
            </w:r>
          </w:p>
        </w:tc>
        <w:tc>
          <w:tcPr>
            <w:tcW w:w="1860" w:type="pct"/>
            <w:tcBorders>
              <w:tl2br w:val="nil"/>
              <w:tr2bl w:val="nil"/>
            </w:tcBorders>
            <w:shd w:val="clear" w:color="auto" w:fill="auto"/>
            <w:noWrap/>
            <w:vAlign w:val="center"/>
          </w:tcPr>
          <w:p w14:paraId="13C10644"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Pw0.6MPa Φ2400×10700</w:t>
            </w:r>
          </w:p>
        </w:tc>
        <w:tc>
          <w:tcPr>
            <w:tcW w:w="516" w:type="pct"/>
            <w:tcBorders>
              <w:tl2br w:val="nil"/>
              <w:tr2bl w:val="nil"/>
            </w:tcBorders>
            <w:shd w:val="clear" w:color="auto" w:fill="auto"/>
            <w:noWrap/>
            <w:vAlign w:val="center"/>
          </w:tcPr>
          <w:p w14:paraId="6F1A2C7A"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20#钢</w:t>
            </w:r>
          </w:p>
        </w:tc>
        <w:tc>
          <w:tcPr>
            <w:tcW w:w="1094" w:type="pct"/>
            <w:tcBorders>
              <w:tl2br w:val="nil"/>
              <w:tr2bl w:val="nil"/>
            </w:tcBorders>
            <w:shd w:val="clear" w:color="auto" w:fill="auto"/>
            <w:noWrap/>
            <w:vAlign w:val="center"/>
          </w:tcPr>
          <w:p w14:paraId="5A2932FD"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0.6MPa/90°</w:t>
            </w:r>
          </w:p>
        </w:tc>
      </w:tr>
      <w:tr w:rsidR="003D6A63" w14:paraId="2A943819" w14:textId="77777777">
        <w:trPr>
          <w:trHeight w:val="300"/>
        </w:trPr>
        <w:tc>
          <w:tcPr>
            <w:tcW w:w="1528" w:type="pct"/>
            <w:tcBorders>
              <w:tl2br w:val="nil"/>
              <w:tr2bl w:val="nil"/>
            </w:tcBorders>
            <w:shd w:val="clear" w:color="auto" w:fill="auto"/>
            <w:noWrap/>
            <w:vAlign w:val="center"/>
          </w:tcPr>
          <w:p w14:paraId="09725D8B"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G20-X1三相分离器</w:t>
            </w:r>
          </w:p>
        </w:tc>
        <w:tc>
          <w:tcPr>
            <w:tcW w:w="1860" w:type="pct"/>
            <w:tcBorders>
              <w:tl2br w:val="nil"/>
              <w:tr2bl w:val="nil"/>
            </w:tcBorders>
            <w:shd w:val="clear" w:color="auto" w:fill="auto"/>
            <w:noWrap/>
            <w:vAlign w:val="center"/>
          </w:tcPr>
          <w:p w14:paraId="037B5CAA"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Pw0.3Mpa φ1200*5666</w:t>
            </w:r>
          </w:p>
        </w:tc>
        <w:tc>
          <w:tcPr>
            <w:tcW w:w="516" w:type="pct"/>
            <w:tcBorders>
              <w:tl2br w:val="nil"/>
              <w:tr2bl w:val="nil"/>
            </w:tcBorders>
            <w:shd w:val="clear" w:color="auto" w:fill="auto"/>
            <w:noWrap/>
            <w:vAlign w:val="center"/>
          </w:tcPr>
          <w:p w14:paraId="2E9E9DF5"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20#钢</w:t>
            </w:r>
          </w:p>
        </w:tc>
        <w:tc>
          <w:tcPr>
            <w:tcW w:w="1094" w:type="pct"/>
            <w:tcBorders>
              <w:tl2br w:val="nil"/>
              <w:tr2bl w:val="nil"/>
            </w:tcBorders>
            <w:shd w:val="clear" w:color="auto" w:fill="auto"/>
            <w:noWrap/>
            <w:vAlign w:val="center"/>
          </w:tcPr>
          <w:p w14:paraId="161E7C53"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0.3Mpa/90°</w:t>
            </w:r>
          </w:p>
        </w:tc>
      </w:tr>
      <w:tr w:rsidR="003D6A63" w14:paraId="5117D17C" w14:textId="77777777">
        <w:trPr>
          <w:trHeight w:val="300"/>
        </w:trPr>
        <w:tc>
          <w:tcPr>
            <w:tcW w:w="1528" w:type="pct"/>
            <w:tcBorders>
              <w:tl2br w:val="nil"/>
              <w:tr2bl w:val="nil"/>
            </w:tcBorders>
            <w:shd w:val="clear" w:color="auto" w:fill="auto"/>
            <w:noWrap/>
            <w:vAlign w:val="center"/>
          </w:tcPr>
          <w:p w14:paraId="1338D68D"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G20-X1立式分离器</w:t>
            </w:r>
          </w:p>
        </w:tc>
        <w:tc>
          <w:tcPr>
            <w:tcW w:w="1860" w:type="pct"/>
            <w:tcBorders>
              <w:tl2br w:val="nil"/>
              <w:tr2bl w:val="nil"/>
            </w:tcBorders>
            <w:shd w:val="clear" w:color="auto" w:fill="auto"/>
            <w:noWrap/>
            <w:vAlign w:val="center"/>
          </w:tcPr>
          <w:p w14:paraId="068B8CEF"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Pw0.6MPa φ1200 H=4600</w:t>
            </w:r>
          </w:p>
        </w:tc>
        <w:tc>
          <w:tcPr>
            <w:tcW w:w="516" w:type="pct"/>
            <w:tcBorders>
              <w:tl2br w:val="nil"/>
              <w:tr2bl w:val="nil"/>
            </w:tcBorders>
            <w:shd w:val="clear" w:color="auto" w:fill="auto"/>
            <w:noWrap/>
            <w:vAlign w:val="center"/>
          </w:tcPr>
          <w:p w14:paraId="32AA58A9"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20#钢</w:t>
            </w:r>
          </w:p>
        </w:tc>
        <w:tc>
          <w:tcPr>
            <w:tcW w:w="1094" w:type="pct"/>
            <w:tcBorders>
              <w:tl2br w:val="nil"/>
              <w:tr2bl w:val="nil"/>
            </w:tcBorders>
            <w:shd w:val="clear" w:color="auto" w:fill="auto"/>
            <w:noWrap/>
            <w:vAlign w:val="center"/>
          </w:tcPr>
          <w:p w14:paraId="4C1808D6"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0.6MPa/90°</w:t>
            </w:r>
          </w:p>
        </w:tc>
      </w:tr>
    </w:tbl>
    <w:p w14:paraId="19CC506D" w14:textId="77777777" w:rsidR="003D6A63" w:rsidRDefault="00000000">
      <w:pPr>
        <w:pStyle w:val="nlw1"/>
        <w:adjustRightInd w:val="0"/>
        <w:snapToGrid w:val="0"/>
        <w:spacing w:beforeLines="50" w:before="120" w:line="360" w:lineRule="auto"/>
        <w:ind w:firstLineChars="0" w:firstLine="0"/>
        <w:jc w:val="center"/>
        <w:rPr>
          <w:rFonts w:ascii="Times New Roman" w:eastAsia="黑体" w:hAnsi="Times New Roman"/>
          <w:sz w:val="21"/>
          <w:szCs w:val="21"/>
          <w:lang w:val="en-US"/>
        </w:rPr>
      </w:pPr>
      <w:r>
        <w:rPr>
          <w:rFonts w:ascii="Times New Roman" w:eastAsia="黑体" w:hAnsi="Times New Roman" w:hint="eastAsia"/>
          <w:sz w:val="21"/>
          <w:szCs w:val="21"/>
          <w:lang w:val="en-US"/>
        </w:rPr>
        <w:t>表</w:t>
      </w:r>
      <w:r>
        <w:rPr>
          <w:rFonts w:ascii="Times New Roman" w:eastAsia="黑体" w:hAnsi="Times New Roman" w:hint="eastAsia"/>
          <w:sz w:val="21"/>
          <w:szCs w:val="21"/>
          <w:lang w:val="en-US"/>
        </w:rPr>
        <w:t xml:space="preserve">2.3-4 </w:t>
      </w:r>
      <w:r>
        <w:rPr>
          <w:rFonts w:ascii="Times New Roman" w:eastAsia="黑体" w:hAnsi="Times New Roman" w:hint="eastAsia"/>
          <w:sz w:val="21"/>
          <w:szCs w:val="21"/>
          <w:lang w:val="en-US"/>
        </w:rPr>
        <w:t>中胜公司集油管线台账</w:t>
      </w:r>
    </w:p>
    <w:tbl>
      <w:tblPr>
        <w:tblW w:w="4998"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244"/>
        <w:gridCol w:w="2841"/>
        <w:gridCol w:w="1285"/>
        <w:gridCol w:w="1276"/>
        <w:gridCol w:w="1268"/>
        <w:gridCol w:w="1370"/>
      </w:tblGrid>
      <w:tr w:rsidR="003D6A63" w14:paraId="78306ACA" w14:textId="77777777">
        <w:trPr>
          <w:trHeight w:val="340"/>
          <w:tblHeader/>
        </w:trPr>
        <w:tc>
          <w:tcPr>
            <w:tcW w:w="809" w:type="pct"/>
            <w:tcBorders>
              <w:tl2br w:val="nil"/>
              <w:tr2bl w:val="nil"/>
            </w:tcBorders>
            <w:shd w:val="clear" w:color="auto" w:fill="auto"/>
            <w:vAlign w:val="center"/>
          </w:tcPr>
          <w:p w14:paraId="4E3618EC"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开发区</w:t>
            </w:r>
          </w:p>
        </w:tc>
        <w:tc>
          <w:tcPr>
            <w:tcW w:w="831" w:type="pct"/>
            <w:tcBorders>
              <w:tl2br w:val="nil"/>
              <w:tr2bl w:val="nil"/>
            </w:tcBorders>
            <w:shd w:val="clear" w:color="auto" w:fill="auto"/>
            <w:vAlign w:val="center"/>
          </w:tcPr>
          <w:p w14:paraId="0C66FFD6"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管线名称</w:t>
            </w:r>
          </w:p>
        </w:tc>
        <w:tc>
          <w:tcPr>
            <w:tcW w:w="831" w:type="pct"/>
            <w:tcBorders>
              <w:tl2br w:val="nil"/>
              <w:tr2bl w:val="nil"/>
            </w:tcBorders>
            <w:shd w:val="clear" w:color="auto" w:fill="auto"/>
            <w:vAlign w:val="center"/>
          </w:tcPr>
          <w:p w14:paraId="66717002"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长度m</w:t>
            </w:r>
          </w:p>
        </w:tc>
        <w:tc>
          <w:tcPr>
            <w:tcW w:w="826" w:type="pct"/>
            <w:tcBorders>
              <w:tl2br w:val="nil"/>
              <w:tr2bl w:val="nil"/>
            </w:tcBorders>
            <w:shd w:val="clear" w:color="auto" w:fill="auto"/>
            <w:vAlign w:val="center"/>
          </w:tcPr>
          <w:p w14:paraId="28E2F091"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外径mm</w:t>
            </w:r>
          </w:p>
        </w:tc>
        <w:tc>
          <w:tcPr>
            <w:tcW w:w="822" w:type="pct"/>
            <w:tcBorders>
              <w:tl2br w:val="nil"/>
              <w:tr2bl w:val="nil"/>
            </w:tcBorders>
            <w:shd w:val="clear" w:color="auto" w:fill="auto"/>
            <w:vAlign w:val="center"/>
          </w:tcPr>
          <w:p w14:paraId="2533BD79"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壁厚mm</w:t>
            </w:r>
          </w:p>
        </w:tc>
        <w:tc>
          <w:tcPr>
            <w:tcW w:w="877" w:type="pct"/>
            <w:tcBorders>
              <w:tl2br w:val="nil"/>
              <w:tr2bl w:val="nil"/>
            </w:tcBorders>
            <w:shd w:val="clear" w:color="auto" w:fill="auto"/>
            <w:vAlign w:val="center"/>
          </w:tcPr>
          <w:p w14:paraId="4CF899C8"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管线材质</w:t>
            </w:r>
          </w:p>
        </w:tc>
      </w:tr>
      <w:tr w:rsidR="003D6A63" w14:paraId="3A77F19F" w14:textId="77777777">
        <w:trPr>
          <w:trHeight w:val="340"/>
        </w:trPr>
        <w:tc>
          <w:tcPr>
            <w:tcW w:w="809" w:type="pct"/>
            <w:vMerge w:val="restart"/>
            <w:tcBorders>
              <w:tl2br w:val="nil"/>
              <w:tr2bl w:val="nil"/>
            </w:tcBorders>
            <w:shd w:val="clear" w:color="auto" w:fill="auto"/>
            <w:vAlign w:val="center"/>
          </w:tcPr>
          <w:p w14:paraId="747DBF1E"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滨南开发区</w:t>
            </w:r>
          </w:p>
        </w:tc>
        <w:tc>
          <w:tcPr>
            <w:tcW w:w="831" w:type="pct"/>
            <w:tcBorders>
              <w:tl2br w:val="nil"/>
              <w:tr2bl w:val="nil"/>
            </w:tcBorders>
            <w:shd w:val="clear" w:color="auto" w:fill="auto"/>
            <w:vAlign w:val="center"/>
          </w:tcPr>
          <w:p w14:paraId="1719C5EE"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林中20号站至林中16号站外输干线集油干线</w:t>
            </w:r>
          </w:p>
        </w:tc>
        <w:tc>
          <w:tcPr>
            <w:tcW w:w="831" w:type="pct"/>
            <w:tcBorders>
              <w:tl2br w:val="nil"/>
              <w:tr2bl w:val="nil"/>
            </w:tcBorders>
            <w:shd w:val="clear" w:color="auto" w:fill="auto"/>
            <w:vAlign w:val="center"/>
          </w:tcPr>
          <w:p w14:paraId="52CB01D1"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550</w:t>
            </w:r>
          </w:p>
        </w:tc>
        <w:tc>
          <w:tcPr>
            <w:tcW w:w="826" w:type="pct"/>
            <w:tcBorders>
              <w:tl2br w:val="nil"/>
              <w:tr2bl w:val="nil"/>
            </w:tcBorders>
            <w:shd w:val="clear" w:color="auto" w:fill="auto"/>
            <w:vAlign w:val="center"/>
          </w:tcPr>
          <w:p w14:paraId="51119E45"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159</w:t>
            </w:r>
          </w:p>
        </w:tc>
        <w:tc>
          <w:tcPr>
            <w:tcW w:w="822" w:type="pct"/>
            <w:tcBorders>
              <w:tl2br w:val="nil"/>
              <w:tr2bl w:val="nil"/>
            </w:tcBorders>
            <w:shd w:val="clear" w:color="auto" w:fill="auto"/>
            <w:vAlign w:val="center"/>
          </w:tcPr>
          <w:p w14:paraId="2BF193C3"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6</w:t>
            </w:r>
          </w:p>
        </w:tc>
        <w:tc>
          <w:tcPr>
            <w:tcW w:w="877" w:type="pct"/>
            <w:tcBorders>
              <w:tl2br w:val="nil"/>
              <w:tr2bl w:val="nil"/>
            </w:tcBorders>
            <w:shd w:val="clear" w:color="auto" w:fill="auto"/>
            <w:vAlign w:val="center"/>
          </w:tcPr>
          <w:p w14:paraId="6DBE5962"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金属</w:t>
            </w:r>
          </w:p>
        </w:tc>
      </w:tr>
      <w:tr w:rsidR="003D6A63" w14:paraId="7FABF824" w14:textId="77777777">
        <w:trPr>
          <w:trHeight w:val="340"/>
        </w:trPr>
        <w:tc>
          <w:tcPr>
            <w:tcW w:w="809" w:type="pct"/>
            <w:vMerge/>
            <w:tcBorders>
              <w:tl2br w:val="nil"/>
              <w:tr2bl w:val="nil"/>
            </w:tcBorders>
            <w:shd w:val="clear" w:color="auto" w:fill="auto"/>
            <w:vAlign w:val="center"/>
          </w:tcPr>
          <w:p w14:paraId="267D45B1"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vAlign w:val="center"/>
          </w:tcPr>
          <w:p w14:paraId="2EE7647A"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林东13号站至林东11号站外输集油干线</w:t>
            </w:r>
          </w:p>
        </w:tc>
        <w:tc>
          <w:tcPr>
            <w:tcW w:w="831" w:type="pct"/>
            <w:tcBorders>
              <w:tl2br w:val="nil"/>
              <w:tr2bl w:val="nil"/>
            </w:tcBorders>
            <w:shd w:val="clear" w:color="auto" w:fill="auto"/>
            <w:vAlign w:val="center"/>
          </w:tcPr>
          <w:p w14:paraId="7E06799A"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1100</w:t>
            </w:r>
          </w:p>
        </w:tc>
        <w:tc>
          <w:tcPr>
            <w:tcW w:w="826" w:type="pct"/>
            <w:tcBorders>
              <w:tl2br w:val="nil"/>
              <w:tr2bl w:val="nil"/>
            </w:tcBorders>
            <w:shd w:val="clear" w:color="auto" w:fill="auto"/>
            <w:vAlign w:val="center"/>
          </w:tcPr>
          <w:p w14:paraId="59740E9E"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159</w:t>
            </w:r>
          </w:p>
        </w:tc>
        <w:tc>
          <w:tcPr>
            <w:tcW w:w="822" w:type="pct"/>
            <w:tcBorders>
              <w:tl2br w:val="nil"/>
              <w:tr2bl w:val="nil"/>
            </w:tcBorders>
            <w:shd w:val="clear" w:color="auto" w:fill="auto"/>
            <w:vAlign w:val="center"/>
          </w:tcPr>
          <w:p w14:paraId="54619F09"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6</w:t>
            </w:r>
          </w:p>
        </w:tc>
        <w:tc>
          <w:tcPr>
            <w:tcW w:w="877" w:type="pct"/>
            <w:tcBorders>
              <w:tl2br w:val="nil"/>
              <w:tr2bl w:val="nil"/>
            </w:tcBorders>
            <w:shd w:val="clear" w:color="auto" w:fill="auto"/>
            <w:vAlign w:val="center"/>
          </w:tcPr>
          <w:p w14:paraId="401EFBBA"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金属</w:t>
            </w:r>
          </w:p>
        </w:tc>
      </w:tr>
      <w:tr w:rsidR="003D6A63" w14:paraId="781E7EDE" w14:textId="77777777">
        <w:trPr>
          <w:trHeight w:val="340"/>
        </w:trPr>
        <w:tc>
          <w:tcPr>
            <w:tcW w:w="809" w:type="pct"/>
            <w:vMerge/>
            <w:tcBorders>
              <w:tl2br w:val="nil"/>
              <w:tr2bl w:val="nil"/>
            </w:tcBorders>
            <w:shd w:val="clear" w:color="auto" w:fill="auto"/>
            <w:vAlign w:val="center"/>
          </w:tcPr>
          <w:p w14:paraId="035B7AA9"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vAlign w:val="center"/>
          </w:tcPr>
          <w:p w14:paraId="677D695A"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林东16号站至林东15号站外输集油干线</w:t>
            </w:r>
          </w:p>
        </w:tc>
        <w:tc>
          <w:tcPr>
            <w:tcW w:w="831" w:type="pct"/>
            <w:tcBorders>
              <w:tl2br w:val="nil"/>
              <w:tr2bl w:val="nil"/>
            </w:tcBorders>
            <w:shd w:val="clear" w:color="auto" w:fill="auto"/>
            <w:vAlign w:val="center"/>
          </w:tcPr>
          <w:p w14:paraId="513F983B"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1230</w:t>
            </w:r>
          </w:p>
        </w:tc>
        <w:tc>
          <w:tcPr>
            <w:tcW w:w="826" w:type="pct"/>
            <w:tcBorders>
              <w:tl2br w:val="nil"/>
              <w:tr2bl w:val="nil"/>
            </w:tcBorders>
            <w:shd w:val="clear" w:color="auto" w:fill="auto"/>
            <w:vAlign w:val="center"/>
          </w:tcPr>
          <w:p w14:paraId="0FBFF6EA"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159</w:t>
            </w:r>
          </w:p>
        </w:tc>
        <w:tc>
          <w:tcPr>
            <w:tcW w:w="822" w:type="pct"/>
            <w:tcBorders>
              <w:tl2br w:val="nil"/>
              <w:tr2bl w:val="nil"/>
            </w:tcBorders>
            <w:shd w:val="clear" w:color="auto" w:fill="auto"/>
            <w:vAlign w:val="center"/>
          </w:tcPr>
          <w:p w14:paraId="52701C90"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6</w:t>
            </w:r>
          </w:p>
        </w:tc>
        <w:tc>
          <w:tcPr>
            <w:tcW w:w="877" w:type="pct"/>
            <w:tcBorders>
              <w:tl2br w:val="nil"/>
              <w:tr2bl w:val="nil"/>
            </w:tcBorders>
            <w:shd w:val="clear" w:color="auto" w:fill="auto"/>
            <w:vAlign w:val="center"/>
          </w:tcPr>
          <w:p w14:paraId="3204AAF0"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金属</w:t>
            </w:r>
          </w:p>
        </w:tc>
      </w:tr>
      <w:tr w:rsidR="003D6A63" w14:paraId="2F3F0B93" w14:textId="77777777">
        <w:trPr>
          <w:trHeight w:val="340"/>
        </w:trPr>
        <w:tc>
          <w:tcPr>
            <w:tcW w:w="809" w:type="pct"/>
            <w:vMerge/>
            <w:tcBorders>
              <w:tl2br w:val="nil"/>
              <w:tr2bl w:val="nil"/>
            </w:tcBorders>
            <w:shd w:val="clear" w:color="auto" w:fill="auto"/>
            <w:vAlign w:val="center"/>
          </w:tcPr>
          <w:p w14:paraId="44F60801"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vAlign w:val="center"/>
          </w:tcPr>
          <w:p w14:paraId="2D9DE3DC"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林东12号站至林东11号站外输集油干线</w:t>
            </w:r>
          </w:p>
        </w:tc>
        <w:tc>
          <w:tcPr>
            <w:tcW w:w="831" w:type="pct"/>
            <w:tcBorders>
              <w:tl2br w:val="nil"/>
              <w:tr2bl w:val="nil"/>
            </w:tcBorders>
            <w:shd w:val="clear" w:color="auto" w:fill="auto"/>
            <w:vAlign w:val="center"/>
          </w:tcPr>
          <w:p w14:paraId="1D3B2C11"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1200</w:t>
            </w:r>
          </w:p>
        </w:tc>
        <w:tc>
          <w:tcPr>
            <w:tcW w:w="826" w:type="pct"/>
            <w:tcBorders>
              <w:tl2br w:val="nil"/>
              <w:tr2bl w:val="nil"/>
            </w:tcBorders>
            <w:shd w:val="clear" w:color="auto" w:fill="auto"/>
            <w:vAlign w:val="center"/>
          </w:tcPr>
          <w:p w14:paraId="0216440C"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159</w:t>
            </w:r>
          </w:p>
        </w:tc>
        <w:tc>
          <w:tcPr>
            <w:tcW w:w="822" w:type="pct"/>
            <w:tcBorders>
              <w:tl2br w:val="nil"/>
              <w:tr2bl w:val="nil"/>
            </w:tcBorders>
            <w:shd w:val="clear" w:color="auto" w:fill="auto"/>
            <w:vAlign w:val="center"/>
          </w:tcPr>
          <w:p w14:paraId="2B3D38DB" w14:textId="77777777" w:rsidR="003D6A63" w:rsidRDefault="003D6A63">
            <w:pPr>
              <w:widowControl/>
              <w:jc w:val="center"/>
              <w:textAlignment w:val="bottom"/>
              <w:rPr>
                <w:rFonts w:ascii="宋体" w:hAnsi="宋体" w:cs="宋体"/>
                <w:color w:val="000000"/>
                <w:szCs w:val="21"/>
              </w:rPr>
            </w:pPr>
          </w:p>
        </w:tc>
        <w:tc>
          <w:tcPr>
            <w:tcW w:w="877" w:type="pct"/>
            <w:tcBorders>
              <w:tl2br w:val="nil"/>
              <w:tr2bl w:val="nil"/>
            </w:tcBorders>
            <w:shd w:val="clear" w:color="auto" w:fill="auto"/>
            <w:vAlign w:val="center"/>
          </w:tcPr>
          <w:p w14:paraId="66BB01C0"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非金属</w:t>
            </w:r>
          </w:p>
        </w:tc>
      </w:tr>
      <w:tr w:rsidR="003D6A63" w14:paraId="48CC977D" w14:textId="77777777">
        <w:trPr>
          <w:trHeight w:val="340"/>
        </w:trPr>
        <w:tc>
          <w:tcPr>
            <w:tcW w:w="809" w:type="pct"/>
            <w:vMerge/>
            <w:tcBorders>
              <w:tl2br w:val="nil"/>
              <w:tr2bl w:val="nil"/>
            </w:tcBorders>
            <w:shd w:val="clear" w:color="auto" w:fill="auto"/>
            <w:vAlign w:val="center"/>
          </w:tcPr>
          <w:p w14:paraId="20ABE4AA"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vAlign w:val="center"/>
          </w:tcPr>
          <w:p w14:paraId="7D701490"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林东11号站至林东15号站外输集油干线</w:t>
            </w:r>
          </w:p>
        </w:tc>
        <w:tc>
          <w:tcPr>
            <w:tcW w:w="831" w:type="pct"/>
            <w:tcBorders>
              <w:tl2br w:val="nil"/>
              <w:tr2bl w:val="nil"/>
            </w:tcBorders>
            <w:shd w:val="clear" w:color="auto" w:fill="auto"/>
            <w:vAlign w:val="center"/>
          </w:tcPr>
          <w:p w14:paraId="4FD1CB1A"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1300</w:t>
            </w:r>
          </w:p>
        </w:tc>
        <w:tc>
          <w:tcPr>
            <w:tcW w:w="826" w:type="pct"/>
            <w:tcBorders>
              <w:tl2br w:val="nil"/>
              <w:tr2bl w:val="nil"/>
            </w:tcBorders>
            <w:shd w:val="clear" w:color="auto" w:fill="auto"/>
            <w:vAlign w:val="center"/>
          </w:tcPr>
          <w:p w14:paraId="3E6988C6"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159</w:t>
            </w:r>
          </w:p>
        </w:tc>
        <w:tc>
          <w:tcPr>
            <w:tcW w:w="822" w:type="pct"/>
            <w:tcBorders>
              <w:tl2br w:val="nil"/>
              <w:tr2bl w:val="nil"/>
            </w:tcBorders>
            <w:shd w:val="clear" w:color="auto" w:fill="auto"/>
            <w:vAlign w:val="center"/>
          </w:tcPr>
          <w:p w14:paraId="71B0F615" w14:textId="77777777" w:rsidR="003D6A63" w:rsidRDefault="003D6A63">
            <w:pPr>
              <w:widowControl/>
              <w:jc w:val="center"/>
              <w:textAlignment w:val="bottom"/>
              <w:rPr>
                <w:rFonts w:ascii="宋体" w:hAnsi="宋体" w:cs="宋体"/>
                <w:color w:val="000000"/>
                <w:szCs w:val="21"/>
              </w:rPr>
            </w:pPr>
          </w:p>
        </w:tc>
        <w:tc>
          <w:tcPr>
            <w:tcW w:w="877" w:type="pct"/>
            <w:tcBorders>
              <w:tl2br w:val="nil"/>
              <w:tr2bl w:val="nil"/>
            </w:tcBorders>
            <w:shd w:val="clear" w:color="auto" w:fill="auto"/>
            <w:vAlign w:val="center"/>
          </w:tcPr>
          <w:p w14:paraId="2CDD81E2"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非金属</w:t>
            </w:r>
          </w:p>
        </w:tc>
      </w:tr>
      <w:tr w:rsidR="003D6A63" w14:paraId="43558F70" w14:textId="77777777">
        <w:trPr>
          <w:trHeight w:val="340"/>
        </w:trPr>
        <w:tc>
          <w:tcPr>
            <w:tcW w:w="809" w:type="pct"/>
            <w:vMerge/>
            <w:tcBorders>
              <w:tl2br w:val="nil"/>
              <w:tr2bl w:val="nil"/>
            </w:tcBorders>
            <w:shd w:val="clear" w:color="auto" w:fill="auto"/>
            <w:vAlign w:val="center"/>
          </w:tcPr>
          <w:p w14:paraId="6BDC6ED3"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vAlign w:val="center"/>
          </w:tcPr>
          <w:p w14:paraId="02947B62"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林一站西阀组至林一站集油干线</w:t>
            </w:r>
          </w:p>
        </w:tc>
        <w:tc>
          <w:tcPr>
            <w:tcW w:w="831" w:type="pct"/>
            <w:tcBorders>
              <w:tl2br w:val="nil"/>
              <w:tr2bl w:val="nil"/>
            </w:tcBorders>
            <w:shd w:val="clear" w:color="auto" w:fill="auto"/>
            <w:vAlign w:val="center"/>
          </w:tcPr>
          <w:p w14:paraId="154E1347"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350</w:t>
            </w:r>
          </w:p>
        </w:tc>
        <w:tc>
          <w:tcPr>
            <w:tcW w:w="826" w:type="pct"/>
            <w:tcBorders>
              <w:tl2br w:val="nil"/>
              <w:tr2bl w:val="nil"/>
            </w:tcBorders>
            <w:shd w:val="clear" w:color="auto" w:fill="auto"/>
            <w:vAlign w:val="center"/>
          </w:tcPr>
          <w:p w14:paraId="6F4658DE"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159</w:t>
            </w:r>
          </w:p>
        </w:tc>
        <w:tc>
          <w:tcPr>
            <w:tcW w:w="822" w:type="pct"/>
            <w:tcBorders>
              <w:tl2br w:val="nil"/>
              <w:tr2bl w:val="nil"/>
            </w:tcBorders>
            <w:shd w:val="clear" w:color="auto" w:fill="auto"/>
            <w:vAlign w:val="center"/>
          </w:tcPr>
          <w:p w14:paraId="78CC37D4"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6</w:t>
            </w:r>
          </w:p>
        </w:tc>
        <w:tc>
          <w:tcPr>
            <w:tcW w:w="877" w:type="pct"/>
            <w:tcBorders>
              <w:tl2br w:val="nil"/>
              <w:tr2bl w:val="nil"/>
            </w:tcBorders>
            <w:shd w:val="clear" w:color="auto" w:fill="auto"/>
            <w:vAlign w:val="center"/>
          </w:tcPr>
          <w:p w14:paraId="4D86B188"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金属</w:t>
            </w:r>
          </w:p>
        </w:tc>
      </w:tr>
      <w:tr w:rsidR="003D6A63" w14:paraId="0FA70E16" w14:textId="77777777">
        <w:trPr>
          <w:trHeight w:val="340"/>
        </w:trPr>
        <w:tc>
          <w:tcPr>
            <w:tcW w:w="809" w:type="pct"/>
            <w:vMerge/>
            <w:tcBorders>
              <w:tl2br w:val="nil"/>
              <w:tr2bl w:val="nil"/>
            </w:tcBorders>
            <w:shd w:val="clear" w:color="auto" w:fill="auto"/>
            <w:vAlign w:val="center"/>
          </w:tcPr>
          <w:p w14:paraId="446C9E25"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vAlign w:val="center"/>
          </w:tcPr>
          <w:p w14:paraId="15FBBED8"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林中16号站至林一站西阀组集油干线</w:t>
            </w:r>
          </w:p>
        </w:tc>
        <w:tc>
          <w:tcPr>
            <w:tcW w:w="831" w:type="pct"/>
            <w:tcBorders>
              <w:tl2br w:val="nil"/>
              <w:tr2bl w:val="nil"/>
            </w:tcBorders>
            <w:shd w:val="clear" w:color="auto" w:fill="auto"/>
            <w:vAlign w:val="center"/>
          </w:tcPr>
          <w:p w14:paraId="75D5304B"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850</w:t>
            </w:r>
          </w:p>
        </w:tc>
        <w:tc>
          <w:tcPr>
            <w:tcW w:w="826" w:type="pct"/>
            <w:tcBorders>
              <w:tl2br w:val="nil"/>
              <w:tr2bl w:val="nil"/>
            </w:tcBorders>
            <w:shd w:val="clear" w:color="auto" w:fill="auto"/>
            <w:vAlign w:val="center"/>
          </w:tcPr>
          <w:p w14:paraId="0EAAA68F"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159</w:t>
            </w:r>
          </w:p>
        </w:tc>
        <w:tc>
          <w:tcPr>
            <w:tcW w:w="822" w:type="pct"/>
            <w:tcBorders>
              <w:tl2br w:val="nil"/>
              <w:tr2bl w:val="nil"/>
            </w:tcBorders>
            <w:shd w:val="clear" w:color="auto" w:fill="auto"/>
            <w:vAlign w:val="center"/>
          </w:tcPr>
          <w:p w14:paraId="43C4726C" w14:textId="77777777" w:rsidR="003D6A63" w:rsidRDefault="003D6A63">
            <w:pPr>
              <w:widowControl/>
              <w:jc w:val="center"/>
              <w:textAlignment w:val="bottom"/>
              <w:rPr>
                <w:rFonts w:ascii="宋体" w:hAnsi="宋体" w:cs="宋体"/>
                <w:color w:val="000000"/>
                <w:szCs w:val="21"/>
              </w:rPr>
            </w:pPr>
          </w:p>
        </w:tc>
        <w:tc>
          <w:tcPr>
            <w:tcW w:w="877" w:type="pct"/>
            <w:tcBorders>
              <w:tl2br w:val="nil"/>
              <w:tr2bl w:val="nil"/>
            </w:tcBorders>
            <w:shd w:val="clear" w:color="auto" w:fill="auto"/>
            <w:vAlign w:val="center"/>
          </w:tcPr>
          <w:p w14:paraId="62667518"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非金属</w:t>
            </w:r>
          </w:p>
        </w:tc>
      </w:tr>
      <w:tr w:rsidR="003D6A63" w14:paraId="21F867FE" w14:textId="77777777">
        <w:trPr>
          <w:trHeight w:val="340"/>
        </w:trPr>
        <w:tc>
          <w:tcPr>
            <w:tcW w:w="809" w:type="pct"/>
            <w:vMerge/>
            <w:tcBorders>
              <w:tl2br w:val="nil"/>
              <w:tr2bl w:val="nil"/>
            </w:tcBorders>
            <w:shd w:val="clear" w:color="auto" w:fill="auto"/>
            <w:vAlign w:val="center"/>
          </w:tcPr>
          <w:p w14:paraId="16D418D8"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vAlign w:val="center"/>
          </w:tcPr>
          <w:p w14:paraId="61C9C872"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B602阀组至林中16号站集油干线</w:t>
            </w:r>
          </w:p>
        </w:tc>
        <w:tc>
          <w:tcPr>
            <w:tcW w:w="831" w:type="pct"/>
            <w:tcBorders>
              <w:tl2br w:val="nil"/>
              <w:tr2bl w:val="nil"/>
            </w:tcBorders>
            <w:shd w:val="clear" w:color="auto" w:fill="auto"/>
            <w:vAlign w:val="center"/>
          </w:tcPr>
          <w:p w14:paraId="151B9D2D"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750</w:t>
            </w:r>
          </w:p>
        </w:tc>
        <w:tc>
          <w:tcPr>
            <w:tcW w:w="826" w:type="pct"/>
            <w:tcBorders>
              <w:tl2br w:val="nil"/>
              <w:tr2bl w:val="nil"/>
            </w:tcBorders>
            <w:shd w:val="clear" w:color="auto" w:fill="auto"/>
            <w:vAlign w:val="center"/>
          </w:tcPr>
          <w:p w14:paraId="5F698011"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219</w:t>
            </w:r>
          </w:p>
        </w:tc>
        <w:tc>
          <w:tcPr>
            <w:tcW w:w="822" w:type="pct"/>
            <w:tcBorders>
              <w:tl2br w:val="nil"/>
              <w:tr2bl w:val="nil"/>
            </w:tcBorders>
            <w:shd w:val="clear" w:color="auto" w:fill="auto"/>
            <w:vAlign w:val="center"/>
          </w:tcPr>
          <w:p w14:paraId="6D62F945"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10</w:t>
            </w:r>
          </w:p>
        </w:tc>
        <w:tc>
          <w:tcPr>
            <w:tcW w:w="877" w:type="pct"/>
            <w:tcBorders>
              <w:tl2br w:val="nil"/>
              <w:tr2bl w:val="nil"/>
            </w:tcBorders>
            <w:shd w:val="clear" w:color="auto" w:fill="auto"/>
            <w:vAlign w:val="center"/>
          </w:tcPr>
          <w:p w14:paraId="0901B7E4"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金属</w:t>
            </w:r>
          </w:p>
        </w:tc>
      </w:tr>
      <w:tr w:rsidR="003D6A63" w14:paraId="63E4B779" w14:textId="77777777">
        <w:trPr>
          <w:trHeight w:val="340"/>
        </w:trPr>
        <w:tc>
          <w:tcPr>
            <w:tcW w:w="809" w:type="pct"/>
            <w:vMerge/>
            <w:tcBorders>
              <w:tl2br w:val="nil"/>
              <w:tr2bl w:val="nil"/>
            </w:tcBorders>
            <w:shd w:val="clear" w:color="auto" w:fill="auto"/>
            <w:vAlign w:val="center"/>
          </w:tcPr>
          <w:p w14:paraId="51BA3DA9"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vAlign w:val="center"/>
          </w:tcPr>
          <w:p w14:paraId="70DC53AF"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林东15号站至林一站外输集油干线</w:t>
            </w:r>
          </w:p>
        </w:tc>
        <w:tc>
          <w:tcPr>
            <w:tcW w:w="831" w:type="pct"/>
            <w:tcBorders>
              <w:tl2br w:val="nil"/>
              <w:tr2bl w:val="nil"/>
            </w:tcBorders>
            <w:shd w:val="clear" w:color="auto" w:fill="auto"/>
            <w:vAlign w:val="center"/>
          </w:tcPr>
          <w:p w14:paraId="4F8351DD"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3400</w:t>
            </w:r>
          </w:p>
        </w:tc>
        <w:tc>
          <w:tcPr>
            <w:tcW w:w="826" w:type="pct"/>
            <w:tcBorders>
              <w:tl2br w:val="nil"/>
              <w:tr2bl w:val="nil"/>
            </w:tcBorders>
            <w:shd w:val="clear" w:color="auto" w:fill="auto"/>
            <w:vAlign w:val="center"/>
          </w:tcPr>
          <w:p w14:paraId="7BE87DB3"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219</w:t>
            </w:r>
          </w:p>
        </w:tc>
        <w:tc>
          <w:tcPr>
            <w:tcW w:w="822" w:type="pct"/>
            <w:tcBorders>
              <w:tl2br w:val="nil"/>
              <w:tr2bl w:val="nil"/>
            </w:tcBorders>
            <w:shd w:val="clear" w:color="auto" w:fill="auto"/>
            <w:vAlign w:val="center"/>
          </w:tcPr>
          <w:p w14:paraId="212B23E1"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6</w:t>
            </w:r>
          </w:p>
        </w:tc>
        <w:tc>
          <w:tcPr>
            <w:tcW w:w="877" w:type="pct"/>
            <w:tcBorders>
              <w:tl2br w:val="nil"/>
              <w:tr2bl w:val="nil"/>
            </w:tcBorders>
            <w:shd w:val="clear" w:color="auto" w:fill="auto"/>
            <w:vAlign w:val="center"/>
          </w:tcPr>
          <w:p w14:paraId="0F0C3F4A"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金属</w:t>
            </w:r>
          </w:p>
        </w:tc>
      </w:tr>
      <w:tr w:rsidR="003D6A63" w14:paraId="1C75FA93" w14:textId="77777777">
        <w:trPr>
          <w:trHeight w:val="340"/>
        </w:trPr>
        <w:tc>
          <w:tcPr>
            <w:tcW w:w="809" w:type="pct"/>
            <w:vMerge/>
            <w:tcBorders>
              <w:tl2br w:val="nil"/>
              <w:tr2bl w:val="nil"/>
            </w:tcBorders>
            <w:shd w:val="clear" w:color="auto" w:fill="auto"/>
            <w:vAlign w:val="center"/>
          </w:tcPr>
          <w:p w14:paraId="585F82A2"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vAlign w:val="center"/>
          </w:tcPr>
          <w:p w14:paraId="63236D59"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林中17号站至B602阀组集油干线</w:t>
            </w:r>
          </w:p>
        </w:tc>
        <w:tc>
          <w:tcPr>
            <w:tcW w:w="831" w:type="pct"/>
            <w:tcBorders>
              <w:tl2br w:val="nil"/>
              <w:tr2bl w:val="nil"/>
            </w:tcBorders>
            <w:shd w:val="clear" w:color="auto" w:fill="auto"/>
            <w:vAlign w:val="center"/>
          </w:tcPr>
          <w:p w14:paraId="6126C9C5"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600</w:t>
            </w:r>
          </w:p>
        </w:tc>
        <w:tc>
          <w:tcPr>
            <w:tcW w:w="826" w:type="pct"/>
            <w:tcBorders>
              <w:tl2br w:val="nil"/>
              <w:tr2bl w:val="nil"/>
            </w:tcBorders>
            <w:shd w:val="clear" w:color="auto" w:fill="auto"/>
            <w:vAlign w:val="center"/>
          </w:tcPr>
          <w:p w14:paraId="28176DA0"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159</w:t>
            </w:r>
          </w:p>
        </w:tc>
        <w:tc>
          <w:tcPr>
            <w:tcW w:w="822" w:type="pct"/>
            <w:tcBorders>
              <w:tl2br w:val="nil"/>
              <w:tr2bl w:val="nil"/>
            </w:tcBorders>
            <w:shd w:val="clear" w:color="auto" w:fill="auto"/>
            <w:vAlign w:val="center"/>
          </w:tcPr>
          <w:p w14:paraId="25D54B8C" w14:textId="77777777" w:rsidR="003D6A63" w:rsidRDefault="003D6A63">
            <w:pPr>
              <w:widowControl/>
              <w:jc w:val="center"/>
              <w:textAlignment w:val="bottom"/>
              <w:rPr>
                <w:rFonts w:ascii="宋体" w:hAnsi="宋体" w:cs="宋体"/>
                <w:color w:val="000000"/>
                <w:szCs w:val="21"/>
              </w:rPr>
            </w:pPr>
          </w:p>
        </w:tc>
        <w:tc>
          <w:tcPr>
            <w:tcW w:w="877" w:type="pct"/>
            <w:tcBorders>
              <w:tl2br w:val="nil"/>
              <w:tr2bl w:val="nil"/>
            </w:tcBorders>
            <w:shd w:val="clear" w:color="auto" w:fill="auto"/>
            <w:vAlign w:val="center"/>
          </w:tcPr>
          <w:p w14:paraId="02C00B16"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非金属</w:t>
            </w:r>
          </w:p>
        </w:tc>
      </w:tr>
      <w:tr w:rsidR="003D6A63" w14:paraId="20983187" w14:textId="77777777">
        <w:trPr>
          <w:trHeight w:val="340"/>
        </w:trPr>
        <w:tc>
          <w:tcPr>
            <w:tcW w:w="809" w:type="pct"/>
            <w:vMerge/>
            <w:tcBorders>
              <w:tl2br w:val="nil"/>
              <w:tr2bl w:val="nil"/>
            </w:tcBorders>
            <w:shd w:val="clear" w:color="auto" w:fill="auto"/>
            <w:vAlign w:val="center"/>
          </w:tcPr>
          <w:p w14:paraId="751A99FD"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vAlign w:val="center"/>
          </w:tcPr>
          <w:p w14:paraId="189285C9"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林中18号站至B602阀组集油干线</w:t>
            </w:r>
          </w:p>
        </w:tc>
        <w:tc>
          <w:tcPr>
            <w:tcW w:w="831" w:type="pct"/>
            <w:tcBorders>
              <w:tl2br w:val="nil"/>
              <w:tr2bl w:val="nil"/>
            </w:tcBorders>
            <w:shd w:val="clear" w:color="auto" w:fill="auto"/>
            <w:vAlign w:val="center"/>
          </w:tcPr>
          <w:p w14:paraId="482321B2"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930</w:t>
            </w:r>
          </w:p>
        </w:tc>
        <w:tc>
          <w:tcPr>
            <w:tcW w:w="826" w:type="pct"/>
            <w:tcBorders>
              <w:tl2br w:val="nil"/>
              <w:tr2bl w:val="nil"/>
            </w:tcBorders>
            <w:shd w:val="clear" w:color="auto" w:fill="auto"/>
            <w:vAlign w:val="center"/>
          </w:tcPr>
          <w:p w14:paraId="06D093EB"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159</w:t>
            </w:r>
          </w:p>
        </w:tc>
        <w:tc>
          <w:tcPr>
            <w:tcW w:w="822" w:type="pct"/>
            <w:tcBorders>
              <w:tl2br w:val="nil"/>
              <w:tr2bl w:val="nil"/>
            </w:tcBorders>
            <w:shd w:val="clear" w:color="auto" w:fill="auto"/>
            <w:vAlign w:val="center"/>
          </w:tcPr>
          <w:p w14:paraId="0AC74137"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6</w:t>
            </w:r>
          </w:p>
        </w:tc>
        <w:tc>
          <w:tcPr>
            <w:tcW w:w="877" w:type="pct"/>
            <w:tcBorders>
              <w:tl2br w:val="nil"/>
              <w:tr2bl w:val="nil"/>
            </w:tcBorders>
            <w:shd w:val="clear" w:color="auto" w:fill="auto"/>
            <w:vAlign w:val="center"/>
          </w:tcPr>
          <w:p w14:paraId="191DA038"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金属</w:t>
            </w:r>
          </w:p>
        </w:tc>
      </w:tr>
      <w:tr w:rsidR="003D6A63" w14:paraId="6981D217" w14:textId="77777777">
        <w:trPr>
          <w:trHeight w:val="340"/>
        </w:trPr>
        <w:tc>
          <w:tcPr>
            <w:tcW w:w="809" w:type="pct"/>
            <w:vMerge w:val="restart"/>
            <w:tcBorders>
              <w:tl2br w:val="nil"/>
              <w:tr2bl w:val="nil"/>
            </w:tcBorders>
            <w:shd w:val="clear" w:color="auto" w:fill="auto"/>
            <w:vAlign w:val="center"/>
          </w:tcPr>
          <w:p w14:paraId="09B0CFD4"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现河开发区</w:t>
            </w:r>
          </w:p>
        </w:tc>
        <w:tc>
          <w:tcPr>
            <w:tcW w:w="831" w:type="pct"/>
            <w:tcBorders>
              <w:tl2br w:val="nil"/>
              <w:tr2bl w:val="nil"/>
            </w:tcBorders>
            <w:shd w:val="clear" w:color="auto" w:fill="auto"/>
            <w:noWrap/>
            <w:vAlign w:val="bottom"/>
          </w:tcPr>
          <w:p w14:paraId="5F21ABF0" w14:textId="77777777" w:rsidR="003D6A63" w:rsidRDefault="00000000">
            <w:pPr>
              <w:widowControl/>
              <w:tabs>
                <w:tab w:val="left" w:pos="242"/>
              </w:tabs>
              <w:jc w:val="left"/>
              <w:textAlignment w:val="bottom"/>
              <w:rPr>
                <w:rFonts w:ascii="宋体" w:hAnsi="宋体" w:cs="宋体"/>
                <w:color w:val="000000"/>
                <w:szCs w:val="21"/>
              </w:rPr>
            </w:pPr>
            <w:r>
              <w:rPr>
                <w:rFonts w:ascii="宋体" w:hAnsi="宋体" w:cs="宋体" w:hint="eastAsia"/>
                <w:color w:val="000000"/>
                <w:szCs w:val="21"/>
              </w:rPr>
              <w:tab/>
              <w:t>菏泽路抬头点</w:t>
            </w:r>
          </w:p>
        </w:tc>
        <w:tc>
          <w:tcPr>
            <w:tcW w:w="831" w:type="pct"/>
            <w:tcBorders>
              <w:tl2br w:val="nil"/>
              <w:tr2bl w:val="nil"/>
            </w:tcBorders>
            <w:shd w:val="clear" w:color="auto" w:fill="auto"/>
            <w:noWrap/>
            <w:vAlign w:val="bottom"/>
          </w:tcPr>
          <w:p w14:paraId="29CE11AC"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500</w:t>
            </w:r>
          </w:p>
        </w:tc>
        <w:tc>
          <w:tcPr>
            <w:tcW w:w="826" w:type="pct"/>
            <w:tcBorders>
              <w:tl2br w:val="nil"/>
              <w:tr2bl w:val="nil"/>
            </w:tcBorders>
            <w:shd w:val="clear" w:color="auto" w:fill="auto"/>
            <w:noWrap/>
            <w:vAlign w:val="bottom"/>
          </w:tcPr>
          <w:p w14:paraId="6188B425"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88.9</w:t>
            </w:r>
          </w:p>
        </w:tc>
        <w:tc>
          <w:tcPr>
            <w:tcW w:w="822" w:type="pct"/>
            <w:tcBorders>
              <w:tl2br w:val="nil"/>
              <w:tr2bl w:val="nil"/>
            </w:tcBorders>
            <w:shd w:val="clear" w:color="auto" w:fill="auto"/>
            <w:noWrap/>
            <w:vAlign w:val="bottom"/>
          </w:tcPr>
          <w:p w14:paraId="5473E647"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6</w:t>
            </w:r>
          </w:p>
        </w:tc>
        <w:tc>
          <w:tcPr>
            <w:tcW w:w="877" w:type="pct"/>
            <w:tcBorders>
              <w:tl2br w:val="nil"/>
              <w:tr2bl w:val="nil"/>
            </w:tcBorders>
            <w:shd w:val="clear" w:color="auto" w:fill="auto"/>
            <w:noWrap/>
            <w:vAlign w:val="bottom"/>
          </w:tcPr>
          <w:p w14:paraId="7D560EC7"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金属</w:t>
            </w:r>
          </w:p>
        </w:tc>
      </w:tr>
      <w:tr w:rsidR="003D6A63" w14:paraId="03888452" w14:textId="77777777">
        <w:trPr>
          <w:trHeight w:val="340"/>
        </w:trPr>
        <w:tc>
          <w:tcPr>
            <w:tcW w:w="809" w:type="pct"/>
            <w:vMerge/>
            <w:tcBorders>
              <w:tl2br w:val="nil"/>
              <w:tr2bl w:val="nil"/>
            </w:tcBorders>
            <w:shd w:val="clear" w:color="auto" w:fill="auto"/>
            <w:vAlign w:val="center"/>
          </w:tcPr>
          <w:p w14:paraId="3465A87A"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noWrap/>
            <w:vAlign w:val="bottom"/>
          </w:tcPr>
          <w:p w14:paraId="3AFD2E48"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H67-8站至菏泽路阀门组</w:t>
            </w:r>
          </w:p>
        </w:tc>
        <w:tc>
          <w:tcPr>
            <w:tcW w:w="831" w:type="pct"/>
            <w:tcBorders>
              <w:tl2br w:val="nil"/>
              <w:tr2bl w:val="nil"/>
            </w:tcBorders>
            <w:shd w:val="clear" w:color="auto" w:fill="auto"/>
            <w:noWrap/>
            <w:vAlign w:val="bottom"/>
          </w:tcPr>
          <w:p w14:paraId="1DE55175"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325</w:t>
            </w:r>
          </w:p>
        </w:tc>
        <w:tc>
          <w:tcPr>
            <w:tcW w:w="826" w:type="pct"/>
            <w:tcBorders>
              <w:tl2br w:val="nil"/>
              <w:tr2bl w:val="nil"/>
            </w:tcBorders>
            <w:shd w:val="clear" w:color="auto" w:fill="auto"/>
            <w:noWrap/>
            <w:vAlign w:val="bottom"/>
          </w:tcPr>
          <w:p w14:paraId="0172AC0E"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114</w:t>
            </w:r>
          </w:p>
        </w:tc>
        <w:tc>
          <w:tcPr>
            <w:tcW w:w="822" w:type="pct"/>
            <w:tcBorders>
              <w:tl2br w:val="nil"/>
              <w:tr2bl w:val="nil"/>
            </w:tcBorders>
            <w:shd w:val="clear" w:color="auto" w:fill="auto"/>
            <w:noWrap/>
            <w:vAlign w:val="bottom"/>
          </w:tcPr>
          <w:p w14:paraId="273F518E" w14:textId="77777777" w:rsidR="003D6A63" w:rsidRDefault="003D6A63">
            <w:pPr>
              <w:widowControl/>
              <w:jc w:val="center"/>
              <w:textAlignment w:val="bottom"/>
              <w:rPr>
                <w:rFonts w:ascii="宋体" w:hAnsi="宋体" w:cs="宋体"/>
                <w:color w:val="000000"/>
                <w:szCs w:val="21"/>
              </w:rPr>
            </w:pPr>
          </w:p>
        </w:tc>
        <w:tc>
          <w:tcPr>
            <w:tcW w:w="877" w:type="pct"/>
            <w:tcBorders>
              <w:tl2br w:val="nil"/>
              <w:tr2bl w:val="nil"/>
            </w:tcBorders>
            <w:shd w:val="clear" w:color="auto" w:fill="auto"/>
            <w:noWrap/>
            <w:vAlign w:val="bottom"/>
          </w:tcPr>
          <w:p w14:paraId="43287E77"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非金属</w:t>
            </w:r>
          </w:p>
        </w:tc>
      </w:tr>
      <w:tr w:rsidR="003D6A63" w14:paraId="420915B4" w14:textId="77777777">
        <w:trPr>
          <w:trHeight w:val="340"/>
        </w:trPr>
        <w:tc>
          <w:tcPr>
            <w:tcW w:w="809" w:type="pct"/>
            <w:vMerge/>
            <w:tcBorders>
              <w:tl2br w:val="nil"/>
              <w:tr2bl w:val="nil"/>
            </w:tcBorders>
            <w:shd w:val="clear" w:color="auto" w:fill="auto"/>
            <w:vAlign w:val="center"/>
          </w:tcPr>
          <w:p w14:paraId="2748FAEF"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noWrap/>
            <w:vAlign w:val="bottom"/>
          </w:tcPr>
          <w:p w14:paraId="35CF5EB1"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菏泽路阀门组至河23站</w:t>
            </w:r>
          </w:p>
        </w:tc>
        <w:tc>
          <w:tcPr>
            <w:tcW w:w="831" w:type="pct"/>
            <w:tcBorders>
              <w:tl2br w:val="nil"/>
              <w:tr2bl w:val="nil"/>
            </w:tcBorders>
            <w:shd w:val="clear" w:color="auto" w:fill="auto"/>
            <w:noWrap/>
            <w:vAlign w:val="bottom"/>
          </w:tcPr>
          <w:p w14:paraId="6F708B28"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250</w:t>
            </w:r>
          </w:p>
        </w:tc>
        <w:tc>
          <w:tcPr>
            <w:tcW w:w="826" w:type="pct"/>
            <w:tcBorders>
              <w:tl2br w:val="nil"/>
              <w:tr2bl w:val="nil"/>
            </w:tcBorders>
            <w:shd w:val="clear" w:color="auto" w:fill="auto"/>
            <w:noWrap/>
            <w:vAlign w:val="bottom"/>
          </w:tcPr>
          <w:p w14:paraId="4B977C16"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159</w:t>
            </w:r>
          </w:p>
        </w:tc>
        <w:tc>
          <w:tcPr>
            <w:tcW w:w="822" w:type="pct"/>
            <w:tcBorders>
              <w:tl2br w:val="nil"/>
              <w:tr2bl w:val="nil"/>
            </w:tcBorders>
            <w:shd w:val="clear" w:color="auto" w:fill="auto"/>
            <w:noWrap/>
            <w:vAlign w:val="bottom"/>
          </w:tcPr>
          <w:p w14:paraId="0D8029E4"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6</w:t>
            </w:r>
          </w:p>
        </w:tc>
        <w:tc>
          <w:tcPr>
            <w:tcW w:w="877" w:type="pct"/>
            <w:tcBorders>
              <w:tl2br w:val="nil"/>
              <w:tr2bl w:val="nil"/>
            </w:tcBorders>
            <w:shd w:val="clear" w:color="auto" w:fill="auto"/>
            <w:noWrap/>
            <w:vAlign w:val="bottom"/>
          </w:tcPr>
          <w:p w14:paraId="08D3D7C3"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金属</w:t>
            </w:r>
          </w:p>
        </w:tc>
      </w:tr>
      <w:tr w:rsidR="003D6A63" w14:paraId="01D24EA9" w14:textId="77777777">
        <w:trPr>
          <w:trHeight w:val="340"/>
        </w:trPr>
        <w:tc>
          <w:tcPr>
            <w:tcW w:w="809" w:type="pct"/>
            <w:vMerge/>
            <w:tcBorders>
              <w:tl2br w:val="nil"/>
              <w:tr2bl w:val="nil"/>
            </w:tcBorders>
            <w:shd w:val="clear" w:color="auto" w:fill="auto"/>
            <w:vAlign w:val="center"/>
          </w:tcPr>
          <w:p w14:paraId="71926744" w14:textId="77777777" w:rsidR="003D6A63" w:rsidRDefault="003D6A63">
            <w:pPr>
              <w:widowControl/>
              <w:jc w:val="center"/>
              <w:textAlignment w:val="bottom"/>
              <w:rPr>
                <w:rFonts w:ascii="宋体" w:hAnsi="宋体" w:cs="宋体"/>
                <w:color w:val="000000"/>
                <w:szCs w:val="21"/>
              </w:rPr>
            </w:pPr>
          </w:p>
        </w:tc>
        <w:tc>
          <w:tcPr>
            <w:tcW w:w="2526" w:type="dxa"/>
            <w:tcBorders>
              <w:tl2br w:val="nil"/>
              <w:tr2bl w:val="nil"/>
            </w:tcBorders>
            <w:shd w:val="clear" w:color="auto" w:fill="auto"/>
            <w:noWrap/>
            <w:vAlign w:val="bottom"/>
          </w:tcPr>
          <w:p w14:paraId="1890837B"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河23站至金乡路抬头点</w:t>
            </w:r>
          </w:p>
        </w:tc>
        <w:tc>
          <w:tcPr>
            <w:tcW w:w="831" w:type="pct"/>
            <w:tcBorders>
              <w:tl2br w:val="nil"/>
              <w:tr2bl w:val="nil"/>
            </w:tcBorders>
            <w:shd w:val="clear" w:color="auto" w:fill="auto"/>
            <w:noWrap/>
            <w:vAlign w:val="bottom"/>
          </w:tcPr>
          <w:p w14:paraId="7B10CF2F"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220</w:t>
            </w:r>
          </w:p>
        </w:tc>
        <w:tc>
          <w:tcPr>
            <w:tcW w:w="826" w:type="pct"/>
            <w:tcBorders>
              <w:tl2br w:val="nil"/>
              <w:tr2bl w:val="nil"/>
            </w:tcBorders>
            <w:shd w:val="clear" w:color="auto" w:fill="auto"/>
            <w:noWrap/>
            <w:vAlign w:val="bottom"/>
          </w:tcPr>
          <w:p w14:paraId="4EE9458B"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159</w:t>
            </w:r>
          </w:p>
        </w:tc>
        <w:tc>
          <w:tcPr>
            <w:tcW w:w="822" w:type="pct"/>
            <w:tcBorders>
              <w:tl2br w:val="nil"/>
              <w:tr2bl w:val="nil"/>
            </w:tcBorders>
            <w:shd w:val="clear" w:color="auto" w:fill="auto"/>
            <w:noWrap/>
            <w:vAlign w:val="bottom"/>
          </w:tcPr>
          <w:p w14:paraId="661DCEEB"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6</w:t>
            </w:r>
          </w:p>
        </w:tc>
        <w:tc>
          <w:tcPr>
            <w:tcW w:w="877" w:type="pct"/>
            <w:tcBorders>
              <w:tl2br w:val="nil"/>
              <w:tr2bl w:val="nil"/>
            </w:tcBorders>
            <w:shd w:val="clear" w:color="auto" w:fill="auto"/>
            <w:noWrap/>
            <w:vAlign w:val="bottom"/>
          </w:tcPr>
          <w:p w14:paraId="2097FD04"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金属</w:t>
            </w:r>
          </w:p>
        </w:tc>
      </w:tr>
      <w:tr w:rsidR="003D6A63" w14:paraId="1A7CF4EE" w14:textId="77777777">
        <w:trPr>
          <w:trHeight w:val="340"/>
        </w:trPr>
        <w:tc>
          <w:tcPr>
            <w:tcW w:w="809" w:type="pct"/>
            <w:vMerge/>
            <w:tcBorders>
              <w:tl2br w:val="nil"/>
              <w:tr2bl w:val="nil"/>
            </w:tcBorders>
            <w:shd w:val="clear" w:color="auto" w:fill="auto"/>
            <w:vAlign w:val="center"/>
          </w:tcPr>
          <w:p w14:paraId="7C205274" w14:textId="77777777" w:rsidR="003D6A63" w:rsidRDefault="003D6A63">
            <w:pPr>
              <w:widowControl/>
              <w:jc w:val="center"/>
              <w:textAlignment w:val="bottom"/>
              <w:rPr>
                <w:rFonts w:ascii="宋体" w:hAnsi="宋体" w:cs="宋体"/>
                <w:color w:val="000000"/>
                <w:szCs w:val="21"/>
              </w:rPr>
            </w:pPr>
          </w:p>
        </w:tc>
        <w:tc>
          <w:tcPr>
            <w:tcW w:w="2526" w:type="dxa"/>
            <w:tcBorders>
              <w:tl2br w:val="nil"/>
              <w:tr2bl w:val="nil"/>
            </w:tcBorders>
            <w:shd w:val="clear" w:color="auto" w:fill="auto"/>
            <w:noWrap/>
            <w:vAlign w:val="bottom"/>
          </w:tcPr>
          <w:p w14:paraId="7F081AA9"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菏泽路抬头点至H67-8站</w:t>
            </w:r>
          </w:p>
        </w:tc>
        <w:tc>
          <w:tcPr>
            <w:tcW w:w="831" w:type="pct"/>
            <w:tcBorders>
              <w:tl2br w:val="nil"/>
              <w:tr2bl w:val="nil"/>
            </w:tcBorders>
            <w:shd w:val="clear" w:color="auto" w:fill="auto"/>
            <w:noWrap/>
            <w:vAlign w:val="bottom"/>
          </w:tcPr>
          <w:p w14:paraId="74F3B329"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1000</w:t>
            </w:r>
          </w:p>
        </w:tc>
        <w:tc>
          <w:tcPr>
            <w:tcW w:w="826" w:type="pct"/>
            <w:tcBorders>
              <w:tl2br w:val="nil"/>
              <w:tr2bl w:val="nil"/>
            </w:tcBorders>
            <w:shd w:val="clear" w:color="auto" w:fill="auto"/>
            <w:noWrap/>
            <w:vAlign w:val="bottom"/>
          </w:tcPr>
          <w:p w14:paraId="442D3025"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88.9</w:t>
            </w:r>
          </w:p>
        </w:tc>
        <w:tc>
          <w:tcPr>
            <w:tcW w:w="822" w:type="pct"/>
            <w:tcBorders>
              <w:tl2br w:val="nil"/>
              <w:tr2bl w:val="nil"/>
            </w:tcBorders>
            <w:shd w:val="clear" w:color="auto" w:fill="auto"/>
            <w:noWrap/>
            <w:vAlign w:val="bottom"/>
          </w:tcPr>
          <w:p w14:paraId="149CC5D9"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6</w:t>
            </w:r>
          </w:p>
        </w:tc>
        <w:tc>
          <w:tcPr>
            <w:tcW w:w="877" w:type="pct"/>
            <w:tcBorders>
              <w:tl2br w:val="nil"/>
              <w:tr2bl w:val="nil"/>
            </w:tcBorders>
            <w:shd w:val="clear" w:color="auto" w:fill="auto"/>
            <w:noWrap/>
            <w:vAlign w:val="bottom"/>
          </w:tcPr>
          <w:p w14:paraId="5D5ED778"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金属</w:t>
            </w:r>
          </w:p>
        </w:tc>
      </w:tr>
      <w:tr w:rsidR="003D6A63" w14:paraId="2A8EAEE6" w14:textId="77777777">
        <w:trPr>
          <w:trHeight w:val="340"/>
        </w:trPr>
        <w:tc>
          <w:tcPr>
            <w:tcW w:w="809" w:type="pct"/>
            <w:vMerge/>
            <w:tcBorders>
              <w:tl2br w:val="nil"/>
              <w:tr2bl w:val="nil"/>
            </w:tcBorders>
            <w:shd w:val="clear" w:color="auto" w:fill="auto"/>
            <w:vAlign w:val="center"/>
          </w:tcPr>
          <w:p w14:paraId="46CD1C3D"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noWrap/>
            <w:vAlign w:val="bottom"/>
          </w:tcPr>
          <w:p w14:paraId="45C11877"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菏泽路阀门组至河55站</w:t>
            </w:r>
          </w:p>
        </w:tc>
        <w:tc>
          <w:tcPr>
            <w:tcW w:w="831" w:type="pct"/>
            <w:tcBorders>
              <w:tl2br w:val="nil"/>
              <w:tr2bl w:val="nil"/>
            </w:tcBorders>
            <w:shd w:val="clear" w:color="auto" w:fill="auto"/>
            <w:noWrap/>
            <w:vAlign w:val="bottom"/>
          </w:tcPr>
          <w:p w14:paraId="1BD471F0"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359</w:t>
            </w:r>
          </w:p>
        </w:tc>
        <w:tc>
          <w:tcPr>
            <w:tcW w:w="826" w:type="pct"/>
            <w:tcBorders>
              <w:tl2br w:val="nil"/>
              <w:tr2bl w:val="nil"/>
            </w:tcBorders>
            <w:shd w:val="clear" w:color="auto" w:fill="auto"/>
            <w:noWrap/>
            <w:vAlign w:val="bottom"/>
          </w:tcPr>
          <w:p w14:paraId="4023BC75"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114</w:t>
            </w:r>
          </w:p>
        </w:tc>
        <w:tc>
          <w:tcPr>
            <w:tcW w:w="822" w:type="pct"/>
            <w:tcBorders>
              <w:tl2br w:val="nil"/>
              <w:tr2bl w:val="nil"/>
            </w:tcBorders>
            <w:shd w:val="clear" w:color="auto" w:fill="auto"/>
            <w:noWrap/>
            <w:vAlign w:val="bottom"/>
          </w:tcPr>
          <w:p w14:paraId="3601BE27" w14:textId="77777777" w:rsidR="003D6A63" w:rsidRDefault="003D6A63">
            <w:pPr>
              <w:widowControl/>
              <w:jc w:val="center"/>
              <w:textAlignment w:val="bottom"/>
              <w:rPr>
                <w:rFonts w:ascii="宋体" w:hAnsi="宋体" w:cs="宋体"/>
                <w:color w:val="000000"/>
                <w:szCs w:val="21"/>
              </w:rPr>
            </w:pPr>
          </w:p>
        </w:tc>
        <w:tc>
          <w:tcPr>
            <w:tcW w:w="877" w:type="pct"/>
            <w:tcBorders>
              <w:tl2br w:val="nil"/>
              <w:tr2bl w:val="nil"/>
            </w:tcBorders>
            <w:shd w:val="clear" w:color="auto" w:fill="auto"/>
            <w:noWrap/>
            <w:vAlign w:val="bottom"/>
          </w:tcPr>
          <w:p w14:paraId="7BE8BC59"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非金属</w:t>
            </w:r>
          </w:p>
        </w:tc>
      </w:tr>
      <w:tr w:rsidR="003D6A63" w14:paraId="72691DE6" w14:textId="77777777">
        <w:trPr>
          <w:trHeight w:val="340"/>
        </w:trPr>
        <w:tc>
          <w:tcPr>
            <w:tcW w:w="809" w:type="pct"/>
            <w:vMerge/>
            <w:tcBorders>
              <w:tl2br w:val="nil"/>
              <w:tr2bl w:val="nil"/>
            </w:tcBorders>
            <w:shd w:val="clear" w:color="auto" w:fill="auto"/>
            <w:vAlign w:val="center"/>
          </w:tcPr>
          <w:p w14:paraId="3ED87E1A"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noWrap/>
            <w:vAlign w:val="bottom"/>
          </w:tcPr>
          <w:p w14:paraId="126A8F67"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河55站至H50金乡路穿越点</w:t>
            </w:r>
          </w:p>
        </w:tc>
        <w:tc>
          <w:tcPr>
            <w:tcW w:w="831" w:type="pct"/>
            <w:tcBorders>
              <w:tl2br w:val="nil"/>
              <w:tr2bl w:val="nil"/>
            </w:tcBorders>
            <w:shd w:val="clear" w:color="auto" w:fill="auto"/>
            <w:noWrap/>
            <w:vAlign w:val="bottom"/>
          </w:tcPr>
          <w:p w14:paraId="1D0C21BC"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860</w:t>
            </w:r>
          </w:p>
        </w:tc>
        <w:tc>
          <w:tcPr>
            <w:tcW w:w="826" w:type="pct"/>
            <w:tcBorders>
              <w:tl2br w:val="nil"/>
              <w:tr2bl w:val="nil"/>
            </w:tcBorders>
            <w:shd w:val="clear" w:color="auto" w:fill="auto"/>
            <w:noWrap/>
            <w:vAlign w:val="bottom"/>
          </w:tcPr>
          <w:p w14:paraId="7576EF6D"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114</w:t>
            </w:r>
          </w:p>
        </w:tc>
        <w:tc>
          <w:tcPr>
            <w:tcW w:w="822" w:type="pct"/>
            <w:tcBorders>
              <w:tl2br w:val="nil"/>
              <w:tr2bl w:val="nil"/>
            </w:tcBorders>
            <w:shd w:val="clear" w:color="auto" w:fill="auto"/>
            <w:noWrap/>
            <w:vAlign w:val="bottom"/>
          </w:tcPr>
          <w:p w14:paraId="6ECC2966"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7</w:t>
            </w:r>
          </w:p>
        </w:tc>
        <w:tc>
          <w:tcPr>
            <w:tcW w:w="877" w:type="pct"/>
            <w:tcBorders>
              <w:tl2br w:val="nil"/>
              <w:tr2bl w:val="nil"/>
            </w:tcBorders>
            <w:shd w:val="clear" w:color="auto" w:fill="auto"/>
            <w:noWrap/>
            <w:vAlign w:val="bottom"/>
          </w:tcPr>
          <w:p w14:paraId="295D1130"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金属</w:t>
            </w:r>
          </w:p>
        </w:tc>
      </w:tr>
      <w:tr w:rsidR="003D6A63" w14:paraId="00F7BEE0" w14:textId="77777777">
        <w:trPr>
          <w:trHeight w:val="340"/>
        </w:trPr>
        <w:tc>
          <w:tcPr>
            <w:tcW w:w="809" w:type="pct"/>
            <w:vMerge/>
            <w:tcBorders>
              <w:tl2br w:val="nil"/>
              <w:tr2bl w:val="nil"/>
            </w:tcBorders>
            <w:shd w:val="clear" w:color="auto" w:fill="auto"/>
            <w:vAlign w:val="center"/>
          </w:tcPr>
          <w:p w14:paraId="45ACFAFD"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vAlign w:val="center"/>
          </w:tcPr>
          <w:p w14:paraId="18258E42"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河55站至H50金乡路穿越点至77站</w:t>
            </w:r>
          </w:p>
        </w:tc>
        <w:tc>
          <w:tcPr>
            <w:tcW w:w="831" w:type="pct"/>
            <w:tcBorders>
              <w:tl2br w:val="nil"/>
              <w:tr2bl w:val="nil"/>
            </w:tcBorders>
            <w:shd w:val="clear" w:color="auto" w:fill="auto"/>
            <w:vAlign w:val="center"/>
          </w:tcPr>
          <w:p w14:paraId="73CF455A"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200</w:t>
            </w:r>
          </w:p>
        </w:tc>
        <w:tc>
          <w:tcPr>
            <w:tcW w:w="826" w:type="pct"/>
            <w:tcBorders>
              <w:tl2br w:val="nil"/>
              <w:tr2bl w:val="nil"/>
            </w:tcBorders>
            <w:shd w:val="clear" w:color="auto" w:fill="auto"/>
            <w:vAlign w:val="center"/>
          </w:tcPr>
          <w:p w14:paraId="71A4838E"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114</w:t>
            </w:r>
          </w:p>
        </w:tc>
        <w:tc>
          <w:tcPr>
            <w:tcW w:w="822" w:type="pct"/>
            <w:tcBorders>
              <w:tl2br w:val="nil"/>
              <w:tr2bl w:val="nil"/>
            </w:tcBorders>
            <w:shd w:val="clear" w:color="auto" w:fill="auto"/>
            <w:vAlign w:val="center"/>
          </w:tcPr>
          <w:p w14:paraId="4F57D426"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6</w:t>
            </w:r>
          </w:p>
        </w:tc>
        <w:tc>
          <w:tcPr>
            <w:tcW w:w="877" w:type="pct"/>
            <w:tcBorders>
              <w:tl2br w:val="nil"/>
              <w:tr2bl w:val="nil"/>
            </w:tcBorders>
            <w:shd w:val="clear" w:color="auto" w:fill="auto"/>
            <w:vAlign w:val="center"/>
          </w:tcPr>
          <w:p w14:paraId="77728F7E"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金属</w:t>
            </w:r>
          </w:p>
        </w:tc>
      </w:tr>
      <w:tr w:rsidR="003D6A63" w14:paraId="5554A8F2" w14:textId="77777777">
        <w:trPr>
          <w:trHeight w:val="340"/>
        </w:trPr>
        <w:tc>
          <w:tcPr>
            <w:tcW w:w="809" w:type="pct"/>
            <w:vMerge/>
            <w:tcBorders>
              <w:tl2br w:val="nil"/>
              <w:tr2bl w:val="nil"/>
            </w:tcBorders>
            <w:shd w:val="clear" w:color="auto" w:fill="auto"/>
            <w:vAlign w:val="center"/>
          </w:tcPr>
          <w:p w14:paraId="3B6252A5" w14:textId="77777777" w:rsidR="003D6A63" w:rsidRDefault="003D6A63">
            <w:pPr>
              <w:widowControl/>
              <w:jc w:val="center"/>
              <w:textAlignment w:val="bottom"/>
              <w:rPr>
                <w:rFonts w:ascii="宋体" w:hAnsi="宋体" w:cs="宋体"/>
                <w:color w:val="000000"/>
                <w:szCs w:val="21"/>
              </w:rPr>
            </w:pPr>
          </w:p>
        </w:tc>
        <w:tc>
          <w:tcPr>
            <w:tcW w:w="831" w:type="pct"/>
            <w:tcBorders>
              <w:tl2br w:val="nil"/>
              <w:tr2bl w:val="nil"/>
            </w:tcBorders>
            <w:shd w:val="clear" w:color="auto" w:fill="auto"/>
            <w:noWrap/>
            <w:vAlign w:val="bottom"/>
          </w:tcPr>
          <w:p w14:paraId="4609516B"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金乡路抬头点至西四路口</w:t>
            </w:r>
          </w:p>
        </w:tc>
        <w:tc>
          <w:tcPr>
            <w:tcW w:w="831" w:type="pct"/>
            <w:tcBorders>
              <w:tl2br w:val="nil"/>
              <w:tr2bl w:val="nil"/>
            </w:tcBorders>
            <w:shd w:val="clear" w:color="auto" w:fill="auto"/>
            <w:noWrap/>
            <w:vAlign w:val="bottom"/>
          </w:tcPr>
          <w:p w14:paraId="6E855421"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583</w:t>
            </w:r>
          </w:p>
        </w:tc>
        <w:tc>
          <w:tcPr>
            <w:tcW w:w="826" w:type="pct"/>
            <w:tcBorders>
              <w:tl2br w:val="nil"/>
              <w:tr2bl w:val="nil"/>
            </w:tcBorders>
            <w:shd w:val="clear" w:color="auto" w:fill="auto"/>
            <w:noWrap/>
            <w:vAlign w:val="bottom"/>
          </w:tcPr>
          <w:p w14:paraId="0BF9632A"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114</w:t>
            </w:r>
          </w:p>
        </w:tc>
        <w:tc>
          <w:tcPr>
            <w:tcW w:w="822" w:type="pct"/>
            <w:tcBorders>
              <w:tl2br w:val="nil"/>
              <w:tr2bl w:val="nil"/>
            </w:tcBorders>
            <w:shd w:val="clear" w:color="auto" w:fill="auto"/>
            <w:noWrap/>
            <w:vAlign w:val="bottom"/>
          </w:tcPr>
          <w:p w14:paraId="795DE865" w14:textId="77777777" w:rsidR="003D6A63" w:rsidRDefault="003D6A63">
            <w:pPr>
              <w:widowControl/>
              <w:jc w:val="center"/>
              <w:textAlignment w:val="bottom"/>
              <w:rPr>
                <w:rFonts w:ascii="宋体" w:hAnsi="宋体" w:cs="宋体"/>
                <w:color w:val="000000"/>
                <w:szCs w:val="21"/>
              </w:rPr>
            </w:pPr>
          </w:p>
        </w:tc>
        <w:tc>
          <w:tcPr>
            <w:tcW w:w="877" w:type="pct"/>
            <w:tcBorders>
              <w:tl2br w:val="nil"/>
              <w:tr2bl w:val="nil"/>
            </w:tcBorders>
            <w:shd w:val="clear" w:color="auto" w:fill="auto"/>
            <w:noWrap/>
            <w:vAlign w:val="bottom"/>
          </w:tcPr>
          <w:p w14:paraId="22A955FE" w14:textId="77777777" w:rsidR="003D6A63" w:rsidRDefault="00000000">
            <w:pPr>
              <w:widowControl/>
              <w:jc w:val="center"/>
              <w:textAlignment w:val="bottom"/>
              <w:rPr>
                <w:rFonts w:ascii="宋体" w:hAnsi="宋体" w:cs="宋体"/>
                <w:color w:val="000000"/>
                <w:szCs w:val="21"/>
              </w:rPr>
            </w:pPr>
            <w:r>
              <w:rPr>
                <w:rFonts w:ascii="宋体" w:hAnsi="宋体" w:cs="宋体" w:hint="eastAsia"/>
                <w:color w:val="000000"/>
                <w:szCs w:val="21"/>
              </w:rPr>
              <w:t>非金属</w:t>
            </w:r>
          </w:p>
        </w:tc>
      </w:tr>
    </w:tbl>
    <w:p w14:paraId="2BE2242E" w14:textId="77777777" w:rsidR="003D6A63" w:rsidRDefault="00000000">
      <w:pPr>
        <w:pStyle w:val="3"/>
        <w:keepNext w:val="0"/>
        <w:keepLines w:val="0"/>
        <w:adjustRightInd w:val="0"/>
        <w:snapToGrid w:val="0"/>
        <w:spacing w:beforeLines="50" w:before="120" w:after="0" w:line="360" w:lineRule="auto"/>
        <w:rPr>
          <w:rFonts w:eastAsia="黑体"/>
          <w:b w:val="0"/>
          <w:spacing w:val="0"/>
          <w:sz w:val="24"/>
          <w:szCs w:val="24"/>
        </w:rPr>
      </w:pPr>
      <w:r>
        <w:rPr>
          <w:rFonts w:eastAsia="黑体" w:hint="eastAsia"/>
          <w:b w:val="0"/>
          <w:spacing w:val="0"/>
          <w:sz w:val="24"/>
          <w:szCs w:val="24"/>
        </w:rPr>
        <w:t xml:space="preserve">2.3.4 </w:t>
      </w:r>
      <w:r>
        <w:rPr>
          <w:rFonts w:eastAsia="黑体" w:hint="eastAsia"/>
          <w:b w:val="0"/>
          <w:spacing w:val="0"/>
          <w:sz w:val="24"/>
          <w:szCs w:val="24"/>
        </w:rPr>
        <w:t>公用工程及辅助生产系统</w:t>
      </w:r>
    </w:p>
    <w:p w14:paraId="1D92D181" w14:textId="77777777" w:rsidR="003D6A63" w:rsidRDefault="00000000">
      <w:pPr>
        <w:pStyle w:val="4"/>
        <w:keepNext w:val="0"/>
        <w:keepLines w:val="0"/>
        <w:adjustRightInd w:val="0"/>
        <w:snapToGrid w:val="0"/>
        <w:spacing w:before="0" w:after="0" w:line="360" w:lineRule="auto"/>
        <w:rPr>
          <w:rFonts w:ascii="Times New Roman" w:eastAsia="宋体" w:hAnsi="Times New Roman"/>
          <w:sz w:val="24"/>
        </w:rPr>
      </w:pPr>
      <w:r>
        <w:rPr>
          <w:rFonts w:ascii="Times New Roman" w:eastAsia="宋体" w:hAnsi="Times New Roman" w:hint="eastAsia"/>
          <w:sz w:val="24"/>
        </w:rPr>
        <w:t xml:space="preserve">2.3.4.1 </w:t>
      </w:r>
      <w:r>
        <w:rPr>
          <w:rFonts w:ascii="Times New Roman" w:eastAsia="宋体" w:hAnsi="Times New Roman" w:hint="eastAsia"/>
          <w:sz w:val="24"/>
        </w:rPr>
        <w:t>供配电</w:t>
      </w:r>
    </w:p>
    <w:p w14:paraId="247BFEB5"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）变配电设施</w:t>
      </w:r>
    </w:p>
    <w:p w14:paraId="43E72C1D" w14:textId="77777777" w:rsidR="003D6A63" w:rsidRDefault="00000000">
      <w:pPr>
        <w:pStyle w:val="2SLCON22"/>
        <w:ind w:firstLine="480"/>
        <w:rPr>
          <w:rFonts w:ascii="Times New Roman" w:cs="Times New Roman"/>
          <w:sz w:val="24"/>
          <w:szCs w:val="24"/>
        </w:rPr>
      </w:pPr>
      <w:r>
        <w:rPr>
          <w:rFonts w:ascii="Times New Roman" w:cs="Times New Roman" w:hint="eastAsia"/>
          <w:sz w:val="24"/>
          <w:szCs w:val="24"/>
        </w:rPr>
        <w:t>中胜公司</w:t>
      </w:r>
      <w:r>
        <w:rPr>
          <w:rFonts w:ascii="Times New Roman" w:cs="Times New Roman"/>
          <w:sz w:val="24"/>
          <w:szCs w:val="24"/>
        </w:rPr>
        <w:t>井</w:t>
      </w:r>
      <w:r>
        <w:rPr>
          <w:rFonts w:ascii="Times New Roman" w:cs="Times New Roman" w:hint="eastAsia"/>
          <w:sz w:val="24"/>
          <w:szCs w:val="24"/>
        </w:rPr>
        <w:t>场</w:t>
      </w:r>
      <w:r>
        <w:rPr>
          <w:rFonts w:ascii="Times New Roman" w:cs="Times New Roman" w:hint="eastAsia"/>
          <w:sz w:val="24"/>
          <w:szCs w:val="24"/>
        </w:rPr>
        <w:t>/</w:t>
      </w:r>
      <w:r>
        <w:rPr>
          <w:rFonts w:ascii="Times New Roman" w:cs="Times New Roman" w:hint="eastAsia"/>
          <w:sz w:val="24"/>
          <w:szCs w:val="24"/>
        </w:rPr>
        <w:t>计量站供电均引自周边已建</w:t>
      </w:r>
      <w:r>
        <w:rPr>
          <w:rFonts w:ascii="Times New Roman" w:cs="Times New Roman"/>
          <w:sz w:val="24"/>
          <w:szCs w:val="24"/>
        </w:rPr>
        <w:t>6kV</w:t>
      </w:r>
      <w:r>
        <w:rPr>
          <w:rFonts w:ascii="Times New Roman" w:cs="Times New Roman"/>
          <w:sz w:val="24"/>
          <w:szCs w:val="24"/>
        </w:rPr>
        <w:t>架空</w:t>
      </w:r>
      <w:r>
        <w:rPr>
          <w:rFonts w:ascii="Times New Roman" w:cs="Times New Roman" w:hint="eastAsia"/>
          <w:sz w:val="24"/>
          <w:szCs w:val="24"/>
        </w:rPr>
        <w:t>电力</w:t>
      </w:r>
      <w:r>
        <w:rPr>
          <w:rFonts w:ascii="Times New Roman" w:cs="Times New Roman"/>
          <w:sz w:val="24"/>
          <w:szCs w:val="24"/>
        </w:rPr>
        <w:t>线</w:t>
      </w:r>
      <w:r>
        <w:rPr>
          <w:rFonts w:ascii="Times New Roman" w:cs="Times New Roman" w:hint="eastAsia"/>
          <w:sz w:val="24"/>
          <w:szCs w:val="24"/>
        </w:rPr>
        <w:t>，</w:t>
      </w:r>
      <w:r>
        <w:rPr>
          <w:rFonts w:ascii="Times New Roman" w:cs="Times New Roman"/>
          <w:sz w:val="24"/>
          <w:szCs w:val="24"/>
        </w:rPr>
        <w:t>井</w:t>
      </w:r>
      <w:r>
        <w:rPr>
          <w:rFonts w:ascii="Times New Roman" w:cs="Times New Roman" w:hint="eastAsia"/>
          <w:sz w:val="24"/>
          <w:szCs w:val="24"/>
        </w:rPr>
        <w:t>场</w:t>
      </w:r>
      <w:r>
        <w:rPr>
          <w:rFonts w:ascii="Times New Roman" w:cs="Times New Roman" w:hint="eastAsia"/>
          <w:sz w:val="24"/>
          <w:szCs w:val="24"/>
        </w:rPr>
        <w:t>/</w:t>
      </w:r>
      <w:r>
        <w:rPr>
          <w:rFonts w:ascii="Times New Roman" w:cs="Times New Roman" w:hint="eastAsia"/>
          <w:sz w:val="24"/>
          <w:szCs w:val="24"/>
        </w:rPr>
        <w:t>计量站内设杆上式变压器，</w:t>
      </w:r>
      <w:r>
        <w:rPr>
          <w:rFonts w:ascii="Times New Roman" w:cs="Times New Roman"/>
          <w:sz w:val="24"/>
          <w:szCs w:val="24"/>
        </w:rPr>
        <w:t>变压器低压侧设户外配电箱为新增负荷供电。配电电压为</w:t>
      </w:r>
      <w:r>
        <w:rPr>
          <w:rFonts w:ascii="Times New Roman" w:cs="Times New Roman"/>
          <w:sz w:val="24"/>
          <w:szCs w:val="24"/>
        </w:rPr>
        <w:t>380/220V</w:t>
      </w:r>
      <w:r>
        <w:rPr>
          <w:rFonts w:ascii="Times New Roman" w:cs="Times New Roman"/>
          <w:sz w:val="24"/>
          <w:szCs w:val="24"/>
        </w:rPr>
        <w:t>，接地系统采用</w:t>
      </w:r>
      <w:r>
        <w:rPr>
          <w:rFonts w:ascii="Times New Roman" w:cs="Times New Roman"/>
          <w:sz w:val="24"/>
          <w:szCs w:val="24"/>
        </w:rPr>
        <w:t>TN-C-S</w:t>
      </w:r>
      <w:r>
        <w:rPr>
          <w:rFonts w:ascii="Times New Roman" w:cs="Times New Roman"/>
          <w:sz w:val="24"/>
          <w:szCs w:val="24"/>
        </w:rPr>
        <w:t>系统，其中爆炸性环境采用</w:t>
      </w:r>
      <w:r>
        <w:rPr>
          <w:rFonts w:ascii="Times New Roman" w:cs="Times New Roman"/>
          <w:sz w:val="24"/>
          <w:szCs w:val="24"/>
        </w:rPr>
        <w:t>TN-S</w:t>
      </w:r>
      <w:r>
        <w:rPr>
          <w:rFonts w:ascii="Times New Roman" w:cs="Times New Roman"/>
          <w:sz w:val="24"/>
          <w:szCs w:val="24"/>
        </w:rPr>
        <w:t>系统。配电方式采用放射式。低压断路器设有短路及过载保护。</w:t>
      </w:r>
    </w:p>
    <w:p w14:paraId="16941D85" w14:textId="77777777" w:rsidR="003D6A63" w:rsidRDefault="00000000">
      <w:pPr>
        <w:numPr>
          <w:ilvl w:val="0"/>
          <w:numId w:val="13"/>
        </w:numPr>
        <w:adjustRightInd w:val="0"/>
        <w:snapToGrid w:val="0"/>
        <w:spacing w:line="360" w:lineRule="auto"/>
        <w:ind w:firstLineChars="100" w:firstLine="240"/>
        <w:rPr>
          <w:sz w:val="24"/>
        </w:rPr>
      </w:pPr>
      <w:r>
        <w:rPr>
          <w:rFonts w:hint="eastAsia"/>
          <w:sz w:val="24"/>
        </w:rPr>
        <w:t>爆炸危险区域划分</w:t>
      </w:r>
    </w:p>
    <w:p w14:paraId="4B3D27A5" w14:textId="77777777" w:rsidR="003D6A63" w:rsidRDefault="00000000">
      <w:pPr>
        <w:pStyle w:val="2SLCON22"/>
        <w:ind w:firstLine="480"/>
        <w:rPr>
          <w:rFonts w:ascii="Times New Roman" w:cs="Times New Roman"/>
          <w:sz w:val="24"/>
          <w:szCs w:val="24"/>
        </w:rPr>
      </w:pPr>
      <w:bookmarkStart w:id="57" w:name="_Toc466466315"/>
      <w:r>
        <w:rPr>
          <w:rFonts w:ascii="Times New Roman" w:cs="Times New Roman"/>
          <w:sz w:val="24"/>
          <w:szCs w:val="24"/>
        </w:rPr>
        <w:t>根据《石油设施电气设备安装区域</w:t>
      </w:r>
      <w:r>
        <w:rPr>
          <w:rFonts w:ascii="Times New Roman" w:cs="Times New Roman" w:hint="eastAsia"/>
          <w:sz w:val="24"/>
          <w:szCs w:val="24"/>
        </w:rPr>
        <w:t>I</w:t>
      </w:r>
      <w:r>
        <w:rPr>
          <w:rFonts w:ascii="Times New Roman" w:cs="Times New Roman"/>
          <w:sz w:val="24"/>
          <w:szCs w:val="24"/>
        </w:rPr>
        <w:t>级、</w:t>
      </w:r>
      <w:r>
        <w:rPr>
          <w:rFonts w:ascii="Times New Roman" w:cs="Times New Roman"/>
          <w:sz w:val="24"/>
          <w:szCs w:val="24"/>
        </w:rPr>
        <w:t>0</w:t>
      </w:r>
      <w:r>
        <w:rPr>
          <w:rFonts w:ascii="Times New Roman" w:cs="Times New Roman"/>
          <w:sz w:val="24"/>
          <w:szCs w:val="24"/>
        </w:rPr>
        <w:t>区、</w:t>
      </w:r>
      <w:r>
        <w:rPr>
          <w:rFonts w:ascii="Times New Roman" w:cs="Times New Roman"/>
          <w:sz w:val="24"/>
          <w:szCs w:val="24"/>
        </w:rPr>
        <w:t>1</w:t>
      </w:r>
      <w:r>
        <w:rPr>
          <w:rFonts w:ascii="Times New Roman" w:cs="Times New Roman"/>
          <w:sz w:val="24"/>
          <w:szCs w:val="24"/>
        </w:rPr>
        <w:t>区和</w:t>
      </w:r>
      <w:r>
        <w:rPr>
          <w:rFonts w:ascii="Times New Roman" w:cs="Times New Roman"/>
          <w:sz w:val="24"/>
          <w:szCs w:val="24"/>
        </w:rPr>
        <w:t>2</w:t>
      </w:r>
      <w:r>
        <w:rPr>
          <w:rFonts w:ascii="Times New Roman" w:cs="Times New Roman"/>
          <w:sz w:val="24"/>
          <w:szCs w:val="24"/>
        </w:rPr>
        <w:t>区区域划分推荐作法》</w:t>
      </w:r>
      <w:r>
        <w:rPr>
          <w:rFonts w:ascii="Times New Roman" w:cs="Times New Roman" w:hint="eastAsia"/>
          <w:sz w:val="24"/>
          <w:szCs w:val="24"/>
        </w:rPr>
        <w:t>（</w:t>
      </w:r>
      <w:r>
        <w:rPr>
          <w:rFonts w:ascii="Times New Roman" w:cs="Times New Roman"/>
          <w:sz w:val="24"/>
          <w:szCs w:val="24"/>
        </w:rPr>
        <w:t>SY/T 6671-20</w:t>
      </w:r>
      <w:r>
        <w:rPr>
          <w:rFonts w:ascii="Times New Roman" w:cs="Times New Roman" w:hint="eastAsia"/>
          <w:sz w:val="24"/>
          <w:szCs w:val="24"/>
        </w:rPr>
        <w:t>17</w:t>
      </w:r>
      <w:r>
        <w:rPr>
          <w:rFonts w:ascii="Times New Roman" w:cs="Times New Roman" w:hint="eastAsia"/>
          <w:sz w:val="24"/>
          <w:szCs w:val="24"/>
        </w:rPr>
        <w:t>）</w:t>
      </w:r>
      <w:r>
        <w:rPr>
          <w:rFonts w:ascii="Times New Roman" w:cs="Times New Roman"/>
          <w:sz w:val="24"/>
          <w:szCs w:val="24"/>
        </w:rPr>
        <w:t>的规定，</w:t>
      </w:r>
      <w:r>
        <w:rPr>
          <w:rFonts w:ascii="Times New Roman" w:cs="Times New Roman" w:hint="eastAsia"/>
          <w:sz w:val="24"/>
          <w:szCs w:val="24"/>
        </w:rPr>
        <w:t>中胜公司各井场</w:t>
      </w:r>
      <w:r>
        <w:rPr>
          <w:rFonts w:ascii="Times New Roman" w:cs="Times New Roman" w:hint="eastAsia"/>
          <w:sz w:val="24"/>
          <w:szCs w:val="24"/>
        </w:rPr>
        <w:t>/</w:t>
      </w:r>
      <w:r>
        <w:rPr>
          <w:rFonts w:ascii="Times New Roman" w:cs="Times New Roman" w:hint="eastAsia"/>
          <w:sz w:val="24"/>
          <w:szCs w:val="24"/>
        </w:rPr>
        <w:t>计量站</w:t>
      </w:r>
      <w:r>
        <w:rPr>
          <w:rFonts w:ascii="Times New Roman" w:cs="Times New Roman"/>
          <w:sz w:val="24"/>
          <w:szCs w:val="24"/>
        </w:rPr>
        <w:t>爆炸危险区域</w:t>
      </w:r>
      <w:r>
        <w:rPr>
          <w:rFonts w:ascii="Times New Roman" w:cs="Times New Roman" w:hint="eastAsia"/>
          <w:sz w:val="24"/>
          <w:szCs w:val="24"/>
        </w:rPr>
        <w:t>划分及电气选择见表</w:t>
      </w:r>
      <w:r>
        <w:rPr>
          <w:rFonts w:ascii="Times New Roman" w:cs="Times New Roman" w:hint="eastAsia"/>
          <w:sz w:val="24"/>
          <w:szCs w:val="24"/>
        </w:rPr>
        <w:t>2.3-5</w:t>
      </w:r>
      <w:r>
        <w:rPr>
          <w:rFonts w:ascii="Times New Roman" w:cs="Times New Roman"/>
          <w:sz w:val="24"/>
          <w:szCs w:val="24"/>
        </w:rPr>
        <w:t>。</w:t>
      </w:r>
      <w:bookmarkEnd w:id="57"/>
    </w:p>
    <w:p w14:paraId="0426C4DB" w14:textId="77777777" w:rsidR="003D6A63" w:rsidRDefault="00000000">
      <w:pPr>
        <w:pStyle w:val="2SLCON22"/>
        <w:ind w:firstLine="420"/>
        <w:jc w:val="center"/>
        <w:rPr>
          <w:rFonts w:ascii="Times New Roman" w:cs="Times New Roman"/>
          <w:sz w:val="24"/>
          <w:szCs w:val="24"/>
        </w:rPr>
      </w:pPr>
      <w:r>
        <w:rPr>
          <w:rFonts w:ascii="Times New Roman" w:eastAsia="黑体" w:cs="Times New Roman" w:hint="eastAsia"/>
          <w:kern w:val="2"/>
          <w:sz w:val="21"/>
        </w:rPr>
        <w:t>表</w:t>
      </w:r>
      <w:r>
        <w:rPr>
          <w:rFonts w:ascii="Times New Roman" w:eastAsia="黑体" w:cs="Times New Roman" w:hint="eastAsia"/>
          <w:kern w:val="2"/>
          <w:sz w:val="21"/>
        </w:rPr>
        <w:t xml:space="preserve">2.3-5 </w:t>
      </w:r>
      <w:r>
        <w:rPr>
          <w:rFonts w:ascii="Times New Roman" w:eastAsia="黑体" w:cs="Times New Roman" w:hint="eastAsia"/>
          <w:kern w:val="2"/>
          <w:sz w:val="21"/>
        </w:rPr>
        <w:t>中胜公司爆炸危险区域划分及电气选择</w:t>
      </w:r>
    </w:p>
    <w:tbl>
      <w:tblPr>
        <w:tblW w:w="4996"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673"/>
        <w:gridCol w:w="1416"/>
        <w:gridCol w:w="3441"/>
        <w:gridCol w:w="2129"/>
        <w:gridCol w:w="1622"/>
      </w:tblGrid>
      <w:tr w:rsidR="003D6A63" w14:paraId="7E16F649" w14:textId="77777777">
        <w:trPr>
          <w:trHeight w:val="340"/>
          <w:tblHeader/>
        </w:trPr>
        <w:tc>
          <w:tcPr>
            <w:tcW w:w="362" w:type="pct"/>
            <w:tcBorders>
              <w:tl2br w:val="nil"/>
              <w:tr2bl w:val="nil"/>
            </w:tcBorders>
            <w:shd w:val="clear" w:color="auto" w:fill="FFFFFF"/>
            <w:vAlign w:val="center"/>
          </w:tcPr>
          <w:p w14:paraId="5E5AA5DA"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kern w:val="0"/>
                <w:szCs w:val="21"/>
                <w:lang w:bidi="ar"/>
              </w:rPr>
              <w:t>序号</w:t>
            </w:r>
          </w:p>
        </w:tc>
        <w:tc>
          <w:tcPr>
            <w:tcW w:w="762" w:type="pct"/>
            <w:tcBorders>
              <w:tl2br w:val="nil"/>
              <w:tr2bl w:val="nil"/>
            </w:tcBorders>
            <w:shd w:val="clear" w:color="auto" w:fill="FFFFFF"/>
            <w:vAlign w:val="center"/>
          </w:tcPr>
          <w:p w14:paraId="5699810C"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设备设施</w:t>
            </w:r>
          </w:p>
        </w:tc>
        <w:tc>
          <w:tcPr>
            <w:tcW w:w="1853" w:type="pct"/>
            <w:tcBorders>
              <w:tl2br w:val="nil"/>
              <w:tr2bl w:val="nil"/>
            </w:tcBorders>
            <w:shd w:val="clear" w:color="auto" w:fill="FFFFFF"/>
            <w:vAlign w:val="center"/>
          </w:tcPr>
          <w:p w14:paraId="59F895EE"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爆炸危险区域</w:t>
            </w:r>
          </w:p>
        </w:tc>
        <w:tc>
          <w:tcPr>
            <w:tcW w:w="1146" w:type="pct"/>
            <w:tcBorders>
              <w:tl2br w:val="nil"/>
              <w:tr2bl w:val="nil"/>
            </w:tcBorders>
            <w:shd w:val="clear" w:color="auto" w:fill="FFFFFF"/>
            <w:vAlign w:val="center"/>
          </w:tcPr>
          <w:p w14:paraId="309CACDE"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szCs w:val="21"/>
              </w:rPr>
              <w:t>防爆电气选型</w:t>
            </w:r>
          </w:p>
        </w:tc>
        <w:tc>
          <w:tcPr>
            <w:tcW w:w="873" w:type="pct"/>
            <w:tcBorders>
              <w:tl2br w:val="nil"/>
              <w:tr2bl w:val="nil"/>
            </w:tcBorders>
            <w:shd w:val="clear" w:color="auto" w:fill="FFFFFF"/>
            <w:vAlign w:val="center"/>
          </w:tcPr>
          <w:p w14:paraId="05A09F96" w14:textId="77777777" w:rsidR="003D6A63" w:rsidRDefault="00000000">
            <w:pPr>
              <w:widowControl/>
              <w:jc w:val="center"/>
              <w:textAlignment w:val="bottom"/>
              <w:rPr>
                <w:rFonts w:ascii="宋体" w:hAnsi="宋体" w:cs="宋体"/>
                <w:b/>
                <w:bCs/>
                <w:color w:val="000000"/>
                <w:szCs w:val="21"/>
              </w:rPr>
            </w:pPr>
            <w:r>
              <w:rPr>
                <w:rFonts w:ascii="宋体" w:hAnsi="宋体" w:cs="宋体" w:hint="eastAsia"/>
                <w:b/>
                <w:bCs/>
                <w:color w:val="000000"/>
                <w:kern w:val="0"/>
                <w:szCs w:val="21"/>
                <w:lang w:bidi="ar"/>
              </w:rPr>
              <w:t>是否符合</w:t>
            </w:r>
          </w:p>
        </w:tc>
      </w:tr>
      <w:tr w:rsidR="003D6A63" w14:paraId="13F371F1" w14:textId="77777777">
        <w:trPr>
          <w:trHeight w:val="340"/>
        </w:trPr>
        <w:tc>
          <w:tcPr>
            <w:tcW w:w="362" w:type="pct"/>
            <w:tcBorders>
              <w:tl2br w:val="nil"/>
              <w:tr2bl w:val="nil"/>
            </w:tcBorders>
            <w:shd w:val="clear" w:color="auto" w:fill="FFFFFF"/>
            <w:vAlign w:val="center"/>
          </w:tcPr>
          <w:p w14:paraId="51F34295"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1</w:t>
            </w:r>
          </w:p>
        </w:tc>
        <w:tc>
          <w:tcPr>
            <w:tcW w:w="762" w:type="pct"/>
            <w:tcBorders>
              <w:tl2br w:val="nil"/>
              <w:tr2bl w:val="nil"/>
            </w:tcBorders>
            <w:shd w:val="clear" w:color="auto" w:fill="FFFFFF"/>
            <w:vAlign w:val="center"/>
          </w:tcPr>
          <w:p w14:paraId="7C4E35E7"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szCs w:val="21"/>
              </w:rPr>
              <w:t>机械采油井</w:t>
            </w:r>
          </w:p>
        </w:tc>
        <w:tc>
          <w:tcPr>
            <w:tcW w:w="1853" w:type="pct"/>
            <w:tcBorders>
              <w:tl2br w:val="nil"/>
              <w:tr2bl w:val="nil"/>
            </w:tcBorders>
            <w:shd w:val="clear" w:color="auto" w:fill="FFFFFF"/>
            <w:vAlign w:val="center"/>
          </w:tcPr>
          <w:p w14:paraId="5F76CEB6"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井口3m内为爆炸危险2区</w:t>
            </w:r>
          </w:p>
        </w:tc>
        <w:tc>
          <w:tcPr>
            <w:tcW w:w="2129" w:type="dxa"/>
            <w:tcBorders>
              <w:tl2br w:val="nil"/>
              <w:tr2bl w:val="nil"/>
            </w:tcBorders>
            <w:shd w:val="clear" w:color="auto" w:fill="FFFFFF"/>
            <w:vAlign w:val="center"/>
          </w:tcPr>
          <w:p w14:paraId="6BE4F641"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Exia、Exib、Exd、Exe</w:t>
            </w:r>
          </w:p>
          <w:p w14:paraId="49C80928"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ExnA、ExnC、ExnR、ExnL、ExnZ</w:t>
            </w:r>
          </w:p>
        </w:tc>
        <w:tc>
          <w:tcPr>
            <w:tcW w:w="873" w:type="pct"/>
            <w:tcBorders>
              <w:tl2br w:val="nil"/>
              <w:tr2bl w:val="nil"/>
            </w:tcBorders>
            <w:shd w:val="clear" w:color="auto" w:fill="FFFFFF"/>
            <w:vAlign w:val="center"/>
          </w:tcPr>
          <w:p w14:paraId="1A1432F4"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符合</w:t>
            </w:r>
          </w:p>
        </w:tc>
      </w:tr>
      <w:tr w:rsidR="003D6A63" w14:paraId="790FDAF1" w14:textId="77777777">
        <w:trPr>
          <w:trHeight w:val="340"/>
        </w:trPr>
        <w:tc>
          <w:tcPr>
            <w:tcW w:w="362" w:type="pct"/>
            <w:vMerge w:val="restart"/>
            <w:tcBorders>
              <w:tl2br w:val="nil"/>
              <w:tr2bl w:val="nil"/>
            </w:tcBorders>
            <w:shd w:val="clear" w:color="auto" w:fill="FFFFFF"/>
            <w:vAlign w:val="center"/>
          </w:tcPr>
          <w:p w14:paraId="7D66DFF9"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2</w:t>
            </w:r>
          </w:p>
        </w:tc>
        <w:tc>
          <w:tcPr>
            <w:tcW w:w="762" w:type="pct"/>
            <w:vMerge w:val="restart"/>
            <w:tcBorders>
              <w:tl2br w:val="nil"/>
              <w:tr2bl w:val="nil"/>
            </w:tcBorders>
            <w:shd w:val="clear" w:color="auto" w:fill="FFFFFF"/>
            <w:vAlign w:val="center"/>
          </w:tcPr>
          <w:p w14:paraId="6EAB40DA"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szCs w:val="21"/>
              </w:rPr>
              <w:t>计量间</w:t>
            </w:r>
          </w:p>
        </w:tc>
        <w:tc>
          <w:tcPr>
            <w:tcW w:w="1853" w:type="pct"/>
            <w:tcBorders>
              <w:tl2br w:val="nil"/>
              <w:tr2bl w:val="nil"/>
            </w:tcBorders>
            <w:shd w:val="clear" w:color="auto" w:fill="FFFFFF"/>
            <w:vAlign w:val="center"/>
          </w:tcPr>
          <w:p w14:paraId="3AE3CC87"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szCs w:val="21"/>
              </w:rPr>
              <w:t>计量间内为爆炸危险1区</w:t>
            </w:r>
          </w:p>
        </w:tc>
        <w:tc>
          <w:tcPr>
            <w:tcW w:w="2129" w:type="dxa"/>
            <w:tcBorders>
              <w:tl2br w:val="nil"/>
              <w:tr2bl w:val="nil"/>
            </w:tcBorders>
            <w:shd w:val="clear" w:color="auto" w:fill="FFFFFF"/>
            <w:vAlign w:val="center"/>
          </w:tcPr>
          <w:p w14:paraId="502A2F15"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Exia、Exib、Exd、Exe</w:t>
            </w:r>
          </w:p>
        </w:tc>
        <w:tc>
          <w:tcPr>
            <w:tcW w:w="873" w:type="pct"/>
            <w:tcBorders>
              <w:tl2br w:val="nil"/>
              <w:tr2bl w:val="nil"/>
            </w:tcBorders>
            <w:shd w:val="clear" w:color="auto" w:fill="FFFFFF"/>
            <w:vAlign w:val="center"/>
          </w:tcPr>
          <w:p w14:paraId="7D5D22E0"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符合</w:t>
            </w:r>
          </w:p>
        </w:tc>
      </w:tr>
      <w:tr w:rsidR="003D6A63" w14:paraId="6275120C" w14:textId="77777777">
        <w:trPr>
          <w:trHeight w:val="340"/>
        </w:trPr>
        <w:tc>
          <w:tcPr>
            <w:tcW w:w="362" w:type="pct"/>
            <w:vMerge/>
            <w:tcBorders>
              <w:tl2br w:val="nil"/>
              <w:tr2bl w:val="nil"/>
            </w:tcBorders>
            <w:shd w:val="clear" w:color="auto" w:fill="FFFFFF"/>
            <w:vAlign w:val="center"/>
          </w:tcPr>
          <w:p w14:paraId="704F3B38" w14:textId="77777777" w:rsidR="003D6A63" w:rsidRDefault="003D6A63">
            <w:pPr>
              <w:widowControl/>
              <w:jc w:val="center"/>
              <w:textAlignment w:val="bottom"/>
              <w:rPr>
                <w:rFonts w:ascii="宋体" w:hAnsi="宋体" w:cs="宋体"/>
                <w:color w:val="000000"/>
                <w:kern w:val="0"/>
                <w:szCs w:val="21"/>
                <w:lang w:bidi="ar"/>
              </w:rPr>
            </w:pPr>
          </w:p>
        </w:tc>
        <w:tc>
          <w:tcPr>
            <w:tcW w:w="762" w:type="pct"/>
            <w:vMerge/>
            <w:tcBorders>
              <w:tl2br w:val="nil"/>
              <w:tr2bl w:val="nil"/>
            </w:tcBorders>
            <w:shd w:val="clear" w:color="auto" w:fill="FFFFFF"/>
            <w:vAlign w:val="center"/>
          </w:tcPr>
          <w:p w14:paraId="2A9FD44C" w14:textId="77777777" w:rsidR="003D6A63" w:rsidRDefault="003D6A63">
            <w:pPr>
              <w:widowControl/>
              <w:jc w:val="center"/>
              <w:textAlignment w:val="bottom"/>
              <w:rPr>
                <w:rFonts w:ascii="宋体" w:hAnsi="宋体" w:cs="宋体"/>
                <w:color w:val="000000"/>
                <w:szCs w:val="21"/>
              </w:rPr>
            </w:pPr>
          </w:p>
        </w:tc>
        <w:tc>
          <w:tcPr>
            <w:tcW w:w="1853" w:type="pct"/>
            <w:tcBorders>
              <w:tl2br w:val="nil"/>
              <w:tr2bl w:val="nil"/>
            </w:tcBorders>
            <w:shd w:val="clear" w:color="auto" w:fill="FFFFFF"/>
            <w:vAlign w:val="center"/>
          </w:tcPr>
          <w:p w14:paraId="50A03250"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szCs w:val="21"/>
              </w:rPr>
              <w:t>计量间外3m内为爆炸危险2区</w:t>
            </w:r>
          </w:p>
        </w:tc>
        <w:tc>
          <w:tcPr>
            <w:tcW w:w="2129" w:type="dxa"/>
            <w:tcBorders>
              <w:tl2br w:val="nil"/>
              <w:tr2bl w:val="nil"/>
            </w:tcBorders>
            <w:shd w:val="clear" w:color="auto" w:fill="FFFFFF"/>
            <w:vAlign w:val="center"/>
          </w:tcPr>
          <w:p w14:paraId="2CB70493"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Exia、Exib、Exd、Exe</w:t>
            </w:r>
          </w:p>
          <w:p w14:paraId="04374942"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ExnA、ExnC、ExnR、ExnL、ExnZ</w:t>
            </w:r>
          </w:p>
        </w:tc>
        <w:tc>
          <w:tcPr>
            <w:tcW w:w="873" w:type="pct"/>
            <w:tcBorders>
              <w:tl2br w:val="nil"/>
              <w:tr2bl w:val="nil"/>
            </w:tcBorders>
            <w:shd w:val="clear" w:color="auto" w:fill="FFFFFF"/>
            <w:vAlign w:val="center"/>
          </w:tcPr>
          <w:p w14:paraId="580211E3"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符合</w:t>
            </w:r>
          </w:p>
        </w:tc>
      </w:tr>
      <w:tr w:rsidR="003D6A63" w14:paraId="1489F7E3" w14:textId="77777777">
        <w:trPr>
          <w:trHeight w:val="340"/>
        </w:trPr>
        <w:tc>
          <w:tcPr>
            <w:tcW w:w="362" w:type="pct"/>
            <w:tcBorders>
              <w:tl2br w:val="nil"/>
              <w:tr2bl w:val="nil"/>
            </w:tcBorders>
            <w:shd w:val="clear" w:color="auto" w:fill="FFFFFF"/>
            <w:vAlign w:val="center"/>
          </w:tcPr>
          <w:p w14:paraId="4042355E"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3</w:t>
            </w:r>
          </w:p>
        </w:tc>
        <w:tc>
          <w:tcPr>
            <w:tcW w:w="762" w:type="pct"/>
            <w:tcBorders>
              <w:tl2br w:val="nil"/>
              <w:tr2bl w:val="nil"/>
            </w:tcBorders>
            <w:shd w:val="clear" w:color="auto" w:fill="FFFFFF"/>
            <w:vAlign w:val="center"/>
          </w:tcPr>
          <w:p w14:paraId="47063D47"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szCs w:val="21"/>
              </w:rPr>
              <w:t>螺杆输油泵</w:t>
            </w:r>
          </w:p>
        </w:tc>
        <w:tc>
          <w:tcPr>
            <w:tcW w:w="1853" w:type="pct"/>
            <w:tcBorders>
              <w:tl2br w:val="nil"/>
              <w:tr2bl w:val="nil"/>
            </w:tcBorders>
            <w:shd w:val="clear" w:color="auto" w:fill="FFFFFF"/>
            <w:vAlign w:val="center"/>
          </w:tcPr>
          <w:p w14:paraId="5569965F"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szCs w:val="21"/>
              </w:rPr>
              <w:t>螺杆输油泵外3m内为爆炸危险2区</w:t>
            </w:r>
          </w:p>
        </w:tc>
        <w:tc>
          <w:tcPr>
            <w:tcW w:w="2129" w:type="dxa"/>
            <w:tcBorders>
              <w:tl2br w:val="nil"/>
              <w:tr2bl w:val="nil"/>
            </w:tcBorders>
            <w:shd w:val="clear" w:color="auto" w:fill="FFFFFF"/>
            <w:vAlign w:val="center"/>
          </w:tcPr>
          <w:p w14:paraId="4EBAA296"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Exia、Exib、Exd、Exe</w:t>
            </w:r>
          </w:p>
          <w:p w14:paraId="68FC39CB"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ExnA、ExnC、ExnR、ExnL、ExnZ</w:t>
            </w:r>
          </w:p>
        </w:tc>
        <w:tc>
          <w:tcPr>
            <w:tcW w:w="873" w:type="pct"/>
            <w:tcBorders>
              <w:tl2br w:val="nil"/>
              <w:tr2bl w:val="nil"/>
            </w:tcBorders>
            <w:shd w:val="clear" w:color="auto" w:fill="FFFFFF"/>
            <w:vAlign w:val="center"/>
          </w:tcPr>
          <w:p w14:paraId="2F4210C4"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符合</w:t>
            </w:r>
          </w:p>
        </w:tc>
      </w:tr>
      <w:tr w:rsidR="003D6A63" w14:paraId="4587A0EB" w14:textId="77777777">
        <w:trPr>
          <w:trHeight w:val="340"/>
        </w:trPr>
        <w:tc>
          <w:tcPr>
            <w:tcW w:w="362" w:type="pct"/>
            <w:tcBorders>
              <w:tl2br w:val="nil"/>
              <w:tr2bl w:val="nil"/>
            </w:tcBorders>
            <w:shd w:val="clear" w:color="auto" w:fill="FFFFFF"/>
            <w:vAlign w:val="center"/>
          </w:tcPr>
          <w:p w14:paraId="0BF77A49"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4</w:t>
            </w:r>
          </w:p>
        </w:tc>
        <w:tc>
          <w:tcPr>
            <w:tcW w:w="762" w:type="pct"/>
            <w:tcBorders>
              <w:tl2br w:val="nil"/>
              <w:tr2bl w:val="nil"/>
            </w:tcBorders>
            <w:shd w:val="clear" w:color="auto" w:fill="FFFFFF"/>
            <w:vAlign w:val="center"/>
          </w:tcPr>
          <w:p w14:paraId="301B0C8D" w14:textId="77777777" w:rsidR="003D6A63" w:rsidRDefault="00000000">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立式分离器</w:t>
            </w:r>
          </w:p>
        </w:tc>
        <w:tc>
          <w:tcPr>
            <w:tcW w:w="1853" w:type="pct"/>
            <w:tcBorders>
              <w:tl2br w:val="nil"/>
              <w:tr2bl w:val="nil"/>
            </w:tcBorders>
            <w:shd w:val="clear" w:color="auto" w:fill="FFFFFF"/>
            <w:vAlign w:val="center"/>
          </w:tcPr>
          <w:p w14:paraId="18BD4262"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szCs w:val="21"/>
              </w:rPr>
              <w:t>分离器外3m内为爆炸危险2区</w:t>
            </w:r>
          </w:p>
        </w:tc>
        <w:tc>
          <w:tcPr>
            <w:tcW w:w="2129" w:type="dxa"/>
            <w:tcBorders>
              <w:tl2br w:val="nil"/>
              <w:tr2bl w:val="nil"/>
            </w:tcBorders>
            <w:shd w:val="clear" w:color="auto" w:fill="FFFFFF"/>
            <w:vAlign w:val="center"/>
          </w:tcPr>
          <w:p w14:paraId="2FA8762E"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Exia、Exib、Exd、Exe</w:t>
            </w:r>
          </w:p>
          <w:p w14:paraId="6CCA8E9C"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ExnA、ExnC、ExnR、ExnL、ExnZ</w:t>
            </w:r>
          </w:p>
        </w:tc>
        <w:tc>
          <w:tcPr>
            <w:tcW w:w="873" w:type="pct"/>
            <w:tcBorders>
              <w:tl2br w:val="nil"/>
              <w:tr2bl w:val="nil"/>
            </w:tcBorders>
            <w:shd w:val="clear" w:color="auto" w:fill="FFFFFF"/>
            <w:vAlign w:val="center"/>
          </w:tcPr>
          <w:p w14:paraId="31CDF6F3"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符合</w:t>
            </w:r>
          </w:p>
        </w:tc>
      </w:tr>
      <w:tr w:rsidR="003D6A63" w14:paraId="1D608AE9" w14:textId="77777777">
        <w:trPr>
          <w:trHeight w:val="340"/>
        </w:trPr>
        <w:tc>
          <w:tcPr>
            <w:tcW w:w="362" w:type="pct"/>
            <w:vMerge w:val="restart"/>
            <w:tcBorders>
              <w:tl2br w:val="nil"/>
              <w:tr2bl w:val="nil"/>
            </w:tcBorders>
            <w:shd w:val="clear" w:color="auto" w:fill="FFFFFF"/>
            <w:vAlign w:val="center"/>
          </w:tcPr>
          <w:p w14:paraId="7F352CA3"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5</w:t>
            </w:r>
          </w:p>
        </w:tc>
        <w:tc>
          <w:tcPr>
            <w:tcW w:w="762" w:type="pct"/>
            <w:vMerge w:val="restart"/>
            <w:tcBorders>
              <w:tl2br w:val="nil"/>
              <w:tr2bl w:val="nil"/>
            </w:tcBorders>
            <w:shd w:val="clear" w:color="auto" w:fill="FFFFFF"/>
            <w:vAlign w:val="center"/>
          </w:tcPr>
          <w:p w14:paraId="35FE5E2E" w14:textId="77777777" w:rsidR="003D6A63" w:rsidRDefault="00000000">
            <w:pPr>
              <w:jc w:val="center"/>
              <w:rPr>
                <w:rFonts w:ascii="宋体" w:hAnsi="宋体" w:cs="宋体"/>
                <w:color w:val="000000"/>
                <w:kern w:val="0"/>
                <w:szCs w:val="21"/>
                <w:lang w:bidi="ar"/>
              </w:rPr>
            </w:pPr>
            <w:r>
              <w:rPr>
                <w:rFonts w:ascii="宋体" w:hAnsi="宋体" w:cs="宋体" w:hint="eastAsia"/>
                <w:color w:val="000000"/>
                <w:szCs w:val="21"/>
              </w:rPr>
              <w:t>多功能罐</w:t>
            </w:r>
          </w:p>
        </w:tc>
        <w:tc>
          <w:tcPr>
            <w:tcW w:w="1853" w:type="pct"/>
            <w:tcBorders>
              <w:tl2br w:val="nil"/>
              <w:tr2bl w:val="nil"/>
            </w:tcBorders>
            <w:shd w:val="clear" w:color="auto" w:fill="FFFFFF"/>
            <w:vAlign w:val="center"/>
          </w:tcPr>
          <w:p w14:paraId="7A6FD303"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安全阀1.5m内为爆炸危险1区</w:t>
            </w:r>
          </w:p>
        </w:tc>
        <w:tc>
          <w:tcPr>
            <w:tcW w:w="2129" w:type="dxa"/>
            <w:tcBorders>
              <w:tl2br w:val="nil"/>
              <w:tr2bl w:val="nil"/>
            </w:tcBorders>
            <w:shd w:val="clear" w:color="auto" w:fill="FFFFFF"/>
            <w:vAlign w:val="center"/>
          </w:tcPr>
          <w:p w14:paraId="2EFF2528"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Exib、Exd、Exe</w:t>
            </w:r>
          </w:p>
        </w:tc>
        <w:tc>
          <w:tcPr>
            <w:tcW w:w="873" w:type="pct"/>
            <w:tcBorders>
              <w:tl2br w:val="nil"/>
              <w:tr2bl w:val="nil"/>
            </w:tcBorders>
            <w:shd w:val="clear" w:color="auto" w:fill="FFFFFF"/>
            <w:vAlign w:val="center"/>
          </w:tcPr>
          <w:p w14:paraId="0D414E2B"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符合</w:t>
            </w:r>
          </w:p>
        </w:tc>
      </w:tr>
      <w:tr w:rsidR="003D6A63" w14:paraId="7442843B" w14:textId="77777777">
        <w:trPr>
          <w:trHeight w:val="340"/>
        </w:trPr>
        <w:tc>
          <w:tcPr>
            <w:tcW w:w="362" w:type="pct"/>
            <w:vMerge/>
            <w:tcBorders>
              <w:tl2br w:val="nil"/>
              <w:tr2bl w:val="nil"/>
            </w:tcBorders>
            <w:shd w:val="clear" w:color="auto" w:fill="FFFFFF"/>
            <w:vAlign w:val="center"/>
          </w:tcPr>
          <w:p w14:paraId="1BBDC478" w14:textId="77777777" w:rsidR="003D6A63" w:rsidRDefault="003D6A63">
            <w:pPr>
              <w:widowControl/>
              <w:jc w:val="center"/>
              <w:textAlignment w:val="bottom"/>
              <w:rPr>
                <w:rFonts w:ascii="宋体" w:hAnsi="宋体" w:cs="宋体"/>
                <w:color w:val="000000"/>
                <w:kern w:val="0"/>
                <w:szCs w:val="21"/>
                <w:lang w:bidi="ar"/>
              </w:rPr>
            </w:pPr>
          </w:p>
        </w:tc>
        <w:tc>
          <w:tcPr>
            <w:tcW w:w="762" w:type="pct"/>
            <w:vMerge/>
            <w:tcBorders>
              <w:tl2br w:val="nil"/>
              <w:tr2bl w:val="nil"/>
            </w:tcBorders>
            <w:shd w:val="clear" w:color="auto" w:fill="FFFFFF"/>
            <w:vAlign w:val="center"/>
          </w:tcPr>
          <w:p w14:paraId="5A26EF6E" w14:textId="77777777" w:rsidR="003D6A63" w:rsidRDefault="003D6A63">
            <w:pPr>
              <w:jc w:val="center"/>
              <w:rPr>
                <w:rFonts w:ascii="宋体" w:hAnsi="宋体" w:cs="宋体"/>
                <w:color w:val="000000"/>
                <w:szCs w:val="21"/>
              </w:rPr>
            </w:pPr>
          </w:p>
        </w:tc>
        <w:tc>
          <w:tcPr>
            <w:tcW w:w="1853" w:type="pct"/>
            <w:tcBorders>
              <w:tl2br w:val="nil"/>
              <w:tr2bl w:val="nil"/>
            </w:tcBorders>
            <w:shd w:val="clear" w:color="auto" w:fill="FFFFFF"/>
            <w:vAlign w:val="center"/>
          </w:tcPr>
          <w:p w14:paraId="22BC45E0"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罐体3m内为爆炸危险2区</w:t>
            </w:r>
          </w:p>
        </w:tc>
        <w:tc>
          <w:tcPr>
            <w:tcW w:w="2129" w:type="dxa"/>
            <w:tcBorders>
              <w:tl2br w:val="nil"/>
              <w:tr2bl w:val="nil"/>
            </w:tcBorders>
            <w:shd w:val="clear" w:color="auto" w:fill="FFFFFF"/>
            <w:vAlign w:val="center"/>
          </w:tcPr>
          <w:p w14:paraId="2BD15FF8"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Exia、Exib、Exd、Exe</w:t>
            </w:r>
          </w:p>
          <w:p w14:paraId="1A5B6C69"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ExnA、ExnC、ExnR、ExnL、ExnZ</w:t>
            </w:r>
          </w:p>
        </w:tc>
        <w:tc>
          <w:tcPr>
            <w:tcW w:w="873" w:type="pct"/>
            <w:tcBorders>
              <w:tl2br w:val="nil"/>
              <w:tr2bl w:val="nil"/>
            </w:tcBorders>
            <w:shd w:val="clear" w:color="auto" w:fill="FFFFFF"/>
            <w:vAlign w:val="center"/>
          </w:tcPr>
          <w:p w14:paraId="405ABE47"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符合</w:t>
            </w:r>
          </w:p>
        </w:tc>
      </w:tr>
      <w:tr w:rsidR="003D6A63" w14:paraId="72573309" w14:textId="77777777">
        <w:trPr>
          <w:trHeight w:val="340"/>
        </w:trPr>
        <w:tc>
          <w:tcPr>
            <w:tcW w:w="362" w:type="pct"/>
            <w:vMerge w:val="restart"/>
            <w:tcBorders>
              <w:tl2br w:val="nil"/>
              <w:tr2bl w:val="nil"/>
            </w:tcBorders>
            <w:shd w:val="clear" w:color="auto" w:fill="FFFFFF"/>
            <w:vAlign w:val="center"/>
          </w:tcPr>
          <w:p w14:paraId="36D7AE7D"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6</w:t>
            </w:r>
          </w:p>
        </w:tc>
        <w:tc>
          <w:tcPr>
            <w:tcW w:w="762" w:type="pct"/>
            <w:vMerge w:val="restart"/>
            <w:tcBorders>
              <w:tl2br w:val="nil"/>
              <w:tr2bl w:val="nil"/>
            </w:tcBorders>
            <w:shd w:val="clear" w:color="auto" w:fill="FFFFFF"/>
            <w:vAlign w:val="center"/>
          </w:tcPr>
          <w:p w14:paraId="0B4DD059" w14:textId="77777777" w:rsidR="003D6A63" w:rsidRDefault="00000000">
            <w:pPr>
              <w:jc w:val="center"/>
              <w:rPr>
                <w:rFonts w:ascii="宋体" w:hAnsi="宋体" w:cs="宋体"/>
                <w:color w:val="000000"/>
                <w:szCs w:val="21"/>
              </w:rPr>
            </w:pPr>
            <w:r>
              <w:rPr>
                <w:rFonts w:ascii="宋体" w:hAnsi="宋体" w:cs="宋体" w:hint="eastAsia"/>
                <w:color w:val="000000"/>
                <w:szCs w:val="21"/>
              </w:rPr>
              <w:t>井场高架罐</w:t>
            </w:r>
          </w:p>
        </w:tc>
        <w:tc>
          <w:tcPr>
            <w:tcW w:w="1853" w:type="pct"/>
            <w:tcBorders>
              <w:tl2br w:val="nil"/>
              <w:tr2bl w:val="nil"/>
            </w:tcBorders>
            <w:shd w:val="clear" w:color="auto" w:fill="FFFFFF"/>
            <w:vAlign w:val="center"/>
          </w:tcPr>
          <w:p w14:paraId="433E9F21"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量油孔1.5m内为爆炸危险1区</w:t>
            </w:r>
          </w:p>
        </w:tc>
        <w:tc>
          <w:tcPr>
            <w:tcW w:w="2129" w:type="dxa"/>
            <w:tcBorders>
              <w:tl2br w:val="nil"/>
              <w:tr2bl w:val="nil"/>
            </w:tcBorders>
            <w:shd w:val="clear" w:color="auto" w:fill="FFFFFF"/>
            <w:vAlign w:val="center"/>
          </w:tcPr>
          <w:p w14:paraId="546B82B0"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Exia、Exib、Exd、Exe</w:t>
            </w:r>
          </w:p>
        </w:tc>
        <w:tc>
          <w:tcPr>
            <w:tcW w:w="873" w:type="pct"/>
            <w:tcBorders>
              <w:tl2br w:val="nil"/>
              <w:tr2bl w:val="nil"/>
            </w:tcBorders>
            <w:shd w:val="clear" w:color="auto" w:fill="FFFFFF"/>
            <w:vAlign w:val="center"/>
          </w:tcPr>
          <w:p w14:paraId="3B8181A4"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符合</w:t>
            </w:r>
          </w:p>
        </w:tc>
      </w:tr>
      <w:tr w:rsidR="003D6A63" w14:paraId="194212FE" w14:textId="77777777">
        <w:trPr>
          <w:trHeight w:val="340"/>
        </w:trPr>
        <w:tc>
          <w:tcPr>
            <w:tcW w:w="362" w:type="pct"/>
            <w:vMerge/>
            <w:tcBorders>
              <w:tl2br w:val="nil"/>
              <w:tr2bl w:val="nil"/>
            </w:tcBorders>
            <w:shd w:val="clear" w:color="auto" w:fill="FFFFFF"/>
            <w:vAlign w:val="center"/>
          </w:tcPr>
          <w:p w14:paraId="164DE4E5" w14:textId="77777777" w:rsidR="003D6A63" w:rsidRDefault="003D6A63">
            <w:pPr>
              <w:widowControl/>
              <w:jc w:val="center"/>
              <w:textAlignment w:val="bottom"/>
              <w:rPr>
                <w:rFonts w:ascii="宋体" w:hAnsi="宋体" w:cs="宋体"/>
                <w:color w:val="000000"/>
                <w:kern w:val="0"/>
                <w:szCs w:val="21"/>
                <w:lang w:bidi="ar"/>
              </w:rPr>
            </w:pPr>
          </w:p>
        </w:tc>
        <w:tc>
          <w:tcPr>
            <w:tcW w:w="762" w:type="pct"/>
            <w:vMerge/>
            <w:tcBorders>
              <w:tl2br w:val="nil"/>
              <w:tr2bl w:val="nil"/>
            </w:tcBorders>
            <w:shd w:val="clear" w:color="auto" w:fill="FFFFFF"/>
            <w:vAlign w:val="center"/>
          </w:tcPr>
          <w:p w14:paraId="4552EC26" w14:textId="77777777" w:rsidR="003D6A63" w:rsidRDefault="003D6A63">
            <w:pPr>
              <w:jc w:val="center"/>
              <w:rPr>
                <w:rFonts w:ascii="宋体" w:hAnsi="宋体" w:cs="宋体"/>
                <w:color w:val="000000"/>
                <w:szCs w:val="21"/>
              </w:rPr>
            </w:pPr>
          </w:p>
        </w:tc>
        <w:tc>
          <w:tcPr>
            <w:tcW w:w="1853" w:type="pct"/>
            <w:tcBorders>
              <w:tl2br w:val="nil"/>
              <w:tr2bl w:val="nil"/>
            </w:tcBorders>
            <w:shd w:val="clear" w:color="auto" w:fill="FFFFFF"/>
            <w:vAlign w:val="center"/>
          </w:tcPr>
          <w:p w14:paraId="193A482C"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罐体3m内为爆炸危险2区</w:t>
            </w:r>
          </w:p>
        </w:tc>
        <w:tc>
          <w:tcPr>
            <w:tcW w:w="2129" w:type="dxa"/>
            <w:tcBorders>
              <w:tl2br w:val="nil"/>
              <w:tr2bl w:val="nil"/>
            </w:tcBorders>
            <w:shd w:val="clear" w:color="auto" w:fill="FFFFFF"/>
            <w:vAlign w:val="center"/>
          </w:tcPr>
          <w:p w14:paraId="6BEF75B5"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Exia、Exib、Exd、Exe</w:t>
            </w:r>
          </w:p>
          <w:p w14:paraId="5C8383A8"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ExnA、ExnC、ExnR、ExnL、ExnZ</w:t>
            </w:r>
          </w:p>
        </w:tc>
        <w:tc>
          <w:tcPr>
            <w:tcW w:w="873" w:type="pct"/>
            <w:tcBorders>
              <w:tl2br w:val="nil"/>
              <w:tr2bl w:val="nil"/>
            </w:tcBorders>
            <w:shd w:val="clear" w:color="auto" w:fill="FFFFFF"/>
            <w:vAlign w:val="center"/>
          </w:tcPr>
          <w:p w14:paraId="3C5EBB3E" w14:textId="77777777" w:rsidR="003D6A63" w:rsidRDefault="00000000">
            <w:pPr>
              <w:widowControl/>
              <w:jc w:val="center"/>
              <w:textAlignment w:val="bottom"/>
              <w:rPr>
                <w:rFonts w:ascii="宋体" w:hAnsi="宋体" w:cs="宋体"/>
                <w:color w:val="000000"/>
                <w:kern w:val="0"/>
                <w:szCs w:val="21"/>
                <w:lang w:bidi="ar"/>
              </w:rPr>
            </w:pPr>
            <w:r>
              <w:rPr>
                <w:rFonts w:ascii="宋体" w:hAnsi="宋体" w:cs="宋体" w:hint="eastAsia"/>
                <w:color w:val="000000"/>
                <w:kern w:val="0"/>
                <w:szCs w:val="21"/>
                <w:lang w:bidi="ar"/>
              </w:rPr>
              <w:t>符合</w:t>
            </w:r>
          </w:p>
        </w:tc>
      </w:tr>
    </w:tbl>
    <w:p w14:paraId="16DF491B" w14:textId="77777777" w:rsidR="003D6A63" w:rsidRDefault="00000000">
      <w:pPr>
        <w:pStyle w:val="4"/>
        <w:keepNext w:val="0"/>
        <w:keepLines w:val="0"/>
        <w:adjustRightInd w:val="0"/>
        <w:snapToGrid w:val="0"/>
        <w:spacing w:beforeLines="50" w:before="120" w:after="0" w:line="360" w:lineRule="auto"/>
        <w:rPr>
          <w:rFonts w:ascii="Times New Roman" w:eastAsia="宋体" w:hAnsi="Times New Roman"/>
          <w:sz w:val="24"/>
        </w:rPr>
      </w:pPr>
      <w:r>
        <w:rPr>
          <w:rFonts w:ascii="Times New Roman" w:eastAsia="宋体" w:hAnsi="Times New Roman" w:hint="eastAsia"/>
          <w:sz w:val="24"/>
        </w:rPr>
        <w:t xml:space="preserve">2.3.4.2 </w:t>
      </w:r>
      <w:r>
        <w:rPr>
          <w:rFonts w:ascii="Times New Roman" w:eastAsia="宋体" w:hAnsi="Times New Roman" w:hint="eastAsia"/>
          <w:sz w:val="24"/>
        </w:rPr>
        <w:t>防雷防静电</w:t>
      </w:r>
    </w:p>
    <w:p w14:paraId="0F045871" w14:textId="77777777" w:rsidR="003D6A63" w:rsidRDefault="00000000">
      <w:pPr>
        <w:spacing w:line="360" w:lineRule="auto"/>
        <w:ind w:firstLineChars="200" w:firstLine="480"/>
        <w:rPr>
          <w:sz w:val="24"/>
        </w:rPr>
      </w:pPr>
      <w:r>
        <w:rPr>
          <w:rFonts w:hint="eastAsia"/>
          <w:sz w:val="24"/>
        </w:rPr>
        <w:t>中胜公司</w:t>
      </w:r>
      <w:r>
        <w:rPr>
          <w:sz w:val="24"/>
        </w:rPr>
        <w:t>设备</w:t>
      </w:r>
      <w:r>
        <w:rPr>
          <w:rFonts w:hint="eastAsia"/>
          <w:sz w:val="24"/>
        </w:rPr>
        <w:t>设施</w:t>
      </w:r>
      <w:r>
        <w:rPr>
          <w:sz w:val="24"/>
        </w:rPr>
        <w:t>的防雷及防静电接地按《石油与石油设施雷电安全规范》</w:t>
      </w:r>
      <w:r>
        <w:rPr>
          <w:rFonts w:hint="eastAsia"/>
          <w:sz w:val="24"/>
        </w:rPr>
        <w:t>（</w:t>
      </w:r>
      <w:r>
        <w:rPr>
          <w:sz w:val="24"/>
        </w:rPr>
        <w:t>GB 15599-2009</w:t>
      </w:r>
      <w:r>
        <w:rPr>
          <w:rFonts w:hint="eastAsia"/>
          <w:sz w:val="24"/>
        </w:rPr>
        <w:t>）</w:t>
      </w:r>
      <w:r>
        <w:rPr>
          <w:sz w:val="24"/>
        </w:rPr>
        <w:t>进行</w:t>
      </w:r>
      <w:r>
        <w:rPr>
          <w:rFonts w:hint="eastAsia"/>
          <w:sz w:val="24"/>
        </w:rPr>
        <w:t>安装</w:t>
      </w:r>
      <w:r>
        <w:rPr>
          <w:sz w:val="24"/>
        </w:rPr>
        <w:t>。</w:t>
      </w:r>
      <w:r>
        <w:rPr>
          <w:rFonts w:hint="eastAsia"/>
          <w:sz w:val="24"/>
        </w:rPr>
        <w:t>凡生产过程中有可能产生静电的工艺设备、管道均与接地线可靠连接。</w:t>
      </w:r>
      <w:r>
        <w:rPr>
          <w:rFonts w:ascii="宋体" w:hAnsi="宋体" w:cs="宋体"/>
          <w:sz w:val="24"/>
        </w:rPr>
        <w:t>各类防雷建筑物防直击雷的外部防雷装置，采取防闪电电涌侵入的措施；抽油机主体做防雷接地，电机做接地，井场变压器安装高压避雷器。抽油机的配电箱做接地。</w:t>
      </w:r>
      <w:r>
        <w:rPr>
          <w:rFonts w:hint="eastAsia"/>
          <w:sz w:val="24"/>
        </w:rPr>
        <w:t>露天布置的塔、容器等，其顶板厚度大于等于</w:t>
      </w:r>
      <w:r>
        <w:rPr>
          <w:rFonts w:hint="eastAsia"/>
          <w:sz w:val="24"/>
        </w:rPr>
        <w:t>4mm</w:t>
      </w:r>
      <w:r>
        <w:rPr>
          <w:rFonts w:hint="eastAsia"/>
          <w:sz w:val="24"/>
        </w:rPr>
        <w:t>，利用其设备本身作为接闪器，设防雷接地；</w:t>
      </w:r>
      <w:r>
        <w:rPr>
          <w:sz w:val="24"/>
        </w:rPr>
        <w:t>场区内设防雷防静电接地装置，用</w:t>
      </w:r>
      <w:r>
        <w:rPr>
          <w:rFonts w:hint="eastAsia"/>
          <w:sz w:val="24"/>
        </w:rPr>
        <w:t>L</w:t>
      </w:r>
      <w:r>
        <w:rPr>
          <w:sz w:val="24"/>
        </w:rPr>
        <w:t>50×5×2500</w:t>
      </w:r>
      <w:r>
        <w:rPr>
          <w:sz w:val="24"/>
        </w:rPr>
        <w:t>的热镀锌角钢做垂直接地极</w:t>
      </w:r>
      <w:r>
        <w:rPr>
          <w:rFonts w:hint="eastAsia"/>
          <w:sz w:val="24"/>
        </w:rPr>
        <w:t>，采用绝缘接地线进行接地</w:t>
      </w:r>
      <w:r>
        <w:rPr>
          <w:sz w:val="24"/>
        </w:rPr>
        <w:t>。</w:t>
      </w:r>
    </w:p>
    <w:p w14:paraId="34C1B367" w14:textId="77777777" w:rsidR="003D6A63" w:rsidRDefault="00000000">
      <w:pPr>
        <w:pStyle w:val="4"/>
        <w:keepNext w:val="0"/>
        <w:keepLines w:val="0"/>
        <w:adjustRightInd w:val="0"/>
        <w:snapToGrid w:val="0"/>
        <w:spacing w:before="0" w:after="0" w:line="360" w:lineRule="auto"/>
        <w:rPr>
          <w:rFonts w:ascii="Times New Roman" w:eastAsia="宋体" w:hAnsi="Times New Roman"/>
          <w:sz w:val="24"/>
        </w:rPr>
      </w:pPr>
      <w:r>
        <w:rPr>
          <w:rFonts w:ascii="Times New Roman" w:eastAsia="宋体" w:hAnsi="Times New Roman" w:hint="eastAsia"/>
          <w:sz w:val="24"/>
        </w:rPr>
        <w:t xml:space="preserve">2.3.4.3 </w:t>
      </w:r>
      <w:r>
        <w:rPr>
          <w:rFonts w:ascii="Times New Roman" w:eastAsia="宋体" w:hAnsi="Times New Roman" w:hint="eastAsia"/>
          <w:sz w:val="24"/>
        </w:rPr>
        <w:t>自控</w:t>
      </w:r>
    </w:p>
    <w:p w14:paraId="060C53C8" w14:textId="77777777" w:rsidR="003D6A63" w:rsidRDefault="00000000">
      <w:pPr>
        <w:spacing w:line="360" w:lineRule="auto"/>
        <w:ind w:firstLineChars="200" w:firstLine="480"/>
        <w:rPr>
          <w:sz w:val="24"/>
        </w:rPr>
      </w:pPr>
      <w:r>
        <w:rPr>
          <w:rFonts w:hint="eastAsia"/>
          <w:sz w:val="24"/>
        </w:rPr>
        <w:t>中胜公司</w:t>
      </w:r>
      <w:r>
        <w:rPr>
          <w:sz w:val="24"/>
        </w:rPr>
        <w:t>油井</w:t>
      </w:r>
      <w:r>
        <w:rPr>
          <w:rFonts w:hint="eastAsia"/>
          <w:sz w:val="24"/>
        </w:rPr>
        <w:t>均</w:t>
      </w:r>
      <w:r>
        <w:rPr>
          <w:sz w:val="24"/>
        </w:rPr>
        <w:t>设</w:t>
      </w:r>
      <w:r>
        <w:rPr>
          <w:rFonts w:hint="eastAsia"/>
          <w:sz w:val="24"/>
        </w:rPr>
        <w:t>有</w:t>
      </w:r>
      <w:r>
        <w:rPr>
          <w:sz w:val="24"/>
        </w:rPr>
        <w:t>四化标准油井控制柜，柜内安装井场</w:t>
      </w:r>
      <w:r>
        <w:rPr>
          <w:sz w:val="24"/>
        </w:rPr>
        <w:t>RTU</w:t>
      </w:r>
      <w:r>
        <w:rPr>
          <w:sz w:val="24"/>
        </w:rPr>
        <w:t>、多功能电表等数据采集装置，</w:t>
      </w:r>
      <w:r>
        <w:rPr>
          <w:rFonts w:hint="eastAsia"/>
          <w:sz w:val="24"/>
        </w:rPr>
        <w:t>用于</w:t>
      </w:r>
      <w:r>
        <w:rPr>
          <w:sz w:val="24"/>
        </w:rPr>
        <w:t>采集</w:t>
      </w:r>
      <w:r>
        <w:rPr>
          <w:rFonts w:hint="eastAsia"/>
          <w:sz w:val="24"/>
        </w:rPr>
        <w:t>油井</w:t>
      </w:r>
      <w:r>
        <w:rPr>
          <w:sz w:val="24"/>
        </w:rPr>
        <w:t>套管压力、井口压力、井口温度、载荷、位移及电参数等。</w:t>
      </w:r>
      <w:r>
        <w:rPr>
          <w:rFonts w:hint="eastAsia"/>
          <w:sz w:val="24"/>
        </w:rPr>
        <w:t>注水井一般利用同井场油井</w:t>
      </w:r>
      <w:r>
        <w:rPr>
          <w:sz w:val="24"/>
        </w:rPr>
        <w:t>控制柜安装水井</w:t>
      </w:r>
      <w:r>
        <w:rPr>
          <w:sz w:val="24"/>
        </w:rPr>
        <w:t>RTU</w:t>
      </w:r>
      <w:r>
        <w:rPr>
          <w:sz w:val="24"/>
        </w:rPr>
        <w:t>，采集水井的单井注水压力、单井注水流量，实现恒流注水及自动调配。</w:t>
      </w:r>
    </w:p>
    <w:p w14:paraId="21F6DF92" w14:textId="77777777" w:rsidR="003D6A63" w:rsidRDefault="00000000">
      <w:pPr>
        <w:adjustRightInd w:val="0"/>
        <w:snapToGrid w:val="0"/>
        <w:spacing w:line="360" w:lineRule="auto"/>
        <w:ind w:firstLineChars="200" w:firstLine="480"/>
        <w:rPr>
          <w:kern w:val="0"/>
          <w:sz w:val="24"/>
        </w:rPr>
      </w:pPr>
      <w:r>
        <w:rPr>
          <w:rFonts w:hint="eastAsia"/>
          <w:kern w:val="0"/>
          <w:sz w:val="24"/>
        </w:rPr>
        <w:t>中胜公司井站其他设备设施自控主要采用</w:t>
      </w:r>
      <w:r>
        <w:rPr>
          <w:rFonts w:hint="eastAsia"/>
          <w:kern w:val="0"/>
          <w:sz w:val="24"/>
        </w:rPr>
        <w:t>PLC</w:t>
      </w:r>
      <w:r>
        <w:rPr>
          <w:rFonts w:hint="eastAsia"/>
          <w:kern w:val="0"/>
          <w:sz w:val="24"/>
        </w:rPr>
        <w:t>控制系统，温度、压力、流量等参数均能在站控系统上显示。</w:t>
      </w:r>
    </w:p>
    <w:p w14:paraId="16EBBB8F" w14:textId="77777777" w:rsidR="003D6A63" w:rsidRDefault="00000000">
      <w:pPr>
        <w:pStyle w:val="4"/>
        <w:keepNext w:val="0"/>
        <w:keepLines w:val="0"/>
        <w:adjustRightInd w:val="0"/>
        <w:snapToGrid w:val="0"/>
        <w:spacing w:before="0" w:after="0" w:line="360" w:lineRule="auto"/>
        <w:rPr>
          <w:rFonts w:ascii="Times New Roman" w:eastAsia="宋体" w:hAnsi="Times New Roman"/>
          <w:sz w:val="24"/>
        </w:rPr>
      </w:pPr>
      <w:r>
        <w:rPr>
          <w:rFonts w:ascii="Times New Roman" w:eastAsia="宋体" w:hAnsi="Times New Roman" w:hint="eastAsia"/>
          <w:sz w:val="24"/>
        </w:rPr>
        <w:t xml:space="preserve">2.3.4.4 </w:t>
      </w:r>
      <w:r>
        <w:rPr>
          <w:rFonts w:ascii="Times New Roman" w:eastAsia="宋体" w:hAnsi="Times New Roman" w:hint="eastAsia"/>
          <w:sz w:val="24"/>
        </w:rPr>
        <w:t>消防</w:t>
      </w:r>
    </w:p>
    <w:p w14:paraId="6C87166B" w14:textId="77777777" w:rsidR="003D6A63" w:rsidRDefault="00000000">
      <w:pPr>
        <w:spacing w:line="360" w:lineRule="auto"/>
        <w:ind w:firstLineChars="200" w:firstLine="480"/>
        <w:rPr>
          <w:sz w:val="24"/>
        </w:rPr>
      </w:pPr>
      <w:r>
        <w:rPr>
          <w:rFonts w:hint="eastAsia"/>
          <w:sz w:val="24"/>
        </w:rPr>
        <w:t>中胜公司各井站消防物资主要为移动式消防器材，包括手提式磷酸铵盐干粉灭火器（</w:t>
      </w:r>
      <w:r>
        <w:rPr>
          <w:rFonts w:hint="eastAsia"/>
          <w:sz w:val="24"/>
        </w:rPr>
        <w:t>MFZ/ABC8</w:t>
      </w:r>
      <w:r>
        <w:rPr>
          <w:rFonts w:hint="eastAsia"/>
          <w:sz w:val="24"/>
        </w:rPr>
        <w:t>）、推车式灭火器（</w:t>
      </w:r>
      <w:r>
        <w:rPr>
          <w:rFonts w:hint="eastAsia"/>
          <w:sz w:val="24"/>
        </w:rPr>
        <w:t>MFTZ-35</w:t>
      </w:r>
      <w:r>
        <w:rPr>
          <w:rFonts w:hint="eastAsia"/>
          <w:sz w:val="24"/>
        </w:rPr>
        <w:t>）、消防砂、消防锨等灭火器材及正压式空</w:t>
      </w:r>
      <w:r>
        <w:rPr>
          <w:rFonts w:hint="eastAsia"/>
          <w:sz w:val="24"/>
        </w:rPr>
        <w:lastRenderedPageBreak/>
        <w:t>气呼吸器、四合一气体检测仪等应急物资。</w:t>
      </w:r>
    </w:p>
    <w:p w14:paraId="1573ECED" w14:textId="77777777" w:rsidR="003D6A63" w:rsidRDefault="00000000">
      <w:pPr>
        <w:pStyle w:val="2"/>
        <w:keepNext w:val="0"/>
        <w:keepLines w:val="0"/>
        <w:adjustRightInd w:val="0"/>
        <w:snapToGrid w:val="0"/>
        <w:spacing w:before="0" w:after="0" w:line="360" w:lineRule="auto"/>
        <w:rPr>
          <w:rFonts w:ascii="Times New Roman" w:hAnsi="Times New Roman"/>
          <w:b w:val="0"/>
          <w:spacing w:val="0"/>
          <w:sz w:val="28"/>
        </w:rPr>
      </w:pPr>
      <w:bookmarkStart w:id="58" w:name="_Toc20890"/>
      <w:r>
        <w:rPr>
          <w:rFonts w:ascii="Times New Roman" w:hAnsi="Times New Roman" w:hint="eastAsia"/>
          <w:b w:val="0"/>
          <w:spacing w:val="0"/>
          <w:sz w:val="28"/>
        </w:rPr>
        <w:t xml:space="preserve">2.4  </w:t>
      </w:r>
      <w:r>
        <w:rPr>
          <w:rFonts w:ascii="Times New Roman" w:hAnsi="Times New Roman" w:hint="eastAsia"/>
          <w:b w:val="0"/>
          <w:spacing w:val="0"/>
          <w:sz w:val="28"/>
        </w:rPr>
        <w:t>安全管理情况现状</w:t>
      </w:r>
      <w:bookmarkEnd w:id="58"/>
    </w:p>
    <w:p w14:paraId="1B5502DD" w14:textId="77777777" w:rsidR="003D6A63" w:rsidRDefault="00000000">
      <w:pPr>
        <w:adjustRightInd w:val="0"/>
        <w:snapToGrid w:val="0"/>
        <w:spacing w:line="360" w:lineRule="auto"/>
        <w:ind w:firstLineChars="200" w:firstLine="480"/>
        <w:rPr>
          <w:kern w:val="0"/>
          <w:sz w:val="24"/>
          <w:lang w:val="zh-CN"/>
        </w:rPr>
      </w:pPr>
      <w:r>
        <w:rPr>
          <w:rFonts w:hint="eastAsia"/>
          <w:kern w:val="0"/>
          <w:sz w:val="24"/>
        </w:rPr>
        <w:t>中胜公司于</w:t>
      </w:r>
      <w:r>
        <w:rPr>
          <w:rFonts w:hint="eastAsia"/>
          <w:kern w:val="0"/>
          <w:sz w:val="24"/>
        </w:rPr>
        <w:t>2017</w:t>
      </w:r>
      <w:r>
        <w:rPr>
          <w:rFonts w:hint="eastAsia"/>
          <w:kern w:val="0"/>
          <w:sz w:val="24"/>
        </w:rPr>
        <w:t>年</w:t>
      </w:r>
      <w:r>
        <w:rPr>
          <w:rFonts w:hint="eastAsia"/>
          <w:kern w:val="0"/>
          <w:sz w:val="24"/>
        </w:rPr>
        <w:t>8</w:t>
      </w:r>
      <w:r>
        <w:rPr>
          <w:rFonts w:hint="eastAsia"/>
          <w:kern w:val="0"/>
          <w:sz w:val="24"/>
        </w:rPr>
        <w:t>月</w:t>
      </w:r>
      <w:r>
        <w:rPr>
          <w:rFonts w:hint="eastAsia"/>
          <w:kern w:val="0"/>
          <w:sz w:val="24"/>
        </w:rPr>
        <w:t>6</w:t>
      </w:r>
      <w:r>
        <w:rPr>
          <w:rFonts w:hint="eastAsia"/>
          <w:kern w:val="0"/>
          <w:sz w:val="24"/>
        </w:rPr>
        <w:t>日取得</w:t>
      </w:r>
      <w:r>
        <w:rPr>
          <w:kern w:val="0"/>
          <w:sz w:val="24"/>
          <w:lang w:val="zh-CN"/>
        </w:rPr>
        <w:t>山东省安全生产监督管理局颁发的《安全生产许可证》。此后，于</w:t>
      </w:r>
      <w:r>
        <w:rPr>
          <w:rFonts w:hint="eastAsia"/>
          <w:kern w:val="0"/>
          <w:sz w:val="24"/>
        </w:rPr>
        <w:t>2020</w:t>
      </w:r>
      <w:r>
        <w:rPr>
          <w:kern w:val="0"/>
          <w:sz w:val="24"/>
          <w:lang w:val="zh-CN"/>
        </w:rPr>
        <w:t>年批准延续使用。</w:t>
      </w:r>
      <w:r>
        <w:rPr>
          <w:rFonts w:hint="eastAsia"/>
          <w:kern w:val="0"/>
          <w:sz w:val="24"/>
        </w:rPr>
        <w:t>2020</w:t>
      </w:r>
      <w:r>
        <w:rPr>
          <w:kern w:val="0"/>
          <w:sz w:val="24"/>
          <w:lang w:val="zh-CN"/>
        </w:rPr>
        <w:t>年批准的《安全生产许可证》编号为：</w:t>
      </w:r>
      <w:r>
        <w:rPr>
          <w:rFonts w:hint="eastAsia"/>
          <w:kern w:val="0"/>
          <w:sz w:val="24"/>
          <w:lang w:val="zh-CN"/>
        </w:rPr>
        <w:t>（</w:t>
      </w:r>
      <w:r>
        <w:rPr>
          <w:kern w:val="0"/>
          <w:sz w:val="24"/>
          <w:lang w:val="zh-CN"/>
        </w:rPr>
        <w:t>鲁</w:t>
      </w:r>
      <w:r>
        <w:rPr>
          <w:rFonts w:hint="eastAsia"/>
          <w:kern w:val="0"/>
          <w:sz w:val="24"/>
          <w:lang w:val="zh-CN"/>
        </w:rPr>
        <w:t>）</w:t>
      </w:r>
      <w:r>
        <w:rPr>
          <w:kern w:val="0"/>
          <w:sz w:val="24"/>
          <w:lang w:val="zh-CN"/>
        </w:rPr>
        <w:t>FM</w:t>
      </w:r>
      <w:r>
        <w:rPr>
          <w:kern w:val="0"/>
          <w:sz w:val="24"/>
          <w:lang w:val="zh-CN"/>
        </w:rPr>
        <w:t>安许证字</w:t>
      </w:r>
      <w:r>
        <w:rPr>
          <w:kern w:val="0"/>
          <w:sz w:val="24"/>
          <w:lang w:val="zh-CN"/>
        </w:rPr>
        <w:t>[20</w:t>
      </w:r>
      <w:r>
        <w:rPr>
          <w:rFonts w:hint="eastAsia"/>
          <w:kern w:val="0"/>
          <w:sz w:val="24"/>
        </w:rPr>
        <w:t>20</w:t>
      </w:r>
      <w:r>
        <w:rPr>
          <w:kern w:val="0"/>
          <w:sz w:val="24"/>
          <w:lang w:val="zh-CN"/>
        </w:rPr>
        <w:t>]00-0</w:t>
      </w:r>
      <w:r>
        <w:rPr>
          <w:rFonts w:hint="eastAsia"/>
          <w:kern w:val="0"/>
          <w:sz w:val="24"/>
        </w:rPr>
        <w:t>077</w:t>
      </w:r>
      <w:r>
        <w:rPr>
          <w:kern w:val="0"/>
          <w:sz w:val="24"/>
          <w:lang w:val="zh-CN"/>
        </w:rPr>
        <w:t>。</w:t>
      </w:r>
    </w:p>
    <w:p w14:paraId="275B85B2" w14:textId="77777777" w:rsidR="003D6A63" w:rsidRDefault="00000000">
      <w:pPr>
        <w:adjustRightInd w:val="0"/>
        <w:snapToGrid w:val="0"/>
        <w:spacing w:line="360" w:lineRule="auto"/>
        <w:ind w:firstLineChars="200" w:firstLine="480"/>
        <w:rPr>
          <w:kern w:val="0"/>
          <w:sz w:val="24"/>
        </w:rPr>
      </w:pPr>
      <w:r>
        <w:rPr>
          <w:rFonts w:hint="eastAsia"/>
          <w:kern w:val="0"/>
          <w:sz w:val="24"/>
          <w:lang w:val="zh-CN"/>
        </w:rPr>
        <w:t>中胜公司成立</w:t>
      </w:r>
      <w:r>
        <w:rPr>
          <w:rFonts w:hint="eastAsia"/>
          <w:kern w:val="0"/>
          <w:sz w:val="24"/>
        </w:rPr>
        <w:t>有安全生产领导小组</w:t>
      </w:r>
      <w:r>
        <w:rPr>
          <w:rFonts w:hint="eastAsia"/>
          <w:kern w:val="0"/>
          <w:sz w:val="24"/>
          <w:lang w:val="zh-CN"/>
        </w:rPr>
        <w:t>，设立</w:t>
      </w:r>
      <w:r>
        <w:rPr>
          <w:rFonts w:hint="eastAsia"/>
          <w:kern w:val="0"/>
          <w:sz w:val="24"/>
        </w:rPr>
        <w:t>安全（</w:t>
      </w:r>
      <w:r>
        <w:rPr>
          <w:rFonts w:hint="eastAsia"/>
          <w:kern w:val="0"/>
          <w:sz w:val="24"/>
        </w:rPr>
        <w:t>QHSE</w:t>
      </w:r>
      <w:r>
        <w:rPr>
          <w:rFonts w:hint="eastAsia"/>
          <w:kern w:val="0"/>
          <w:sz w:val="24"/>
        </w:rPr>
        <w:t>）管理办公室</w:t>
      </w:r>
      <w:r>
        <w:rPr>
          <w:rFonts w:hint="eastAsia"/>
          <w:kern w:val="0"/>
          <w:sz w:val="24"/>
          <w:lang w:val="zh-CN"/>
        </w:rPr>
        <w:t>作为安全管理机构，配备专职安全管理人员负责</w:t>
      </w:r>
      <w:r>
        <w:rPr>
          <w:rFonts w:hint="eastAsia"/>
          <w:kern w:val="0"/>
          <w:sz w:val="24"/>
        </w:rPr>
        <w:t>公司</w:t>
      </w:r>
      <w:r>
        <w:rPr>
          <w:rFonts w:hint="eastAsia"/>
          <w:kern w:val="0"/>
          <w:sz w:val="24"/>
          <w:lang w:val="zh-CN"/>
        </w:rPr>
        <w:t>安全工作。专职安全管理人员</w:t>
      </w:r>
      <w:r>
        <w:rPr>
          <w:rFonts w:hint="eastAsia"/>
          <w:kern w:val="0"/>
          <w:sz w:val="24"/>
        </w:rPr>
        <w:t>均持有安全管理人员合格证，并每年参加安全管理人员培训。</w:t>
      </w:r>
    </w:p>
    <w:p w14:paraId="7D24B3FC" w14:textId="77777777" w:rsidR="003D6A63" w:rsidRDefault="00000000">
      <w:pPr>
        <w:adjustRightInd w:val="0"/>
        <w:snapToGrid w:val="0"/>
        <w:spacing w:line="360" w:lineRule="auto"/>
        <w:ind w:firstLineChars="200" w:firstLine="480"/>
        <w:rPr>
          <w:kern w:val="0"/>
          <w:sz w:val="24"/>
          <w:lang w:val="zh-CN"/>
        </w:rPr>
      </w:pPr>
      <w:r>
        <w:rPr>
          <w:rFonts w:hint="eastAsia"/>
          <w:kern w:val="0"/>
          <w:sz w:val="24"/>
        </w:rPr>
        <w:t>中胜公司制定了从公司领导、机关部室到开发区和基层员工的安全生产责任制，明确了每个员工、每个岗位的安全生产责任制，并按计划进行修订和完善</w:t>
      </w:r>
      <w:r>
        <w:rPr>
          <w:rFonts w:hint="eastAsia"/>
          <w:kern w:val="0"/>
          <w:sz w:val="24"/>
          <w:lang w:val="zh-CN"/>
        </w:rPr>
        <w:t>。</w:t>
      </w:r>
    </w:p>
    <w:p w14:paraId="0419BED7" w14:textId="77777777" w:rsidR="003D6A63" w:rsidRDefault="00000000">
      <w:pPr>
        <w:adjustRightInd w:val="0"/>
        <w:snapToGrid w:val="0"/>
        <w:spacing w:line="360" w:lineRule="auto"/>
        <w:ind w:firstLineChars="200" w:firstLine="480"/>
        <w:rPr>
          <w:kern w:val="0"/>
          <w:sz w:val="24"/>
        </w:rPr>
      </w:pPr>
      <w:r>
        <w:rPr>
          <w:rFonts w:hint="eastAsia"/>
          <w:kern w:val="0"/>
          <w:sz w:val="24"/>
          <w:lang w:val="zh-CN"/>
        </w:rPr>
        <w:t>中胜公司</w:t>
      </w:r>
      <w:r>
        <w:rPr>
          <w:rFonts w:hint="eastAsia"/>
          <w:kern w:val="0"/>
          <w:sz w:val="24"/>
        </w:rPr>
        <w:t>根据国家、山东省有关法律法规和要求，参考中石化、胜利油田分公司的有关规定，修订完善了《中胜公司安全生产管理制度汇编》，管理运行良好。</w:t>
      </w:r>
    </w:p>
    <w:p w14:paraId="6ABAEDFB" w14:textId="77777777" w:rsidR="003D6A63" w:rsidRDefault="00000000">
      <w:pPr>
        <w:adjustRightInd w:val="0"/>
        <w:snapToGrid w:val="0"/>
        <w:spacing w:line="360" w:lineRule="auto"/>
        <w:ind w:firstLineChars="200" w:firstLine="480"/>
        <w:rPr>
          <w:kern w:val="0"/>
          <w:sz w:val="24"/>
        </w:rPr>
      </w:pPr>
      <w:r>
        <w:rPr>
          <w:rFonts w:hint="eastAsia"/>
          <w:kern w:val="0"/>
          <w:sz w:val="24"/>
        </w:rPr>
        <w:t>中胜公司按照岗位操作与规程相适应的原则，积极组织宣贯和培训，严格执行《胜利油田采油工程操作规程汇编（</w:t>
      </w:r>
      <w:r>
        <w:rPr>
          <w:rFonts w:hint="eastAsia"/>
          <w:kern w:val="0"/>
          <w:sz w:val="24"/>
        </w:rPr>
        <w:t>2022</w:t>
      </w:r>
      <w:r>
        <w:rPr>
          <w:rFonts w:hint="eastAsia"/>
          <w:kern w:val="0"/>
          <w:sz w:val="24"/>
        </w:rPr>
        <w:t>版）》。</w:t>
      </w:r>
    </w:p>
    <w:p w14:paraId="2048B903" w14:textId="77777777" w:rsidR="003D6A63" w:rsidRDefault="00000000">
      <w:pPr>
        <w:adjustRightInd w:val="0"/>
        <w:snapToGrid w:val="0"/>
        <w:spacing w:line="360" w:lineRule="auto"/>
        <w:ind w:firstLineChars="200" w:firstLine="480"/>
        <w:rPr>
          <w:kern w:val="0"/>
          <w:sz w:val="24"/>
        </w:rPr>
      </w:pPr>
      <w:r>
        <w:rPr>
          <w:rFonts w:hint="eastAsia"/>
          <w:kern w:val="0"/>
          <w:sz w:val="24"/>
        </w:rPr>
        <w:t>中胜公司始终严格执行公司安全教育培训制度，积极采取各种措施，分层次、分专业有效地开展一系列安全教育培训工作。</w:t>
      </w:r>
    </w:p>
    <w:p w14:paraId="20EE611D" w14:textId="77777777" w:rsidR="003D6A63" w:rsidRDefault="00000000">
      <w:pPr>
        <w:adjustRightInd w:val="0"/>
        <w:snapToGrid w:val="0"/>
        <w:spacing w:line="360" w:lineRule="auto"/>
        <w:ind w:firstLineChars="200" w:firstLine="480"/>
        <w:rPr>
          <w:kern w:val="0"/>
          <w:sz w:val="24"/>
        </w:rPr>
      </w:pPr>
      <w:r>
        <w:rPr>
          <w:rFonts w:hint="eastAsia"/>
          <w:kern w:val="0"/>
          <w:sz w:val="24"/>
        </w:rPr>
        <w:t>三年来，中胜公司按比例提取安全生产费用，专款专用，确保安全方面的资金投入。安全生产费用主要用于完善、改造和维护安全防护设施设备和重大安全隐患治理支出；完善应急救援技术装备、设施配置及维护保养支出，事故逃生和应急演练支出；安全生产检查、评价、咨询、标准化建设支出；配备和更新现场作业人员安全防护用品支出；安全生产宣传、教育、培训支出；安全设施检测检验支出；应急器械、应急药品支出；安全生产责任保险支出及其他与安全生产直接相关的支出。</w:t>
      </w:r>
    </w:p>
    <w:p w14:paraId="741051C6" w14:textId="77777777" w:rsidR="003D6A63" w:rsidRDefault="00000000">
      <w:pPr>
        <w:adjustRightInd w:val="0"/>
        <w:snapToGrid w:val="0"/>
        <w:spacing w:line="360" w:lineRule="auto"/>
        <w:ind w:firstLineChars="200" w:firstLine="480"/>
        <w:rPr>
          <w:kern w:val="0"/>
          <w:sz w:val="24"/>
        </w:rPr>
      </w:pPr>
      <w:r>
        <w:rPr>
          <w:rFonts w:hint="eastAsia"/>
          <w:kern w:val="0"/>
          <w:sz w:val="24"/>
        </w:rPr>
        <w:t>中胜公司制定有《生产安全事故应急预案》，并根据制定的事故应急预案演练要求和计划进行了事故应急演练，并对演练过程进行了记录，演练完成后进行了演练效果评价。</w:t>
      </w:r>
    </w:p>
    <w:p w14:paraId="311E1AA2" w14:textId="77777777" w:rsidR="003D6A63" w:rsidRDefault="00000000">
      <w:pPr>
        <w:adjustRightInd w:val="0"/>
        <w:snapToGrid w:val="0"/>
        <w:spacing w:line="360" w:lineRule="auto"/>
        <w:ind w:firstLineChars="200" w:firstLine="480"/>
        <w:rPr>
          <w:kern w:val="0"/>
          <w:sz w:val="24"/>
          <w:lang w:val="zh-CN"/>
        </w:rPr>
      </w:pPr>
      <w:r>
        <w:rPr>
          <w:rFonts w:hint="eastAsia"/>
          <w:kern w:val="0"/>
          <w:sz w:val="24"/>
          <w:lang w:val="zh-CN"/>
        </w:rPr>
        <w:t>中胜公司积极贯彻落实国家、山东省、中石化和胜利油田安全生产工作部署，依法合规治企，开展风险分级管控和隐患排查工作、持续推进现场标准化管理，严格落实安全生产主体责任，提升全员安全素质和应急处置能力。</w:t>
      </w:r>
      <w:r>
        <w:rPr>
          <w:rFonts w:hint="eastAsia"/>
          <w:kern w:val="0"/>
          <w:sz w:val="24"/>
          <w:lang w:val="zh-CN"/>
        </w:rPr>
        <w:t>20</w:t>
      </w:r>
      <w:r>
        <w:rPr>
          <w:rFonts w:hint="eastAsia"/>
          <w:kern w:val="0"/>
          <w:sz w:val="24"/>
        </w:rPr>
        <w:t>20</w:t>
      </w:r>
      <w:r>
        <w:rPr>
          <w:rFonts w:hint="eastAsia"/>
          <w:kern w:val="0"/>
          <w:sz w:val="24"/>
          <w:lang w:val="zh-CN"/>
        </w:rPr>
        <w:t>年至今未发生生产安全事故。</w:t>
      </w:r>
    </w:p>
    <w:p w14:paraId="6AF07C82" w14:textId="77777777" w:rsidR="003D6A63" w:rsidRDefault="00000000">
      <w:pPr>
        <w:pStyle w:val="2"/>
        <w:keepNext w:val="0"/>
        <w:keepLines w:val="0"/>
        <w:adjustRightInd w:val="0"/>
        <w:snapToGrid w:val="0"/>
        <w:spacing w:before="0" w:after="0" w:line="360" w:lineRule="auto"/>
        <w:rPr>
          <w:rFonts w:ascii="Times New Roman" w:hAnsi="Times New Roman"/>
          <w:b w:val="0"/>
          <w:spacing w:val="0"/>
          <w:sz w:val="28"/>
        </w:rPr>
      </w:pPr>
      <w:bookmarkStart w:id="59" w:name="_Toc7646"/>
      <w:r>
        <w:rPr>
          <w:rFonts w:ascii="Times New Roman" w:hAnsi="Times New Roman" w:hint="eastAsia"/>
          <w:b w:val="0"/>
          <w:spacing w:val="0"/>
          <w:sz w:val="28"/>
        </w:rPr>
        <w:t xml:space="preserve">2.5  </w:t>
      </w:r>
      <w:r>
        <w:rPr>
          <w:rFonts w:ascii="Times New Roman" w:hAnsi="Times New Roman" w:hint="eastAsia"/>
          <w:b w:val="0"/>
          <w:spacing w:val="0"/>
          <w:sz w:val="28"/>
        </w:rPr>
        <w:t>重大变更情况</w:t>
      </w:r>
      <w:bookmarkEnd w:id="59"/>
    </w:p>
    <w:p w14:paraId="26E58841"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r>
        <w:rPr>
          <w:rFonts w:eastAsia="黑体" w:hint="eastAsia"/>
          <w:b w:val="0"/>
          <w:spacing w:val="0"/>
          <w:sz w:val="24"/>
          <w:szCs w:val="24"/>
        </w:rPr>
        <w:lastRenderedPageBreak/>
        <w:t xml:space="preserve">2.5.1  </w:t>
      </w:r>
      <w:r>
        <w:rPr>
          <w:rFonts w:eastAsia="黑体" w:hint="eastAsia"/>
          <w:b w:val="0"/>
          <w:spacing w:val="0"/>
          <w:sz w:val="24"/>
          <w:szCs w:val="24"/>
        </w:rPr>
        <w:t>主要负责人变更</w:t>
      </w:r>
    </w:p>
    <w:p w14:paraId="4EA8F75C" w14:textId="77777777" w:rsidR="003D6A63" w:rsidRDefault="00000000">
      <w:pPr>
        <w:adjustRightInd w:val="0"/>
        <w:snapToGrid w:val="0"/>
        <w:spacing w:line="360" w:lineRule="auto"/>
        <w:ind w:firstLineChars="200" w:firstLine="480"/>
        <w:rPr>
          <w:kern w:val="0"/>
          <w:sz w:val="24"/>
        </w:rPr>
      </w:pPr>
      <w:r>
        <w:rPr>
          <w:rFonts w:hint="eastAsia"/>
          <w:kern w:val="0"/>
          <w:sz w:val="24"/>
        </w:rPr>
        <w:t>2021</w:t>
      </w:r>
      <w:r>
        <w:rPr>
          <w:kern w:val="0"/>
          <w:sz w:val="24"/>
          <w:lang w:val="zh-CN"/>
        </w:rPr>
        <w:t>年</w:t>
      </w:r>
      <w:r>
        <w:rPr>
          <w:rFonts w:hint="eastAsia"/>
          <w:kern w:val="0"/>
          <w:sz w:val="24"/>
        </w:rPr>
        <w:t>8</w:t>
      </w:r>
      <w:r>
        <w:rPr>
          <w:rFonts w:hint="eastAsia"/>
          <w:kern w:val="0"/>
          <w:sz w:val="24"/>
        </w:rPr>
        <w:t>月</w:t>
      </w:r>
      <w:r>
        <w:rPr>
          <w:rFonts w:hint="eastAsia"/>
          <w:kern w:val="0"/>
          <w:sz w:val="24"/>
        </w:rPr>
        <w:t>17</w:t>
      </w:r>
      <w:r>
        <w:rPr>
          <w:rFonts w:hint="eastAsia"/>
          <w:kern w:val="0"/>
          <w:sz w:val="24"/>
        </w:rPr>
        <w:t>日，中胜公司法定代表人由张宗檩变更为刘青峰</w:t>
      </w:r>
      <w:r>
        <w:rPr>
          <w:rFonts w:hint="eastAsia"/>
          <w:kern w:val="0"/>
          <w:sz w:val="24"/>
          <w:lang w:val="zh-CN"/>
        </w:rPr>
        <w:t>；</w:t>
      </w:r>
      <w:r>
        <w:rPr>
          <w:rFonts w:hint="eastAsia"/>
          <w:kern w:val="0"/>
          <w:sz w:val="24"/>
        </w:rPr>
        <w:t>2021</w:t>
      </w:r>
      <w:r>
        <w:rPr>
          <w:rFonts w:hint="eastAsia"/>
          <w:kern w:val="0"/>
          <w:sz w:val="24"/>
        </w:rPr>
        <w:t>年</w:t>
      </w:r>
      <w:r>
        <w:rPr>
          <w:rFonts w:hint="eastAsia"/>
          <w:kern w:val="0"/>
          <w:sz w:val="24"/>
        </w:rPr>
        <w:t>9</w:t>
      </w:r>
      <w:r>
        <w:rPr>
          <w:rFonts w:hint="eastAsia"/>
          <w:kern w:val="0"/>
          <w:sz w:val="24"/>
        </w:rPr>
        <w:t>月</w:t>
      </w:r>
      <w:r>
        <w:rPr>
          <w:rFonts w:hint="eastAsia"/>
          <w:kern w:val="0"/>
          <w:sz w:val="24"/>
        </w:rPr>
        <w:t>15</w:t>
      </w:r>
      <w:r>
        <w:rPr>
          <w:rFonts w:hint="eastAsia"/>
          <w:kern w:val="0"/>
          <w:sz w:val="24"/>
        </w:rPr>
        <w:t>日，中胜公司安全生产许可证进行了变更，安全生产许可证主要负责人由张宗檩变更为刘青峰。</w:t>
      </w:r>
    </w:p>
    <w:p w14:paraId="432664C8"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r>
        <w:rPr>
          <w:rFonts w:eastAsia="黑体" w:hint="eastAsia"/>
          <w:b w:val="0"/>
          <w:spacing w:val="0"/>
          <w:sz w:val="24"/>
          <w:szCs w:val="24"/>
        </w:rPr>
        <w:t xml:space="preserve">2.5.2  </w:t>
      </w:r>
      <w:r>
        <w:rPr>
          <w:rFonts w:eastAsia="黑体" w:hint="eastAsia"/>
          <w:b w:val="0"/>
          <w:spacing w:val="0"/>
          <w:sz w:val="24"/>
          <w:szCs w:val="24"/>
        </w:rPr>
        <w:t>单位地址变更</w:t>
      </w:r>
    </w:p>
    <w:p w14:paraId="32F516C3" w14:textId="77777777" w:rsidR="003D6A63" w:rsidRDefault="00000000">
      <w:pPr>
        <w:adjustRightInd w:val="0"/>
        <w:snapToGrid w:val="0"/>
        <w:spacing w:line="360" w:lineRule="auto"/>
        <w:ind w:firstLineChars="200" w:firstLine="480"/>
        <w:rPr>
          <w:kern w:val="0"/>
          <w:sz w:val="24"/>
        </w:rPr>
      </w:pPr>
      <w:r>
        <w:rPr>
          <w:rFonts w:hint="eastAsia"/>
          <w:kern w:val="0"/>
          <w:sz w:val="24"/>
        </w:rPr>
        <w:t>2021</w:t>
      </w:r>
      <w:r>
        <w:rPr>
          <w:kern w:val="0"/>
          <w:sz w:val="24"/>
          <w:lang w:val="zh-CN"/>
        </w:rPr>
        <w:t>年</w:t>
      </w:r>
      <w:r>
        <w:rPr>
          <w:rFonts w:hint="eastAsia"/>
          <w:kern w:val="0"/>
          <w:sz w:val="24"/>
        </w:rPr>
        <w:t>8</w:t>
      </w:r>
      <w:r>
        <w:rPr>
          <w:rFonts w:hint="eastAsia"/>
          <w:kern w:val="0"/>
          <w:sz w:val="24"/>
        </w:rPr>
        <w:t>月</w:t>
      </w:r>
      <w:r>
        <w:rPr>
          <w:rFonts w:hint="eastAsia"/>
          <w:kern w:val="0"/>
          <w:sz w:val="24"/>
        </w:rPr>
        <w:t>17</w:t>
      </w:r>
      <w:r>
        <w:rPr>
          <w:rFonts w:hint="eastAsia"/>
          <w:kern w:val="0"/>
          <w:sz w:val="24"/>
        </w:rPr>
        <w:t>日，中胜公司住所由山东省东营市东营区淄博路北变更至山东东营市东营西四路</w:t>
      </w:r>
      <w:r>
        <w:rPr>
          <w:rFonts w:hint="eastAsia"/>
          <w:kern w:val="0"/>
          <w:sz w:val="24"/>
        </w:rPr>
        <w:t>600</w:t>
      </w:r>
      <w:r>
        <w:rPr>
          <w:rFonts w:hint="eastAsia"/>
          <w:kern w:val="0"/>
          <w:sz w:val="24"/>
        </w:rPr>
        <w:t>号。</w:t>
      </w:r>
    </w:p>
    <w:p w14:paraId="7F7702F7"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bookmarkStart w:id="60" w:name="_Hlk55692565"/>
      <w:r>
        <w:rPr>
          <w:rFonts w:eastAsia="黑体" w:hint="eastAsia"/>
          <w:b w:val="0"/>
          <w:spacing w:val="0"/>
          <w:sz w:val="24"/>
          <w:szCs w:val="24"/>
        </w:rPr>
        <w:t xml:space="preserve">2.5.3  </w:t>
      </w:r>
      <w:r>
        <w:rPr>
          <w:rFonts w:eastAsia="黑体" w:hint="eastAsia"/>
          <w:b w:val="0"/>
          <w:spacing w:val="0"/>
          <w:sz w:val="24"/>
          <w:szCs w:val="24"/>
        </w:rPr>
        <w:t>组织机构变更</w:t>
      </w:r>
    </w:p>
    <w:p w14:paraId="13B9AC8D" w14:textId="77777777" w:rsidR="003D6A63" w:rsidRDefault="00000000">
      <w:pPr>
        <w:adjustRightInd w:val="0"/>
        <w:snapToGrid w:val="0"/>
        <w:spacing w:line="360" w:lineRule="auto"/>
        <w:ind w:firstLineChars="200" w:firstLine="480"/>
        <w:rPr>
          <w:lang w:val="zh-CN"/>
        </w:rPr>
      </w:pPr>
      <w:r>
        <w:rPr>
          <w:rFonts w:hint="eastAsia"/>
          <w:kern w:val="0"/>
          <w:sz w:val="24"/>
        </w:rPr>
        <w:t>2022</w:t>
      </w:r>
      <w:r>
        <w:rPr>
          <w:kern w:val="0"/>
          <w:sz w:val="24"/>
          <w:lang w:val="zh-CN"/>
        </w:rPr>
        <w:t>年</w:t>
      </w:r>
      <w:r>
        <w:rPr>
          <w:rFonts w:hint="eastAsia"/>
          <w:kern w:val="0"/>
          <w:sz w:val="24"/>
        </w:rPr>
        <w:t>8</w:t>
      </w:r>
      <w:r>
        <w:rPr>
          <w:rFonts w:hint="eastAsia"/>
          <w:kern w:val="0"/>
          <w:sz w:val="24"/>
        </w:rPr>
        <w:t>月</w:t>
      </w:r>
      <w:r>
        <w:rPr>
          <w:kern w:val="0"/>
          <w:sz w:val="24"/>
          <w:lang w:val="zh-CN"/>
        </w:rPr>
        <w:t>，</w:t>
      </w:r>
      <w:r>
        <w:rPr>
          <w:rFonts w:hint="eastAsia"/>
          <w:kern w:val="0"/>
          <w:sz w:val="24"/>
        </w:rPr>
        <w:t>中胜公司成立安全（</w:t>
      </w:r>
      <w:r>
        <w:rPr>
          <w:rFonts w:hint="eastAsia"/>
          <w:kern w:val="0"/>
          <w:sz w:val="24"/>
        </w:rPr>
        <w:t>QHSE</w:t>
      </w:r>
      <w:r>
        <w:rPr>
          <w:rFonts w:hint="eastAsia"/>
          <w:kern w:val="0"/>
          <w:sz w:val="24"/>
        </w:rPr>
        <w:t>）管理办公室，安全生产管理机构由安全生产部变更为安全（</w:t>
      </w:r>
      <w:r>
        <w:rPr>
          <w:rFonts w:hint="eastAsia"/>
          <w:kern w:val="0"/>
          <w:sz w:val="24"/>
        </w:rPr>
        <w:t>QHSE</w:t>
      </w:r>
      <w:r>
        <w:rPr>
          <w:rFonts w:hint="eastAsia"/>
          <w:kern w:val="0"/>
          <w:sz w:val="24"/>
        </w:rPr>
        <w:t>）管理办公室</w:t>
      </w:r>
      <w:bookmarkEnd w:id="60"/>
      <w:r>
        <w:rPr>
          <w:kern w:val="0"/>
          <w:sz w:val="24"/>
          <w:lang w:val="zh-CN"/>
        </w:rPr>
        <w:t>。</w:t>
      </w:r>
    </w:p>
    <w:p w14:paraId="551D6993" w14:textId="77777777" w:rsidR="003D6A63" w:rsidRDefault="00000000">
      <w:pPr>
        <w:adjustRightInd w:val="0"/>
        <w:snapToGrid w:val="0"/>
        <w:spacing w:line="360" w:lineRule="auto"/>
        <w:ind w:firstLineChars="200" w:firstLine="480"/>
      </w:pPr>
      <w:r>
        <w:rPr>
          <w:rFonts w:hint="eastAsia"/>
          <w:kern w:val="0"/>
          <w:sz w:val="24"/>
        </w:rPr>
        <w:t>自</w:t>
      </w:r>
      <w:r>
        <w:rPr>
          <w:rFonts w:hint="eastAsia"/>
          <w:kern w:val="0"/>
          <w:sz w:val="24"/>
        </w:rPr>
        <w:t>2020</w:t>
      </w:r>
      <w:r>
        <w:rPr>
          <w:rFonts w:hint="eastAsia"/>
          <w:kern w:val="0"/>
          <w:sz w:val="24"/>
        </w:rPr>
        <w:t>年至今，企业名称、安全生产许可证许可范围等未发生变更。</w:t>
      </w:r>
      <w:bookmarkStart w:id="61" w:name="_Toc300905640"/>
      <w:bookmarkStart w:id="62" w:name="_Toc298867854"/>
    </w:p>
    <w:p w14:paraId="646809C3"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r>
        <w:rPr>
          <w:rFonts w:eastAsia="黑体" w:hint="eastAsia"/>
          <w:b w:val="0"/>
          <w:spacing w:val="0"/>
          <w:sz w:val="24"/>
          <w:szCs w:val="24"/>
        </w:rPr>
        <w:t xml:space="preserve">2.5.4 </w:t>
      </w:r>
      <w:r>
        <w:rPr>
          <w:rFonts w:eastAsia="黑体" w:hint="eastAsia"/>
          <w:b w:val="0"/>
          <w:spacing w:val="0"/>
          <w:sz w:val="24"/>
          <w:szCs w:val="24"/>
        </w:rPr>
        <w:t>生产设备设施变更</w:t>
      </w:r>
    </w:p>
    <w:p w14:paraId="064B641F" w14:textId="77777777" w:rsidR="003D6A63" w:rsidRDefault="00000000">
      <w:pPr>
        <w:adjustRightInd w:val="0"/>
        <w:snapToGrid w:val="0"/>
        <w:spacing w:line="360" w:lineRule="auto"/>
        <w:ind w:firstLineChars="200" w:firstLine="480"/>
        <w:rPr>
          <w:kern w:val="0"/>
          <w:sz w:val="24"/>
        </w:rPr>
        <w:sectPr w:rsidR="003D6A63">
          <w:footerReference w:type="default" r:id="rId20"/>
          <w:pgSz w:w="11906" w:h="16838"/>
          <w:pgMar w:top="1417" w:right="1417" w:bottom="1417" w:left="1417" w:header="907" w:footer="964" w:gutter="0"/>
          <w:pgNumType w:start="1"/>
          <w:cols w:space="0"/>
          <w:docGrid w:linePitch="312"/>
        </w:sectPr>
      </w:pPr>
      <w:r>
        <w:rPr>
          <w:rFonts w:hint="eastAsia"/>
          <w:kern w:val="0"/>
          <w:sz w:val="24"/>
        </w:rPr>
        <w:t>2022</w:t>
      </w:r>
      <w:r>
        <w:rPr>
          <w:rFonts w:hint="eastAsia"/>
          <w:kern w:val="0"/>
          <w:sz w:val="24"/>
        </w:rPr>
        <w:t>年，滨南采油厂将林</w:t>
      </w:r>
      <w:r>
        <w:rPr>
          <w:rFonts w:hint="eastAsia"/>
          <w:kern w:val="0"/>
          <w:sz w:val="24"/>
        </w:rPr>
        <w:t>102</w:t>
      </w:r>
      <w:r>
        <w:rPr>
          <w:rFonts w:hint="eastAsia"/>
          <w:kern w:val="0"/>
          <w:sz w:val="24"/>
        </w:rPr>
        <w:t>区块、林</w:t>
      </w:r>
      <w:r>
        <w:rPr>
          <w:rFonts w:hint="eastAsia"/>
          <w:kern w:val="0"/>
          <w:sz w:val="24"/>
        </w:rPr>
        <w:t>17</w:t>
      </w:r>
      <w:r>
        <w:rPr>
          <w:rFonts w:hint="eastAsia"/>
          <w:kern w:val="0"/>
          <w:sz w:val="24"/>
        </w:rPr>
        <w:t>块、林中</w:t>
      </w:r>
      <w:r>
        <w:rPr>
          <w:rFonts w:hint="eastAsia"/>
          <w:kern w:val="0"/>
          <w:sz w:val="24"/>
        </w:rPr>
        <w:t>3</w:t>
      </w:r>
      <w:r>
        <w:rPr>
          <w:rFonts w:hint="eastAsia"/>
          <w:kern w:val="0"/>
          <w:sz w:val="24"/>
        </w:rPr>
        <w:t>块及林东扩等四个区块的油井及采油设施划拨给中胜公司滨南开发区。移交区块包括计量间</w:t>
      </w:r>
      <w:r>
        <w:rPr>
          <w:rFonts w:hint="eastAsia"/>
          <w:kern w:val="0"/>
          <w:sz w:val="24"/>
        </w:rPr>
        <w:t>9</w:t>
      </w:r>
      <w:r>
        <w:rPr>
          <w:rFonts w:hint="eastAsia"/>
          <w:kern w:val="0"/>
          <w:sz w:val="24"/>
        </w:rPr>
        <w:t>座、地面混输螺杆泵</w:t>
      </w:r>
      <w:r>
        <w:rPr>
          <w:rFonts w:hint="eastAsia"/>
          <w:kern w:val="0"/>
          <w:sz w:val="24"/>
        </w:rPr>
        <w:t>3</w:t>
      </w:r>
      <w:r>
        <w:rPr>
          <w:rFonts w:hint="eastAsia"/>
          <w:kern w:val="0"/>
          <w:sz w:val="24"/>
        </w:rPr>
        <w:t>台、高原机</w:t>
      </w:r>
      <w:r>
        <w:rPr>
          <w:rFonts w:hint="eastAsia"/>
          <w:kern w:val="0"/>
          <w:sz w:val="24"/>
        </w:rPr>
        <w:t>41</w:t>
      </w:r>
      <w:r>
        <w:rPr>
          <w:rFonts w:hint="eastAsia"/>
          <w:kern w:val="0"/>
          <w:sz w:val="24"/>
        </w:rPr>
        <w:t>台、游梁机</w:t>
      </w:r>
      <w:r>
        <w:rPr>
          <w:rFonts w:hint="eastAsia"/>
          <w:kern w:val="0"/>
          <w:sz w:val="24"/>
        </w:rPr>
        <w:t>16</w:t>
      </w:r>
      <w:r>
        <w:rPr>
          <w:rFonts w:hint="eastAsia"/>
          <w:kern w:val="0"/>
          <w:sz w:val="24"/>
        </w:rPr>
        <w:t>台，采油螺杆泵</w:t>
      </w:r>
      <w:r>
        <w:rPr>
          <w:rFonts w:hint="eastAsia"/>
          <w:kern w:val="0"/>
          <w:sz w:val="24"/>
        </w:rPr>
        <w:t>1</w:t>
      </w:r>
      <w:r>
        <w:rPr>
          <w:rFonts w:hint="eastAsia"/>
          <w:kern w:val="0"/>
          <w:sz w:val="24"/>
        </w:rPr>
        <w:t>台；集油支干线采用φ</w:t>
      </w:r>
      <w:r>
        <w:rPr>
          <w:rFonts w:hint="eastAsia"/>
          <w:kern w:val="0"/>
          <w:sz w:val="24"/>
        </w:rPr>
        <w:t>114</w:t>
      </w:r>
      <w:r>
        <w:rPr>
          <w:rFonts w:hint="eastAsia"/>
          <w:kern w:val="0"/>
          <w:sz w:val="24"/>
        </w:rPr>
        <w:t>及</w:t>
      </w:r>
      <w:r>
        <w:rPr>
          <w:rFonts w:hint="eastAsia"/>
          <w:kern w:val="0"/>
          <w:sz w:val="24"/>
        </w:rPr>
        <w:t>159mm</w:t>
      </w:r>
      <w:r>
        <w:rPr>
          <w:rFonts w:hint="eastAsia"/>
          <w:kern w:val="0"/>
          <w:sz w:val="24"/>
        </w:rPr>
        <w:t>钢管，共</w:t>
      </w:r>
      <w:r>
        <w:rPr>
          <w:rFonts w:hint="eastAsia"/>
          <w:kern w:val="0"/>
          <w:sz w:val="24"/>
        </w:rPr>
        <w:t>10.6km</w:t>
      </w:r>
      <w:r>
        <w:rPr>
          <w:rFonts w:hint="eastAsia"/>
          <w:kern w:val="0"/>
          <w:sz w:val="24"/>
        </w:rPr>
        <w:t>。移交区块包括配水间</w:t>
      </w:r>
      <w:r>
        <w:rPr>
          <w:rFonts w:hint="eastAsia"/>
          <w:kern w:val="0"/>
          <w:sz w:val="24"/>
        </w:rPr>
        <w:t>9</w:t>
      </w:r>
      <w:r>
        <w:rPr>
          <w:rFonts w:hint="eastAsia"/>
          <w:kern w:val="0"/>
          <w:sz w:val="24"/>
        </w:rPr>
        <w:t>座、地面增压泵</w:t>
      </w:r>
      <w:r>
        <w:rPr>
          <w:rFonts w:hint="eastAsia"/>
          <w:kern w:val="0"/>
          <w:sz w:val="24"/>
        </w:rPr>
        <w:t>1</w:t>
      </w:r>
      <w:r>
        <w:rPr>
          <w:rFonts w:hint="eastAsia"/>
          <w:kern w:val="0"/>
          <w:sz w:val="24"/>
        </w:rPr>
        <w:t>台，水源来自滨五联合站，水质为三级水，注水由林一注水站负责，注水系统压力</w:t>
      </w:r>
      <w:r>
        <w:rPr>
          <w:rFonts w:hint="eastAsia"/>
          <w:kern w:val="0"/>
          <w:sz w:val="24"/>
        </w:rPr>
        <w:t>13MPa</w:t>
      </w:r>
      <w:r>
        <w:rPr>
          <w:rFonts w:hint="eastAsia"/>
          <w:kern w:val="0"/>
          <w:sz w:val="24"/>
        </w:rPr>
        <w:t>。注水管线为∮</w:t>
      </w:r>
      <w:r>
        <w:rPr>
          <w:rFonts w:hint="eastAsia"/>
          <w:kern w:val="0"/>
          <w:sz w:val="24"/>
        </w:rPr>
        <w:t>114</w:t>
      </w:r>
      <w:r>
        <w:rPr>
          <w:rFonts w:hint="eastAsia"/>
          <w:kern w:val="0"/>
          <w:sz w:val="24"/>
        </w:rPr>
        <w:t>钢管（林东</w:t>
      </w:r>
      <w:r>
        <w:rPr>
          <w:rFonts w:hint="eastAsia"/>
          <w:kern w:val="0"/>
          <w:sz w:val="24"/>
        </w:rPr>
        <w:t>15</w:t>
      </w:r>
      <w:r>
        <w:rPr>
          <w:rFonts w:hint="eastAsia"/>
          <w:kern w:val="0"/>
          <w:sz w:val="24"/>
        </w:rPr>
        <w:t>号站至林东</w:t>
      </w:r>
      <w:r>
        <w:rPr>
          <w:rFonts w:hint="eastAsia"/>
          <w:kern w:val="0"/>
          <w:sz w:val="24"/>
        </w:rPr>
        <w:t>11</w:t>
      </w:r>
      <w:r>
        <w:rPr>
          <w:rFonts w:hint="eastAsia"/>
          <w:kern w:val="0"/>
          <w:sz w:val="24"/>
        </w:rPr>
        <w:t>号站部分采用</w:t>
      </w:r>
      <w:r>
        <w:rPr>
          <w:rFonts w:hint="eastAsia"/>
          <w:kern w:val="0"/>
          <w:sz w:val="24"/>
        </w:rPr>
        <w:t>DN150</w:t>
      </w:r>
      <w:r>
        <w:rPr>
          <w:rFonts w:hint="eastAsia"/>
          <w:kern w:val="0"/>
          <w:sz w:val="24"/>
        </w:rPr>
        <w:t>玻璃钢管线），共</w:t>
      </w:r>
      <w:r>
        <w:rPr>
          <w:rFonts w:hint="eastAsia"/>
          <w:kern w:val="0"/>
          <w:sz w:val="24"/>
        </w:rPr>
        <w:t>10.7km</w:t>
      </w:r>
      <w:r>
        <w:rPr>
          <w:rFonts w:hint="eastAsia"/>
          <w:kern w:val="0"/>
          <w:sz w:val="24"/>
        </w:rPr>
        <w:t>。</w:t>
      </w:r>
    </w:p>
    <w:p w14:paraId="154CAA6B" w14:textId="77777777" w:rsidR="003D6A63" w:rsidRDefault="00000000">
      <w:pPr>
        <w:pStyle w:val="1"/>
        <w:keepNext w:val="0"/>
        <w:keepLines w:val="0"/>
        <w:spacing w:beforeLines="100" w:before="240" w:afterLines="100" w:after="240" w:line="360" w:lineRule="auto"/>
        <w:ind w:firstLine="200"/>
        <w:rPr>
          <w:rFonts w:eastAsia="黑体"/>
          <w:b w:val="0"/>
          <w:spacing w:val="0"/>
        </w:rPr>
      </w:pPr>
      <w:bookmarkStart w:id="63" w:name="_Toc8279"/>
      <w:r>
        <w:rPr>
          <w:rFonts w:eastAsia="黑体" w:hint="eastAsia"/>
          <w:b w:val="0"/>
          <w:spacing w:val="0"/>
        </w:rPr>
        <w:lastRenderedPageBreak/>
        <w:t xml:space="preserve">3  </w:t>
      </w:r>
      <w:r>
        <w:rPr>
          <w:rFonts w:eastAsia="黑体" w:hint="eastAsia"/>
          <w:b w:val="0"/>
          <w:spacing w:val="0"/>
        </w:rPr>
        <w:t>主要危险、有害因素</w:t>
      </w:r>
      <w:bookmarkEnd w:id="61"/>
      <w:bookmarkEnd w:id="62"/>
      <w:r>
        <w:rPr>
          <w:rFonts w:eastAsia="黑体" w:hint="eastAsia"/>
          <w:b w:val="0"/>
          <w:spacing w:val="0"/>
        </w:rPr>
        <w:t>辨识与分析</w:t>
      </w:r>
      <w:bookmarkEnd w:id="63"/>
    </w:p>
    <w:p w14:paraId="39328458" w14:textId="77777777" w:rsidR="003D6A63" w:rsidRDefault="00000000">
      <w:pPr>
        <w:pStyle w:val="2"/>
        <w:keepNext w:val="0"/>
        <w:keepLines w:val="0"/>
        <w:adjustRightInd w:val="0"/>
        <w:snapToGrid w:val="0"/>
        <w:spacing w:before="0" w:after="0" w:line="360" w:lineRule="auto"/>
        <w:rPr>
          <w:rFonts w:ascii="Times New Roman" w:hAnsi="Times New Roman"/>
          <w:b w:val="0"/>
          <w:spacing w:val="0"/>
          <w:sz w:val="28"/>
        </w:rPr>
      </w:pPr>
      <w:bookmarkStart w:id="64" w:name="_Toc298867855"/>
      <w:bookmarkStart w:id="65" w:name="_Toc300905641"/>
      <w:bookmarkStart w:id="66" w:name="_Toc16782"/>
      <w:r>
        <w:rPr>
          <w:rFonts w:ascii="Times New Roman" w:hAnsi="Times New Roman" w:hint="eastAsia"/>
          <w:b w:val="0"/>
          <w:spacing w:val="0"/>
          <w:sz w:val="28"/>
        </w:rPr>
        <w:t xml:space="preserve">3.1  </w:t>
      </w:r>
      <w:r>
        <w:rPr>
          <w:rFonts w:ascii="Times New Roman" w:hAnsi="Times New Roman" w:hint="eastAsia"/>
          <w:b w:val="0"/>
          <w:spacing w:val="0"/>
          <w:sz w:val="28"/>
        </w:rPr>
        <w:t>主要危险、有害物质</w:t>
      </w:r>
      <w:bookmarkEnd w:id="64"/>
      <w:bookmarkEnd w:id="65"/>
      <w:r>
        <w:rPr>
          <w:rFonts w:ascii="Times New Roman" w:hAnsi="Times New Roman" w:hint="eastAsia"/>
          <w:b w:val="0"/>
          <w:spacing w:val="0"/>
          <w:sz w:val="28"/>
        </w:rPr>
        <w:t>特性</w:t>
      </w:r>
      <w:bookmarkEnd w:id="66"/>
    </w:p>
    <w:p w14:paraId="620BE3A8" w14:textId="77777777" w:rsidR="003D6A63" w:rsidRDefault="00000000">
      <w:pPr>
        <w:adjustRightInd w:val="0"/>
        <w:snapToGrid w:val="0"/>
        <w:spacing w:line="360" w:lineRule="auto"/>
        <w:ind w:firstLineChars="200" w:firstLine="480"/>
        <w:rPr>
          <w:sz w:val="24"/>
        </w:rPr>
      </w:pPr>
      <w:r>
        <w:rPr>
          <w:kern w:val="0"/>
          <w:sz w:val="24"/>
          <w:lang w:val="zh-CN"/>
        </w:rPr>
        <w:t>根据</w:t>
      </w:r>
      <w:r>
        <w:rPr>
          <w:rFonts w:hint="eastAsia"/>
          <w:kern w:val="0"/>
          <w:sz w:val="24"/>
          <w:lang w:val="zh-CN"/>
        </w:rPr>
        <w:t>中胜公司</w:t>
      </w:r>
      <w:r>
        <w:rPr>
          <w:kern w:val="0"/>
          <w:sz w:val="24"/>
          <w:lang w:val="zh-CN"/>
        </w:rPr>
        <w:t>油气开采、集输生产工艺过程分析，该</w:t>
      </w:r>
      <w:r>
        <w:rPr>
          <w:rFonts w:hint="eastAsia"/>
          <w:kern w:val="0"/>
          <w:sz w:val="24"/>
        </w:rPr>
        <w:t>公司</w:t>
      </w:r>
      <w:r>
        <w:rPr>
          <w:kern w:val="0"/>
          <w:sz w:val="24"/>
          <w:lang w:val="zh-CN"/>
        </w:rPr>
        <w:t>涉及到主要危险、有害物质为原油、天然气</w:t>
      </w:r>
      <w:r>
        <w:rPr>
          <w:rFonts w:hint="eastAsia"/>
          <w:kern w:val="0"/>
          <w:sz w:val="24"/>
          <w:lang w:val="zh-CN"/>
        </w:rPr>
        <w:t>、</w:t>
      </w:r>
      <w:r>
        <w:rPr>
          <w:rFonts w:hint="eastAsia"/>
          <w:kern w:val="0"/>
          <w:sz w:val="24"/>
        </w:rPr>
        <w:t>化学药剂（破乳剂、降粘剂、缓蚀剂、堵水剂等）、高压水</w:t>
      </w:r>
      <w:r>
        <w:rPr>
          <w:kern w:val="0"/>
          <w:sz w:val="24"/>
          <w:lang w:val="zh-CN"/>
        </w:rPr>
        <w:t>等。</w:t>
      </w:r>
      <w:r>
        <w:rPr>
          <w:rFonts w:hint="eastAsia"/>
          <w:kern w:val="0"/>
          <w:sz w:val="24"/>
        </w:rPr>
        <w:t>经与中胜公司核实，中胜公司原油开采区块不涉及硫化氢，天然气分析报告见附件</w:t>
      </w:r>
      <w:r>
        <w:rPr>
          <w:rFonts w:hint="eastAsia"/>
          <w:kern w:val="0"/>
          <w:sz w:val="24"/>
        </w:rPr>
        <w:t>24</w:t>
      </w:r>
      <w:r>
        <w:rPr>
          <w:rFonts w:hint="eastAsia"/>
          <w:kern w:val="0"/>
          <w:sz w:val="24"/>
        </w:rPr>
        <w:t>。</w:t>
      </w:r>
    </w:p>
    <w:p w14:paraId="7D298D01"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r>
        <w:rPr>
          <w:rFonts w:eastAsia="黑体" w:hint="eastAsia"/>
          <w:b w:val="0"/>
          <w:spacing w:val="0"/>
          <w:sz w:val="24"/>
          <w:szCs w:val="24"/>
        </w:rPr>
        <w:t xml:space="preserve">3.1.1  </w:t>
      </w:r>
      <w:r>
        <w:rPr>
          <w:rFonts w:eastAsia="黑体" w:hint="eastAsia"/>
          <w:b w:val="0"/>
          <w:spacing w:val="0"/>
          <w:sz w:val="24"/>
          <w:szCs w:val="24"/>
        </w:rPr>
        <w:t>原油</w:t>
      </w:r>
    </w:p>
    <w:p w14:paraId="3E134B8F" w14:textId="77777777" w:rsidR="003D6A63" w:rsidRDefault="00000000">
      <w:pPr>
        <w:adjustRightInd w:val="0"/>
        <w:snapToGrid w:val="0"/>
        <w:spacing w:line="360" w:lineRule="auto"/>
        <w:ind w:firstLineChars="200" w:firstLine="480"/>
        <w:rPr>
          <w:kern w:val="0"/>
          <w:sz w:val="24"/>
          <w:lang w:val="zh-CN"/>
        </w:rPr>
      </w:pPr>
      <w:r>
        <w:rPr>
          <w:kern w:val="0"/>
          <w:sz w:val="24"/>
          <w:lang w:val="zh-CN"/>
        </w:rPr>
        <w:t>原油的主要危险有害特性见附</w:t>
      </w:r>
      <w:r>
        <w:rPr>
          <w:rFonts w:hint="eastAsia"/>
          <w:kern w:val="0"/>
          <w:sz w:val="24"/>
        </w:rPr>
        <w:t>表</w:t>
      </w:r>
      <w:r>
        <w:rPr>
          <w:kern w:val="0"/>
          <w:sz w:val="24"/>
          <w:lang w:val="zh-CN"/>
        </w:rPr>
        <w:t>1</w:t>
      </w:r>
      <w:r>
        <w:rPr>
          <w:kern w:val="0"/>
          <w:sz w:val="24"/>
          <w:lang w:val="zh-CN"/>
        </w:rPr>
        <w:t>。</w:t>
      </w:r>
    </w:p>
    <w:p w14:paraId="054691E2" w14:textId="77777777" w:rsidR="003D6A63" w:rsidRDefault="00000000">
      <w:pPr>
        <w:adjustRightInd w:val="0"/>
        <w:snapToGrid w:val="0"/>
        <w:spacing w:line="360" w:lineRule="auto"/>
        <w:ind w:firstLineChars="200" w:firstLine="480"/>
        <w:rPr>
          <w:kern w:val="0"/>
          <w:sz w:val="24"/>
          <w:lang w:val="zh-CN"/>
        </w:rPr>
      </w:pPr>
      <w:r>
        <w:rPr>
          <w:kern w:val="0"/>
          <w:sz w:val="24"/>
          <w:lang w:val="zh-CN"/>
        </w:rPr>
        <w:t>原油是由各种烃类组成的一种复杂混合物，含有少量硫、氮、氧有机物及微量金属。外观是一种流动和半流动的粘稠液体，颜色大部分是暗色的（从褐色至深黑色）。</w:t>
      </w:r>
    </w:p>
    <w:p w14:paraId="7F5731E9" w14:textId="77777777" w:rsidR="003D6A63" w:rsidRDefault="00000000">
      <w:pPr>
        <w:adjustRightInd w:val="0"/>
        <w:snapToGrid w:val="0"/>
        <w:spacing w:line="360" w:lineRule="auto"/>
        <w:ind w:firstLineChars="200" w:firstLine="480"/>
        <w:rPr>
          <w:kern w:val="0"/>
          <w:sz w:val="24"/>
          <w:lang w:val="zh-CN"/>
        </w:rPr>
      </w:pPr>
      <w:r>
        <w:rPr>
          <w:kern w:val="0"/>
          <w:sz w:val="24"/>
          <w:lang w:val="zh-CN"/>
        </w:rPr>
        <w:t>原油的主要危险性分析：</w:t>
      </w:r>
    </w:p>
    <w:p w14:paraId="4F22BB4B"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1</w:t>
      </w:r>
      <w:r>
        <w:rPr>
          <w:rFonts w:hint="eastAsia"/>
          <w:kern w:val="0"/>
          <w:sz w:val="24"/>
          <w:lang w:val="zh-CN"/>
        </w:rPr>
        <w:t>）</w:t>
      </w:r>
      <w:r>
        <w:rPr>
          <w:kern w:val="0"/>
          <w:sz w:val="24"/>
          <w:lang w:val="zh-CN"/>
        </w:rPr>
        <w:t>易燃、易爆性</w:t>
      </w:r>
    </w:p>
    <w:p w14:paraId="02780BA2" w14:textId="77777777" w:rsidR="003D6A63" w:rsidRDefault="00000000">
      <w:pPr>
        <w:adjustRightInd w:val="0"/>
        <w:snapToGrid w:val="0"/>
        <w:spacing w:line="360" w:lineRule="auto"/>
        <w:ind w:firstLineChars="200" w:firstLine="480"/>
        <w:rPr>
          <w:kern w:val="0"/>
          <w:sz w:val="24"/>
          <w:lang w:val="zh-CN"/>
        </w:rPr>
      </w:pPr>
      <w:r>
        <w:rPr>
          <w:kern w:val="0"/>
          <w:sz w:val="24"/>
          <w:lang w:val="zh-CN"/>
        </w:rPr>
        <w:t>原油的闪点低，挥发性强，在空气中只要有很小的点燃能量，就会闪燃。原油蒸气和空气混合后，可形成爆炸性混合气体，遇火即发生爆炸。原油的爆炸范围较宽，爆炸下限浓度值较低，爆炸危险性较大。因此，应十分重视原油的泄漏和爆炸性蒸气的产生与积聚，以防止爆炸事故的发生。</w:t>
      </w:r>
    </w:p>
    <w:p w14:paraId="52630218" w14:textId="77777777" w:rsidR="003D6A63" w:rsidRDefault="00000000">
      <w:pPr>
        <w:adjustRightInd w:val="0"/>
        <w:snapToGrid w:val="0"/>
        <w:spacing w:line="360" w:lineRule="auto"/>
        <w:ind w:firstLineChars="200" w:firstLine="480"/>
        <w:rPr>
          <w:kern w:val="0"/>
          <w:sz w:val="24"/>
          <w:lang w:val="zh-CN"/>
        </w:rPr>
      </w:pPr>
      <w:r>
        <w:rPr>
          <w:kern w:val="0"/>
          <w:sz w:val="24"/>
          <w:lang w:val="zh-CN"/>
        </w:rPr>
        <w:t>原油蒸气比空气重，能在较低处扩散到相当远的地方，遇火源会着火回燃。原油在着火燃烧的过程中，空气内气体空间的油气浓度，随着燃烧状况而不断变化，因此，原油的燃烧和爆炸也往往是相互转化、交替进行的。原油燃烧时，释放出大量的热量，使火场周围温度升高，易造成火灾的蔓延和扩大。</w:t>
      </w:r>
    </w:p>
    <w:p w14:paraId="3B542E0F"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2</w:t>
      </w:r>
      <w:r>
        <w:rPr>
          <w:rFonts w:hint="eastAsia"/>
          <w:kern w:val="0"/>
          <w:sz w:val="24"/>
          <w:lang w:val="zh-CN"/>
        </w:rPr>
        <w:t>）毒性</w:t>
      </w:r>
    </w:p>
    <w:p w14:paraId="2777D00A" w14:textId="77777777" w:rsidR="003D6A63" w:rsidRDefault="00000000">
      <w:pPr>
        <w:adjustRightInd w:val="0"/>
        <w:snapToGrid w:val="0"/>
        <w:spacing w:line="360" w:lineRule="auto"/>
        <w:ind w:firstLineChars="200" w:firstLine="480"/>
        <w:rPr>
          <w:kern w:val="0"/>
          <w:sz w:val="24"/>
          <w:lang w:val="zh-CN"/>
        </w:rPr>
      </w:pPr>
      <w:r>
        <w:rPr>
          <w:kern w:val="0"/>
          <w:sz w:val="24"/>
          <w:lang w:val="zh-CN"/>
        </w:rPr>
        <w:t>原油及其蒸气具有一定的毒性，特别是含硫原油的毒性更大。油气若经口、鼻进入呼吸系统，能使人体器官受害而产生急性和慢性中毒。</w:t>
      </w:r>
    </w:p>
    <w:p w14:paraId="3A74DA43" w14:textId="77777777" w:rsidR="003D6A63" w:rsidRDefault="00000000">
      <w:pPr>
        <w:adjustRightInd w:val="0"/>
        <w:snapToGrid w:val="0"/>
        <w:spacing w:line="360" w:lineRule="auto"/>
        <w:ind w:firstLineChars="200" w:firstLine="480"/>
        <w:rPr>
          <w:kern w:val="0"/>
          <w:sz w:val="24"/>
          <w:lang w:val="zh-CN"/>
        </w:rPr>
      </w:pPr>
      <w:r>
        <w:rPr>
          <w:kern w:val="0"/>
          <w:sz w:val="24"/>
          <w:lang w:val="zh-CN"/>
        </w:rPr>
        <w:t>如空气油气含量达到</w:t>
      </w:r>
      <w:r>
        <w:rPr>
          <w:kern w:val="0"/>
          <w:sz w:val="24"/>
          <w:lang w:val="zh-CN"/>
        </w:rPr>
        <w:t>0.28%</w:t>
      </w:r>
      <w:r>
        <w:rPr>
          <w:kern w:val="0"/>
          <w:sz w:val="24"/>
          <w:lang w:val="zh-CN"/>
        </w:rPr>
        <w:t>时，经过</w:t>
      </w:r>
      <w:r>
        <w:rPr>
          <w:kern w:val="0"/>
          <w:sz w:val="24"/>
          <w:lang w:val="zh-CN"/>
        </w:rPr>
        <w:t>12</w:t>
      </w:r>
      <w:r>
        <w:rPr>
          <w:kern w:val="0"/>
          <w:sz w:val="24"/>
          <w:lang w:val="zh-CN"/>
        </w:rPr>
        <w:t>～</w:t>
      </w:r>
      <w:r>
        <w:rPr>
          <w:kern w:val="0"/>
          <w:sz w:val="24"/>
          <w:lang w:val="zh-CN"/>
        </w:rPr>
        <w:t>14min</w:t>
      </w:r>
      <w:r>
        <w:rPr>
          <w:kern w:val="0"/>
          <w:sz w:val="24"/>
          <w:lang w:val="zh-CN"/>
        </w:rPr>
        <w:t>，人便会感到头晕；如含量达</w:t>
      </w:r>
      <w:r>
        <w:rPr>
          <w:rFonts w:hint="eastAsia"/>
          <w:kern w:val="0"/>
          <w:sz w:val="24"/>
          <w:lang w:val="zh-CN"/>
        </w:rPr>
        <w:t>1.13%</w:t>
      </w:r>
      <w:r>
        <w:rPr>
          <w:rFonts w:hint="eastAsia"/>
          <w:kern w:val="0"/>
          <w:sz w:val="24"/>
          <w:lang w:val="zh-CN"/>
        </w:rPr>
        <w:t>～</w:t>
      </w:r>
      <w:r>
        <w:rPr>
          <w:rFonts w:hint="eastAsia"/>
          <w:kern w:val="0"/>
          <w:sz w:val="24"/>
          <w:lang w:val="zh-CN"/>
        </w:rPr>
        <w:t>2.22%</w:t>
      </w:r>
      <w:r>
        <w:rPr>
          <w:kern w:val="0"/>
          <w:sz w:val="24"/>
          <w:lang w:val="zh-CN"/>
        </w:rPr>
        <w:t>时，便会发生急性中毒，使人难于支持；当油气含量更高时，会使人立即昏倒，丧失知觉。</w:t>
      </w:r>
    </w:p>
    <w:p w14:paraId="2FE612E2" w14:textId="77777777" w:rsidR="003D6A63" w:rsidRDefault="00000000">
      <w:pPr>
        <w:adjustRightInd w:val="0"/>
        <w:snapToGrid w:val="0"/>
        <w:spacing w:line="360" w:lineRule="auto"/>
        <w:ind w:firstLineChars="200" w:firstLine="480"/>
        <w:rPr>
          <w:kern w:val="0"/>
          <w:sz w:val="24"/>
          <w:lang w:val="zh-CN"/>
        </w:rPr>
      </w:pPr>
      <w:r>
        <w:rPr>
          <w:kern w:val="0"/>
          <w:sz w:val="24"/>
          <w:lang w:val="zh-CN"/>
        </w:rPr>
        <w:t>油气慢性中毒的结果会使人患慢性病，产生头昏、疲倦、想睡等症状。若皮肤经常与原油接触，会产生脱脂、干燥、裂口、皮炎和局部神经麻木。原油落入口腔、眼睛时，会使粘膜枯萎，有时会出血。</w:t>
      </w:r>
    </w:p>
    <w:p w14:paraId="286F3A13"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lastRenderedPageBreak/>
        <w:t>（</w:t>
      </w:r>
      <w:r>
        <w:rPr>
          <w:rFonts w:hint="eastAsia"/>
          <w:kern w:val="0"/>
          <w:sz w:val="24"/>
        </w:rPr>
        <w:t>3</w:t>
      </w:r>
      <w:r>
        <w:rPr>
          <w:rFonts w:hint="eastAsia"/>
          <w:kern w:val="0"/>
          <w:sz w:val="24"/>
          <w:lang w:val="zh-CN"/>
        </w:rPr>
        <w:t>）</w:t>
      </w:r>
      <w:r>
        <w:rPr>
          <w:kern w:val="0"/>
          <w:sz w:val="24"/>
          <w:lang w:val="zh-CN"/>
        </w:rPr>
        <w:t>静电荷积聚性</w:t>
      </w:r>
    </w:p>
    <w:p w14:paraId="4E13B9CD" w14:textId="77777777" w:rsidR="003D6A63" w:rsidRDefault="00000000">
      <w:pPr>
        <w:adjustRightInd w:val="0"/>
        <w:snapToGrid w:val="0"/>
        <w:spacing w:line="360" w:lineRule="auto"/>
        <w:ind w:firstLineChars="200" w:firstLine="480"/>
        <w:rPr>
          <w:kern w:val="0"/>
          <w:sz w:val="24"/>
          <w:lang w:val="zh-CN"/>
        </w:rPr>
      </w:pPr>
      <w:r>
        <w:rPr>
          <w:kern w:val="0"/>
          <w:sz w:val="24"/>
          <w:lang w:val="zh-CN"/>
        </w:rPr>
        <w:t>原油的电阻率一般大于</w:t>
      </w:r>
      <w:r>
        <w:rPr>
          <w:kern w:val="0"/>
          <w:sz w:val="24"/>
          <w:lang w:val="zh-CN"/>
        </w:rPr>
        <w:t>1012Ω·m</w:t>
      </w:r>
      <w:r>
        <w:rPr>
          <w:kern w:val="0"/>
          <w:sz w:val="24"/>
          <w:lang w:val="zh-CN"/>
        </w:rPr>
        <w:t>。原油在输转、储运过程中，当沿管道流动与管壁摩擦，在运输过程中与罐壁的冲击，或泵送时，都会产生静电，且不易消除。</w:t>
      </w:r>
    </w:p>
    <w:p w14:paraId="65CBD193" w14:textId="77777777" w:rsidR="003D6A63" w:rsidRDefault="00000000">
      <w:pPr>
        <w:adjustRightInd w:val="0"/>
        <w:snapToGrid w:val="0"/>
        <w:spacing w:line="360" w:lineRule="auto"/>
        <w:ind w:firstLineChars="200" w:firstLine="480"/>
        <w:rPr>
          <w:kern w:val="0"/>
          <w:sz w:val="24"/>
          <w:lang w:val="zh-CN"/>
        </w:rPr>
      </w:pPr>
      <w:r>
        <w:rPr>
          <w:kern w:val="0"/>
          <w:sz w:val="24"/>
          <w:lang w:val="zh-CN"/>
        </w:rPr>
        <w:t>静电的危害主要是静电放电。如果静电放电产生的电火花能量达到或大于油气的最小点火能且油气浓度处在燃烧、爆炸极限范围内时，就会立即引起火灾、爆炸事故的发生。</w:t>
      </w:r>
    </w:p>
    <w:p w14:paraId="5733E804"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4</w:t>
      </w:r>
      <w:r>
        <w:rPr>
          <w:rFonts w:hint="eastAsia"/>
          <w:kern w:val="0"/>
          <w:sz w:val="24"/>
          <w:lang w:val="zh-CN"/>
        </w:rPr>
        <w:t>）原油的热膨胀性</w:t>
      </w:r>
    </w:p>
    <w:p w14:paraId="7D58C5B4" w14:textId="77777777" w:rsidR="003D6A63" w:rsidRDefault="00000000">
      <w:pPr>
        <w:adjustRightInd w:val="0"/>
        <w:snapToGrid w:val="0"/>
        <w:spacing w:line="360" w:lineRule="auto"/>
        <w:ind w:firstLineChars="200" w:firstLine="480"/>
        <w:rPr>
          <w:kern w:val="0"/>
          <w:sz w:val="24"/>
          <w:lang w:val="zh-CN"/>
        </w:rPr>
      </w:pPr>
      <w:r>
        <w:rPr>
          <w:kern w:val="0"/>
          <w:sz w:val="24"/>
          <w:lang w:val="zh-CN"/>
        </w:rPr>
        <w:t>原油受热后，温度升高，体积膨胀，如果储存容器遭受暴晒或靠近高温热源，容器内的原油受热膨胀会造成容器内压增大而膨胀。当储油容器内灌入热油进行冷却或排油速度太快而超过呼吸阀的能力时，又会造成容器承受大气压的外压作用（负压）。这种热胀冷缩作用往往损坏容器，造成原油泄漏。</w:t>
      </w:r>
    </w:p>
    <w:p w14:paraId="51A58BF1" w14:textId="77777777" w:rsidR="003D6A63" w:rsidRDefault="00000000">
      <w:pPr>
        <w:adjustRightInd w:val="0"/>
        <w:snapToGrid w:val="0"/>
        <w:spacing w:line="360" w:lineRule="auto"/>
        <w:ind w:firstLineChars="200" w:firstLine="480"/>
        <w:rPr>
          <w:kern w:val="0"/>
          <w:sz w:val="24"/>
          <w:lang w:val="zh-CN"/>
        </w:rPr>
      </w:pPr>
      <w:r>
        <w:rPr>
          <w:kern w:val="0"/>
          <w:sz w:val="24"/>
          <w:lang w:val="zh-CN"/>
        </w:rPr>
        <w:t>另外，在着火现场附近，容器内原油受到火焰辐射高热时，如不及时冷却，可能因膨胀爆裂增加火势，扩大灾害范围。</w:t>
      </w:r>
    </w:p>
    <w:p w14:paraId="56F678A3"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5</w:t>
      </w:r>
      <w:r>
        <w:rPr>
          <w:rFonts w:hint="eastAsia"/>
          <w:kern w:val="0"/>
          <w:sz w:val="24"/>
          <w:lang w:val="zh-CN"/>
        </w:rPr>
        <w:t>）低温凝结性</w:t>
      </w:r>
    </w:p>
    <w:p w14:paraId="487EE81F" w14:textId="77777777" w:rsidR="003D6A63" w:rsidRDefault="00000000">
      <w:pPr>
        <w:adjustRightInd w:val="0"/>
        <w:snapToGrid w:val="0"/>
        <w:spacing w:line="360" w:lineRule="auto"/>
        <w:ind w:firstLineChars="200" w:firstLine="480"/>
        <w:rPr>
          <w:kern w:val="0"/>
          <w:sz w:val="24"/>
          <w:lang w:val="zh-CN"/>
        </w:rPr>
      </w:pPr>
      <w:r>
        <w:rPr>
          <w:kern w:val="0"/>
          <w:sz w:val="24"/>
          <w:lang w:val="zh-CN"/>
        </w:rPr>
        <w:t>原油凝固点较低，若在事故状态下抢修不及时，就有可能造成原油集输管道内部的原油凝固而造成管道凝管。</w:t>
      </w:r>
    </w:p>
    <w:p w14:paraId="479BBE1C"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6</w:t>
      </w:r>
      <w:r>
        <w:rPr>
          <w:rFonts w:hint="eastAsia"/>
          <w:kern w:val="0"/>
          <w:sz w:val="24"/>
          <w:lang w:val="zh-CN"/>
        </w:rPr>
        <w:t>）</w:t>
      </w:r>
      <w:r>
        <w:rPr>
          <w:kern w:val="0"/>
          <w:sz w:val="24"/>
          <w:lang w:val="zh-CN"/>
        </w:rPr>
        <w:t>易沸溢性</w:t>
      </w:r>
    </w:p>
    <w:p w14:paraId="3CD911A3" w14:textId="77777777" w:rsidR="003D6A63" w:rsidRDefault="00000000">
      <w:pPr>
        <w:adjustRightInd w:val="0"/>
        <w:snapToGrid w:val="0"/>
        <w:spacing w:line="360" w:lineRule="auto"/>
        <w:ind w:firstLineChars="200" w:firstLine="480"/>
        <w:rPr>
          <w:kern w:val="0"/>
          <w:sz w:val="24"/>
          <w:lang w:val="zh-CN"/>
        </w:rPr>
      </w:pPr>
      <w:r>
        <w:rPr>
          <w:kern w:val="0"/>
          <w:sz w:val="24"/>
          <w:lang w:val="zh-CN"/>
        </w:rPr>
        <w:t>含有水分的原油着火燃烧时，可能产生沸腾突溢，向容器外喷溅，在空中形成火柱，扩大灾情。形成沸腾突溢的原因，一是热辐射作用，二是热液的作用，三是水蒸汽的影响。因此，严格控制储运油品的含水量十分重要。</w:t>
      </w:r>
    </w:p>
    <w:p w14:paraId="6E866F68"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7</w:t>
      </w:r>
      <w:r>
        <w:rPr>
          <w:rFonts w:hint="eastAsia"/>
          <w:kern w:val="0"/>
          <w:sz w:val="24"/>
          <w:lang w:val="zh-CN"/>
        </w:rPr>
        <w:t>）易扩散、流淌性</w:t>
      </w:r>
    </w:p>
    <w:p w14:paraId="366CD6C7" w14:textId="77777777" w:rsidR="003D6A63" w:rsidRDefault="00000000">
      <w:pPr>
        <w:adjustRightInd w:val="0"/>
        <w:snapToGrid w:val="0"/>
        <w:spacing w:line="360" w:lineRule="auto"/>
        <w:ind w:firstLineChars="200" w:firstLine="480"/>
        <w:rPr>
          <w:kern w:val="0"/>
          <w:sz w:val="24"/>
          <w:lang w:val="zh-CN"/>
        </w:rPr>
      </w:pPr>
      <w:r>
        <w:rPr>
          <w:kern w:val="0"/>
          <w:sz w:val="24"/>
          <w:lang w:val="zh-CN"/>
        </w:rPr>
        <w:t>除高粘、高腊、高凝原油外，原油的粘度一般较小，泄漏后易流淌扩散。随着流淌面积的扩大，油品蒸发速度加快，油蒸汽与空气混合后，遇点火源，极易发生火灾、爆炸事故。</w:t>
      </w:r>
    </w:p>
    <w:p w14:paraId="08785CA6"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r>
        <w:rPr>
          <w:rFonts w:eastAsia="黑体" w:hint="eastAsia"/>
          <w:b w:val="0"/>
          <w:spacing w:val="0"/>
          <w:sz w:val="24"/>
          <w:szCs w:val="24"/>
        </w:rPr>
        <w:t xml:space="preserve">3.1.2  </w:t>
      </w:r>
      <w:r>
        <w:rPr>
          <w:rFonts w:eastAsia="黑体" w:hint="eastAsia"/>
          <w:b w:val="0"/>
          <w:spacing w:val="0"/>
          <w:sz w:val="24"/>
          <w:szCs w:val="24"/>
        </w:rPr>
        <w:t>天然气</w:t>
      </w:r>
    </w:p>
    <w:p w14:paraId="0C87034E" w14:textId="77777777" w:rsidR="003D6A63" w:rsidRDefault="00000000">
      <w:pPr>
        <w:adjustRightInd w:val="0"/>
        <w:snapToGrid w:val="0"/>
        <w:spacing w:line="360" w:lineRule="auto"/>
        <w:ind w:firstLineChars="200" w:firstLine="480"/>
        <w:rPr>
          <w:kern w:val="0"/>
          <w:sz w:val="24"/>
          <w:lang w:val="zh-CN"/>
        </w:rPr>
      </w:pPr>
      <w:r>
        <w:rPr>
          <w:kern w:val="0"/>
          <w:sz w:val="24"/>
          <w:lang w:val="zh-CN"/>
        </w:rPr>
        <w:t>天然气的主要危险有害特性表见附</w:t>
      </w:r>
      <w:r>
        <w:rPr>
          <w:rFonts w:hint="eastAsia"/>
          <w:kern w:val="0"/>
          <w:sz w:val="24"/>
        </w:rPr>
        <w:t>表</w:t>
      </w:r>
      <w:r>
        <w:rPr>
          <w:rFonts w:hint="eastAsia"/>
          <w:kern w:val="0"/>
          <w:sz w:val="24"/>
        </w:rPr>
        <w:t>2</w:t>
      </w:r>
      <w:r>
        <w:rPr>
          <w:kern w:val="0"/>
          <w:sz w:val="24"/>
          <w:lang w:val="zh-CN"/>
        </w:rPr>
        <w:t>。</w:t>
      </w:r>
    </w:p>
    <w:p w14:paraId="32968740" w14:textId="77777777" w:rsidR="003D6A63" w:rsidRDefault="00000000">
      <w:pPr>
        <w:adjustRightInd w:val="0"/>
        <w:snapToGrid w:val="0"/>
        <w:spacing w:line="360" w:lineRule="auto"/>
        <w:ind w:firstLineChars="200" w:firstLine="480"/>
        <w:rPr>
          <w:kern w:val="0"/>
          <w:sz w:val="24"/>
          <w:lang w:val="zh-CN"/>
        </w:rPr>
      </w:pPr>
      <w:r>
        <w:rPr>
          <w:rFonts w:hint="eastAsia"/>
          <w:kern w:val="0"/>
          <w:sz w:val="24"/>
        </w:rPr>
        <w:t>中胜公司</w:t>
      </w:r>
      <w:r>
        <w:rPr>
          <w:kern w:val="0"/>
          <w:sz w:val="24"/>
          <w:lang w:val="zh-CN"/>
        </w:rPr>
        <w:t>天然气主要为采出液的伴生气，为易燃易爆气体，和空气混合后，天然气浓度达到</w:t>
      </w:r>
      <w:r>
        <w:rPr>
          <w:kern w:val="0"/>
          <w:sz w:val="24"/>
          <w:lang w:val="zh-CN"/>
        </w:rPr>
        <w:t>5%</w:t>
      </w:r>
      <w:r>
        <w:rPr>
          <w:rFonts w:hint="eastAsia"/>
          <w:kern w:val="0"/>
          <w:sz w:val="24"/>
          <w:lang w:val="zh-CN"/>
        </w:rPr>
        <w:t>～</w:t>
      </w:r>
      <w:r>
        <w:rPr>
          <w:kern w:val="0"/>
          <w:sz w:val="24"/>
          <w:lang w:val="zh-CN"/>
        </w:rPr>
        <w:t>15%</w:t>
      </w:r>
      <w:r>
        <w:rPr>
          <w:kern w:val="0"/>
          <w:sz w:val="24"/>
          <w:lang w:val="zh-CN"/>
        </w:rPr>
        <w:t>就会爆炸。</w:t>
      </w:r>
    </w:p>
    <w:p w14:paraId="53CF79C4" w14:textId="77777777" w:rsidR="003D6A63" w:rsidRDefault="00000000">
      <w:pPr>
        <w:adjustRightInd w:val="0"/>
        <w:snapToGrid w:val="0"/>
        <w:spacing w:line="360" w:lineRule="auto"/>
        <w:ind w:firstLineChars="200" w:firstLine="480"/>
        <w:rPr>
          <w:kern w:val="0"/>
          <w:sz w:val="24"/>
          <w:lang w:val="zh-CN"/>
        </w:rPr>
      </w:pPr>
      <w:r>
        <w:rPr>
          <w:kern w:val="0"/>
          <w:sz w:val="24"/>
          <w:lang w:val="zh-CN"/>
        </w:rPr>
        <w:t>天然气是一种无色气体，比空气轻，具有以下危险特性：</w:t>
      </w:r>
    </w:p>
    <w:p w14:paraId="597F3409"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1</w:t>
      </w:r>
      <w:r>
        <w:rPr>
          <w:rFonts w:hint="eastAsia"/>
          <w:kern w:val="0"/>
          <w:sz w:val="24"/>
          <w:lang w:val="zh-CN"/>
        </w:rPr>
        <w:t>）</w:t>
      </w:r>
      <w:r>
        <w:rPr>
          <w:kern w:val="0"/>
          <w:sz w:val="24"/>
          <w:lang w:val="zh-CN"/>
        </w:rPr>
        <w:t>易燃性</w:t>
      </w:r>
    </w:p>
    <w:p w14:paraId="7FFC2351" w14:textId="77777777" w:rsidR="003D6A63" w:rsidRDefault="00000000">
      <w:pPr>
        <w:adjustRightInd w:val="0"/>
        <w:snapToGrid w:val="0"/>
        <w:spacing w:line="360" w:lineRule="auto"/>
        <w:ind w:firstLineChars="200" w:firstLine="480"/>
        <w:rPr>
          <w:kern w:val="0"/>
          <w:sz w:val="24"/>
          <w:lang w:val="zh-CN"/>
        </w:rPr>
      </w:pPr>
      <w:r>
        <w:rPr>
          <w:kern w:val="0"/>
          <w:sz w:val="24"/>
          <w:lang w:val="zh-CN"/>
        </w:rPr>
        <w:lastRenderedPageBreak/>
        <w:t>天然气具有易燃性，燃烧速度很快，并散发出大量的热量，产生的高热可致人员烧伤、设备、建筑物损坏、引燃周边可燃物及其他次生灾害。</w:t>
      </w:r>
    </w:p>
    <w:p w14:paraId="06E3E9C4"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2</w:t>
      </w:r>
      <w:r>
        <w:rPr>
          <w:rFonts w:hint="eastAsia"/>
          <w:kern w:val="0"/>
          <w:sz w:val="24"/>
          <w:lang w:val="zh-CN"/>
        </w:rPr>
        <w:t>）易爆性</w:t>
      </w:r>
    </w:p>
    <w:p w14:paraId="708BCA1C" w14:textId="77777777" w:rsidR="003D6A63" w:rsidRDefault="00000000">
      <w:pPr>
        <w:adjustRightInd w:val="0"/>
        <w:snapToGrid w:val="0"/>
        <w:spacing w:line="360" w:lineRule="auto"/>
        <w:ind w:firstLineChars="200" w:firstLine="480"/>
        <w:rPr>
          <w:kern w:val="0"/>
          <w:sz w:val="24"/>
          <w:lang w:val="zh-CN"/>
        </w:rPr>
      </w:pPr>
      <w:r>
        <w:rPr>
          <w:kern w:val="0"/>
          <w:sz w:val="24"/>
          <w:lang w:val="zh-CN"/>
        </w:rPr>
        <w:t>天然气具有易爆性，与空气混合形成可燃性混合物，当其浓度达到</w:t>
      </w:r>
      <w:r>
        <w:rPr>
          <w:kern w:val="0"/>
          <w:sz w:val="24"/>
          <w:lang w:val="zh-CN"/>
        </w:rPr>
        <w:t>“</w:t>
      </w:r>
      <w:r>
        <w:rPr>
          <w:kern w:val="0"/>
          <w:sz w:val="24"/>
          <w:lang w:val="zh-CN"/>
        </w:rPr>
        <w:t>爆炸浓度极限</w:t>
      </w:r>
      <w:r>
        <w:rPr>
          <w:kern w:val="0"/>
          <w:sz w:val="24"/>
          <w:lang w:val="zh-CN"/>
        </w:rPr>
        <w:t>”</w:t>
      </w:r>
      <w:r>
        <w:rPr>
          <w:kern w:val="0"/>
          <w:sz w:val="24"/>
          <w:lang w:val="zh-CN"/>
        </w:rPr>
        <w:t>时（在空气中的爆炸极限约为</w:t>
      </w:r>
      <w:r>
        <w:rPr>
          <w:kern w:val="0"/>
          <w:sz w:val="24"/>
          <w:lang w:val="zh-CN"/>
        </w:rPr>
        <w:t>5%</w:t>
      </w:r>
      <w:r>
        <w:rPr>
          <w:rFonts w:hint="eastAsia"/>
          <w:kern w:val="0"/>
          <w:sz w:val="24"/>
          <w:lang w:val="zh-CN"/>
        </w:rPr>
        <w:t>～</w:t>
      </w:r>
      <w:r>
        <w:rPr>
          <w:kern w:val="0"/>
          <w:sz w:val="24"/>
          <w:lang w:val="zh-CN"/>
        </w:rPr>
        <w:t>15%</w:t>
      </w:r>
      <w:r>
        <w:rPr>
          <w:kern w:val="0"/>
          <w:sz w:val="24"/>
          <w:lang w:val="zh-CN"/>
        </w:rPr>
        <w:t>（</w:t>
      </w:r>
      <w:r>
        <w:rPr>
          <w:kern w:val="0"/>
          <w:sz w:val="24"/>
          <w:lang w:val="zh-CN"/>
        </w:rPr>
        <w:t>V</w:t>
      </w:r>
      <w:r>
        <w:rPr>
          <w:kern w:val="0"/>
          <w:sz w:val="24"/>
          <w:lang w:val="zh-CN"/>
        </w:rPr>
        <w:t>）），遇到点火源发生爆炸，明火、撞击、摩擦、静电火花、雷电等都可构成点火源。爆炸可瞬间产生高温、高压，造成很大的破坏。</w:t>
      </w:r>
    </w:p>
    <w:p w14:paraId="3DD58012"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3</w:t>
      </w:r>
      <w:r>
        <w:rPr>
          <w:rFonts w:hint="eastAsia"/>
          <w:kern w:val="0"/>
          <w:sz w:val="24"/>
          <w:lang w:val="zh-CN"/>
        </w:rPr>
        <w:t>）静电集聚性</w:t>
      </w:r>
    </w:p>
    <w:p w14:paraId="429EFB98" w14:textId="77777777" w:rsidR="003D6A63" w:rsidRDefault="00000000">
      <w:pPr>
        <w:adjustRightInd w:val="0"/>
        <w:snapToGrid w:val="0"/>
        <w:spacing w:line="360" w:lineRule="auto"/>
        <w:ind w:firstLineChars="200" w:firstLine="480"/>
        <w:rPr>
          <w:kern w:val="0"/>
          <w:sz w:val="24"/>
          <w:lang w:val="zh-CN"/>
        </w:rPr>
      </w:pPr>
      <w:r>
        <w:rPr>
          <w:kern w:val="0"/>
          <w:sz w:val="24"/>
          <w:lang w:val="zh-CN"/>
        </w:rPr>
        <w:t>天然气和管道、容器设备等发生碰撞、摩擦，会产生静电，静电得不到释放，则会集聚，达到一定量后，产生火花放电，引发火灾、爆炸事故。</w:t>
      </w:r>
    </w:p>
    <w:p w14:paraId="6826D3E1"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4</w:t>
      </w:r>
      <w:r>
        <w:rPr>
          <w:rFonts w:hint="eastAsia"/>
          <w:kern w:val="0"/>
          <w:sz w:val="24"/>
          <w:lang w:val="zh-CN"/>
        </w:rPr>
        <w:t>）毒性</w:t>
      </w:r>
    </w:p>
    <w:p w14:paraId="349B3A87" w14:textId="77777777" w:rsidR="003D6A63" w:rsidRDefault="00000000">
      <w:pPr>
        <w:adjustRightInd w:val="0"/>
        <w:snapToGrid w:val="0"/>
        <w:spacing w:line="360" w:lineRule="auto"/>
        <w:ind w:firstLineChars="200" w:firstLine="480"/>
        <w:rPr>
          <w:kern w:val="0"/>
          <w:sz w:val="24"/>
          <w:lang w:val="zh-CN"/>
        </w:rPr>
      </w:pPr>
      <w:r>
        <w:rPr>
          <w:kern w:val="0"/>
          <w:sz w:val="24"/>
          <w:lang w:val="zh-CN"/>
        </w:rPr>
        <w:t>天然气属低毒物质，当其经口、鼻进入人的呼吸系统，能使人体器官受损害而产生中毒。当空气中天然气含量过高时，还会造成急性中毒、缺氧窒息等。</w:t>
      </w:r>
    </w:p>
    <w:p w14:paraId="42211413"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5</w:t>
      </w:r>
      <w:r>
        <w:rPr>
          <w:rFonts w:hint="eastAsia"/>
          <w:kern w:val="0"/>
          <w:sz w:val="24"/>
          <w:lang w:val="zh-CN"/>
        </w:rPr>
        <w:t>）易扩散性</w:t>
      </w:r>
    </w:p>
    <w:p w14:paraId="0A0BFE3D" w14:textId="77777777" w:rsidR="003D6A63" w:rsidRDefault="00000000">
      <w:pPr>
        <w:adjustRightInd w:val="0"/>
        <w:snapToGrid w:val="0"/>
        <w:spacing w:line="360" w:lineRule="auto"/>
        <w:ind w:firstLineChars="200" w:firstLine="480"/>
        <w:rPr>
          <w:kern w:val="0"/>
          <w:sz w:val="24"/>
          <w:lang w:val="zh-CN"/>
        </w:rPr>
      </w:pPr>
      <w:r>
        <w:rPr>
          <w:kern w:val="0"/>
          <w:sz w:val="24"/>
          <w:lang w:val="zh-CN"/>
        </w:rPr>
        <w:t>天然气泄漏后容易扩散与空气形成爆炸性混合气体，并可顺风飘移，增加了爆炸的危险性；其中比空气重的组分，漂流在地面、沟渠等低洼处，长时间集聚不散，一旦遇火源可能燃烧和爆炸。</w:t>
      </w:r>
    </w:p>
    <w:p w14:paraId="09251BC4"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6</w:t>
      </w:r>
      <w:r>
        <w:rPr>
          <w:rFonts w:hint="eastAsia"/>
          <w:kern w:val="0"/>
          <w:sz w:val="24"/>
          <w:lang w:val="zh-CN"/>
        </w:rPr>
        <w:t>）腐蚀性</w:t>
      </w:r>
    </w:p>
    <w:p w14:paraId="6FA6EB1E" w14:textId="77777777" w:rsidR="003D6A63" w:rsidRDefault="00000000">
      <w:pPr>
        <w:adjustRightInd w:val="0"/>
        <w:snapToGrid w:val="0"/>
        <w:spacing w:line="360" w:lineRule="auto"/>
        <w:ind w:firstLineChars="200" w:firstLine="480"/>
        <w:rPr>
          <w:kern w:val="0"/>
          <w:sz w:val="24"/>
          <w:lang w:val="zh-CN"/>
        </w:rPr>
      </w:pPr>
      <w:r>
        <w:rPr>
          <w:kern w:val="0"/>
          <w:sz w:val="24"/>
          <w:lang w:val="zh-CN"/>
        </w:rPr>
        <w:t>伴生气中所含的</w:t>
      </w:r>
      <w:r>
        <w:rPr>
          <w:kern w:val="0"/>
          <w:sz w:val="24"/>
          <w:lang w:val="zh-CN"/>
        </w:rPr>
        <w:t>CO</w:t>
      </w:r>
      <w:r>
        <w:rPr>
          <w:kern w:val="0"/>
          <w:sz w:val="24"/>
          <w:vertAlign w:val="subscript"/>
          <w:lang w:val="zh-CN"/>
        </w:rPr>
        <w:t>2</w:t>
      </w:r>
      <w:r>
        <w:rPr>
          <w:kern w:val="0"/>
          <w:sz w:val="24"/>
          <w:lang w:val="zh-CN"/>
        </w:rPr>
        <w:t>和采出原油中的</w:t>
      </w:r>
      <w:r>
        <w:rPr>
          <w:kern w:val="0"/>
          <w:sz w:val="24"/>
          <w:lang w:val="zh-CN"/>
        </w:rPr>
        <w:t>H</w:t>
      </w:r>
      <w:r>
        <w:rPr>
          <w:kern w:val="0"/>
          <w:sz w:val="24"/>
          <w:vertAlign w:val="subscript"/>
          <w:lang w:val="zh-CN"/>
        </w:rPr>
        <w:t>2</w:t>
      </w:r>
      <w:r>
        <w:rPr>
          <w:kern w:val="0"/>
          <w:sz w:val="24"/>
          <w:lang w:val="zh-CN"/>
        </w:rPr>
        <w:t>O</w:t>
      </w:r>
      <w:r>
        <w:rPr>
          <w:kern w:val="0"/>
          <w:sz w:val="24"/>
          <w:lang w:val="zh-CN"/>
        </w:rPr>
        <w:t>形成酸性水溶液，对集输管道的内壁产生腐蚀，造成管道破坏，在氧气存在的情况下，腐蚀会加剧。腐蚀到一定程度后，可引起设备和管道穿孔，造成泄漏。</w:t>
      </w:r>
    </w:p>
    <w:p w14:paraId="7196D196"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r>
        <w:rPr>
          <w:rFonts w:eastAsia="黑体" w:hint="eastAsia"/>
          <w:b w:val="0"/>
          <w:spacing w:val="0"/>
          <w:sz w:val="24"/>
          <w:szCs w:val="24"/>
        </w:rPr>
        <w:t xml:space="preserve">3.1.3  </w:t>
      </w:r>
      <w:r>
        <w:rPr>
          <w:rFonts w:eastAsia="黑体" w:hint="eastAsia"/>
          <w:b w:val="0"/>
          <w:spacing w:val="0"/>
          <w:sz w:val="24"/>
          <w:szCs w:val="24"/>
        </w:rPr>
        <w:t>化学药剂</w:t>
      </w:r>
    </w:p>
    <w:p w14:paraId="41F352B7"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sz w:val="24"/>
          <w:szCs w:val="24"/>
        </w:rPr>
        <w:t>破乳剂在油水分离过程中起到表面活性、润湿吸附和聚结作用，一般在各转油站和脱水站来油阀组</w:t>
      </w:r>
      <w:r>
        <w:rPr>
          <w:rFonts w:ascii="Times New Roman" w:hAnsi="Times New Roman" w:hint="eastAsia"/>
          <w:sz w:val="24"/>
          <w:szCs w:val="24"/>
        </w:rPr>
        <w:t>入口处</w:t>
      </w:r>
      <w:r>
        <w:rPr>
          <w:rFonts w:ascii="Times New Roman" w:hAnsi="Times New Roman"/>
          <w:sz w:val="24"/>
          <w:szCs w:val="24"/>
        </w:rPr>
        <w:t>连续投加。破乳剂为液态，产品种类繁多，但大多数破乳剂的主要化学成分是嵌段高分子聚醚。破乳剂的毒性与成份相关，胜利油田和东胜公司现均选用低毒的破乳剂。</w:t>
      </w:r>
    </w:p>
    <w:p w14:paraId="2EB90DA0"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sz w:val="24"/>
          <w:szCs w:val="24"/>
        </w:rPr>
        <w:t>杀菌剂的主要作用是杀死采出水中的菌类（铁细菌、腐生菌、硫酸还原菌等），主要以季铵盐、</w:t>
      </w:r>
      <w:r>
        <w:rPr>
          <w:rFonts w:ascii="Times New Roman" w:hAnsi="Times New Roman"/>
          <w:sz w:val="24"/>
          <w:szCs w:val="24"/>
        </w:rPr>
        <w:t>7</w:t>
      </w:r>
      <w:r>
        <w:rPr>
          <w:rFonts w:ascii="Times New Roman" w:hAnsi="Times New Roman"/>
          <w:sz w:val="24"/>
          <w:szCs w:val="24"/>
        </w:rPr>
        <w:t>异噻唑啉酮和戊二醛为代表，可保障油田注入水水质。该类药剂低毒，对设备有一定的腐蚀性。</w:t>
      </w:r>
    </w:p>
    <w:p w14:paraId="0C4C701F"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sz w:val="24"/>
          <w:szCs w:val="24"/>
        </w:rPr>
        <w:t>在油气开采过程中，还使用降黏剂、缓蚀剂、阻垢剂、堵水剂等化学药剂，药剂中</w:t>
      </w:r>
      <w:r>
        <w:rPr>
          <w:rFonts w:ascii="Times New Roman" w:hAnsi="Times New Roman"/>
          <w:sz w:val="24"/>
          <w:szCs w:val="24"/>
        </w:rPr>
        <w:lastRenderedPageBreak/>
        <w:t>一般含有一定量的甲醇、乙醇、乙醚等有毒有害成分，有可能刺激呼吸系统。如破乳剂自身毒性较小，但配用一定浓度的有机溶剂，如水溶性破乳剂一般加入</w:t>
      </w:r>
      <w:r>
        <w:rPr>
          <w:rFonts w:ascii="Times New Roman" w:hAnsi="Times New Roman"/>
          <w:sz w:val="24"/>
          <w:szCs w:val="24"/>
        </w:rPr>
        <w:t>35%</w:t>
      </w:r>
      <w:r>
        <w:rPr>
          <w:rFonts w:ascii="Times New Roman" w:hAnsi="Times New Roman"/>
          <w:sz w:val="24"/>
          <w:szCs w:val="24"/>
        </w:rPr>
        <w:t>的甲醛做溶剂，油溶性破乳剂加入</w:t>
      </w:r>
      <w:r>
        <w:rPr>
          <w:rFonts w:ascii="Times New Roman" w:hAnsi="Times New Roman"/>
          <w:sz w:val="24"/>
          <w:szCs w:val="24"/>
        </w:rPr>
        <w:t>50%</w:t>
      </w:r>
      <w:r>
        <w:rPr>
          <w:rFonts w:ascii="Times New Roman" w:hAnsi="Times New Roman"/>
          <w:sz w:val="24"/>
          <w:szCs w:val="24"/>
        </w:rPr>
        <w:t>的二甲苯做溶剂，因此具有低毒，可对作业人员产生一定的危害。阻垢剂一般呈酸性，对皮肤有腐蚀性。</w:t>
      </w:r>
    </w:p>
    <w:p w14:paraId="6B760331"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r>
        <w:rPr>
          <w:rFonts w:eastAsia="黑体" w:hint="eastAsia"/>
          <w:b w:val="0"/>
          <w:spacing w:val="0"/>
          <w:sz w:val="24"/>
          <w:szCs w:val="24"/>
        </w:rPr>
        <w:t xml:space="preserve">3.1.4  </w:t>
      </w:r>
      <w:r>
        <w:rPr>
          <w:rFonts w:eastAsia="黑体" w:hint="eastAsia"/>
          <w:b w:val="0"/>
          <w:spacing w:val="0"/>
          <w:sz w:val="24"/>
          <w:szCs w:val="24"/>
        </w:rPr>
        <w:t>高压水</w:t>
      </w:r>
    </w:p>
    <w:p w14:paraId="296555E7" w14:textId="77777777" w:rsidR="003D6A63" w:rsidRDefault="00000000">
      <w:pPr>
        <w:adjustRightInd w:val="0"/>
        <w:snapToGrid w:val="0"/>
        <w:spacing w:line="360" w:lineRule="auto"/>
        <w:ind w:firstLineChars="200" w:firstLine="480"/>
      </w:pPr>
      <w:r>
        <w:rPr>
          <w:rFonts w:hint="eastAsia"/>
          <w:kern w:val="0"/>
          <w:sz w:val="24"/>
        </w:rPr>
        <w:t>中胜公司注水压力最高可达</w:t>
      </w:r>
      <w:r>
        <w:rPr>
          <w:rFonts w:hint="eastAsia"/>
          <w:kern w:val="0"/>
          <w:sz w:val="24"/>
        </w:rPr>
        <w:t>35</w:t>
      </w:r>
      <w:r>
        <w:rPr>
          <w:kern w:val="0"/>
          <w:sz w:val="24"/>
          <w:lang w:val="zh-CN"/>
        </w:rPr>
        <w:t>MPa</w:t>
      </w:r>
      <w:r>
        <w:rPr>
          <w:kern w:val="0"/>
          <w:sz w:val="24"/>
          <w:lang w:val="zh-CN"/>
        </w:rPr>
        <w:t>，高压水在管道破裂时，直接喷射到人体上将造成很大的伤害。形成射流时，高压水射流会给人体带来很大伤害，甚至可能贯穿人体。如果管道或阀门等设备设施破裂裹挟的碎片打击到人体，可能引起物体打击事故。</w:t>
      </w:r>
      <w:r>
        <w:rPr>
          <w:rFonts w:hint="eastAsia"/>
          <w:kern w:val="0"/>
          <w:sz w:val="24"/>
        </w:rPr>
        <w:t>地下注水管线一旦刺漏，</w:t>
      </w:r>
      <w:r>
        <w:rPr>
          <w:kern w:val="0"/>
          <w:sz w:val="24"/>
        </w:rPr>
        <w:t>可能将地下土壤掏空，形成地下空洞或导致地面塌陷，人员经过可能坠落其中，造成伤害。</w:t>
      </w:r>
    </w:p>
    <w:p w14:paraId="2F9D565C" w14:textId="77777777" w:rsidR="003D6A63" w:rsidRDefault="00000000">
      <w:pPr>
        <w:pStyle w:val="2"/>
        <w:keepNext w:val="0"/>
        <w:keepLines w:val="0"/>
        <w:adjustRightInd w:val="0"/>
        <w:snapToGrid w:val="0"/>
        <w:spacing w:before="0" w:after="0" w:line="360" w:lineRule="auto"/>
        <w:rPr>
          <w:rFonts w:ascii="Times New Roman" w:hAnsi="Times New Roman"/>
          <w:b w:val="0"/>
          <w:spacing w:val="0"/>
          <w:sz w:val="28"/>
        </w:rPr>
      </w:pPr>
      <w:bookmarkStart w:id="67" w:name="_Toc300905642"/>
      <w:bookmarkStart w:id="68" w:name="_Toc298867856"/>
      <w:bookmarkStart w:id="69" w:name="_Toc2230"/>
      <w:r>
        <w:rPr>
          <w:rFonts w:ascii="Times New Roman" w:hAnsi="Times New Roman" w:hint="eastAsia"/>
          <w:b w:val="0"/>
          <w:spacing w:val="0"/>
          <w:sz w:val="28"/>
        </w:rPr>
        <w:t xml:space="preserve">3.2  </w:t>
      </w:r>
      <w:r>
        <w:rPr>
          <w:rFonts w:ascii="Times New Roman" w:hAnsi="Times New Roman" w:hint="eastAsia"/>
          <w:b w:val="0"/>
          <w:spacing w:val="0"/>
          <w:sz w:val="28"/>
        </w:rPr>
        <w:t>生产作业危险、有害</w:t>
      </w:r>
      <w:bookmarkEnd w:id="67"/>
      <w:bookmarkEnd w:id="68"/>
      <w:r>
        <w:rPr>
          <w:rFonts w:ascii="Times New Roman" w:hAnsi="Times New Roman" w:hint="eastAsia"/>
          <w:b w:val="0"/>
          <w:spacing w:val="0"/>
          <w:sz w:val="28"/>
        </w:rPr>
        <w:t>因素识别</w:t>
      </w:r>
      <w:bookmarkEnd w:id="69"/>
    </w:p>
    <w:p w14:paraId="4206E049" w14:textId="77777777" w:rsidR="003D6A63" w:rsidRDefault="00000000">
      <w:pPr>
        <w:pStyle w:val="nlw3"/>
        <w:spacing w:beforeLines="0" w:before="0" w:after="0" w:line="360" w:lineRule="auto"/>
        <w:rPr>
          <w:sz w:val="24"/>
          <w:szCs w:val="24"/>
        </w:rPr>
      </w:pPr>
      <w:r>
        <w:rPr>
          <w:sz w:val="24"/>
          <w:szCs w:val="24"/>
        </w:rPr>
        <w:t xml:space="preserve">3.2.1  </w:t>
      </w:r>
      <w:r>
        <w:rPr>
          <w:rFonts w:hint="eastAsia"/>
          <w:sz w:val="24"/>
          <w:szCs w:val="24"/>
        </w:rPr>
        <w:t>采油工艺过程危险、有害因素分析</w:t>
      </w:r>
    </w:p>
    <w:p w14:paraId="1CD73AB2"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抽油机将油气从井底采出地面，抽油机运行过程中，若操作人员违章操作或操作监护不当，有发生机电设备伤及人员的等机械伤害、触电、高处坠落、物体打击等事故。同时还将造成设备、设施损坏。抽油机运转时，其运动部位若没有防护设施，有可能对靠近设备的人员造成机械伤害事故，常见的有抽油机电机皮带伤人、螺杆卷入衣物等。</w:t>
      </w:r>
    </w:p>
    <w:p w14:paraId="07F380E8"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井场主要危险因素是原油、天然气泄漏引起的火灾、爆炸。若井口采油树存在质量问题，阀门、法兰等损坏发生刺漏，抽油杆密封器失效，人为破坏井口或操作不当等均可能引起油气泄漏。甚至有可能使井内压力失控，造成井喷。</w:t>
      </w:r>
    </w:p>
    <w:p w14:paraId="23A4E746"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采油井口有一定的压力，存在开关套管、阀门等带压操作，有可能造成闸板、丝杆脱扣打出伤人事故。高压造成的设备、管道物理破坏是井场的主要危险因素。此外，放空、井口操作、量油测气等过程中，人站在下风侧，可能会发生中毒和窒息。</w:t>
      </w:r>
    </w:p>
    <w:p w14:paraId="08493B9B"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采油工艺过程涉及的危险、有害因素主要包括：</w:t>
      </w:r>
    </w:p>
    <w:p w14:paraId="7C804E3F"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1</w:t>
      </w:r>
      <w:r>
        <w:rPr>
          <w:rFonts w:ascii="Times New Roman" w:hAnsi="Times New Roman" w:hint="eastAsia"/>
          <w:sz w:val="24"/>
          <w:szCs w:val="24"/>
        </w:rPr>
        <w:t>）</w:t>
      </w:r>
      <w:r>
        <w:rPr>
          <w:rFonts w:ascii="Times New Roman" w:hAnsi="Times New Roman"/>
          <w:sz w:val="24"/>
          <w:szCs w:val="24"/>
        </w:rPr>
        <w:t>火灾、爆炸</w:t>
      </w:r>
    </w:p>
    <w:p w14:paraId="6146B5C7"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井喷、管线或设备泄漏，遇明火、火花或静电引起着火；切割或焊接油气管线和设备时，安全措施不当，引燃管道或设备内的油气，导致火灾、爆炸；电气设备损坏、导线短路引起火灾。</w:t>
      </w:r>
    </w:p>
    <w:p w14:paraId="70B88CE6"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井口装置的操作压力大于设计工作压力。如：采油树设计工作压力不合理，热采井注汽井口压力等级低等致使井口爆炸；井口装置腐蚀，壁厚减薄，或因氢脆使设备的实际承压能力远远低于设计工作压力等致使井口爆炸。</w:t>
      </w:r>
    </w:p>
    <w:p w14:paraId="73024C30"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lastRenderedPageBreak/>
        <w:t>（</w:t>
      </w:r>
      <w:r>
        <w:rPr>
          <w:rFonts w:ascii="Times New Roman" w:hAnsi="Times New Roman" w:hint="eastAsia"/>
          <w:sz w:val="24"/>
          <w:szCs w:val="24"/>
          <w:lang w:val="en-US"/>
        </w:rPr>
        <w:t>2</w:t>
      </w:r>
      <w:r>
        <w:rPr>
          <w:rFonts w:ascii="Times New Roman" w:hAnsi="Times New Roman" w:hint="eastAsia"/>
          <w:sz w:val="24"/>
          <w:szCs w:val="24"/>
        </w:rPr>
        <w:t>）物体打击</w:t>
      </w:r>
    </w:p>
    <w:p w14:paraId="3A31B85C"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在井口进行卸堵丝、上卸压力表、检查油嘴、开关闸门等作业时，若未进行放空，违章带压操作，身体正对闸阀或孔板阀顶部等，设备零部件飞出可导致操作人员遭受物体打击。</w:t>
      </w:r>
    </w:p>
    <w:p w14:paraId="207A830E"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在对抽油机进行调整时，抽油机突然转动，游梁、平衡块翻倒滑脱，都可致人伤亡。巡查抽油机时，意外接触转动的皮带轮、电动机轴、抽油机平衡块，也可导致人员伤亡。若抽油机安装时，基础不牢固，地基未夯实、基础倾斜或安装不当，有可能造成抽油机整体倾斜、倾覆甚至侧翻的事故。抽油机整体倾倒、部件掉落，检维修等作业过程中工具掉落等可致人员物体打击事故。</w:t>
      </w:r>
    </w:p>
    <w:p w14:paraId="17027D91"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3</w:t>
      </w:r>
      <w:r>
        <w:rPr>
          <w:rFonts w:ascii="Times New Roman" w:hAnsi="Times New Roman" w:hint="eastAsia"/>
          <w:sz w:val="24"/>
          <w:szCs w:val="24"/>
        </w:rPr>
        <w:t>）中毒和窒息</w:t>
      </w:r>
    </w:p>
    <w:p w14:paraId="5597D01B"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在生产运行过程中，毒性危害主要来源于原油以及其伴生气等。原油对人体的危害作用主要取决于原油的组成，原油成份大体上以烷烃、环烷烃和芳香烃为主。我国石油多属于石蜡基原油，以烷烃为主。原油及其蒸气具有一定的毒性，经口、鼻进入人体，超过一定量时，可导致急性或慢性中毒，人接触较高浓度的原油蒸气后有头痛、精神迟钝、呼吸急促等症状。当原油粘附在皮肤上，会刺激皮肤或引起不同程度的中毒症状。原油蒸气比空气重，易在低洼、封闭或通风不良的作业场所聚集，中毒和窒息危害多易发生在设备检修、巡检作业的过程中。</w:t>
      </w:r>
    </w:p>
    <w:p w14:paraId="3C1790FF"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在油气开采、收集、输送过程中，操作人员可能接触到天然气。天然气的基本组成为低分子烷烃，为低毒物质。接触高浓度天然气时，早期常伴有头昏、头痛、恶心、呕吐、无力、精力不集中、呼吸和心率加速、不能做精细动作等症状，严重时可出现缺氧窒息、昏迷、呼吸困难，以至脑水肿、肺水肿等，醒后可有运动性失语及偏瘫。长期接触一定浓度的天然气，可有头昏、头痛、失眠、记忆力减退、恶心、食欲不振、疲劳无力等症状。</w:t>
      </w:r>
    </w:p>
    <w:p w14:paraId="6F2263C5"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若井口、管道、容器等处有大量油气泄漏或不合理排放，计量间通排风较差，空气中油气浓度过高，可能造成局部缺氧，有引发作业人员中毒和窒息的危险。</w:t>
      </w:r>
    </w:p>
    <w:p w14:paraId="155A744E"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4</w:t>
      </w:r>
      <w:r>
        <w:rPr>
          <w:rFonts w:ascii="Times New Roman" w:hAnsi="Times New Roman" w:hint="eastAsia"/>
          <w:sz w:val="24"/>
          <w:szCs w:val="24"/>
        </w:rPr>
        <w:t>）高处坠落</w:t>
      </w:r>
    </w:p>
    <w:p w14:paraId="4A2C9200"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工作人员在高处作业过程中可能发生高处坠落事故，如：抽油机、监控立杆的安装调整、检维修、保养作业过程中，人员攀爬上抽油机违章作业、精力不集中、操作不慎等都有发生高处坠落的危险。</w:t>
      </w:r>
    </w:p>
    <w:p w14:paraId="2AE9F6A6"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检修杆式变压器及线路时，作业人员未采取防坠落措施，可能发生高处坠落事故。</w:t>
      </w:r>
    </w:p>
    <w:p w14:paraId="6CA80050"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lastRenderedPageBreak/>
        <w:t>（</w:t>
      </w:r>
      <w:r>
        <w:rPr>
          <w:rFonts w:ascii="Times New Roman" w:hAnsi="Times New Roman" w:hint="eastAsia"/>
          <w:sz w:val="24"/>
          <w:szCs w:val="24"/>
          <w:lang w:val="en-US"/>
        </w:rPr>
        <w:t>5</w:t>
      </w:r>
      <w:r>
        <w:rPr>
          <w:rFonts w:ascii="Times New Roman" w:hAnsi="Times New Roman" w:hint="eastAsia"/>
          <w:sz w:val="24"/>
          <w:szCs w:val="24"/>
        </w:rPr>
        <w:t>）机械伤害</w:t>
      </w:r>
    </w:p>
    <w:p w14:paraId="0420FE3E"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抽油机电机动力由皮带传送到减速器的皮带轮上，在抽油机运行的状态下，井场职工巡回检查和外部其他人员靠近、接触旋转的皮带轮或皮带，易造成皮带挤手或皮带轮绞住工作服进而把人绞伤事故，女职工的长发绞入皮带轮会造成伤亡事故等。</w:t>
      </w:r>
    </w:p>
    <w:p w14:paraId="00C649B3"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因防护设施不到位，人员在抽油机危险范围内活动，抽油机平衡块对人员可能造成机械伤害。抽油机安装、保养、维修过程中，由于操作者需要近距离接触设备，也容易引发机械伤害事故。抽油机发生故障时，则容易出现皮带断伤人、抽油机倾翻伤人等机械伤害事故。</w:t>
      </w:r>
    </w:p>
    <w:p w14:paraId="5205FBD8"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6</w:t>
      </w:r>
      <w:r>
        <w:rPr>
          <w:rFonts w:ascii="Times New Roman" w:hAnsi="Times New Roman" w:hint="eastAsia"/>
          <w:sz w:val="24"/>
          <w:szCs w:val="24"/>
        </w:rPr>
        <w:t>）触电</w:t>
      </w:r>
    </w:p>
    <w:p w14:paraId="4A9B6091"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井场的变压器、铁壳开关、电控制箱以及照明设备等电气设备，启动和停止抽油机时不戴绝缘手套，电气设备接地不良，维护保养电气设备时，带电作业且无人监护，可触电伤人。</w:t>
      </w:r>
    </w:p>
    <w:p w14:paraId="45D46A79"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抽油机电机内部绝缘损坏、绝缘能力降低和电机接线损坏等会使电机漏电产生危险；电缆的老化、轧伤、碰损等都会产生漏电危险，漏电电缆接触地面有造成跨步电压触电危险；控制箱内的电气线路老化、损坏和绝缘能力降低等原因，可能造成其外壳或操作的开关部分带电产生危险。采油井场职工和外部其他人员一旦接触带电部位，易发生电击和电伤事故，重则造成触电死亡。</w:t>
      </w:r>
    </w:p>
    <w:p w14:paraId="01058EF5" w14:textId="77777777" w:rsidR="003D6A63" w:rsidRDefault="00000000">
      <w:pPr>
        <w:pStyle w:val="nlw3"/>
        <w:spacing w:beforeLines="0" w:before="0" w:after="0" w:line="360" w:lineRule="auto"/>
        <w:rPr>
          <w:sz w:val="24"/>
          <w:szCs w:val="24"/>
        </w:rPr>
      </w:pPr>
      <w:r>
        <w:rPr>
          <w:sz w:val="24"/>
          <w:szCs w:val="24"/>
        </w:rPr>
        <w:t xml:space="preserve">3.2.2  </w:t>
      </w:r>
      <w:r>
        <w:rPr>
          <w:sz w:val="24"/>
          <w:szCs w:val="24"/>
        </w:rPr>
        <w:t>注入</w:t>
      </w:r>
      <w:r>
        <w:rPr>
          <w:rFonts w:hint="eastAsia"/>
          <w:sz w:val="24"/>
          <w:szCs w:val="24"/>
        </w:rPr>
        <w:t>工艺过程危险、有害因素分析</w:t>
      </w:r>
    </w:p>
    <w:p w14:paraId="4D4A0F2A"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1</w:t>
      </w:r>
      <w:r>
        <w:rPr>
          <w:rFonts w:ascii="Times New Roman" w:hAnsi="Times New Roman" w:hint="eastAsia"/>
          <w:sz w:val="24"/>
          <w:szCs w:val="24"/>
        </w:rPr>
        <w:t>）物体打击</w:t>
      </w:r>
    </w:p>
    <w:p w14:paraId="2D34A703"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注水泵启动时无人监护，非操作人员距机泵近；在通高压水运行后，没有全面检查，法兰、盘根及连头焊口，发现刺、渗、漏求停泵处理，操作管道阀门时站位不对（一定要站在手轮或操作杆的侧面），丝杠手轮打出伤人。</w:t>
      </w:r>
    </w:p>
    <w:p w14:paraId="57F7DA7B"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倒错流程，注水泵出口阀门闸板脱落，启泵时憋压，洗井、扫线流程未倒通造成憋压，注水泵及流程憋压，闸门质量不合格，可能导致高压水伤人。</w:t>
      </w:r>
    </w:p>
    <w:p w14:paraId="5A8589F5"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更换压力表时未放空或阀门失灵，装压力表前未检查丝扣，装好压力表后压力表打出伤人，开关不严时采取加大压力杆负荷，造成阀件损坏等，都有物体打击的危险。</w:t>
      </w:r>
    </w:p>
    <w:p w14:paraId="500A5DB6"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注水泵房内的泵长时间运行，其端面密封装置及阀门、法兰、管线连接处可能会被磨损而引起泄漏。泵房管线内水的压力很大。若在泵运行中，阀门、管线、法兰、丝扣等发生异常，导致设备刺漏或阀门打出，则有可能有打击人体，造成人员伤亡事故。</w:t>
      </w:r>
    </w:p>
    <w:p w14:paraId="38B9E390"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配水间是接受注水站的来水，经控制、计量分配到所辖注水井的操作间。配水间内</w:t>
      </w:r>
      <w:r>
        <w:rPr>
          <w:rFonts w:ascii="Times New Roman" w:hAnsi="Times New Roman" w:hint="eastAsia"/>
          <w:sz w:val="24"/>
          <w:szCs w:val="24"/>
        </w:rPr>
        <w:lastRenderedPageBreak/>
        <w:t>的配水阀组、流量计均要承受很大的压力。若存在设备选材、试压、检查、安装、固定不当，或操作人员操作维护有误，则会造成阀门、闸阀刺漏，设备阀门等打出对周围人员造成冲击，打击人员会造成人员伤亡事故，严重时还会损毁房屋设备。</w:t>
      </w:r>
    </w:p>
    <w:p w14:paraId="4E5BD9FD"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注水管网因腐蚀、老化等原因，承压能力下降，可能发生穿孔，造成高压流体对周围人员的物体打击；管网附件本身存在质量缺陷、安装质量差或维护保养不到位，可能飞出，造成对周围人员的物体打击。</w:t>
      </w:r>
    </w:p>
    <w:p w14:paraId="34C68E1C" w14:textId="77777777" w:rsidR="003D6A63" w:rsidRDefault="00000000">
      <w:pPr>
        <w:pStyle w:val="nlw1"/>
        <w:adjustRightInd w:val="0"/>
        <w:snapToGrid w:val="0"/>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2</w:t>
      </w:r>
      <w:r>
        <w:rPr>
          <w:rFonts w:ascii="Times New Roman" w:hAnsi="Times New Roman" w:hint="eastAsia"/>
          <w:sz w:val="24"/>
          <w:szCs w:val="24"/>
        </w:rPr>
        <w:t>）机械伤害</w:t>
      </w:r>
    </w:p>
    <w:p w14:paraId="4046A1C9"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注水泵、</w:t>
      </w:r>
      <w:r>
        <w:rPr>
          <w:rFonts w:ascii="Times New Roman" w:hAnsi="Times New Roman" w:hint="eastAsia"/>
          <w:sz w:val="24"/>
          <w:szCs w:val="24"/>
          <w:lang w:val="en-US"/>
        </w:rPr>
        <w:t>喂水泵</w:t>
      </w:r>
      <w:r>
        <w:rPr>
          <w:rFonts w:ascii="Times New Roman" w:hAnsi="Times New Roman" w:hint="eastAsia"/>
          <w:sz w:val="24"/>
          <w:szCs w:val="24"/>
        </w:rPr>
        <w:t>以及电机等，设备运行与维修时由于人员操作不当或意外，没有按规定穿戴劳保用品，设备未加防护设施或防护设施损坏，人员触及其运动部位，可能会发生机械伤害。注水设备运转部位护罩损坏，更换大轴时重物砸伤人，更换皮带时挤伤手，卸螺丝时加力杠打滑伤人，更换凡尔时未放完压力凡尔打出伤人，卸针型阀时压力未放净阀芯打出伤人。</w:t>
      </w:r>
    </w:p>
    <w:p w14:paraId="70B97F26" w14:textId="77777777" w:rsidR="003D6A63" w:rsidRDefault="00000000">
      <w:pPr>
        <w:pStyle w:val="nlw1"/>
        <w:adjustRightInd w:val="0"/>
        <w:snapToGrid w:val="0"/>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3</w:t>
      </w:r>
      <w:r>
        <w:rPr>
          <w:rFonts w:ascii="Times New Roman" w:hAnsi="Times New Roman" w:hint="eastAsia"/>
          <w:sz w:val="24"/>
          <w:szCs w:val="24"/>
        </w:rPr>
        <w:t>）高处坠落</w:t>
      </w:r>
    </w:p>
    <w:p w14:paraId="174FBA8F"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在对泵房内起吊设备进行检查时，若防护措施不到位，操作人员安全意识淡薄，易造成高处坠落事故。操作人员在上下吊车时，若护栏松脱，注意力不集中，可能会造成高处坠落事故。</w:t>
      </w:r>
    </w:p>
    <w:p w14:paraId="68B4CD33"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4</w:t>
      </w:r>
      <w:r>
        <w:rPr>
          <w:rFonts w:ascii="Times New Roman" w:hAnsi="Times New Roman" w:hint="eastAsia"/>
          <w:sz w:val="24"/>
          <w:szCs w:val="24"/>
        </w:rPr>
        <w:t>）淹溺</w:t>
      </w:r>
    </w:p>
    <w:p w14:paraId="7B3101C7"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注水管线若发生刺漏，巨大压力的水会冲击地层，在地面形成暗坑或明坑。若工作人员发现不及时，未能及时采取有效的防护措施，就有可能发生过往人员淹溺事故。</w:t>
      </w:r>
    </w:p>
    <w:p w14:paraId="221E30D9"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5</w:t>
      </w:r>
      <w:r>
        <w:rPr>
          <w:rFonts w:ascii="Times New Roman" w:hAnsi="Times New Roman" w:hint="eastAsia"/>
          <w:sz w:val="24"/>
          <w:szCs w:val="24"/>
        </w:rPr>
        <w:t>）触电</w:t>
      </w:r>
    </w:p>
    <w:p w14:paraId="7B44AA8D"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注水泵房内存在柱塞泵等电气设备。在供电线路和用电设备中，如果防触电保护失效，工作人员由于疏忽或违章操作，碰到了带电导体，可能会产生触电伤亡事故。</w:t>
      </w:r>
    </w:p>
    <w:p w14:paraId="144FEC7F"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6</w:t>
      </w:r>
      <w:r>
        <w:rPr>
          <w:rFonts w:ascii="Times New Roman" w:hAnsi="Times New Roman" w:hint="eastAsia"/>
          <w:sz w:val="24"/>
          <w:szCs w:val="24"/>
        </w:rPr>
        <w:t>）噪声</w:t>
      </w:r>
    </w:p>
    <w:p w14:paraId="59306E9F"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各类泵、电机等动力设备会产生噪声危害，且产生的噪声多为工作性连续噪声。如果无有效防护措施，在高噪声环境中长时间工作，就会产生恶心、头晕、呕吐、听力损伤等症状，严重者导致听力下降甚至失聪。</w:t>
      </w:r>
    </w:p>
    <w:p w14:paraId="3210A33A" w14:textId="77777777" w:rsidR="003D6A63" w:rsidRDefault="00000000">
      <w:pPr>
        <w:pStyle w:val="nlw3"/>
        <w:spacing w:beforeLines="0" w:before="0" w:after="0" w:line="360" w:lineRule="auto"/>
        <w:rPr>
          <w:sz w:val="24"/>
          <w:szCs w:val="24"/>
        </w:rPr>
      </w:pPr>
      <w:r>
        <w:rPr>
          <w:sz w:val="24"/>
          <w:szCs w:val="24"/>
        </w:rPr>
        <w:t xml:space="preserve">3.2.3  </w:t>
      </w:r>
      <w:r>
        <w:rPr>
          <w:sz w:val="24"/>
          <w:szCs w:val="24"/>
        </w:rPr>
        <w:t>集输</w:t>
      </w:r>
      <w:r>
        <w:rPr>
          <w:rFonts w:hint="eastAsia"/>
          <w:sz w:val="24"/>
          <w:szCs w:val="24"/>
        </w:rPr>
        <w:t>工艺过程危险、有害因素分析</w:t>
      </w:r>
      <w:r>
        <w:rPr>
          <w:sz w:val="24"/>
          <w:szCs w:val="24"/>
        </w:rPr>
        <w:t>系统</w:t>
      </w:r>
    </w:p>
    <w:p w14:paraId="4352BD44" w14:textId="77777777" w:rsidR="003D6A63" w:rsidRDefault="00000000">
      <w:pPr>
        <w:pStyle w:val="4"/>
        <w:keepNext w:val="0"/>
        <w:keepLines w:val="0"/>
        <w:adjustRightInd w:val="0"/>
        <w:snapToGrid w:val="0"/>
        <w:spacing w:before="0" w:after="0" w:line="360" w:lineRule="auto"/>
        <w:rPr>
          <w:rFonts w:ascii="Times New Roman" w:eastAsia="宋体" w:hAnsi="Times New Roman"/>
          <w:sz w:val="24"/>
        </w:rPr>
      </w:pPr>
      <w:r>
        <w:rPr>
          <w:rFonts w:ascii="Times New Roman" w:eastAsia="宋体" w:hAnsi="Times New Roman" w:hint="eastAsia"/>
          <w:sz w:val="24"/>
        </w:rPr>
        <w:t xml:space="preserve">3.2.3.1  </w:t>
      </w:r>
      <w:r>
        <w:rPr>
          <w:rFonts w:ascii="Times New Roman" w:eastAsia="宋体" w:hAnsi="Times New Roman" w:hint="eastAsia"/>
          <w:sz w:val="24"/>
        </w:rPr>
        <w:t>管输部分</w:t>
      </w:r>
    </w:p>
    <w:p w14:paraId="5833A155" w14:textId="77777777" w:rsidR="003D6A63" w:rsidRDefault="00000000">
      <w:pPr>
        <w:pStyle w:val="nlw4"/>
        <w:spacing w:beforeLines="0" w:before="0" w:after="0" w:line="360" w:lineRule="auto"/>
        <w:ind w:firstLineChars="100" w:firstLine="240"/>
        <w:outlineLvl w:val="9"/>
        <w:rPr>
          <w:rFonts w:eastAsia="宋体"/>
          <w:sz w:val="24"/>
          <w:szCs w:val="24"/>
          <w:lang w:val="zh-CN"/>
        </w:rPr>
      </w:pPr>
      <w:r>
        <w:rPr>
          <w:rFonts w:eastAsia="宋体" w:hint="eastAsia"/>
          <w:sz w:val="24"/>
          <w:szCs w:val="24"/>
          <w:lang w:val="zh-CN"/>
        </w:rPr>
        <w:t>（</w:t>
      </w:r>
      <w:r>
        <w:rPr>
          <w:rFonts w:eastAsia="宋体" w:hint="eastAsia"/>
          <w:sz w:val="24"/>
          <w:szCs w:val="24"/>
        </w:rPr>
        <w:t>1</w:t>
      </w:r>
      <w:r>
        <w:rPr>
          <w:rFonts w:eastAsia="宋体" w:hint="eastAsia"/>
          <w:sz w:val="24"/>
          <w:szCs w:val="24"/>
          <w:lang w:val="zh-CN"/>
        </w:rPr>
        <w:t>）</w:t>
      </w:r>
      <w:r>
        <w:rPr>
          <w:rFonts w:eastAsia="宋体"/>
          <w:sz w:val="24"/>
          <w:szCs w:val="24"/>
          <w:lang w:val="zh-CN"/>
        </w:rPr>
        <w:t>火灾、爆炸</w:t>
      </w:r>
    </w:p>
    <w:p w14:paraId="4FC12C98"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sz w:val="24"/>
          <w:szCs w:val="24"/>
        </w:rPr>
        <w:t>发生火灾、爆炸是油气集输过程原油、伴生天然气等发生泄漏引起的，原油和伴生</w:t>
      </w:r>
      <w:r>
        <w:rPr>
          <w:rFonts w:ascii="Times New Roman" w:hAnsi="Times New Roman"/>
          <w:sz w:val="24"/>
          <w:szCs w:val="24"/>
        </w:rPr>
        <w:lastRenderedPageBreak/>
        <w:t>天然气均具有易燃、易爆性，泄漏后遇点火源，可能发生火灾事故，若泄漏的原油蒸气、伴生天然气与空气混合后，达到爆炸极限，形成爆炸性混合气体，遇点火源可能发生爆炸事故。</w:t>
      </w:r>
    </w:p>
    <w:p w14:paraId="40D8A094"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sz w:val="24"/>
          <w:szCs w:val="24"/>
        </w:rPr>
        <w:t>在异常情况下，设备或管道、阀门、法兰等连接处腐蚀穿孔、破裂泄漏或操作失误将导致油气释放，切割或焊接油气管道或设备时安全措施不当、电气设备损坏或导线短路遇明火、火花或静电可能引起火灾、爆炸事故。</w:t>
      </w:r>
    </w:p>
    <w:p w14:paraId="5195340B"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sz w:val="24"/>
          <w:szCs w:val="24"/>
        </w:rPr>
        <w:t>管线输送原油输送温度低于原油的凝固点时，原油会附着在管线内壁，导致管径变小，造成管线憋压，严重时会将法兰接口、阀门垫片处憋漏，进而有产生火灾、爆炸事故的可能。</w:t>
      </w:r>
    </w:p>
    <w:p w14:paraId="63FA6183"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sz w:val="24"/>
          <w:szCs w:val="24"/>
        </w:rPr>
        <w:t>此外，静电积聚在不导电的物质上，或者管道、设备和容器的某些部位。发生静电放电现象时产生的电火花，成为油气场所的引燃源。当油蒸气、天然气泄漏与空气形成爆炸性混合气体时，将发生爆炸和火灾事故。</w:t>
      </w:r>
    </w:p>
    <w:p w14:paraId="177BBE6D" w14:textId="77777777" w:rsidR="003D6A63" w:rsidRDefault="00000000">
      <w:pPr>
        <w:pStyle w:val="nlw4"/>
        <w:spacing w:beforeLines="0" w:before="0" w:after="0" w:line="360" w:lineRule="auto"/>
        <w:ind w:firstLineChars="100" w:firstLine="240"/>
        <w:outlineLvl w:val="9"/>
        <w:rPr>
          <w:rFonts w:eastAsia="宋体"/>
          <w:sz w:val="24"/>
          <w:szCs w:val="24"/>
          <w:lang w:val="zh-CN"/>
        </w:rPr>
      </w:pPr>
      <w:r>
        <w:rPr>
          <w:rFonts w:eastAsia="宋体" w:hint="eastAsia"/>
          <w:sz w:val="24"/>
          <w:szCs w:val="24"/>
          <w:lang w:val="zh-CN"/>
        </w:rPr>
        <w:t>（</w:t>
      </w:r>
      <w:r>
        <w:rPr>
          <w:rFonts w:eastAsia="宋体" w:hint="eastAsia"/>
          <w:sz w:val="24"/>
          <w:szCs w:val="24"/>
        </w:rPr>
        <w:t>2</w:t>
      </w:r>
      <w:r>
        <w:rPr>
          <w:rFonts w:eastAsia="宋体" w:hint="eastAsia"/>
          <w:sz w:val="24"/>
          <w:szCs w:val="24"/>
          <w:lang w:val="zh-CN"/>
        </w:rPr>
        <w:t>）</w:t>
      </w:r>
      <w:r>
        <w:rPr>
          <w:rFonts w:eastAsia="宋体" w:hint="eastAsia"/>
          <w:sz w:val="24"/>
          <w:szCs w:val="24"/>
        </w:rPr>
        <w:t>容器爆炸</w:t>
      </w:r>
    </w:p>
    <w:p w14:paraId="01451B4A"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中胜公司</w:t>
      </w:r>
      <w:r>
        <w:rPr>
          <w:rFonts w:ascii="Times New Roman" w:hAnsi="Times New Roman"/>
          <w:sz w:val="24"/>
          <w:szCs w:val="24"/>
        </w:rPr>
        <w:t>压力容器主要有油气分离器、</w:t>
      </w:r>
      <w:r>
        <w:rPr>
          <w:rFonts w:ascii="Times New Roman" w:hAnsi="Times New Roman" w:hint="eastAsia"/>
          <w:sz w:val="24"/>
          <w:szCs w:val="24"/>
          <w:lang w:val="en-US"/>
        </w:rPr>
        <w:t>多功能罐、加热炉及分气包</w:t>
      </w:r>
      <w:r>
        <w:rPr>
          <w:rFonts w:ascii="Times New Roman" w:hAnsi="Times New Roman"/>
          <w:sz w:val="24"/>
          <w:szCs w:val="24"/>
        </w:rPr>
        <w:t>等。压力容器在设计、制造、管理中存在缺陷可导致塔器超压爆炸。装置安全阀失效安全阀压力整定错误或失效，会造成容器超压时不能及时泄压，导致超压爆炸事故。</w:t>
      </w:r>
    </w:p>
    <w:p w14:paraId="5334A87E" w14:textId="77777777" w:rsidR="003D6A63" w:rsidRDefault="00000000">
      <w:pPr>
        <w:pStyle w:val="nlw4"/>
        <w:spacing w:beforeLines="0" w:before="0" w:after="0" w:line="360" w:lineRule="auto"/>
        <w:ind w:firstLineChars="100" w:firstLine="240"/>
        <w:outlineLvl w:val="9"/>
        <w:rPr>
          <w:rFonts w:eastAsia="宋体"/>
          <w:sz w:val="24"/>
          <w:szCs w:val="24"/>
          <w:lang w:val="zh-CN"/>
        </w:rPr>
      </w:pPr>
      <w:r>
        <w:rPr>
          <w:rFonts w:eastAsia="宋体" w:hint="eastAsia"/>
          <w:sz w:val="24"/>
          <w:szCs w:val="24"/>
          <w:lang w:val="zh-CN"/>
        </w:rPr>
        <w:t>（</w:t>
      </w:r>
      <w:r>
        <w:rPr>
          <w:rFonts w:eastAsia="宋体" w:hint="eastAsia"/>
          <w:sz w:val="24"/>
          <w:szCs w:val="24"/>
        </w:rPr>
        <w:t>3</w:t>
      </w:r>
      <w:r>
        <w:rPr>
          <w:rFonts w:eastAsia="宋体" w:hint="eastAsia"/>
          <w:sz w:val="24"/>
          <w:szCs w:val="24"/>
          <w:lang w:val="zh-CN"/>
        </w:rPr>
        <w:t>）中毒和窒息</w:t>
      </w:r>
    </w:p>
    <w:p w14:paraId="2630D5F9"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sz w:val="24"/>
          <w:szCs w:val="24"/>
        </w:rPr>
        <w:t>本工程的毒性物质为集输过程中泄漏原油挥发的油气和天然气，油蒸汽和天然气都具有一定的毒性，吸入高浓度的气体可引起意识丧失，甚至呼吸停止，特别是在无风情况下，泄漏的油气容易聚集，更容易造成中毒和窒息事故。</w:t>
      </w:r>
    </w:p>
    <w:p w14:paraId="3A8D7B7D" w14:textId="77777777" w:rsidR="003D6A63" w:rsidRDefault="00000000">
      <w:pPr>
        <w:pStyle w:val="nlw4"/>
        <w:spacing w:beforeLines="0" w:before="0" w:after="0" w:line="360" w:lineRule="auto"/>
        <w:ind w:firstLineChars="100" w:firstLine="240"/>
        <w:outlineLvl w:val="9"/>
        <w:rPr>
          <w:rFonts w:eastAsia="宋体"/>
          <w:sz w:val="24"/>
          <w:szCs w:val="24"/>
          <w:lang w:val="zh-CN"/>
        </w:rPr>
      </w:pPr>
      <w:r>
        <w:rPr>
          <w:rFonts w:eastAsia="宋体" w:hint="eastAsia"/>
          <w:sz w:val="24"/>
          <w:szCs w:val="24"/>
          <w:lang w:val="zh-CN"/>
        </w:rPr>
        <w:t>（</w:t>
      </w:r>
      <w:r>
        <w:rPr>
          <w:rFonts w:eastAsia="宋体" w:hint="eastAsia"/>
          <w:sz w:val="24"/>
          <w:szCs w:val="24"/>
        </w:rPr>
        <w:t>4</w:t>
      </w:r>
      <w:r>
        <w:rPr>
          <w:rFonts w:eastAsia="宋体" w:hint="eastAsia"/>
          <w:sz w:val="24"/>
          <w:szCs w:val="24"/>
          <w:lang w:val="zh-CN"/>
        </w:rPr>
        <w:t>）物体打击</w:t>
      </w:r>
    </w:p>
    <w:p w14:paraId="60C72F91"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sz w:val="24"/>
          <w:szCs w:val="24"/>
        </w:rPr>
        <w:t>油气集输过程中的井口装置、油气集输管道等均为带压运行，对油气集输过程各设备进行带压检修操作时，如带压更换压力表、拆装阀门、安全阀等过程，使用的工具或跟换的部件在压力的作用下可能飞出，打到人体会造成物体打击伤害。</w:t>
      </w:r>
    </w:p>
    <w:p w14:paraId="5478C09D"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sz w:val="24"/>
          <w:szCs w:val="24"/>
        </w:rPr>
        <w:t>在承压设备处，如果设备上的零部件固定不牢或设备超压也可能导致部件飞出，造成人员物体打击伤害。</w:t>
      </w:r>
    </w:p>
    <w:p w14:paraId="3782394D" w14:textId="77777777" w:rsidR="003D6A63" w:rsidRDefault="00000000">
      <w:pPr>
        <w:pStyle w:val="nlw4"/>
        <w:spacing w:beforeLines="0" w:before="0" w:after="0" w:line="360" w:lineRule="auto"/>
        <w:ind w:firstLineChars="100" w:firstLine="240"/>
        <w:outlineLvl w:val="9"/>
        <w:rPr>
          <w:rFonts w:eastAsia="宋体"/>
          <w:sz w:val="24"/>
          <w:szCs w:val="24"/>
          <w:lang w:val="zh-CN"/>
        </w:rPr>
      </w:pPr>
      <w:r>
        <w:rPr>
          <w:rFonts w:eastAsia="宋体" w:hint="eastAsia"/>
          <w:sz w:val="24"/>
          <w:szCs w:val="24"/>
          <w:lang w:val="zh-CN"/>
        </w:rPr>
        <w:t>（</w:t>
      </w:r>
      <w:r>
        <w:rPr>
          <w:rFonts w:eastAsia="宋体" w:hint="eastAsia"/>
          <w:sz w:val="24"/>
          <w:szCs w:val="24"/>
        </w:rPr>
        <w:t>5</w:t>
      </w:r>
      <w:r>
        <w:rPr>
          <w:rFonts w:eastAsia="宋体" w:hint="eastAsia"/>
          <w:sz w:val="24"/>
          <w:szCs w:val="24"/>
          <w:lang w:val="zh-CN"/>
        </w:rPr>
        <w:t>）机械伤害</w:t>
      </w:r>
    </w:p>
    <w:p w14:paraId="19DD18E4"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sz w:val="24"/>
          <w:szCs w:val="24"/>
        </w:rPr>
        <w:t>油气集输过程中用到离心泵、螺杆泵等，在机泵运行的状态下，巡检人员巡回检查或其他外部人员不小心接触到电机的旋转部位，就可能造成皮带挤手或皮带轮绞住工作服进而把人绞伤事故，女职工的长发绞入皮带轮会造成伤亡事故等。</w:t>
      </w:r>
    </w:p>
    <w:p w14:paraId="5210951B" w14:textId="77777777" w:rsidR="003D6A63" w:rsidRDefault="00000000">
      <w:pPr>
        <w:pStyle w:val="nlw4"/>
        <w:spacing w:beforeLines="0" w:before="0" w:after="0" w:line="360" w:lineRule="auto"/>
        <w:ind w:firstLineChars="100" w:firstLine="240"/>
        <w:outlineLvl w:val="9"/>
        <w:rPr>
          <w:rFonts w:eastAsia="宋体"/>
          <w:sz w:val="24"/>
          <w:szCs w:val="24"/>
          <w:lang w:val="zh-CN"/>
        </w:rPr>
      </w:pPr>
      <w:r>
        <w:rPr>
          <w:rFonts w:eastAsia="宋体" w:hint="eastAsia"/>
          <w:sz w:val="24"/>
          <w:szCs w:val="24"/>
          <w:lang w:val="zh-CN"/>
        </w:rPr>
        <w:lastRenderedPageBreak/>
        <w:t>（</w:t>
      </w:r>
      <w:r>
        <w:rPr>
          <w:rFonts w:eastAsia="宋体" w:hint="eastAsia"/>
          <w:sz w:val="24"/>
          <w:szCs w:val="24"/>
        </w:rPr>
        <w:t>6</w:t>
      </w:r>
      <w:r>
        <w:rPr>
          <w:rFonts w:eastAsia="宋体" w:hint="eastAsia"/>
          <w:sz w:val="24"/>
          <w:szCs w:val="24"/>
          <w:lang w:val="zh-CN"/>
        </w:rPr>
        <w:t>）高处坠落</w:t>
      </w:r>
    </w:p>
    <w:p w14:paraId="61350213"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sz w:val="24"/>
          <w:szCs w:val="24"/>
        </w:rPr>
        <w:t>操作人员在</w:t>
      </w:r>
      <w:r>
        <w:rPr>
          <w:rFonts w:ascii="Times New Roman" w:hAnsi="Times New Roman" w:hint="eastAsia"/>
          <w:sz w:val="24"/>
          <w:szCs w:val="24"/>
          <w:lang w:val="en-US"/>
        </w:rPr>
        <w:t>高架罐、</w:t>
      </w:r>
      <w:r>
        <w:rPr>
          <w:rFonts w:ascii="Times New Roman" w:hAnsi="Times New Roman"/>
          <w:sz w:val="24"/>
          <w:szCs w:val="24"/>
        </w:rPr>
        <w:t>储罐上、加热炉顶、分离器顶等较高处进行取样、检修等作业时，若防护装置损坏或行动不慎可能发生高处坠落事故。</w:t>
      </w:r>
    </w:p>
    <w:p w14:paraId="499D87DD" w14:textId="77777777" w:rsidR="003D6A63" w:rsidRDefault="00000000">
      <w:pPr>
        <w:pStyle w:val="nlw4"/>
        <w:spacing w:beforeLines="0" w:before="0" w:after="0" w:line="360" w:lineRule="auto"/>
        <w:ind w:firstLineChars="100" w:firstLine="240"/>
        <w:outlineLvl w:val="9"/>
        <w:rPr>
          <w:rFonts w:eastAsia="宋体"/>
          <w:sz w:val="24"/>
          <w:szCs w:val="24"/>
          <w:lang w:val="zh-CN"/>
        </w:rPr>
      </w:pPr>
      <w:r>
        <w:rPr>
          <w:rFonts w:eastAsia="宋体" w:hint="eastAsia"/>
          <w:sz w:val="24"/>
          <w:szCs w:val="24"/>
          <w:lang w:val="zh-CN"/>
        </w:rPr>
        <w:t>（</w:t>
      </w:r>
      <w:r>
        <w:rPr>
          <w:rFonts w:eastAsia="宋体" w:hint="eastAsia"/>
          <w:sz w:val="24"/>
          <w:szCs w:val="24"/>
        </w:rPr>
        <w:t>7</w:t>
      </w:r>
      <w:r>
        <w:rPr>
          <w:rFonts w:eastAsia="宋体" w:hint="eastAsia"/>
          <w:sz w:val="24"/>
          <w:szCs w:val="24"/>
          <w:lang w:val="zh-CN"/>
        </w:rPr>
        <w:t>）灼烫</w:t>
      </w:r>
    </w:p>
    <w:p w14:paraId="3B7217E1"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lang w:val="en-US"/>
        </w:rPr>
        <w:t>部分井场设置</w:t>
      </w:r>
      <w:r>
        <w:rPr>
          <w:rFonts w:ascii="Times New Roman" w:hAnsi="Times New Roman"/>
          <w:sz w:val="24"/>
          <w:szCs w:val="24"/>
        </w:rPr>
        <w:t>内设置加热炉，加热炉回火可能导致工作人员烧伤，加热炉的炉口、烟囱等处均为高温表面，工作人员意外接触可致烫伤。</w:t>
      </w:r>
    </w:p>
    <w:p w14:paraId="230AF07A" w14:textId="77777777" w:rsidR="003D6A63" w:rsidRDefault="00000000">
      <w:pPr>
        <w:pStyle w:val="nlw4"/>
        <w:spacing w:beforeLines="0" w:before="0" w:after="0" w:line="360" w:lineRule="auto"/>
        <w:rPr>
          <w:rFonts w:eastAsia="宋体"/>
          <w:b/>
          <w:kern w:val="2"/>
          <w:sz w:val="24"/>
        </w:rPr>
      </w:pPr>
      <w:r>
        <w:rPr>
          <w:rFonts w:eastAsia="宋体" w:hint="eastAsia"/>
          <w:b/>
          <w:kern w:val="2"/>
          <w:sz w:val="24"/>
        </w:rPr>
        <w:t xml:space="preserve">3.2.3.2  </w:t>
      </w:r>
      <w:r>
        <w:rPr>
          <w:rFonts w:eastAsia="宋体" w:hint="eastAsia"/>
          <w:b/>
          <w:kern w:val="2"/>
          <w:sz w:val="24"/>
        </w:rPr>
        <w:t>单井拉油</w:t>
      </w:r>
    </w:p>
    <w:p w14:paraId="75B834B6" w14:textId="77777777" w:rsidR="003D6A63" w:rsidRDefault="00000000">
      <w:pPr>
        <w:pStyle w:val="nlw4"/>
        <w:spacing w:beforeLines="0" w:before="0" w:after="0" w:line="360" w:lineRule="auto"/>
        <w:ind w:firstLineChars="100" w:firstLine="240"/>
        <w:outlineLvl w:val="9"/>
        <w:rPr>
          <w:rFonts w:eastAsia="宋体"/>
          <w:sz w:val="24"/>
          <w:szCs w:val="24"/>
          <w:lang w:val="zh-CN"/>
        </w:rPr>
      </w:pPr>
      <w:r>
        <w:rPr>
          <w:rFonts w:eastAsia="宋体" w:hint="eastAsia"/>
          <w:sz w:val="24"/>
          <w:szCs w:val="24"/>
          <w:lang w:val="zh-CN"/>
        </w:rPr>
        <w:t>（</w:t>
      </w:r>
      <w:r>
        <w:rPr>
          <w:rFonts w:eastAsia="宋体" w:hint="eastAsia"/>
          <w:sz w:val="24"/>
          <w:szCs w:val="24"/>
        </w:rPr>
        <w:t>1</w:t>
      </w:r>
      <w:r>
        <w:rPr>
          <w:rFonts w:eastAsia="宋体" w:hint="eastAsia"/>
          <w:sz w:val="24"/>
          <w:szCs w:val="24"/>
          <w:lang w:val="zh-CN"/>
        </w:rPr>
        <w:t>）</w:t>
      </w:r>
      <w:r>
        <w:rPr>
          <w:rFonts w:eastAsia="宋体"/>
          <w:sz w:val="24"/>
          <w:szCs w:val="24"/>
          <w:lang w:val="zh-CN"/>
        </w:rPr>
        <w:t>火灾、爆炸</w:t>
      </w:r>
    </w:p>
    <w:p w14:paraId="36CB1364" w14:textId="77777777" w:rsidR="003D6A63" w:rsidRDefault="00000000">
      <w:pPr>
        <w:pStyle w:val="nlw1"/>
        <w:spacing w:line="360" w:lineRule="auto"/>
        <w:ind w:firstLine="480"/>
        <w:rPr>
          <w:rFonts w:ascii="Times New Roman" w:hAnsi="Times New Roman"/>
          <w:sz w:val="24"/>
          <w:szCs w:val="24"/>
          <w:lang w:val="en-US"/>
        </w:rPr>
      </w:pPr>
      <w:r>
        <w:rPr>
          <w:rFonts w:ascii="Times New Roman" w:hAnsi="Times New Roman" w:hint="eastAsia"/>
          <w:sz w:val="24"/>
          <w:szCs w:val="24"/>
          <w:lang w:val="en-US"/>
        </w:rPr>
        <w:t>单井拉油井场设置有多功能罐或高架罐，罐内油气集聚，造成罐内气相空间大，容易发生火灾</w:t>
      </w:r>
      <w:r>
        <w:rPr>
          <w:rFonts w:ascii="Times New Roman" w:hAnsi="Times New Roman"/>
          <w:sz w:val="24"/>
          <w:szCs w:val="24"/>
        </w:rPr>
        <w:t>爆炸</w:t>
      </w:r>
      <w:r>
        <w:rPr>
          <w:rFonts w:ascii="Times New Roman" w:hAnsi="Times New Roman" w:hint="eastAsia"/>
          <w:sz w:val="24"/>
          <w:szCs w:val="24"/>
          <w:lang w:val="en-US"/>
        </w:rPr>
        <w:t>事故。高架罐设计不合理，加热管高于卸油口位置，若未关闭加热开关，高架罐液量少时，造成罐内加热管温度过高，易造成火灾爆炸事故。</w:t>
      </w:r>
    </w:p>
    <w:p w14:paraId="27B3C51D" w14:textId="77777777" w:rsidR="003D6A63" w:rsidRDefault="00000000">
      <w:pPr>
        <w:pStyle w:val="nlw1"/>
        <w:spacing w:line="360" w:lineRule="auto"/>
        <w:ind w:firstLine="480"/>
        <w:rPr>
          <w:rFonts w:ascii="Times New Roman" w:hAnsi="Times New Roman"/>
          <w:sz w:val="24"/>
          <w:szCs w:val="24"/>
          <w:lang w:val="en-US"/>
        </w:rPr>
      </w:pPr>
      <w:r>
        <w:rPr>
          <w:rFonts w:ascii="Times New Roman" w:hAnsi="Times New Roman" w:hint="eastAsia"/>
          <w:sz w:val="24"/>
          <w:szCs w:val="24"/>
          <w:lang w:val="en-US"/>
        </w:rPr>
        <w:t>若高架罐未定期进行检测检验，由于腐蚀造成管壁减薄，严重时造成高架罐泄露；过量充装；装车阀门未关严或阀门垫片疲劳破损，造成阀门泄漏。</w:t>
      </w:r>
    </w:p>
    <w:p w14:paraId="369D9E96" w14:textId="77777777" w:rsidR="003D6A63" w:rsidRDefault="00000000">
      <w:pPr>
        <w:pStyle w:val="nlw1"/>
        <w:spacing w:line="360" w:lineRule="auto"/>
        <w:ind w:firstLine="480"/>
        <w:rPr>
          <w:rFonts w:ascii="Times New Roman" w:hAnsi="Times New Roman"/>
          <w:sz w:val="24"/>
          <w:szCs w:val="24"/>
          <w:lang w:val="en-US"/>
        </w:rPr>
      </w:pPr>
      <w:r>
        <w:rPr>
          <w:rFonts w:ascii="Times New Roman" w:hAnsi="Times New Roman" w:hint="eastAsia"/>
          <w:sz w:val="24"/>
          <w:szCs w:val="24"/>
          <w:lang w:val="en-US"/>
        </w:rPr>
        <w:t>装卸车作业环境油气火共存且点火源较多。点火源主要有：装卸车过程中，流速过快或装车管距离车罐底部较高，产生静电荷积聚；拉油罐车未安装阻火器等。</w:t>
      </w:r>
    </w:p>
    <w:p w14:paraId="57D9AB0B" w14:textId="77777777" w:rsidR="003D6A63" w:rsidRDefault="00000000">
      <w:pPr>
        <w:pStyle w:val="nlw1"/>
        <w:spacing w:line="360" w:lineRule="auto"/>
        <w:ind w:firstLine="480"/>
        <w:rPr>
          <w:rFonts w:ascii="Times New Roman" w:hAnsi="Times New Roman"/>
          <w:sz w:val="24"/>
          <w:szCs w:val="24"/>
          <w:lang w:val="en-US"/>
        </w:rPr>
      </w:pPr>
      <w:r>
        <w:rPr>
          <w:rFonts w:ascii="Times New Roman" w:hAnsi="Times New Roman" w:hint="eastAsia"/>
          <w:sz w:val="24"/>
          <w:szCs w:val="24"/>
          <w:lang w:val="en-US"/>
        </w:rPr>
        <w:t>油罐车行驶过程中发生侧翻，造成油气泄露，则会引发火灾爆炸事故。</w:t>
      </w:r>
    </w:p>
    <w:p w14:paraId="5483BAEF" w14:textId="77777777" w:rsidR="003D6A63" w:rsidRDefault="00000000">
      <w:pPr>
        <w:pStyle w:val="nlw4"/>
        <w:spacing w:beforeLines="0" w:before="0" w:after="0" w:line="360" w:lineRule="auto"/>
        <w:ind w:firstLineChars="100" w:firstLine="240"/>
        <w:outlineLvl w:val="9"/>
        <w:rPr>
          <w:rFonts w:eastAsia="宋体"/>
          <w:sz w:val="24"/>
          <w:szCs w:val="24"/>
        </w:rPr>
      </w:pPr>
      <w:r>
        <w:rPr>
          <w:rFonts w:eastAsia="宋体" w:hint="eastAsia"/>
          <w:sz w:val="24"/>
          <w:szCs w:val="24"/>
        </w:rPr>
        <w:t>（</w:t>
      </w:r>
      <w:r>
        <w:rPr>
          <w:rFonts w:eastAsia="宋体" w:hint="eastAsia"/>
          <w:sz w:val="24"/>
          <w:szCs w:val="24"/>
        </w:rPr>
        <w:t>2</w:t>
      </w:r>
      <w:r>
        <w:rPr>
          <w:rFonts w:eastAsia="宋体" w:hint="eastAsia"/>
          <w:sz w:val="24"/>
          <w:szCs w:val="24"/>
        </w:rPr>
        <w:t>）高处坠落</w:t>
      </w:r>
    </w:p>
    <w:p w14:paraId="5CA738EA" w14:textId="77777777" w:rsidR="003D6A63" w:rsidRDefault="00000000">
      <w:pPr>
        <w:pStyle w:val="nlw1"/>
        <w:spacing w:line="360" w:lineRule="auto"/>
        <w:ind w:firstLine="480"/>
        <w:rPr>
          <w:rFonts w:ascii="Times New Roman" w:hAnsi="Times New Roman"/>
          <w:sz w:val="24"/>
          <w:szCs w:val="24"/>
          <w:lang w:val="en-US"/>
        </w:rPr>
      </w:pPr>
      <w:r>
        <w:rPr>
          <w:rFonts w:ascii="Times New Roman" w:hAnsi="Times New Roman" w:hint="eastAsia"/>
          <w:sz w:val="24"/>
          <w:szCs w:val="24"/>
          <w:lang w:val="en-US"/>
        </w:rPr>
        <w:t>井场值班人员到灌顶开关阀门、罐车司机拆装鹤管过程中，由于疏忽大意、雨雪湿滑等原因，从平台上滑落，引起受伤。</w:t>
      </w:r>
    </w:p>
    <w:p w14:paraId="163F5DE6" w14:textId="77777777" w:rsidR="003D6A63" w:rsidRDefault="00000000">
      <w:pPr>
        <w:pStyle w:val="nlw4"/>
        <w:spacing w:beforeLines="0" w:before="0" w:after="0" w:line="360" w:lineRule="auto"/>
        <w:ind w:firstLineChars="100" w:firstLine="240"/>
        <w:outlineLvl w:val="9"/>
        <w:rPr>
          <w:rFonts w:eastAsia="宋体"/>
          <w:sz w:val="24"/>
          <w:szCs w:val="24"/>
        </w:rPr>
      </w:pPr>
      <w:r>
        <w:rPr>
          <w:rFonts w:eastAsia="宋体" w:hint="eastAsia"/>
          <w:sz w:val="24"/>
          <w:szCs w:val="24"/>
        </w:rPr>
        <w:t>（</w:t>
      </w:r>
      <w:r>
        <w:rPr>
          <w:rFonts w:eastAsia="宋体" w:hint="eastAsia"/>
          <w:sz w:val="24"/>
          <w:szCs w:val="24"/>
        </w:rPr>
        <w:t>3</w:t>
      </w:r>
      <w:r>
        <w:rPr>
          <w:rFonts w:eastAsia="宋体" w:hint="eastAsia"/>
          <w:sz w:val="24"/>
          <w:szCs w:val="24"/>
        </w:rPr>
        <w:t>）车辆伤害</w:t>
      </w:r>
    </w:p>
    <w:p w14:paraId="180201D2"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lang w:val="en-US"/>
        </w:rPr>
        <w:t>油罐车辆行驶过程中出现故障或驾驶员误操作等，有可能造成车辆伤害事故。</w:t>
      </w:r>
    </w:p>
    <w:p w14:paraId="200C90C9" w14:textId="77777777" w:rsidR="003D6A63" w:rsidRDefault="00000000">
      <w:pPr>
        <w:pStyle w:val="nlw3"/>
        <w:spacing w:beforeLines="0" w:before="0" w:after="0" w:line="360" w:lineRule="auto"/>
        <w:rPr>
          <w:sz w:val="24"/>
          <w:szCs w:val="24"/>
        </w:rPr>
      </w:pPr>
      <w:r>
        <w:rPr>
          <w:sz w:val="24"/>
          <w:szCs w:val="24"/>
        </w:rPr>
        <w:t xml:space="preserve">3.2.4  </w:t>
      </w:r>
      <w:r>
        <w:rPr>
          <w:rFonts w:hint="eastAsia"/>
          <w:sz w:val="24"/>
          <w:szCs w:val="24"/>
        </w:rPr>
        <w:t>特殊作业危险、有害因素分析</w:t>
      </w:r>
    </w:p>
    <w:p w14:paraId="1D1B2B0A" w14:textId="77777777" w:rsidR="003D6A63" w:rsidRDefault="00000000">
      <w:pPr>
        <w:adjustRightInd w:val="0"/>
        <w:snapToGrid w:val="0"/>
        <w:spacing w:line="360" w:lineRule="auto"/>
        <w:ind w:firstLineChars="200" w:firstLine="480"/>
        <w:rPr>
          <w:kern w:val="0"/>
          <w:sz w:val="24"/>
          <w:lang w:val="zh-CN"/>
        </w:rPr>
      </w:pPr>
      <w:r>
        <w:rPr>
          <w:rFonts w:hint="eastAsia"/>
          <w:kern w:val="0"/>
          <w:sz w:val="24"/>
          <w:lang w:val="zh-CN"/>
        </w:rPr>
        <w:t>中胜公司</w:t>
      </w:r>
      <w:r>
        <w:rPr>
          <w:kern w:val="0"/>
          <w:sz w:val="24"/>
          <w:lang w:val="zh-CN"/>
        </w:rPr>
        <w:t>涉及的直接作业环节作业主要有</w:t>
      </w:r>
      <w:r>
        <w:rPr>
          <w:rFonts w:hint="eastAsia"/>
          <w:kern w:val="0"/>
          <w:sz w:val="24"/>
          <w:lang w:val="zh-CN"/>
        </w:rPr>
        <w:t>动火</w:t>
      </w:r>
      <w:r>
        <w:rPr>
          <w:kern w:val="0"/>
          <w:sz w:val="24"/>
          <w:lang w:val="zh-CN"/>
        </w:rPr>
        <w:t>、临时用电、动土、高处作业、受限空间、</w:t>
      </w:r>
      <w:r>
        <w:rPr>
          <w:rFonts w:hint="eastAsia"/>
          <w:kern w:val="0"/>
          <w:sz w:val="24"/>
          <w:lang w:val="zh-CN"/>
        </w:rPr>
        <w:t>吊装作业</w:t>
      </w:r>
      <w:r>
        <w:rPr>
          <w:kern w:val="0"/>
          <w:sz w:val="24"/>
          <w:lang w:val="zh-CN"/>
        </w:rPr>
        <w:t>、抽堵盲板等。</w:t>
      </w:r>
    </w:p>
    <w:p w14:paraId="364EE511" w14:textId="77777777" w:rsidR="003D6A63" w:rsidRDefault="00000000">
      <w:pPr>
        <w:adjustRightInd w:val="0"/>
        <w:snapToGrid w:val="0"/>
        <w:spacing w:line="360" w:lineRule="auto"/>
        <w:ind w:firstLineChars="200" w:firstLine="480"/>
        <w:rPr>
          <w:kern w:val="0"/>
          <w:sz w:val="24"/>
          <w:lang w:val="zh-CN"/>
        </w:rPr>
      </w:pPr>
      <w:r>
        <w:rPr>
          <w:rFonts w:hint="eastAsia"/>
          <w:kern w:val="0"/>
          <w:sz w:val="24"/>
          <w:lang w:val="zh-CN"/>
        </w:rPr>
        <w:t>中胜公司</w:t>
      </w:r>
      <w:r>
        <w:rPr>
          <w:kern w:val="0"/>
          <w:sz w:val="24"/>
          <w:lang w:val="zh-CN"/>
        </w:rPr>
        <w:t>涉及的受限空间形式主要有</w:t>
      </w:r>
      <w:r>
        <w:rPr>
          <w:rFonts w:hint="eastAsia"/>
          <w:kern w:val="0"/>
          <w:sz w:val="24"/>
        </w:rPr>
        <w:t>高架罐</w:t>
      </w:r>
      <w:r>
        <w:rPr>
          <w:kern w:val="0"/>
          <w:sz w:val="24"/>
          <w:lang w:val="zh-CN"/>
        </w:rPr>
        <w:t>、地下电缆沟、水池等的检维修。对于新建、改造、生产和维检修的作业中，由于受限空间作业环境复杂、危险有害因素多、作业条件易变化且容易发生中毒和窒息、火灾爆炸等安全事故。作业人员遇险时救助难度大、救助的方法不得当或盲目救援又会造成事故伤亡的扩大。</w:t>
      </w:r>
    </w:p>
    <w:p w14:paraId="0BB68D21" w14:textId="77777777" w:rsidR="003D6A63" w:rsidRDefault="00000000">
      <w:pPr>
        <w:adjustRightInd w:val="0"/>
        <w:snapToGrid w:val="0"/>
        <w:spacing w:line="360" w:lineRule="auto"/>
        <w:ind w:firstLineChars="200" w:firstLine="480"/>
        <w:rPr>
          <w:kern w:val="0"/>
          <w:sz w:val="24"/>
          <w:lang w:val="zh-CN"/>
        </w:rPr>
      </w:pPr>
      <w:r>
        <w:rPr>
          <w:kern w:val="0"/>
          <w:sz w:val="24"/>
          <w:lang w:val="zh-CN"/>
        </w:rPr>
        <w:t>若临时用电设备安装、使用不合理，人员违章操作等，可能引发电气设备事故、触电事故的发生；火灾爆炸危险环境中的临时用电还可能导致火灾爆炸事故。</w:t>
      </w:r>
    </w:p>
    <w:p w14:paraId="7550D731" w14:textId="77777777" w:rsidR="003D6A63" w:rsidRDefault="00000000">
      <w:pPr>
        <w:adjustRightInd w:val="0"/>
        <w:snapToGrid w:val="0"/>
        <w:spacing w:line="360" w:lineRule="auto"/>
        <w:ind w:firstLineChars="200" w:firstLine="480"/>
        <w:rPr>
          <w:kern w:val="0"/>
          <w:sz w:val="24"/>
          <w:lang w:val="zh-CN"/>
        </w:rPr>
      </w:pPr>
      <w:r>
        <w:rPr>
          <w:rFonts w:hint="eastAsia"/>
          <w:kern w:val="0"/>
          <w:sz w:val="24"/>
          <w:lang w:val="zh-CN"/>
        </w:rPr>
        <w:lastRenderedPageBreak/>
        <w:t>动火</w:t>
      </w:r>
      <w:r>
        <w:rPr>
          <w:kern w:val="0"/>
          <w:sz w:val="24"/>
          <w:lang w:val="zh-CN"/>
        </w:rPr>
        <w:t>作业前未将动火设备、管道内的物料清理、置换完全，与动火设备连通的设备、管道隔离不良，周围有可燃物，氧气瓶、乙炔瓶间距及与动火点的间距不足，动火时不采取防护措施等，都可能引发火灾爆炸事故；飞溅的焊渣、高温的切割物可导致人员灼伤。</w:t>
      </w:r>
    </w:p>
    <w:p w14:paraId="395C7973" w14:textId="77777777" w:rsidR="003D6A63" w:rsidRDefault="00000000">
      <w:pPr>
        <w:adjustRightInd w:val="0"/>
        <w:snapToGrid w:val="0"/>
        <w:spacing w:line="360" w:lineRule="auto"/>
        <w:ind w:firstLineChars="200" w:firstLine="480"/>
        <w:rPr>
          <w:kern w:val="0"/>
          <w:sz w:val="24"/>
          <w:lang w:val="zh-CN"/>
        </w:rPr>
      </w:pPr>
      <w:r>
        <w:rPr>
          <w:kern w:val="0"/>
          <w:sz w:val="24"/>
          <w:lang w:val="zh-CN"/>
        </w:rPr>
        <w:t>动土作业因不按规定放坡、开挖、回填或因积水浸泡等原因，可能引起坍塌事故的发生。未对地下电缆、管线等埋地设备设施进行排查，施工过程中可能对油气管道、电力电缆、注水管道造成破坏，并可能继而导致火灾爆炸、触电、物体打击等事故的发生。</w:t>
      </w:r>
    </w:p>
    <w:p w14:paraId="2BABF3FD" w14:textId="77777777" w:rsidR="003D6A63" w:rsidRDefault="00000000">
      <w:pPr>
        <w:adjustRightInd w:val="0"/>
        <w:snapToGrid w:val="0"/>
        <w:spacing w:line="360" w:lineRule="auto"/>
        <w:ind w:firstLineChars="200" w:firstLine="480"/>
        <w:rPr>
          <w:kern w:val="0"/>
          <w:sz w:val="24"/>
          <w:lang w:val="zh-CN"/>
        </w:rPr>
      </w:pPr>
      <w:r>
        <w:rPr>
          <w:kern w:val="0"/>
          <w:sz w:val="24"/>
          <w:lang w:val="zh-CN"/>
        </w:rPr>
        <w:t>高处维修作业时因脚手架、护栏、梯子安装不规范、不牢，或作业人员未系安全带，可能发生高处坠落；坠落的工具、材料或零件从空中掉落，会对下方人员造成物体打击。</w:t>
      </w:r>
    </w:p>
    <w:p w14:paraId="7EBC0820" w14:textId="77777777" w:rsidR="003D6A63" w:rsidRDefault="00000000">
      <w:pPr>
        <w:adjustRightInd w:val="0"/>
        <w:snapToGrid w:val="0"/>
        <w:spacing w:line="360" w:lineRule="auto"/>
        <w:ind w:firstLineChars="200" w:firstLine="480"/>
        <w:rPr>
          <w:kern w:val="0"/>
          <w:sz w:val="24"/>
          <w:lang w:val="zh-CN"/>
        </w:rPr>
      </w:pPr>
      <w:r>
        <w:rPr>
          <w:rFonts w:hint="eastAsia"/>
          <w:kern w:val="0"/>
          <w:sz w:val="24"/>
          <w:lang w:val="zh-CN"/>
        </w:rPr>
        <w:t>吊装作业</w:t>
      </w:r>
      <w:r>
        <w:rPr>
          <w:kern w:val="0"/>
          <w:sz w:val="24"/>
          <w:lang w:val="zh-CN"/>
        </w:rPr>
        <w:t>过程中由于</w:t>
      </w:r>
      <w:r>
        <w:rPr>
          <w:rFonts w:hint="eastAsia"/>
          <w:kern w:val="0"/>
          <w:sz w:val="24"/>
          <w:lang w:val="zh-CN"/>
        </w:rPr>
        <w:t>吊装作业</w:t>
      </w:r>
      <w:r>
        <w:rPr>
          <w:kern w:val="0"/>
          <w:sz w:val="24"/>
          <w:lang w:val="zh-CN"/>
        </w:rPr>
        <w:t>人员、指挥人员和司索之间配合不好，或违章、过载，导致起重机倾覆或吊装物掉落，造成人员伤亡；周边环境危险分析不全面，如邻近高压线吊装作业，可能会引起人员触电等危险。</w:t>
      </w:r>
    </w:p>
    <w:p w14:paraId="0E909DF4" w14:textId="77777777" w:rsidR="003D6A63" w:rsidRDefault="00000000">
      <w:pPr>
        <w:adjustRightInd w:val="0"/>
        <w:snapToGrid w:val="0"/>
        <w:spacing w:line="360" w:lineRule="auto"/>
        <w:ind w:firstLineChars="200" w:firstLine="480"/>
        <w:rPr>
          <w:lang w:val="zh-CN"/>
        </w:rPr>
      </w:pPr>
      <w:r>
        <w:rPr>
          <w:kern w:val="0"/>
          <w:sz w:val="24"/>
          <w:lang w:val="zh-CN"/>
        </w:rPr>
        <w:t>抽堵盲板作业，如盲板有缺陷、易燃易爆或有毒物质突出、通风不良、操作失误、监护不当，以及易燃易爆场所作业时存在动火作业、使用非防爆灯具、工具等，可造成火灾爆炸、中毒和窒息事故。</w:t>
      </w:r>
    </w:p>
    <w:p w14:paraId="5D084386" w14:textId="77777777" w:rsidR="003D6A63" w:rsidRDefault="00000000">
      <w:pPr>
        <w:pStyle w:val="2"/>
        <w:keepNext w:val="0"/>
        <w:keepLines w:val="0"/>
        <w:adjustRightInd w:val="0"/>
        <w:snapToGrid w:val="0"/>
        <w:spacing w:before="0" w:after="0" w:line="360" w:lineRule="auto"/>
        <w:rPr>
          <w:rFonts w:ascii="Times New Roman" w:hAnsi="Times New Roman"/>
          <w:b w:val="0"/>
          <w:spacing w:val="0"/>
          <w:sz w:val="28"/>
        </w:rPr>
      </w:pPr>
      <w:bookmarkStart w:id="70" w:name="_Toc1225"/>
      <w:r>
        <w:rPr>
          <w:rFonts w:ascii="Times New Roman" w:hAnsi="Times New Roman" w:hint="eastAsia"/>
          <w:b w:val="0"/>
          <w:spacing w:val="0"/>
          <w:sz w:val="28"/>
        </w:rPr>
        <w:t xml:space="preserve">3.3  </w:t>
      </w:r>
      <w:r>
        <w:rPr>
          <w:rFonts w:ascii="Times New Roman" w:hAnsi="Times New Roman" w:hint="eastAsia"/>
          <w:b w:val="0"/>
          <w:spacing w:val="0"/>
          <w:sz w:val="28"/>
        </w:rPr>
        <w:t>设备设施危险、有害因素分析</w:t>
      </w:r>
      <w:bookmarkEnd w:id="70"/>
    </w:p>
    <w:p w14:paraId="21135A20" w14:textId="77777777" w:rsidR="003D6A63" w:rsidRDefault="00000000">
      <w:pPr>
        <w:pStyle w:val="nlw3"/>
        <w:spacing w:beforeLines="0" w:before="0" w:after="0" w:line="360" w:lineRule="auto"/>
        <w:rPr>
          <w:sz w:val="24"/>
          <w:szCs w:val="24"/>
        </w:rPr>
      </w:pPr>
      <w:r>
        <w:rPr>
          <w:sz w:val="24"/>
          <w:szCs w:val="24"/>
        </w:rPr>
        <w:t xml:space="preserve">3.3.1  </w:t>
      </w:r>
      <w:r>
        <w:rPr>
          <w:rFonts w:hint="eastAsia"/>
          <w:sz w:val="24"/>
          <w:szCs w:val="24"/>
        </w:rPr>
        <w:t>采油系统</w:t>
      </w:r>
    </w:p>
    <w:p w14:paraId="7E754D6C" w14:textId="77777777" w:rsidR="003D6A63" w:rsidRDefault="00000000">
      <w:pPr>
        <w:pStyle w:val="nlw4"/>
        <w:spacing w:beforeLines="0" w:before="0" w:after="0" w:line="360" w:lineRule="auto"/>
        <w:rPr>
          <w:rFonts w:eastAsia="宋体"/>
          <w:b/>
          <w:kern w:val="2"/>
          <w:sz w:val="24"/>
        </w:rPr>
      </w:pPr>
      <w:r>
        <w:rPr>
          <w:rFonts w:eastAsia="宋体" w:hint="eastAsia"/>
          <w:b/>
          <w:kern w:val="2"/>
          <w:sz w:val="24"/>
        </w:rPr>
        <w:t>3.3.1.1</w:t>
      </w:r>
      <w:r>
        <w:rPr>
          <w:rFonts w:eastAsia="宋体" w:hint="eastAsia"/>
          <w:b/>
          <w:kern w:val="2"/>
          <w:sz w:val="24"/>
        </w:rPr>
        <w:t>井口装置</w:t>
      </w:r>
    </w:p>
    <w:p w14:paraId="7528133B" w14:textId="77777777" w:rsidR="003D6A63" w:rsidRDefault="00000000">
      <w:pPr>
        <w:spacing w:line="360" w:lineRule="auto"/>
        <w:ind w:firstLineChars="100" w:firstLine="240"/>
        <w:rPr>
          <w:kern w:val="0"/>
          <w:sz w:val="24"/>
        </w:rPr>
      </w:pPr>
      <w:r>
        <w:rPr>
          <w:rFonts w:hint="eastAsia"/>
          <w:kern w:val="0"/>
          <w:sz w:val="24"/>
        </w:rPr>
        <w:t>（</w:t>
      </w:r>
      <w:r>
        <w:rPr>
          <w:rFonts w:hint="eastAsia"/>
          <w:kern w:val="0"/>
          <w:sz w:val="24"/>
        </w:rPr>
        <w:t>1</w:t>
      </w:r>
      <w:r>
        <w:rPr>
          <w:rFonts w:hint="eastAsia"/>
          <w:kern w:val="0"/>
          <w:sz w:val="24"/>
        </w:rPr>
        <w:t>）火灾</w:t>
      </w:r>
    </w:p>
    <w:p w14:paraId="1D76A6F6" w14:textId="77777777" w:rsidR="003D6A63" w:rsidRDefault="00000000">
      <w:pPr>
        <w:spacing w:line="360" w:lineRule="auto"/>
        <w:ind w:firstLineChars="200" w:firstLine="480"/>
        <w:rPr>
          <w:kern w:val="0"/>
          <w:sz w:val="24"/>
          <w:lang w:val="zh-CN"/>
        </w:rPr>
      </w:pPr>
      <w:r>
        <w:rPr>
          <w:rFonts w:hint="eastAsia"/>
          <w:kern w:val="0"/>
          <w:sz w:val="24"/>
          <w:lang w:val="zh-CN"/>
        </w:rPr>
        <w:t>在油（气）井安装有井口装置。井口装置在生产、输送原油的过程中，油套环形空间密封不好产生窜通；顶丝密封圈渗漏；大法兰钢圈刺漏；卡箍钢圈刺漏；表层套管与生产套管的支撑开焊；装置本体及附属管道、阀门等由于选型不当、安装质量问题、腐蚀、密封不严、超压运行或人为破坏等原因发生油气泄漏，遇明火、火花、雷电或静电会引起着火。</w:t>
      </w:r>
    </w:p>
    <w:p w14:paraId="6BEFEDD4" w14:textId="77777777" w:rsidR="003D6A63" w:rsidRDefault="00000000">
      <w:pPr>
        <w:spacing w:line="360" w:lineRule="auto"/>
        <w:ind w:firstLineChars="100" w:firstLine="240"/>
        <w:rPr>
          <w:kern w:val="0"/>
          <w:sz w:val="24"/>
        </w:rPr>
      </w:pPr>
      <w:r>
        <w:rPr>
          <w:rFonts w:hint="eastAsia"/>
          <w:kern w:val="0"/>
          <w:sz w:val="24"/>
        </w:rPr>
        <w:t>（</w:t>
      </w:r>
      <w:r>
        <w:rPr>
          <w:rFonts w:hint="eastAsia"/>
          <w:kern w:val="0"/>
          <w:sz w:val="24"/>
        </w:rPr>
        <w:t>2</w:t>
      </w:r>
      <w:r>
        <w:rPr>
          <w:rFonts w:hint="eastAsia"/>
          <w:kern w:val="0"/>
          <w:sz w:val="24"/>
        </w:rPr>
        <w:t>）物体打击</w:t>
      </w:r>
    </w:p>
    <w:p w14:paraId="6E83BC46" w14:textId="77777777" w:rsidR="003D6A63" w:rsidRDefault="00000000">
      <w:pPr>
        <w:spacing w:line="360" w:lineRule="auto"/>
        <w:ind w:firstLineChars="200" w:firstLine="480"/>
        <w:rPr>
          <w:kern w:val="0"/>
          <w:sz w:val="24"/>
          <w:lang w:val="zh-CN"/>
        </w:rPr>
      </w:pPr>
      <w:r>
        <w:rPr>
          <w:rFonts w:hint="eastAsia"/>
          <w:kern w:val="0"/>
          <w:sz w:val="24"/>
          <w:lang w:val="zh-CN"/>
        </w:rPr>
        <w:t>在井口进行卸堵丝、卸压力表、检查油嘴、开关闸门等作业时，若未进行放空，违章带压操作，身体正对闸阀或孔板阀顶部等，设备零部件飞出可导致操作人员遭受物体打击。</w:t>
      </w:r>
    </w:p>
    <w:p w14:paraId="4EDAB6C0" w14:textId="77777777" w:rsidR="003D6A63" w:rsidRDefault="00000000">
      <w:pPr>
        <w:spacing w:line="360" w:lineRule="auto"/>
        <w:ind w:firstLineChars="100" w:firstLine="240"/>
        <w:rPr>
          <w:kern w:val="0"/>
          <w:sz w:val="24"/>
        </w:rPr>
      </w:pPr>
      <w:r>
        <w:rPr>
          <w:rFonts w:hint="eastAsia"/>
          <w:kern w:val="0"/>
          <w:sz w:val="24"/>
        </w:rPr>
        <w:t>（</w:t>
      </w:r>
      <w:r>
        <w:rPr>
          <w:rFonts w:hint="eastAsia"/>
          <w:kern w:val="0"/>
          <w:sz w:val="24"/>
        </w:rPr>
        <w:t>3</w:t>
      </w:r>
      <w:r>
        <w:rPr>
          <w:rFonts w:hint="eastAsia"/>
          <w:kern w:val="0"/>
          <w:sz w:val="24"/>
        </w:rPr>
        <w:t>）中毒和窒息</w:t>
      </w:r>
    </w:p>
    <w:p w14:paraId="37A1BE30" w14:textId="77777777" w:rsidR="003D6A63" w:rsidRDefault="00000000">
      <w:pPr>
        <w:spacing w:line="360" w:lineRule="auto"/>
        <w:ind w:firstLineChars="200" w:firstLine="480"/>
        <w:rPr>
          <w:kern w:val="0"/>
          <w:sz w:val="24"/>
        </w:rPr>
      </w:pPr>
      <w:r>
        <w:rPr>
          <w:rFonts w:hint="eastAsia"/>
          <w:kern w:val="0"/>
          <w:sz w:val="24"/>
        </w:rPr>
        <w:t>井口装置泄漏出的油气，或操作人员在含硫井口取样时，未佩戴正压式空气呼吸器，</w:t>
      </w:r>
      <w:r>
        <w:rPr>
          <w:rFonts w:hint="eastAsia"/>
          <w:kern w:val="0"/>
          <w:sz w:val="24"/>
        </w:rPr>
        <w:lastRenderedPageBreak/>
        <w:t>可能导致中毒。</w:t>
      </w:r>
    </w:p>
    <w:p w14:paraId="530A1A7E" w14:textId="77777777" w:rsidR="003D6A63" w:rsidRDefault="00000000">
      <w:pPr>
        <w:pStyle w:val="nlw4"/>
        <w:spacing w:beforeLines="0" w:before="0" w:after="0" w:line="360" w:lineRule="auto"/>
        <w:rPr>
          <w:rFonts w:eastAsia="宋体"/>
          <w:b/>
          <w:kern w:val="2"/>
          <w:sz w:val="24"/>
        </w:rPr>
      </w:pPr>
      <w:r>
        <w:rPr>
          <w:rFonts w:eastAsia="宋体" w:hint="eastAsia"/>
          <w:b/>
          <w:kern w:val="2"/>
          <w:sz w:val="24"/>
        </w:rPr>
        <w:t>3.3.1.2</w:t>
      </w:r>
      <w:r>
        <w:rPr>
          <w:rFonts w:eastAsia="宋体" w:hint="eastAsia"/>
          <w:b/>
          <w:kern w:val="2"/>
          <w:sz w:val="24"/>
        </w:rPr>
        <w:t>抽油机</w:t>
      </w:r>
    </w:p>
    <w:p w14:paraId="45A7328F" w14:textId="77777777" w:rsidR="003D6A63" w:rsidRDefault="00000000">
      <w:pPr>
        <w:spacing w:line="360" w:lineRule="auto"/>
        <w:ind w:firstLineChars="200" w:firstLine="480"/>
        <w:rPr>
          <w:kern w:val="0"/>
          <w:sz w:val="24"/>
          <w:lang w:val="zh-CN"/>
        </w:rPr>
      </w:pPr>
      <w:r>
        <w:rPr>
          <w:rFonts w:hint="eastAsia"/>
          <w:kern w:val="0"/>
          <w:sz w:val="24"/>
          <w:lang w:val="zh-CN"/>
        </w:rPr>
        <w:t>抽油机为油气开采重要设施，</w:t>
      </w:r>
      <w:r>
        <w:rPr>
          <w:rFonts w:hint="eastAsia"/>
          <w:kern w:val="0"/>
          <w:sz w:val="24"/>
        </w:rPr>
        <w:t>中胜公司</w:t>
      </w:r>
      <w:r>
        <w:rPr>
          <w:rFonts w:hint="eastAsia"/>
          <w:kern w:val="0"/>
          <w:sz w:val="24"/>
          <w:lang w:val="zh-CN"/>
        </w:rPr>
        <w:t>主要使用皮带式抽油机、游梁式抽油机，其运行过程存在的危险、有害因素主要有以下几点。</w:t>
      </w:r>
    </w:p>
    <w:p w14:paraId="3A4B692C" w14:textId="77777777" w:rsidR="003D6A63" w:rsidRDefault="00000000">
      <w:pPr>
        <w:spacing w:line="360" w:lineRule="auto"/>
        <w:ind w:firstLineChars="100" w:firstLine="240"/>
        <w:rPr>
          <w:kern w:val="0"/>
          <w:sz w:val="24"/>
          <w:lang w:val="zh-CN"/>
        </w:rPr>
      </w:pPr>
      <w:r>
        <w:rPr>
          <w:rFonts w:hint="eastAsia"/>
          <w:kern w:val="0"/>
          <w:sz w:val="24"/>
          <w:lang w:val="zh-CN"/>
        </w:rPr>
        <w:t>（</w:t>
      </w:r>
      <w:r>
        <w:rPr>
          <w:rFonts w:hint="eastAsia"/>
          <w:kern w:val="0"/>
          <w:sz w:val="24"/>
        </w:rPr>
        <w:t>1</w:t>
      </w:r>
      <w:r>
        <w:rPr>
          <w:rFonts w:hint="eastAsia"/>
          <w:kern w:val="0"/>
          <w:sz w:val="24"/>
          <w:lang w:val="zh-CN"/>
        </w:rPr>
        <w:t>）物体打击</w:t>
      </w:r>
    </w:p>
    <w:p w14:paraId="7A0E92ED" w14:textId="77777777" w:rsidR="003D6A63" w:rsidRDefault="00000000">
      <w:pPr>
        <w:spacing w:line="360" w:lineRule="auto"/>
        <w:ind w:firstLineChars="200" w:firstLine="480"/>
        <w:rPr>
          <w:kern w:val="0"/>
          <w:sz w:val="24"/>
          <w:lang w:val="zh-CN"/>
        </w:rPr>
      </w:pPr>
      <w:r>
        <w:rPr>
          <w:rFonts w:hint="eastAsia"/>
          <w:kern w:val="0"/>
          <w:sz w:val="24"/>
          <w:lang w:val="zh-CN"/>
        </w:rPr>
        <w:t>若抽油机基础不牢固，地基未夯实、基础倾斜或安装不当，有可能造成抽油机整体倾斜，可致人员物体打击事故。操作者站在抽油机操作台维修作业时，工具和配件易从上面坠落砸伤抽油机下面的配合作业的人员，造成打击事故。</w:t>
      </w:r>
    </w:p>
    <w:p w14:paraId="1C27750D" w14:textId="77777777" w:rsidR="003D6A63" w:rsidRDefault="00000000">
      <w:pPr>
        <w:spacing w:line="360" w:lineRule="auto"/>
        <w:ind w:firstLineChars="200" w:firstLine="480"/>
        <w:rPr>
          <w:kern w:val="0"/>
          <w:sz w:val="24"/>
          <w:lang w:val="zh-CN"/>
        </w:rPr>
      </w:pPr>
      <w:r>
        <w:rPr>
          <w:rFonts w:hint="eastAsia"/>
          <w:kern w:val="0"/>
          <w:sz w:val="24"/>
          <w:lang w:val="zh-CN"/>
        </w:rPr>
        <w:t>油田的游梁式抽油机平衡块旋转区在抽油机的左右两侧，防护网或防护栏没有加装、安装不完整或安装不规范，造成了游梁式抽油机平衡块旋转危险区暴露在抽油机的左右两侧，旋转的巨大平衡块转动能量很大，采油井场职工和外部其他人员违章或误入平衡块旋转危险区间内，可能造成物体打击。</w:t>
      </w:r>
    </w:p>
    <w:p w14:paraId="30C23D61" w14:textId="77777777" w:rsidR="003D6A63" w:rsidRDefault="00000000">
      <w:pPr>
        <w:spacing w:line="360" w:lineRule="auto"/>
        <w:ind w:firstLineChars="200" w:firstLine="480"/>
        <w:rPr>
          <w:kern w:val="0"/>
          <w:sz w:val="24"/>
          <w:lang w:val="zh-CN"/>
        </w:rPr>
      </w:pPr>
      <w:r>
        <w:rPr>
          <w:rFonts w:hint="eastAsia"/>
          <w:kern w:val="0"/>
          <w:sz w:val="24"/>
          <w:lang w:val="zh-CN"/>
        </w:rPr>
        <w:t>操作者站在游梁式抽油机减速箱上维修作业时，工具和配件易从上面坠落砸伤抽油机下面配合作业的人员。</w:t>
      </w:r>
    </w:p>
    <w:p w14:paraId="26B97AEC" w14:textId="77777777" w:rsidR="003D6A63" w:rsidRDefault="00000000">
      <w:pPr>
        <w:spacing w:line="360" w:lineRule="auto"/>
        <w:ind w:firstLineChars="200" w:firstLine="480"/>
        <w:rPr>
          <w:kern w:val="0"/>
          <w:sz w:val="24"/>
          <w:lang w:val="zh-CN"/>
        </w:rPr>
      </w:pPr>
      <w:r>
        <w:rPr>
          <w:rFonts w:hint="eastAsia"/>
          <w:kern w:val="0"/>
          <w:sz w:val="24"/>
          <w:lang w:val="zh-CN"/>
        </w:rPr>
        <w:t>抽油机悬绳器下连光杆上接毛辫子，同光杆和毛辫子一同做上下往复运动，光杆拉动抽油杆，使活塞做上下往复运动，而将井中的液体抽至地面。采油井场职工和其他人员在井口工作或误到井口，没注意到抽油机悬绳时，就会有悬绳器下行碰伤造成伤亡事故，毛辫子和光杆断脱亦会造成伤亡事故。</w:t>
      </w:r>
    </w:p>
    <w:p w14:paraId="34AD6A8E" w14:textId="77777777" w:rsidR="003D6A63" w:rsidRDefault="00000000">
      <w:pPr>
        <w:spacing w:line="360" w:lineRule="auto"/>
        <w:ind w:firstLineChars="100" w:firstLine="240"/>
        <w:rPr>
          <w:kern w:val="0"/>
          <w:sz w:val="24"/>
          <w:lang w:val="zh-CN"/>
        </w:rPr>
      </w:pPr>
      <w:r>
        <w:rPr>
          <w:rFonts w:hint="eastAsia"/>
          <w:kern w:val="0"/>
          <w:sz w:val="24"/>
          <w:lang w:val="zh-CN"/>
        </w:rPr>
        <w:t>（</w:t>
      </w:r>
      <w:r>
        <w:rPr>
          <w:rFonts w:hint="eastAsia"/>
          <w:kern w:val="0"/>
          <w:sz w:val="24"/>
        </w:rPr>
        <w:t>2</w:t>
      </w:r>
      <w:r>
        <w:rPr>
          <w:rFonts w:hint="eastAsia"/>
          <w:kern w:val="0"/>
          <w:sz w:val="24"/>
          <w:lang w:val="zh-CN"/>
        </w:rPr>
        <w:t>）机械伤害</w:t>
      </w:r>
    </w:p>
    <w:p w14:paraId="7BDD939D" w14:textId="77777777" w:rsidR="003D6A63" w:rsidRDefault="00000000">
      <w:pPr>
        <w:spacing w:line="360" w:lineRule="auto"/>
        <w:ind w:firstLineChars="200" w:firstLine="480"/>
        <w:rPr>
          <w:kern w:val="0"/>
          <w:sz w:val="24"/>
          <w:lang w:val="zh-CN"/>
        </w:rPr>
      </w:pPr>
      <w:r>
        <w:rPr>
          <w:rFonts w:hint="eastAsia"/>
          <w:kern w:val="0"/>
          <w:sz w:val="24"/>
          <w:lang w:val="zh-CN"/>
        </w:rPr>
        <w:t>皮带机抽油机电机动力由皮带传送到减速器的皮带轮上，由于油田的游梁式抽油机大部分没有安装皮带轮防护罩，在抽油机运行的状态下，井场职工巡回检查和外部其他人员靠近、接触旋转的皮带轮或皮带，易造成皮带挤手或皮带轮绞住工作服进而把人绞伤事故，女职工的长发绞入皮带轮会造成伤亡事故等。</w:t>
      </w:r>
    </w:p>
    <w:p w14:paraId="7E74D98E" w14:textId="77777777" w:rsidR="003D6A63" w:rsidRDefault="00000000">
      <w:pPr>
        <w:spacing w:line="360" w:lineRule="auto"/>
        <w:ind w:firstLineChars="200" w:firstLine="480"/>
        <w:rPr>
          <w:kern w:val="0"/>
          <w:sz w:val="24"/>
          <w:lang w:val="zh-CN"/>
        </w:rPr>
      </w:pPr>
      <w:r>
        <w:rPr>
          <w:rFonts w:hint="eastAsia"/>
          <w:kern w:val="0"/>
          <w:sz w:val="24"/>
          <w:lang w:val="zh-CN"/>
        </w:rPr>
        <w:t>游梁式抽油机的刹车系统分手摇外抱式刹车和手拉外抱式刹车，主要作用是根据工作需要把抽油机固定在某一位置，然后对抽油机进行维修调整作业。如果刹车失灵，抽油机突然转动，可能造成机械伤害。</w:t>
      </w:r>
    </w:p>
    <w:p w14:paraId="63CB0F99" w14:textId="77777777" w:rsidR="003D6A63" w:rsidRDefault="00000000">
      <w:pPr>
        <w:spacing w:line="360" w:lineRule="auto"/>
        <w:ind w:firstLineChars="200" w:firstLine="480"/>
        <w:rPr>
          <w:kern w:val="0"/>
          <w:sz w:val="24"/>
          <w:lang w:val="zh-CN"/>
        </w:rPr>
      </w:pPr>
      <w:r>
        <w:rPr>
          <w:rFonts w:hint="eastAsia"/>
          <w:kern w:val="0"/>
          <w:sz w:val="24"/>
          <w:lang w:val="zh-CN"/>
        </w:rPr>
        <w:t>采油井场职工攀登抽油机攀梯到操作平台，对抽油机的游梁和轴承等部位进行检查时，如果不停抽油机、可靠刹车，则当抽油机驴头转动至离攀梯较近的位置时，转动的驴头碰到攀梯职工，可能造成机械伤害。</w:t>
      </w:r>
    </w:p>
    <w:p w14:paraId="002259E5" w14:textId="77777777" w:rsidR="003D6A63" w:rsidRDefault="00000000">
      <w:pPr>
        <w:spacing w:line="360" w:lineRule="auto"/>
        <w:ind w:firstLineChars="100" w:firstLine="240"/>
        <w:rPr>
          <w:kern w:val="0"/>
          <w:sz w:val="24"/>
          <w:lang w:val="zh-CN"/>
        </w:rPr>
      </w:pPr>
      <w:r>
        <w:rPr>
          <w:rFonts w:hint="eastAsia"/>
          <w:kern w:val="0"/>
          <w:sz w:val="24"/>
          <w:lang w:val="zh-CN"/>
        </w:rPr>
        <w:t>（</w:t>
      </w:r>
      <w:r>
        <w:rPr>
          <w:rFonts w:hint="eastAsia"/>
          <w:kern w:val="0"/>
          <w:sz w:val="24"/>
        </w:rPr>
        <w:t>3</w:t>
      </w:r>
      <w:r>
        <w:rPr>
          <w:rFonts w:hint="eastAsia"/>
          <w:kern w:val="0"/>
          <w:sz w:val="24"/>
          <w:lang w:val="zh-CN"/>
        </w:rPr>
        <w:t>）高处坠落</w:t>
      </w:r>
    </w:p>
    <w:p w14:paraId="40DF5C97" w14:textId="77777777" w:rsidR="003D6A63" w:rsidRDefault="00000000">
      <w:pPr>
        <w:spacing w:line="360" w:lineRule="auto"/>
        <w:ind w:firstLineChars="200" w:firstLine="480"/>
        <w:rPr>
          <w:kern w:val="0"/>
          <w:sz w:val="24"/>
          <w:lang w:val="zh-CN"/>
        </w:rPr>
      </w:pPr>
      <w:r>
        <w:rPr>
          <w:rFonts w:hint="eastAsia"/>
          <w:kern w:val="0"/>
          <w:sz w:val="24"/>
          <w:lang w:val="zh-CN"/>
        </w:rPr>
        <w:lastRenderedPageBreak/>
        <w:t>站在游梁式抽油机减速箱上进行维修操作属于高处作业，减速箱上壳的外形使操作者不易站稳，易造成操作者作业过程中坠落的摔伤事故；</w:t>
      </w:r>
    </w:p>
    <w:p w14:paraId="53EFE1C0" w14:textId="77777777" w:rsidR="003D6A63" w:rsidRDefault="00000000">
      <w:pPr>
        <w:spacing w:line="360" w:lineRule="auto"/>
        <w:ind w:firstLineChars="200" w:firstLine="480"/>
        <w:rPr>
          <w:kern w:val="0"/>
          <w:sz w:val="24"/>
          <w:lang w:val="zh-CN"/>
        </w:rPr>
      </w:pPr>
      <w:r>
        <w:rPr>
          <w:rFonts w:hint="eastAsia"/>
          <w:kern w:val="0"/>
          <w:sz w:val="24"/>
          <w:lang w:val="zh-CN"/>
        </w:rPr>
        <w:t>抽油机操作台是方便采油井场职工维修作业而设置的，属于高处作业，稍有不慎就有坠落的危险。操作者站在抽油机操作台维修作业时，工具和配件易从上面坠落砸伤抽油机下面的配合作业的人员，造成事故。</w:t>
      </w:r>
    </w:p>
    <w:p w14:paraId="34B46342" w14:textId="77777777" w:rsidR="003D6A63" w:rsidRDefault="00000000">
      <w:pPr>
        <w:spacing w:line="360" w:lineRule="auto"/>
        <w:ind w:firstLineChars="100" w:firstLine="240"/>
        <w:rPr>
          <w:kern w:val="0"/>
          <w:sz w:val="24"/>
          <w:lang w:val="zh-CN"/>
        </w:rPr>
      </w:pPr>
      <w:r>
        <w:rPr>
          <w:rFonts w:hint="eastAsia"/>
          <w:kern w:val="0"/>
          <w:sz w:val="24"/>
          <w:lang w:val="zh-CN"/>
        </w:rPr>
        <w:t>（</w:t>
      </w:r>
      <w:r>
        <w:rPr>
          <w:rFonts w:hint="eastAsia"/>
          <w:kern w:val="0"/>
          <w:sz w:val="24"/>
        </w:rPr>
        <w:t>4</w:t>
      </w:r>
      <w:r>
        <w:rPr>
          <w:rFonts w:hint="eastAsia"/>
          <w:kern w:val="0"/>
          <w:sz w:val="24"/>
          <w:lang w:val="zh-CN"/>
        </w:rPr>
        <w:t>）触电</w:t>
      </w:r>
    </w:p>
    <w:p w14:paraId="0750B305" w14:textId="77777777" w:rsidR="003D6A63" w:rsidRDefault="00000000">
      <w:pPr>
        <w:spacing w:line="360" w:lineRule="auto"/>
        <w:ind w:firstLineChars="200" w:firstLine="480"/>
        <w:rPr>
          <w:kern w:val="0"/>
          <w:sz w:val="24"/>
          <w:lang w:val="zh-CN"/>
        </w:rPr>
      </w:pPr>
      <w:r>
        <w:rPr>
          <w:rFonts w:hint="eastAsia"/>
          <w:kern w:val="0"/>
          <w:sz w:val="24"/>
          <w:lang w:val="zh-CN"/>
        </w:rPr>
        <w:t>游梁式抽油机的电动机内部绝缘损坏、绝缘能力降低和电机接线损坏等会使电机漏电产生危险。采油井场职工和外部其他人员一旦接触，易发生触电；</w:t>
      </w:r>
    </w:p>
    <w:p w14:paraId="3DF08AB4" w14:textId="77777777" w:rsidR="003D6A63" w:rsidRDefault="00000000">
      <w:pPr>
        <w:spacing w:line="360" w:lineRule="auto"/>
        <w:ind w:firstLineChars="200" w:firstLine="480"/>
        <w:rPr>
          <w:kern w:val="0"/>
          <w:sz w:val="24"/>
          <w:lang w:val="zh-CN"/>
        </w:rPr>
      </w:pPr>
      <w:r>
        <w:rPr>
          <w:rFonts w:hint="eastAsia"/>
          <w:kern w:val="0"/>
          <w:sz w:val="24"/>
          <w:lang w:val="zh-CN"/>
        </w:rPr>
        <w:t>由于抽油机电机电缆的老化、轧伤、碰损等都会产生漏电危险，要警惕漏电电缆接触地面造成跨步电压触电危险。</w:t>
      </w:r>
    </w:p>
    <w:p w14:paraId="5005E498" w14:textId="77777777" w:rsidR="003D6A63" w:rsidRDefault="00000000">
      <w:pPr>
        <w:spacing w:line="360" w:lineRule="auto"/>
        <w:ind w:firstLineChars="200" w:firstLine="480"/>
        <w:rPr>
          <w:kern w:val="0"/>
          <w:sz w:val="24"/>
          <w:lang w:val="zh-CN"/>
        </w:rPr>
      </w:pPr>
      <w:r>
        <w:rPr>
          <w:rFonts w:hint="eastAsia"/>
          <w:kern w:val="0"/>
          <w:sz w:val="24"/>
          <w:lang w:val="zh-CN"/>
        </w:rPr>
        <w:t>抽油机节电控制箱安装在井场抽油机附近，进线电缆来自井场配电变压器，出线电缆送往抽油机电机，是用来控制抽油机工作状态的配电设备。由于抽油机节电控制箱内的电气线路老化、损坏和绝缘能力降低等原因，可能造成抽油机节电控制箱外壳或操作的开关部分带电，采油井场职工和其他人员一旦接触，易发生电击和电伤事故，重则造成触电死亡。</w:t>
      </w:r>
    </w:p>
    <w:p w14:paraId="0D1F86D2" w14:textId="77777777" w:rsidR="003D6A63" w:rsidRDefault="00000000">
      <w:pPr>
        <w:pStyle w:val="nlw3"/>
        <w:spacing w:beforeLines="0" w:before="0" w:after="0" w:line="360" w:lineRule="auto"/>
        <w:rPr>
          <w:sz w:val="24"/>
          <w:szCs w:val="24"/>
        </w:rPr>
      </w:pPr>
      <w:r>
        <w:rPr>
          <w:rFonts w:hint="eastAsia"/>
          <w:sz w:val="24"/>
          <w:szCs w:val="24"/>
        </w:rPr>
        <w:t xml:space="preserve">3.3.2  </w:t>
      </w:r>
      <w:r>
        <w:rPr>
          <w:rFonts w:hint="eastAsia"/>
          <w:sz w:val="24"/>
          <w:szCs w:val="24"/>
        </w:rPr>
        <w:t>注入系统</w:t>
      </w:r>
    </w:p>
    <w:p w14:paraId="0D83D379" w14:textId="77777777" w:rsidR="003D6A63" w:rsidRDefault="00000000">
      <w:pPr>
        <w:pStyle w:val="nlw4"/>
        <w:spacing w:beforeLines="0" w:before="0" w:after="0" w:line="360" w:lineRule="auto"/>
        <w:rPr>
          <w:rFonts w:eastAsia="宋体"/>
          <w:b/>
          <w:kern w:val="2"/>
          <w:sz w:val="24"/>
        </w:rPr>
      </w:pPr>
      <w:r>
        <w:rPr>
          <w:rFonts w:eastAsia="宋体" w:hint="eastAsia"/>
          <w:b/>
          <w:kern w:val="2"/>
          <w:sz w:val="24"/>
        </w:rPr>
        <w:t>3.3.2.1</w:t>
      </w:r>
      <w:r>
        <w:rPr>
          <w:rFonts w:eastAsia="宋体" w:hint="eastAsia"/>
          <w:b/>
          <w:kern w:val="2"/>
          <w:sz w:val="24"/>
          <w:lang w:val="zh-CN"/>
        </w:rPr>
        <w:t>注水</w:t>
      </w:r>
      <w:r>
        <w:rPr>
          <w:rFonts w:eastAsia="宋体" w:hint="eastAsia"/>
          <w:b/>
          <w:kern w:val="2"/>
          <w:sz w:val="24"/>
        </w:rPr>
        <w:t>井口</w:t>
      </w:r>
    </w:p>
    <w:p w14:paraId="155490BE"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注水井可能发生的事故主要是物体打击，主要原因有：井口注水压力高于设计压力；井口装置部件及附件本身存在质量缺陷、安装质量差或维护保养不到位，飞出造成对周围人员的物体打击；注水井口装置因腐蚀、老化等原因，承压能力下降，发生穿孔，高压流体对周围人员的物体打击；井口装置有沙眼，井口阀门、卡箍安装不规范，导致刺漏，高压流体对周围人员的物体打击。</w:t>
      </w:r>
    </w:p>
    <w:p w14:paraId="68417CF2" w14:textId="77777777" w:rsidR="003D6A63" w:rsidRDefault="00000000">
      <w:pPr>
        <w:pStyle w:val="nlw4"/>
        <w:spacing w:beforeLines="0" w:before="0" w:after="0" w:line="360" w:lineRule="auto"/>
        <w:rPr>
          <w:rFonts w:eastAsia="宋体"/>
          <w:b/>
          <w:kern w:val="2"/>
          <w:sz w:val="24"/>
          <w:lang w:val="zh-CN"/>
        </w:rPr>
      </w:pPr>
      <w:r>
        <w:rPr>
          <w:rFonts w:eastAsia="宋体" w:hint="eastAsia"/>
          <w:b/>
          <w:kern w:val="2"/>
          <w:sz w:val="24"/>
        </w:rPr>
        <w:t>3.3.2.2</w:t>
      </w:r>
      <w:r>
        <w:rPr>
          <w:rFonts w:eastAsia="宋体" w:hint="eastAsia"/>
          <w:b/>
          <w:kern w:val="2"/>
          <w:sz w:val="24"/>
          <w:lang w:val="zh-CN"/>
        </w:rPr>
        <w:t>注水管线</w:t>
      </w:r>
    </w:p>
    <w:p w14:paraId="33634B66"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注水管线压力较高，一旦刺漏，高压水可对人体造成伤害。</w:t>
      </w:r>
      <w:r>
        <w:rPr>
          <w:kern w:val="0"/>
          <w:sz w:val="24"/>
          <w:lang w:val="zh-CN"/>
        </w:rPr>
        <w:t>地上注水管线由于断裂，造成高压反冲，容易引起区域内的物体打击事故。</w:t>
      </w:r>
      <w:r>
        <w:rPr>
          <w:rFonts w:hint="eastAsia"/>
          <w:kern w:val="0"/>
          <w:sz w:val="24"/>
          <w:lang w:val="zh-CN"/>
        </w:rPr>
        <w:t>埋地注水管线穿孔后，高压水可将地下土壤掏空，形成地下空洞或导致地面塌陷，人员经过可能坠落其中，导致淹溺事故。</w:t>
      </w:r>
    </w:p>
    <w:p w14:paraId="035048B9" w14:textId="77777777" w:rsidR="003D6A63" w:rsidRDefault="00000000">
      <w:pPr>
        <w:pStyle w:val="nlw4"/>
        <w:spacing w:beforeLines="0" w:before="0" w:after="0" w:line="360" w:lineRule="auto"/>
        <w:rPr>
          <w:rFonts w:eastAsia="宋体"/>
          <w:b/>
          <w:kern w:val="2"/>
          <w:sz w:val="24"/>
          <w:lang w:val="zh-CN"/>
        </w:rPr>
      </w:pPr>
      <w:r>
        <w:rPr>
          <w:rFonts w:eastAsia="宋体" w:hint="eastAsia"/>
          <w:b/>
          <w:kern w:val="2"/>
          <w:sz w:val="24"/>
        </w:rPr>
        <w:t>3.3.2.3</w:t>
      </w:r>
      <w:r>
        <w:rPr>
          <w:rFonts w:eastAsia="宋体" w:hint="eastAsia"/>
          <w:b/>
          <w:kern w:val="2"/>
          <w:sz w:val="24"/>
          <w:lang w:val="zh-CN"/>
        </w:rPr>
        <w:t>高压注水阀组</w:t>
      </w:r>
    </w:p>
    <w:p w14:paraId="3A028B51"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配水间、注水站内的高压阀组、流量计均要承受很大的压力。若存在设备选材、试压、检查、安装、固定不当，或操作人员操作维护有误，则会造成阀门、闸阀刺漏，设备阀门等打出对周围人员造成冲击，打击人员会造成人员伤亡事故，严重时还会损毁房</w:t>
      </w:r>
      <w:r>
        <w:rPr>
          <w:rFonts w:hint="eastAsia"/>
          <w:kern w:val="0"/>
          <w:sz w:val="24"/>
          <w:lang w:val="zh-CN"/>
        </w:rPr>
        <w:lastRenderedPageBreak/>
        <w:t>屋设备。</w:t>
      </w:r>
    </w:p>
    <w:p w14:paraId="0EA77F6B" w14:textId="77777777" w:rsidR="003D6A63" w:rsidRDefault="00000000">
      <w:pPr>
        <w:pStyle w:val="nlw4"/>
        <w:spacing w:beforeLines="0" w:before="0" w:after="0" w:line="360" w:lineRule="auto"/>
        <w:rPr>
          <w:rFonts w:eastAsia="宋体"/>
          <w:b/>
          <w:kern w:val="2"/>
          <w:sz w:val="24"/>
          <w:lang w:val="zh-CN"/>
        </w:rPr>
      </w:pPr>
      <w:r>
        <w:rPr>
          <w:rFonts w:eastAsia="宋体" w:hint="eastAsia"/>
          <w:b/>
          <w:kern w:val="2"/>
          <w:sz w:val="24"/>
        </w:rPr>
        <w:t>3.3.2.4</w:t>
      </w:r>
      <w:r>
        <w:rPr>
          <w:rFonts w:eastAsia="宋体" w:hint="eastAsia"/>
          <w:b/>
          <w:kern w:val="2"/>
          <w:sz w:val="24"/>
        </w:rPr>
        <w:t>注水</w:t>
      </w:r>
      <w:r>
        <w:rPr>
          <w:rFonts w:eastAsia="宋体" w:hint="eastAsia"/>
          <w:b/>
          <w:kern w:val="2"/>
          <w:sz w:val="24"/>
          <w:lang w:val="zh-CN"/>
        </w:rPr>
        <w:t>泵</w:t>
      </w:r>
    </w:p>
    <w:p w14:paraId="4ACFDFF2" w14:textId="77777777" w:rsidR="003D6A63" w:rsidRDefault="00000000">
      <w:pPr>
        <w:adjustRightInd w:val="0"/>
        <w:snapToGrid w:val="0"/>
        <w:spacing w:line="360" w:lineRule="auto"/>
        <w:ind w:firstLineChars="100" w:firstLine="240"/>
        <w:rPr>
          <w:kern w:val="0"/>
          <w:sz w:val="24"/>
        </w:rPr>
      </w:pPr>
      <w:r>
        <w:rPr>
          <w:rFonts w:hint="eastAsia"/>
          <w:kern w:val="0"/>
          <w:sz w:val="24"/>
        </w:rPr>
        <w:t>（</w:t>
      </w:r>
      <w:r>
        <w:rPr>
          <w:rFonts w:hint="eastAsia"/>
          <w:kern w:val="0"/>
          <w:sz w:val="24"/>
        </w:rPr>
        <w:t>1</w:t>
      </w:r>
      <w:r>
        <w:rPr>
          <w:rFonts w:hint="eastAsia"/>
          <w:kern w:val="0"/>
          <w:sz w:val="24"/>
        </w:rPr>
        <w:t>）机械伤害</w:t>
      </w:r>
    </w:p>
    <w:p w14:paraId="23CF29F9"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注水泵的传动件、转动部位，若防护罩失效或残缺，人体接触时就有机械伤害的危险。正常生产期间，作业人员在没有停机的情况下进行作业或维修，造成机械伤害事故发生。</w:t>
      </w:r>
    </w:p>
    <w:p w14:paraId="5D89EDE0" w14:textId="77777777" w:rsidR="003D6A63" w:rsidRDefault="00000000">
      <w:pPr>
        <w:adjustRightInd w:val="0"/>
        <w:snapToGrid w:val="0"/>
        <w:spacing w:line="360" w:lineRule="auto"/>
        <w:ind w:firstLineChars="100" w:firstLine="240"/>
        <w:rPr>
          <w:kern w:val="0"/>
          <w:sz w:val="24"/>
        </w:rPr>
      </w:pPr>
      <w:r>
        <w:rPr>
          <w:rFonts w:hint="eastAsia"/>
          <w:kern w:val="0"/>
          <w:sz w:val="24"/>
        </w:rPr>
        <w:t>（</w:t>
      </w:r>
      <w:r>
        <w:rPr>
          <w:rFonts w:hint="eastAsia"/>
          <w:kern w:val="0"/>
          <w:sz w:val="24"/>
        </w:rPr>
        <w:t>2</w:t>
      </w:r>
      <w:r>
        <w:rPr>
          <w:rFonts w:hint="eastAsia"/>
          <w:kern w:val="0"/>
          <w:sz w:val="24"/>
        </w:rPr>
        <w:t>）物体打击</w:t>
      </w:r>
    </w:p>
    <w:p w14:paraId="0F77A1F7"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注水泵会导致高压水刺漏，造成人员伤害。</w:t>
      </w:r>
    </w:p>
    <w:p w14:paraId="7B8D304E" w14:textId="77777777" w:rsidR="003D6A63" w:rsidRDefault="00000000">
      <w:pPr>
        <w:adjustRightInd w:val="0"/>
        <w:snapToGrid w:val="0"/>
        <w:spacing w:line="360" w:lineRule="auto"/>
        <w:ind w:firstLineChars="100" w:firstLine="240"/>
        <w:rPr>
          <w:kern w:val="0"/>
          <w:sz w:val="24"/>
        </w:rPr>
      </w:pPr>
      <w:r>
        <w:rPr>
          <w:rFonts w:hint="eastAsia"/>
          <w:kern w:val="0"/>
          <w:sz w:val="24"/>
        </w:rPr>
        <w:t>（</w:t>
      </w:r>
      <w:r>
        <w:rPr>
          <w:rFonts w:hint="eastAsia"/>
          <w:kern w:val="0"/>
          <w:sz w:val="24"/>
        </w:rPr>
        <w:t>3</w:t>
      </w:r>
      <w:r>
        <w:rPr>
          <w:rFonts w:hint="eastAsia"/>
          <w:kern w:val="0"/>
          <w:sz w:val="24"/>
        </w:rPr>
        <w:t>）噪声</w:t>
      </w:r>
    </w:p>
    <w:p w14:paraId="72832DA6"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机泵产生的噪声较大，其中注水泵房内的噪声较为突出。工作人员长期在高噪声环境下工作，不仅会损伤他们的听觉，而且也会对他们的神经、心脏及消化系统等产生不良影响。另外噪声还会使工作人员的情绪烦躁，降低工作效率，有时甚至会导致误动作而引起事故的发生。</w:t>
      </w:r>
    </w:p>
    <w:p w14:paraId="2D7B2953" w14:textId="77777777" w:rsidR="003D6A63" w:rsidRDefault="00000000">
      <w:pPr>
        <w:adjustRightInd w:val="0"/>
        <w:snapToGrid w:val="0"/>
        <w:spacing w:line="360" w:lineRule="auto"/>
        <w:ind w:firstLineChars="100" w:firstLine="240"/>
        <w:rPr>
          <w:kern w:val="0"/>
          <w:sz w:val="24"/>
        </w:rPr>
      </w:pPr>
      <w:r>
        <w:rPr>
          <w:rFonts w:hint="eastAsia"/>
          <w:kern w:val="0"/>
          <w:sz w:val="24"/>
        </w:rPr>
        <w:t>（</w:t>
      </w:r>
      <w:r>
        <w:rPr>
          <w:rFonts w:hint="eastAsia"/>
          <w:kern w:val="0"/>
          <w:sz w:val="24"/>
        </w:rPr>
        <w:t>4</w:t>
      </w:r>
      <w:r>
        <w:rPr>
          <w:rFonts w:hint="eastAsia"/>
          <w:kern w:val="0"/>
          <w:sz w:val="24"/>
        </w:rPr>
        <w:t>）触电</w:t>
      </w:r>
    </w:p>
    <w:p w14:paraId="68ED1DE8"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泵类设备的带电部位、带电导线是引发触电事故的危险源。人体触及带电的导线、漏电泵类设备的外壳都可能导致触电事故发生。</w:t>
      </w:r>
    </w:p>
    <w:p w14:paraId="6BA1356E" w14:textId="77777777" w:rsidR="003D6A63" w:rsidRDefault="00000000">
      <w:pPr>
        <w:pStyle w:val="nlw3"/>
        <w:spacing w:beforeLines="0" w:before="0" w:after="0" w:line="360" w:lineRule="auto"/>
        <w:rPr>
          <w:sz w:val="24"/>
          <w:szCs w:val="24"/>
          <w:lang w:val="zh-CN"/>
        </w:rPr>
      </w:pPr>
      <w:r>
        <w:rPr>
          <w:rFonts w:hint="eastAsia"/>
          <w:sz w:val="24"/>
          <w:szCs w:val="24"/>
        </w:rPr>
        <w:t xml:space="preserve">3.3.3  </w:t>
      </w:r>
      <w:r>
        <w:rPr>
          <w:rFonts w:hint="eastAsia"/>
          <w:sz w:val="24"/>
          <w:szCs w:val="24"/>
        </w:rPr>
        <w:t>集输系统</w:t>
      </w:r>
    </w:p>
    <w:p w14:paraId="228BA93C" w14:textId="77777777" w:rsidR="003D6A63" w:rsidRDefault="00000000">
      <w:pPr>
        <w:pStyle w:val="nlw4"/>
        <w:spacing w:beforeLines="0" w:before="0" w:after="0" w:line="360" w:lineRule="auto"/>
        <w:rPr>
          <w:rFonts w:eastAsia="宋体"/>
          <w:b/>
          <w:kern w:val="2"/>
          <w:sz w:val="24"/>
        </w:rPr>
      </w:pPr>
      <w:r>
        <w:rPr>
          <w:rFonts w:eastAsia="宋体" w:hint="eastAsia"/>
          <w:b/>
          <w:kern w:val="2"/>
          <w:sz w:val="24"/>
        </w:rPr>
        <w:t xml:space="preserve">3.3.3.1 </w:t>
      </w:r>
      <w:r>
        <w:rPr>
          <w:rFonts w:eastAsia="宋体" w:hint="eastAsia"/>
          <w:b/>
          <w:kern w:val="2"/>
          <w:sz w:val="24"/>
        </w:rPr>
        <w:t>计量阀组</w:t>
      </w:r>
    </w:p>
    <w:p w14:paraId="62E82867" w14:textId="77777777" w:rsidR="003D6A63" w:rsidRDefault="00000000">
      <w:pPr>
        <w:adjustRightInd w:val="0"/>
        <w:snapToGrid w:val="0"/>
        <w:spacing w:line="360" w:lineRule="auto"/>
        <w:ind w:firstLine="471"/>
        <w:rPr>
          <w:kern w:val="0"/>
          <w:sz w:val="24"/>
        </w:rPr>
      </w:pPr>
      <w:r>
        <w:rPr>
          <w:rFonts w:hint="eastAsia"/>
          <w:kern w:val="0"/>
          <w:sz w:val="24"/>
        </w:rPr>
        <w:t>计量阀组为油气计量设备，若阀组未定期维护保养，油气从阀组泄露，有可能或导致油气集聚导致火灾爆炸事故的发生。</w:t>
      </w:r>
    </w:p>
    <w:p w14:paraId="7F62EDCD" w14:textId="77777777" w:rsidR="003D6A63" w:rsidRDefault="00000000">
      <w:pPr>
        <w:pStyle w:val="nlw4"/>
        <w:spacing w:beforeLines="0" w:before="0" w:after="0" w:line="360" w:lineRule="auto"/>
        <w:rPr>
          <w:rFonts w:eastAsia="宋体"/>
          <w:b/>
          <w:kern w:val="2"/>
          <w:sz w:val="24"/>
          <w:lang w:val="zh-CN"/>
        </w:rPr>
      </w:pPr>
      <w:r>
        <w:rPr>
          <w:rFonts w:eastAsia="宋体" w:hint="eastAsia"/>
          <w:b/>
          <w:kern w:val="2"/>
          <w:sz w:val="24"/>
        </w:rPr>
        <w:t>3.3.3.2</w:t>
      </w:r>
      <w:r>
        <w:rPr>
          <w:rFonts w:eastAsia="宋体" w:hint="eastAsia"/>
          <w:b/>
          <w:kern w:val="2"/>
          <w:sz w:val="24"/>
          <w:lang w:val="zh-CN"/>
        </w:rPr>
        <w:t>油气分离装置</w:t>
      </w:r>
    </w:p>
    <w:p w14:paraId="1149D161"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油气分离装置根据功能、大小、形式不同存在不同类型。中胜公司采用的三相分离器是一种特种设备。三相分离器主要风险包括超压爆炸或泄漏引发的火灾爆炸等危险因素。</w:t>
      </w:r>
    </w:p>
    <w:p w14:paraId="57F22C1C"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1</w:t>
      </w:r>
      <w:r>
        <w:rPr>
          <w:rFonts w:hint="eastAsia"/>
          <w:kern w:val="0"/>
          <w:sz w:val="24"/>
          <w:lang w:val="zh-CN"/>
        </w:rPr>
        <w:t>）超压爆炸</w:t>
      </w:r>
    </w:p>
    <w:p w14:paraId="00931F05"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分离器在设计制造过程中未按照规范进行设计，如分离器壳体所用材质强度未满足要求或者未考虑壳体开孔后的强度削弱因素等造成壳体承压能力不足，易引起超压容器爆炸事故，导致油气泄漏。</w:t>
      </w:r>
    </w:p>
    <w:p w14:paraId="2719A50F"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若安全阀失效、安全阀压力整定错误或失效，会造成容器超压时，不能及时泄压，导致超压爆炸事故。</w:t>
      </w:r>
    </w:p>
    <w:p w14:paraId="1DDE0AAB"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lastRenderedPageBreak/>
        <w:t>（</w:t>
      </w:r>
      <w:r>
        <w:rPr>
          <w:rFonts w:hint="eastAsia"/>
          <w:kern w:val="0"/>
          <w:sz w:val="24"/>
        </w:rPr>
        <w:t>2</w:t>
      </w:r>
      <w:r>
        <w:rPr>
          <w:rFonts w:hint="eastAsia"/>
          <w:kern w:val="0"/>
          <w:sz w:val="24"/>
          <w:lang w:val="zh-CN"/>
        </w:rPr>
        <w:t>）泄漏</w:t>
      </w:r>
    </w:p>
    <w:p w14:paraId="6A4BF568"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造成泄漏的原因有多种，腐蚀是造成分离器泄漏的主要因素，包括腐蚀减薄、应力腐蚀开裂、外部腐蚀、冲蚀等。</w:t>
      </w:r>
    </w:p>
    <w:p w14:paraId="7F129093"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当容器内的介质含有较高</w:t>
      </w:r>
      <w:r>
        <w:rPr>
          <w:rFonts w:hint="eastAsia"/>
          <w:kern w:val="0"/>
          <w:sz w:val="24"/>
          <w:lang w:val="zh-CN"/>
        </w:rPr>
        <w:t>H</w:t>
      </w:r>
      <w:r>
        <w:rPr>
          <w:rFonts w:hint="eastAsia"/>
          <w:kern w:val="0"/>
          <w:sz w:val="24"/>
          <w:vertAlign w:val="subscript"/>
          <w:lang w:val="zh-CN"/>
        </w:rPr>
        <w:t>2</w:t>
      </w:r>
      <w:r>
        <w:rPr>
          <w:rFonts w:hint="eastAsia"/>
          <w:kern w:val="0"/>
          <w:sz w:val="24"/>
          <w:lang w:val="zh-CN"/>
        </w:rPr>
        <w:t>O</w:t>
      </w:r>
      <w:r>
        <w:rPr>
          <w:rFonts w:hint="eastAsia"/>
          <w:kern w:val="0"/>
          <w:sz w:val="24"/>
          <w:lang w:val="zh-CN"/>
        </w:rPr>
        <w:t>、</w:t>
      </w:r>
      <w:r>
        <w:rPr>
          <w:rFonts w:hint="eastAsia"/>
          <w:kern w:val="0"/>
          <w:sz w:val="24"/>
          <w:lang w:val="zh-CN"/>
        </w:rPr>
        <w:t>CO</w:t>
      </w:r>
      <w:r>
        <w:rPr>
          <w:rFonts w:hint="eastAsia"/>
          <w:kern w:val="0"/>
          <w:sz w:val="24"/>
          <w:vertAlign w:val="subscript"/>
          <w:lang w:val="zh-CN"/>
        </w:rPr>
        <w:t>2</w:t>
      </w:r>
      <w:r>
        <w:rPr>
          <w:rFonts w:hint="eastAsia"/>
          <w:kern w:val="0"/>
          <w:sz w:val="24"/>
          <w:lang w:val="zh-CN"/>
        </w:rPr>
        <w:t>等物质时气体呈酸性，在容器内部无氧环境中，阴极发生析氢反应，铁作为阳极发生腐蚀。造成压力容器内壁腐蚀减薄，严重情况下造成天然气泄漏。</w:t>
      </w:r>
    </w:p>
    <w:p w14:paraId="06414E3E"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应力腐蚀开裂包括碳酸盐开裂、氯化物应力腐蚀开裂、氢致开裂等。低劣的焊接质量会造成焊接处裂纹等隐患，在容器工作过程中这些裂纹会随着压力增加而逐渐扩大最终导致天然气泄漏；裂纹也会加剧腐蚀效果。</w:t>
      </w:r>
    </w:p>
    <w:p w14:paraId="1263574D"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外部腐蚀主要指大气腐蚀和保温层下的腐蚀。从失效机理来看外腐蚀损伤与腐蚀减薄和应力腐蚀开裂相同，不同的是腐蚀速率和裂纹开裂尺寸的差异。</w:t>
      </w:r>
    </w:p>
    <w:p w14:paraId="0818CFFC"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油气中含有水和泥沙等，会对三相分离器的封头造成冲蚀，造成泄漏。</w:t>
      </w:r>
    </w:p>
    <w:p w14:paraId="3AEFB410"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另外，设计时未按照规范选取合适的腐蚀裕量，设备未能满足安全检验周期，也是导致分离器泄漏的重要因素。</w:t>
      </w:r>
    </w:p>
    <w:p w14:paraId="18DBA886"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3</w:t>
      </w:r>
      <w:r>
        <w:rPr>
          <w:rFonts w:hint="eastAsia"/>
          <w:kern w:val="0"/>
          <w:sz w:val="24"/>
          <w:lang w:val="zh-CN"/>
        </w:rPr>
        <w:t>）自控设备失效</w:t>
      </w:r>
    </w:p>
    <w:p w14:paraId="3DDCE6EF"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自控设备可靠性是系统安全运行的重要条件，各类型传感器由于种种原因（质量、安装、维护、自然条件等）造成失效，数据传输错误会导致远程控制错误，例如压力、温度数据错误造成系统超压、超温运行或者控制失效等。</w:t>
      </w:r>
    </w:p>
    <w:p w14:paraId="5E9438E3" w14:textId="77777777" w:rsidR="003D6A63" w:rsidRDefault="00000000">
      <w:pPr>
        <w:pStyle w:val="nlw4"/>
        <w:spacing w:beforeLines="0" w:before="0" w:after="0" w:line="360" w:lineRule="auto"/>
        <w:rPr>
          <w:rFonts w:eastAsia="宋体"/>
          <w:b/>
          <w:kern w:val="2"/>
          <w:sz w:val="24"/>
          <w:lang w:val="zh-CN"/>
        </w:rPr>
      </w:pPr>
      <w:r>
        <w:rPr>
          <w:rFonts w:eastAsia="宋体" w:hint="eastAsia"/>
          <w:b/>
          <w:kern w:val="2"/>
          <w:sz w:val="24"/>
        </w:rPr>
        <w:t>3.3.3.3</w:t>
      </w:r>
      <w:r>
        <w:rPr>
          <w:rFonts w:eastAsia="宋体" w:hint="eastAsia"/>
          <w:b/>
          <w:kern w:val="2"/>
          <w:sz w:val="24"/>
        </w:rPr>
        <w:t>高架油罐</w:t>
      </w:r>
    </w:p>
    <w:p w14:paraId="7757430A"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1</w:t>
      </w:r>
      <w:r>
        <w:rPr>
          <w:rFonts w:hint="eastAsia"/>
          <w:kern w:val="0"/>
          <w:sz w:val="24"/>
          <w:lang w:val="zh-CN"/>
        </w:rPr>
        <w:t>）人员操作及设备失效</w:t>
      </w:r>
    </w:p>
    <w:p w14:paraId="69B3CA05"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原油的进罐注入操作，液位控制失效、违章操作、巡检不到位等，有过度充装超压、外溢的危险，可导致中毒、火灾事故。原油储罐一旦发生火灾，由于原油的沸溢性，会产生沸溢和喷溅现象。</w:t>
      </w:r>
    </w:p>
    <w:p w14:paraId="315A1788"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进出油罐的原油输量过大，超过了安全阀、呼吸阀的设计能力，可能引起瘪罐、胀罐事故，造成油气泄漏，导致中毒、火灾事故。</w:t>
      </w:r>
    </w:p>
    <w:p w14:paraId="68457D97"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冬季气温低，若储罐的保温措施不当，储罐内原油发生凝固，易对储罐内的附属设施造成损坏，严重时造成储罐的变形。</w:t>
      </w:r>
    </w:p>
    <w:p w14:paraId="4CF00B1B"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原油储罐储存易受高温、日晒影响，原油膨胀与挥发造成储罐内压力升高，有超压的危险，当安全阀、呼吸阀失效时，严重可导致罐体破裂造成原油泄漏，引发火灾、爆炸事故。</w:t>
      </w:r>
    </w:p>
    <w:p w14:paraId="2FE6F150"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lastRenderedPageBreak/>
        <w:t>（</w:t>
      </w:r>
      <w:r>
        <w:rPr>
          <w:rFonts w:hint="eastAsia"/>
          <w:kern w:val="0"/>
          <w:sz w:val="24"/>
        </w:rPr>
        <w:t>2</w:t>
      </w:r>
      <w:r>
        <w:rPr>
          <w:rFonts w:hint="eastAsia"/>
          <w:kern w:val="0"/>
          <w:sz w:val="24"/>
          <w:lang w:val="zh-CN"/>
        </w:rPr>
        <w:t>）腐蚀</w:t>
      </w:r>
    </w:p>
    <w:p w14:paraId="49C4501F"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储罐内储存有原油、水，采出水含盐量高对金属腐蚀性强，在潮湿环境下对设备产生强烈腐蚀；当没有采取防腐措施或防腐措施不当时，可造成罐顶、罐壁、罐底腐蚀。当原油含硫量高时，储罐腐蚀程度加大，而且罐底、罐顶腐蚀比罐壁更为严重，当储罐腐蚀穿孔时可造成油、气泄漏导致中毒、火灾、爆炸事故。</w:t>
      </w:r>
    </w:p>
    <w:p w14:paraId="0B4288BC"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储罐与外部连接的法兰、阀门、人孔及排污等，由于安装质量或漏装垫片，以及使用过程中腐蚀穿孔，或因底板焊接不良，而产生疲劳造成的裂缝等，均可引发油气泄漏造成火灾、爆炸事故。</w:t>
      </w:r>
    </w:p>
    <w:p w14:paraId="1284551D" w14:textId="77777777" w:rsidR="003D6A63" w:rsidRDefault="00000000">
      <w:pPr>
        <w:adjustRightInd w:val="0"/>
        <w:snapToGrid w:val="0"/>
        <w:spacing w:line="360" w:lineRule="auto"/>
        <w:ind w:firstLineChars="100" w:firstLine="240"/>
        <w:rPr>
          <w:kern w:val="0"/>
          <w:sz w:val="24"/>
          <w:lang w:val="zh-CN"/>
        </w:rPr>
      </w:pPr>
      <w:r>
        <w:rPr>
          <w:rFonts w:hint="eastAsia"/>
          <w:kern w:val="0"/>
          <w:sz w:val="24"/>
          <w:lang w:val="zh-CN"/>
        </w:rPr>
        <w:t>（</w:t>
      </w:r>
      <w:r>
        <w:rPr>
          <w:rFonts w:hint="eastAsia"/>
          <w:kern w:val="0"/>
          <w:sz w:val="24"/>
        </w:rPr>
        <w:t>3</w:t>
      </w:r>
      <w:r>
        <w:rPr>
          <w:rFonts w:hint="eastAsia"/>
          <w:kern w:val="0"/>
          <w:sz w:val="24"/>
          <w:lang w:val="zh-CN"/>
        </w:rPr>
        <w:t>）其他</w:t>
      </w:r>
    </w:p>
    <w:p w14:paraId="79C1F194"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储罐附体等安全附件腐蚀失效，导致巡检人员高处坠落事故；高处零件掉落导致物体打击事故等。</w:t>
      </w:r>
    </w:p>
    <w:p w14:paraId="205DB5E0" w14:textId="77777777" w:rsidR="003D6A63" w:rsidRDefault="00000000">
      <w:pPr>
        <w:pStyle w:val="nlw4"/>
        <w:spacing w:beforeLines="0" w:before="0" w:after="0" w:line="360" w:lineRule="auto"/>
        <w:rPr>
          <w:rFonts w:eastAsia="宋体"/>
          <w:b/>
          <w:kern w:val="2"/>
          <w:sz w:val="24"/>
          <w:lang w:val="zh-CN"/>
        </w:rPr>
      </w:pPr>
      <w:r>
        <w:rPr>
          <w:rFonts w:eastAsia="宋体" w:hint="eastAsia"/>
          <w:b/>
          <w:kern w:val="2"/>
          <w:sz w:val="24"/>
        </w:rPr>
        <w:t>3.3.3.4</w:t>
      </w:r>
      <w:r>
        <w:rPr>
          <w:rFonts w:eastAsia="宋体" w:hint="eastAsia"/>
          <w:b/>
          <w:kern w:val="2"/>
          <w:sz w:val="24"/>
          <w:lang w:val="zh-CN"/>
        </w:rPr>
        <w:t>原油装卸设施</w:t>
      </w:r>
    </w:p>
    <w:p w14:paraId="461716A2" w14:textId="77777777" w:rsidR="003D6A63" w:rsidRDefault="00000000">
      <w:pPr>
        <w:spacing w:line="360" w:lineRule="auto"/>
        <w:ind w:firstLine="471"/>
        <w:rPr>
          <w:kern w:val="0"/>
          <w:sz w:val="24"/>
          <w:lang w:val="zh-CN"/>
        </w:rPr>
      </w:pPr>
      <w:r>
        <w:rPr>
          <w:rFonts w:hint="eastAsia"/>
          <w:kern w:val="0"/>
          <w:sz w:val="24"/>
          <w:lang w:val="zh-CN"/>
        </w:rPr>
        <w:t>部分井场原油通过汽车拉运，井场储油罐老化破损可能引发油品泄漏，防雷静电接地不合格或用电不规范，都有可能造成火灾。装车过程中，不按规程操作，也可能发生火灾事故。</w:t>
      </w:r>
    </w:p>
    <w:p w14:paraId="7ECC30E5"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通过油罐车拉至集输泵站进行计量及处理时，油罐车在卸油台通过卸油口卸入地下罐。除了汽车油罐车在站内的车辆事故外，在装卸原油的过程中，因为泄漏、静电等原因造成的火灾、爆炸事故风险最大，损失最高。</w:t>
      </w:r>
    </w:p>
    <w:p w14:paraId="7A7CBE8B"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汽车进入站场若未装防火帽，燃烧废气经排气管排除时，可能会有火星一起排出，油气处理、储存不免有油蒸气逸出，而汽车装油作业时则会有更多的油蒸气，遇到尾气火星则会被引燃发生爆炸燃烧。</w:t>
      </w:r>
    </w:p>
    <w:p w14:paraId="1EA6D65B"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罐车装卸油时，若液位指示报警及控制系统失效，有可能造成卸油罐液面超高外溢。由于场地或司机操作等原因，汽车在装卸油过程中意外行驶，致使原油泄漏。</w:t>
      </w:r>
    </w:p>
    <w:p w14:paraId="017A1E47"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油罐车未接地或接地不良进行装卸作业，进油时流速过高，易产生大量静电，静电放电打火易点燃油蒸气混合气体。静电主要产生的部位是泵、过滤器和管道。</w:t>
      </w:r>
    </w:p>
    <w:p w14:paraId="44E84CA1" w14:textId="77777777" w:rsidR="003D6A63" w:rsidRDefault="00000000">
      <w:pPr>
        <w:pStyle w:val="nlw4"/>
        <w:spacing w:beforeLines="0" w:before="0" w:after="0" w:line="360" w:lineRule="auto"/>
        <w:rPr>
          <w:rFonts w:eastAsia="宋体"/>
          <w:b/>
          <w:kern w:val="2"/>
          <w:sz w:val="24"/>
          <w:lang w:val="zh-CN"/>
        </w:rPr>
      </w:pPr>
      <w:r>
        <w:rPr>
          <w:rFonts w:eastAsia="宋体" w:hint="eastAsia"/>
          <w:b/>
          <w:kern w:val="2"/>
          <w:sz w:val="24"/>
        </w:rPr>
        <w:t>3.3.3.5</w:t>
      </w:r>
      <w:r>
        <w:rPr>
          <w:rFonts w:eastAsia="宋体" w:hint="eastAsia"/>
          <w:b/>
          <w:kern w:val="2"/>
          <w:sz w:val="24"/>
        </w:rPr>
        <w:t>输油</w:t>
      </w:r>
      <w:r>
        <w:rPr>
          <w:rFonts w:eastAsia="宋体" w:hint="eastAsia"/>
          <w:b/>
          <w:kern w:val="2"/>
          <w:sz w:val="24"/>
          <w:lang w:val="zh-CN"/>
        </w:rPr>
        <w:t>泵</w:t>
      </w:r>
    </w:p>
    <w:p w14:paraId="1ED0973B" w14:textId="77777777" w:rsidR="003D6A63" w:rsidRDefault="00000000">
      <w:pPr>
        <w:adjustRightInd w:val="0"/>
        <w:snapToGrid w:val="0"/>
        <w:spacing w:line="360" w:lineRule="auto"/>
        <w:ind w:firstLineChars="100" w:firstLine="240"/>
        <w:rPr>
          <w:kern w:val="0"/>
          <w:sz w:val="24"/>
        </w:rPr>
      </w:pPr>
      <w:r>
        <w:rPr>
          <w:rFonts w:hint="eastAsia"/>
          <w:kern w:val="0"/>
          <w:sz w:val="24"/>
        </w:rPr>
        <w:t>（</w:t>
      </w:r>
      <w:r>
        <w:rPr>
          <w:rFonts w:hint="eastAsia"/>
          <w:kern w:val="0"/>
          <w:sz w:val="24"/>
        </w:rPr>
        <w:t>1</w:t>
      </w:r>
      <w:r>
        <w:rPr>
          <w:rFonts w:hint="eastAsia"/>
          <w:kern w:val="0"/>
          <w:sz w:val="24"/>
        </w:rPr>
        <w:t>）机械伤害</w:t>
      </w:r>
    </w:p>
    <w:p w14:paraId="4346701A"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生产站场输油泵的传动件、转动部位，若防护罩失效或残缺，人体接触时就有机械伤害的危险。正常生产期间，作业人员在没有停机的情况下进行作业或维修，造成机械伤害事故发生。</w:t>
      </w:r>
    </w:p>
    <w:p w14:paraId="00475BBB" w14:textId="77777777" w:rsidR="003D6A63" w:rsidRDefault="00000000">
      <w:pPr>
        <w:adjustRightInd w:val="0"/>
        <w:snapToGrid w:val="0"/>
        <w:spacing w:line="360" w:lineRule="auto"/>
        <w:ind w:firstLineChars="100" w:firstLine="240"/>
        <w:rPr>
          <w:kern w:val="0"/>
          <w:sz w:val="24"/>
        </w:rPr>
      </w:pPr>
      <w:r>
        <w:rPr>
          <w:rFonts w:hint="eastAsia"/>
          <w:kern w:val="0"/>
          <w:sz w:val="24"/>
        </w:rPr>
        <w:lastRenderedPageBreak/>
        <w:t>（</w:t>
      </w:r>
      <w:r>
        <w:rPr>
          <w:rFonts w:hint="eastAsia"/>
          <w:kern w:val="0"/>
          <w:sz w:val="24"/>
        </w:rPr>
        <w:t>2</w:t>
      </w:r>
      <w:r>
        <w:rPr>
          <w:rFonts w:hint="eastAsia"/>
          <w:kern w:val="0"/>
          <w:sz w:val="24"/>
        </w:rPr>
        <w:t>）火灾爆炸</w:t>
      </w:r>
    </w:p>
    <w:p w14:paraId="4C96D6F2"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输油泵部件磨损老化、密封不良、设备维修、管道腐蚀等原因，可能造成油气泄漏，如维修时使用非防爆工具、泵房内动火或操作人员未使用防静电劳动防护用品等，有可能造成火灾爆炸事故。</w:t>
      </w:r>
    </w:p>
    <w:p w14:paraId="51C0DCBA"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输油泵房内的电机、启动开关、仪器仪表等电气设备，若未按要求使用防爆电器或防爆等级不足，则当泵房内由于泄漏而使空气中的原油蒸气浓度达到爆炸极限范围之内时，上述电器在启动、关闭时产生的电火花有可能引发爆炸。</w:t>
      </w:r>
    </w:p>
    <w:p w14:paraId="6EE0B97D" w14:textId="77777777" w:rsidR="003D6A63" w:rsidRDefault="00000000">
      <w:pPr>
        <w:adjustRightInd w:val="0"/>
        <w:snapToGrid w:val="0"/>
        <w:spacing w:line="360" w:lineRule="auto"/>
        <w:ind w:firstLineChars="100" w:firstLine="240"/>
        <w:rPr>
          <w:kern w:val="0"/>
          <w:sz w:val="24"/>
        </w:rPr>
      </w:pPr>
      <w:r>
        <w:rPr>
          <w:rFonts w:hint="eastAsia"/>
          <w:kern w:val="0"/>
          <w:sz w:val="24"/>
        </w:rPr>
        <w:t>（</w:t>
      </w:r>
      <w:r>
        <w:rPr>
          <w:rFonts w:hint="eastAsia"/>
          <w:kern w:val="0"/>
          <w:sz w:val="24"/>
        </w:rPr>
        <w:t>3</w:t>
      </w:r>
      <w:r>
        <w:rPr>
          <w:rFonts w:hint="eastAsia"/>
          <w:kern w:val="0"/>
          <w:sz w:val="24"/>
        </w:rPr>
        <w:t>）噪声</w:t>
      </w:r>
    </w:p>
    <w:p w14:paraId="3E38DC28"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机泵产生的噪声较大，其中注水泵房内的噪声较为突出。工作人员长期在高噪声环境下工作，不仅会损伤他们的听觉，而且也会对他们的神经、心脏及消化系统等产生不良影响。另外噪声还会使工作人员的情绪烦躁，降低工作效率，有时甚至会导致误动作而引起事故的发生。</w:t>
      </w:r>
    </w:p>
    <w:p w14:paraId="2662CC2A" w14:textId="77777777" w:rsidR="003D6A63" w:rsidRDefault="00000000">
      <w:pPr>
        <w:adjustRightInd w:val="0"/>
        <w:snapToGrid w:val="0"/>
        <w:spacing w:line="360" w:lineRule="auto"/>
        <w:ind w:firstLineChars="100" w:firstLine="240"/>
        <w:rPr>
          <w:kern w:val="0"/>
          <w:sz w:val="24"/>
        </w:rPr>
      </w:pPr>
      <w:r>
        <w:rPr>
          <w:rFonts w:hint="eastAsia"/>
          <w:kern w:val="0"/>
          <w:sz w:val="24"/>
        </w:rPr>
        <w:t>（</w:t>
      </w:r>
      <w:r>
        <w:rPr>
          <w:rFonts w:hint="eastAsia"/>
          <w:kern w:val="0"/>
          <w:sz w:val="24"/>
        </w:rPr>
        <w:t>4</w:t>
      </w:r>
      <w:r>
        <w:rPr>
          <w:rFonts w:hint="eastAsia"/>
          <w:kern w:val="0"/>
          <w:sz w:val="24"/>
        </w:rPr>
        <w:t>）触电</w:t>
      </w:r>
    </w:p>
    <w:p w14:paraId="373F34BC"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泵类设备的带电部位、带电导线是引发触电事故的危险源。人体触及带电的导线、漏电泵类设备的外壳都可能导致触电事故发生。</w:t>
      </w:r>
    </w:p>
    <w:p w14:paraId="0ED6E319" w14:textId="77777777" w:rsidR="003D6A63" w:rsidRDefault="00000000">
      <w:pPr>
        <w:pStyle w:val="nlw4"/>
        <w:spacing w:beforeLines="0" w:before="0" w:after="0" w:line="360" w:lineRule="auto"/>
        <w:rPr>
          <w:rFonts w:eastAsia="宋体"/>
          <w:b/>
          <w:kern w:val="2"/>
          <w:sz w:val="24"/>
          <w:lang w:val="zh-CN"/>
        </w:rPr>
      </w:pPr>
      <w:r>
        <w:rPr>
          <w:rFonts w:eastAsia="宋体" w:hint="eastAsia"/>
          <w:b/>
          <w:kern w:val="2"/>
          <w:sz w:val="24"/>
          <w:lang w:val="zh-CN"/>
        </w:rPr>
        <w:t>3.3.</w:t>
      </w:r>
      <w:r>
        <w:rPr>
          <w:rFonts w:eastAsia="宋体" w:hint="eastAsia"/>
          <w:b/>
          <w:kern w:val="2"/>
          <w:sz w:val="24"/>
        </w:rPr>
        <w:t>3.6</w:t>
      </w:r>
      <w:r>
        <w:rPr>
          <w:rFonts w:eastAsia="宋体" w:hint="eastAsia"/>
          <w:b/>
          <w:kern w:val="2"/>
          <w:sz w:val="24"/>
          <w:lang w:val="zh-CN"/>
        </w:rPr>
        <w:t>加热炉</w:t>
      </w:r>
    </w:p>
    <w:p w14:paraId="64D2DE8B" w14:textId="77777777" w:rsidR="003D6A63" w:rsidRDefault="00000000">
      <w:pPr>
        <w:adjustRightInd w:val="0"/>
        <w:snapToGrid w:val="0"/>
        <w:spacing w:line="360" w:lineRule="auto"/>
        <w:ind w:firstLine="471"/>
        <w:rPr>
          <w:kern w:val="0"/>
          <w:sz w:val="24"/>
          <w:lang w:val="zh-CN"/>
        </w:rPr>
      </w:pPr>
      <w:r>
        <w:rPr>
          <w:rFonts w:hint="eastAsia"/>
          <w:kern w:val="0"/>
          <w:sz w:val="24"/>
        </w:rPr>
        <w:t>加热炉</w:t>
      </w:r>
      <w:r>
        <w:rPr>
          <w:rFonts w:hint="eastAsia"/>
          <w:kern w:val="0"/>
          <w:sz w:val="24"/>
          <w:lang w:val="zh-CN"/>
        </w:rPr>
        <w:t>燃料管线由于法兰接头、开关、阀门出现故障或管道受损，泄漏的天然气，被燃烧器的火焰或其他点火源引燃而着火。</w:t>
      </w:r>
    </w:p>
    <w:p w14:paraId="08B057A3"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在点火开工阶段，燃料气可能与空气形成混合物；燃烧器或喷嘴的火焰突然熄灭而燃料继续供应时发生爆炸，熄火的原因有多种，如气体燃料管中产生了凝结水，临时中断进料，也可能发生熄火现象，熄火后，进入炉膛的燃料蒸发，其蒸气和空气可形成爆炸性混合物。</w:t>
      </w:r>
    </w:p>
    <w:p w14:paraId="701EB339"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启动时未按照操作规程进行吹扫，炉膛或管线内残留一定量的燃料气，易导致启动瞬间发生燃烧爆炸；阀门或管线堵塞容易造成憋压，导致爆炸；工艺设备或工艺管线气密泄露，易造成着火或爆炸，泄露的有毒气体有毒有害物质可导致中毒或窒息事故。停炉时未按照操作规程关闭相关阀门，导致冷热油相互流窜发生突沸爆炸事故。燃烧器、控制系统出现故障会造成着火或爆炸。</w:t>
      </w:r>
    </w:p>
    <w:p w14:paraId="64CE7596" w14:textId="77777777" w:rsidR="003D6A63" w:rsidRDefault="00000000">
      <w:pPr>
        <w:pStyle w:val="nlw4"/>
        <w:spacing w:beforeLines="0" w:before="0" w:after="0" w:line="360" w:lineRule="auto"/>
        <w:rPr>
          <w:rFonts w:eastAsia="宋体"/>
          <w:b/>
          <w:kern w:val="2"/>
          <w:sz w:val="24"/>
        </w:rPr>
      </w:pPr>
      <w:r>
        <w:rPr>
          <w:rFonts w:eastAsia="宋体" w:hint="eastAsia"/>
          <w:b/>
          <w:kern w:val="2"/>
          <w:sz w:val="24"/>
          <w:lang w:val="zh-CN"/>
        </w:rPr>
        <w:t>3.3.</w:t>
      </w:r>
      <w:r>
        <w:rPr>
          <w:rFonts w:eastAsia="宋体" w:hint="eastAsia"/>
          <w:b/>
          <w:kern w:val="2"/>
          <w:sz w:val="24"/>
        </w:rPr>
        <w:t>3.7</w:t>
      </w:r>
      <w:r>
        <w:rPr>
          <w:rFonts w:eastAsia="宋体" w:hint="eastAsia"/>
          <w:b/>
          <w:kern w:val="2"/>
          <w:sz w:val="24"/>
        </w:rPr>
        <w:t>油井多项存储收集器</w:t>
      </w:r>
    </w:p>
    <w:p w14:paraId="5F81DA46" w14:textId="77777777" w:rsidR="003D6A63" w:rsidRDefault="00000000">
      <w:pPr>
        <w:adjustRightInd w:val="0"/>
        <w:snapToGrid w:val="0"/>
        <w:spacing w:line="360" w:lineRule="auto"/>
        <w:ind w:firstLine="471"/>
        <w:rPr>
          <w:kern w:val="0"/>
          <w:sz w:val="24"/>
          <w:lang w:val="zh-CN"/>
        </w:rPr>
      </w:pPr>
      <w:r>
        <w:rPr>
          <w:rFonts w:hint="eastAsia"/>
          <w:kern w:val="0"/>
          <w:sz w:val="24"/>
        </w:rPr>
        <w:t>油井多项存储收集器（多功能罐）油井产液通过单井管线进入收集器后进行油气分离，分离出来的天然气供收集器加温使用，计量机构能够直接反映出收集器内液体的方</w:t>
      </w:r>
      <w:r>
        <w:rPr>
          <w:rFonts w:hint="eastAsia"/>
          <w:kern w:val="0"/>
          <w:sz w:val="24"/>
        </w:rPr>
        <w:lastRenderedPageBreak/>
        <w:t>数和产液量的变化，综合计量油井的瞬时产量和累计产量，温度计计量收集器内液体的温度变化。需要拉油时，用收集器内的气体弹性能量卸油。油井多项存储收集器是压力容器。运行过程中存在超压爆炸、泄漏引起的火灾爆炸等危险因素。</w:t>
      </w:r>
    </w:p>
    <w:p w14:paraId="139FA705" w14:textId="77777777" w:rsidR="003D6A63" w:rsidRDefault="00000000">
      <w:pPr>
        <w:adjustRightInd w:val="0"/>
        <w:snapToGrid w:val="0"/>
        <w:spacing w:line="360" w:lineRule="auto"/>
        <w:ind w:firstLineChars="100" w:firstLine="240"/>
        <w:rPr>
          <w:kern w:val="0"/>
          <w:sz w:val="24"/>
          <w:lang w:val="zh-CN"/>
        </w:rPr>
      </w:pPr>
      <w:r>
        <w:rPr>
          <w:rFonts w:hint="eastAsia"/>
          <w:kern w:val="0"/>
          <w:sz w:val="24"/>
        </w:rPr>
        <w:t>（</w:t>
      </w:r>
      <w:r>
        <w:rPr>
          <w:kern w:val="0"/>
          <w:sz w:val="24"/>
        </w:rPr>
        <w:t>1</w:t>
      </w:r>
      <w:r>
        <w:rPr>
          <w:rFonts w:hint="eastAsia"/>
          <w:kern w:val="0"/>
          <w:sz w:val="24"/>
        </w:rPr>
        <w:t>）超压</w:t>
      </w:r>
    </w:p>
    <w:p w14:paraId="6ED71A65" w14:textId="77777777" w:rsidR="003D6A63" w:rsidRDefault="00000000">
      <w:pPr>
        <w:adjustRightInd w:val="0"/>
        <w:snapToGrid w:val="0"/>
        <w:spacing w:line="360" w:lineRule="auto"/>
        <w:ind w:firstLine="471"/>
        <w:rPr>
          <w:kern w:val="0"/>
          <w:sz w:val="24"/>
          <w:lang w:val="zh-CN"/>
        </w:rPr>
      </w:pPr>
      <w:r>
        <w:rPr>
          <w:rFonts w:hint="eastAsia"/>
          <w:kern w:val="0"/>
          <w:sz w:val="24"/>
        </w:rPr>
        <w:t>多功能罐液位控制系统失效，油水出路被脏的过滤器堵死或者原油凝管造成管道堵塞，会使容器内部油水液位上升，容器内压力增大，上部原油向顶部的气体管线涌入，当压力增高到一定程度时，安全阀打开油气水泄漏，油气水泄漏不但会造成设备污染，遇明火还会造成火灾甚至爆炸事故。若安全阀失效还可能会导致更加危险的容器爆炸。</w:t>
      </w:r>
    </w:p>
    <w:p w14:paraId="4D1C7BA4" w14:textId="77777777" w:rsidR="003D6A63" w:rsidRDefault="00000000">
      <w:pPr>
        <w:adjustRightInd w:val="0"/>
        <w:snapToGrid w:val="0"/>
        <w:spacing w:line="360" w:lineRule="auto"/>
        <w:ind w:firstLineChars="100" w:firstLine="240"/>
        <w:rPr>
          <w:kern w:val="0"/>
          <w:sz w:val="24"/>
          <w:lang w:val="zh-CN"/>
        </w:rPr>
      </w:pPr>
      <w:r>
        <w:rPr>
          <w:rFonts w:hint="eastAsia"/>
          <w:kern w:val="0"/>
          <w:sz w:val="24"/>
        </w:rPr>
        <w:t>（</w:t>
      </w:r>
      <w:r>
        <w:rPr>
          <w:kern w:val="0"/>
          <w:sz w:val="24"/>
        </w:rPr>
        <w:t>2</w:t>
      </w:r>
      <w:r>
        <w:rPr>
          <w:rFonts w:hint="eastAsia"/>
          <w:kern w:val="0"/>
          <w:sz w:val="24"/>
        </w:rPr>
        <w:t>）罐体泄漏</w:t>
      </w:r>
    </w:p>
    <w:p w14:paraId="58C03298" w14:textId="77777777" w:rsidR="003D6A63" w:rsidRDefault="00000000">
      <w:pPr>
        <w:adjustRightInd w:val="0"/>
        <w:snapToGrid w:val="0"/>
        <w:spacing w:line="360" w:lineRule="auto"/>
        <w:ind w:firstLine="471"/>
        <w:rPr>
          <w:kern w:val="0"/>
          <w:sz w:val="24"/>
          <w:lang w:val="zh-CN"/>
        </w:rPr>
      </w:pPr>
      <w:r>
        <w:rPr>
          <w:rFonts w:hint="eastAsia"/>
          <w:kern w:val="0"/>
          <w:sz w:val="24"/>
        </w:rPr>
        <w:t>同站内加热炉、三相分离器一样，腐蚀是造成罐体及管线等附件泄漏重要因素。包括腐蚀减薄、应力腐蚀开裂、外部腐蚀，设计时未按照规范选取合适的腐蚀裕量，设备未能满足安全检验周期等。</w:t>
      </w:r>
    </w:p>
    <w:p w14:paraId="6061E043" w14:textId="77777777" w:rsidR="003D6A63" w:rsidRDefault="00000000">
      <w:pPr>
        <w:adjustRightInd w:val="0"/>
        <w:snapToGrid w:val="0"/>
        <w:spacing w:line="360" w:lineRule="auto"/>
        <w:ind w:firstLineChars="100" w:firstLine="240"/>
        <w:rPr>
          <w:kern w:val="0"/>
          <w:sz w:val="24"/>
          <w:lang w:val="zh-CN"/>
        </w:rPr>
      </w:pPr>
      <w:r>
        <w:rPr>
          <w:rFonts w:hint="eastAsia"/>
          <w:kern w:val="0"/>
          <w:sz w:val="24"/>
        </w:rPr>
        <w:t>（</w:t>
      </w:r>
      <w:r>
        <w:rPr>
          <w:kern w:val="0"/>
          <w:sz w:val="24"/>
        </w:rPr>
        <w:t>3</w:t>
      </w:r>
      <w:r>
        <w:rPr>
          <w:rFonts w:hint="eastAsia"/>
          <w:kern w:val="0"/>
          <w:sz w:val="24"/>
        </w:rPr>
        <w:t>）自控设备及安全附件失效</w:t>
      </w:r>
    </w:p>
    <w:p w14:paraId="25E54B86"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自控设备可靠性是系统安全运行的重要条件，各类型传感器由于种种原因（质量、安装、维护、自然条件等）造成失效，数据传输错误会导致远程控制错误，例如压力、温度数据错误造成系统超压、超温运行或者控制失效等</w:t>
      </w:r>
      <w:r>
        <w:rPr>
          <w:rFonts w:hint="eastAsia"/>
          <w:kern w:val="0"/>
          <w:sz w:val="24"/>
        </w:rPr>
        <w:t>。</w:t>
      </w:r>
    </w:p>
    <w:p w14:paraId="688F1DB5" w14:textId="77777777" w:rsidR="003D6A63" w:rsidRDefault="00000000">
      <w:pPr>
        <w:adjustRightInd w:val="0"/>
        <w:snapToGrid w:val="0"/>
        <w:spacing w:line="360" w:lineRule="auto"/>
        <w:ind w:firstLineChars="100" w:firstLine="240"/>
        <w:rPr>
          <w:kern w:val="0"/>
          <w:sz w:val="24"/>
          <w:lang w:val="zh-CN"/>
        </w:rPr>
      </w:pPr>
      <w:r>
        <w:rPr>
          <w:rFonts w:hint="eastAsia"/>
          <w:kern w:val="0"/>
          <w:sz w:val="24"/>
        </w:rPr>
        <w:t>（</w:t>
      </w:r>
      <w:r>
        <w:rPr>
          <w:kern w:val="0"/>
          <w:sz w:val="24"/>
        </w:rPr>
        <w:t>4</w:t>
      </w:r>
      <w:r>
        <w:rPr>
          <w:rFonts w:hint="eastAsia"/>
          <w:kern w:val="0"/>
          <w:sz w:val="24"/>
        </w:rPr>
        <w:t>）管道泄漏</w:t>
      </w:r>
    </w:p>
    <w:p w14:paraId="55739446" w14:textId="77777777" w:rsidR="003D6A63" w:rsidRDefault="00000000">
      <w:pPr>
        <w:adjustRightInd w:val="0"/>
        <w:snapToGrid w:val="0"/>
        <w:spacing w:line="360" w:lineRule="auto"/>
        <w:ind w:firstLine="471"/>
        <w:rPr>
          <w:kern w:val="0"/>
          <w:sz w:val="24"/>
          <w:lang w:val="zh-CN"/>
        </w:rPr>
      </w:pPr>
      <w:r>
        <w:rPr>
          <w:rFonts w:hint="eastAsia"/>
          <w:kern w:val="0"/>
          <w:sz w:val="24"/>
        </w:rPr>
        <w:t>连接多功能罐的管道通常在一定压力下运行，原油在管道内部发生凝结；管道设计的失误导致管线壁厚达不到运行要求；或选用的管材本身存在质量缺陷，强度不够；或管线在运行、安装过程中受到外力损伤没有检查修复、更换；或管线受到大气、土壤的腐蚀导致强度降低等，上述因素均可能导致管道发生刺漏，进而导致油气泄漏。管道的腐蚀也会使管壁发生减薄，造成泄漏。</w:t>
      </w:r>
    </w:p>
    <w:p w14:paraId="4E0C345F" w14:textId="77777777" w:rsidR="003D6A63" w:rsidRDefault="00000000">
      <w:pPr>
        <w:adjustRightInd w:val="0"/>
        <w:snapToGrid w:val="0"/>
        <w:spacing w:line="360" w:lineRule="auto"/>
        <w:ind w:firstLine="471"/>
        <w:rPr>
          <w:kern w:val="0"/>
          <w:sz w:val="24"/>
          <w:lang w:val="zh-CN"/>
        </w:rPr>
      </w:pPr>
      <w:r>
        <w:rPr>
          <w:rFonts w:hint="eastAsia"/>
          <w:kern w:val="0"/>
          <w:sz w:val="24"/>
        </w:rPr>
        <w:t>多功能罐燃料多使用未净化处理的天然气，析出的凝液容易使燃料气管线堵塞或冻结，使燃料气供给中断，炉火熄灭。当被暂时堵塞的管线由于压力增高被冲开时，向炉膛内充气，甚至蔓延到炉外，易引起火灾。</w:t>
      </w:r>
    </w:p>
    <w:p w14:paraId="4541EC6A" w14:textId="77777777" w:rsidR="003D6A63" w:rsidRDefault="00000000">
      <w:pPr>
        <w:pStyle w:val="nlw4"/>
        <w:spacing w:beforeLines="0" w:before="0" w:after="0" w:line="360" w:lineRule="auto"/>
        <w:rPr>
          <w:rFonts w:eastAsia="宋体"/>
          <w:b/>
          <w:kern w:val="2"/>
          <w:sz w:val="24"/>
        </w:rPr>
      </w:pPr>
      <w:r>
        <w:rPr>
          <w:rFonts w:eastAsia="宋体" w:hint="eastAsia"/>
          <w:b/>
          <w:kern w:val="2"/>
          <w:sz w:val="24"/>
        </w:rPr>
        <w:t>3.3.3.8</w:t>
      </w:r>
      <w:r>
        <w:rPr>
          <w:rFonts w:eastAsia="宋体" w:hint="eastAsia"/>
          <w:b/>
          <w:kern w:val="2"/>
          <w:sz w:val="24"/>
        </w:rPr>
        <w:t>油气管线</w:t>
      </w:r>
    </w:p>
    <w:p w14:paraId="0D17786D" w14:textId="77777777" w:rsidR="003D6A63" w:rsidRDefault="00000000">
      <w:pPr>
        <w:spacing w:line="360" w:lineRule="auto"/>
        <w:ind w:firstLineChars="200" w:firstLine="480"/>
        <w:rPr>
          <w:kern w:val="0"/>
          <w:sz w:val="24"/>
          <w:lang w:val="zh-CN"/>
        </w:rPr>
      </w:pPr>
      <w:r>
        <w:rPr>
          <w:rFonts w:hint="eastAsia"/>
          <w:kern w:val="0"/>
          <w:sz w:val="24"/>
          <w:lang w:val="zh-CN"/>
        </w:rPr>
        <w:t>主要包括单井</w:t>
      </w:r>
      <w:r>
        <w:rPr>
          <w:rFonts w:hint="eastAsia"/>
          <w:kern w:val="0"/>
          <w:sz w:val="24"/>
        </w:rPr>
        <w:t>集油</w:t>
      </w:r>
      <w:r>
        <w:rPr>
          <w:rFonts w:hint="eastAsia"/>
          <w:kern w:val="0"/>
          <w:sz w:val="24"/>
          <w:lang w:val="zh-CN"/>
        </w:rPr>
        <w:t>管线、</w:t>
      </w:r>
      <w:r>
        <w:rPr>
          <w:rFonts w:hint="eastAsia"/>
          <w:kern w:val="0"/>
          <w:sz w:val="24"/>
        </w:rPr>
        <w:t>外输</w:t>
      </w:r>
      <w:r>
        <w:rPr>
          <w:rFonts w:hint="eastAsia"/>
          <w:kern w:val="0"/>
          <w:sz w:val="24"/>
          <w:lang w:val="zh-CN"/>
        </w:rPr>
        <w:t>集油管线等。管道输送的介质主要是含水原油和伴生气。其在输送过程中存在一定的压力和温度，正常情况下是在密闭的管线中及密闭性良好的设备间加热输送，设施危险、有害因素主要有油气泄漏后遇明火造成的火灾、爆炸、中毒事故，造成油气泄漏原因有以下几点。</w:t>
      </w:r>
    </w:p>
    <w:p w14:paraId="58739FE0" w14:textId="77777777" w:rsidR="003D6A63" w:rsidRDefault="00000000">
      <w:pPr>
        <w:spacing w:line="360" w:lineRule="auto"/>
        <w:ind w:firstLineChars="100" w:firstLine="240"/>
        <w:rPr>
          <w:kern w:val="0"/>
          <w:sz w:val="24"/>
          <w:lang w:val="zh-CN"/>
        </w:rPr>
      </w:pPr>
      <w:r>
        <w:rPr>
          <w:rFonts w:hint="eastAsia"/>
          <w:kern w:val="0"/>
          <w:sz w:val="24"/>
          <w:lang w:val="zh-CN"/>
        </w:rPr>
        <w:lastRenderedPageBreak/>
        <w:t>（</w:t>
      </w:r>
      <w:r>
        <w:rPr>
          <w:rFonts w:hint="eastAsia"/>
          <w:kern w:val="0"/>
          <w:sz w:val="24"/>
        </w:rPr>
        <w:t>1</w:t>
      </w:r>
      <w:r>
        <w:rPr>
          <w:rFonts w:hint="eastAsia"/>
          <w:kern w:val="0"/>
          <w:sz w:val="24"/>
          <w:lang w:val="zh-CN"/>
        </w:rPr>
        <w:t>）设计缺陷</w:t>
      </w:r>
    </w:p>
    <w:p w14:paraId="66C929A4" w14:textId="77777777" w:rsidR="003D6A63" w:rsidRDefault="00000000">
      <w:pPr>
        <w:spacing w:line="360" w:lineRule="auto"/>
        <w:ind w:firstLineChars="200" w:firstLine="480"/>
        <w:rPr>
          <w:kern w:val="0"/>
          <w:sz w:val="24"/>
          <w:lang w:val="zh-CN"/>
        </w:rPr>
      </w:pPr>
      <w:r>
        <w:rPr>
          <w:rFonts w:hint="eastAsia"/>
          <w:kern w:val="0"/>
          <w:sz w:val="24"/>
          <w:lang w:val="zh-CN"/>
        </w:rPr>
        <w:t>管道设计过程中根据输送能力选用管径、材质时存在缺陷，容易留下隐患。如未根据地区等级合理选择管道安全系数，管径选用过细，管壁过薄，导致管线流速大，压降过大，易加大管线的负荷，影响管线的运行寿命。站内架空管线高度不满足要求，车辆碰撞导致损坏等。</w:t>
      </w:r>
    </w:p>
    <w:p w14:paraId="4E4F6D8A" w14:textId="77777777" w:rsidR="003D6A63" w:rsidRDefault="00000000">
      <w:pPr>
        <w:spacing w:line="360" w:lineRule="auto"/>
        <w:ind w:firstLineChars="100" w:firstLine="240"/>
        <w:rPr>
          <w:kern w:val="0"/>
          <w:sz w:val="24"/>
          <w:lang w:val="zh-CN"/>
        </w:rPr>
      </w:pPr>
      <w:r>
        <w:rPr>
          <w:rFonts w:hint="eastAsia"/>
          <w:kern w:val="0"/>
          <w:sz w:val="24"/>
          <w:lang w:val="zh-CN"/>
        </w:rPr>
        <w:t>（</w:t>
      </w:r>
      <w:r>
        <w:rPr>
          <w:rFonts w:hint="eastAsia"/>
          <w:kern w:val="0"/>
          <w:sz w:val="24"/>
        </w:rPr>
        <w:t>2</w:t>
      </w:r>
      <w:r>
        <w:rPr>
          <w:rFonts w:hint="eastAsia"/>
          <w:kern w:val="0"/>
          <w:sz w:val="24"/>
          <w:lang w:val="zh-CN"/>
        </w:rPr>
        <w:t>）凝管</w:t>
      </w:r>
    </w:p>
    <w:p w14:paraId="582A35BA" w14:textId="77777777" w:rsidR="003D6A63" w:rsidRDefault="00000000">
      <w:pPr>
        <w:spacing w:line="360" w:lineRule="auto"/>
        <w:ind w:firstLineChars="200" w:firstLine="480"/>
        <w:rPr>
          <w:kern w:val="0"/>
          <w:sz w:val="24"/>
          <w:lang w:val="zh-CN"/>
        </w:rPr>
      </w:pPr>
      <w:r>
        <w:rPr>
          <w:rFonts w:hint="eastAsia"/>
          <w:kern w:val="0"/>
          <w:sz w:val="24"/>
          <w:lang w:val="zh-CN"/>
        </w:rPr>
        <w:t>原油集输管线以埋地敷设方式为主，若埋地深度达不到最大冻土深度以下，或因其他原因造成覆土层变薄甚至使管线裸露或保温层不完善等原因会因冬季低温影响，造成凝管危险。凝管严重的情况下容易形成憋压，导致管线破裂。</w:t>
      </w:r>
    </w:p>
    <w:p w14:paraId="665BFE4E" w14:textId="77777777" w:rsidR="003D6A63" w:rsidRDefault="00000000">
      <w:pPr>
        <w:spacing w:line="360" w:lineRule="auto"/>
        <w:ind w:firstLineChars="100" w:firstLine="240"/>
        <w:rPr>
          <w:kern w:val="0"/>
          <w:sz w:val="24"/>
          <w:lang w:val="zh-CN"/>
        </w:rPr>
      </w:pPr>
      <w:r>
        <w:rPr>
          <w:rFonts w:hint="eastAsia"/>
          <w:kern w:val="0"/>
          <w:sz w:val="24"/>
          <w:lang w:val="zh-CN"/>
        </w:rPr>
        <w:t>（</w:t>
      </w:r>
      <w:r>
        <w:rPr>
          <w:rFonts w:hint="eastAsia"/>
          <w:kern w:val="0"/>
          <w:sz w:val="24"/>
        </w:rPr>
        <w:t>3</w:t>
      </w:r>
      <w:r>
        <w:rPr>
          <w:rFonts w:hint="eastAsia"/>
          <w:kern w:val="0"/>
          <w:sz w:val="24"/>
          <w:lang w:val="zh-CN"/>
        </w:rPr>
        <w:t>）冲蚀、内磨蚀</w:t>
      </w:r>
    </w:p>
    <w:p w14:paraId="7237D917" w14:textId="77777777" w:rsidR="003D6A63" w:rsidRDefault="00000000">
      <w:pPr>
        <w:spacing w:line="360" w:lineRule="auto"/>
        <w:ind w:firstLineChars="200" w:firstLine="480"/>
        <w:rPr>
          <w:kern w:val="0"/>
          <w:sz w:val="24"/>
          <w:lang w:val="zh-CN"/>
        </w:rPr>
      </w:pPr>
      <w:r>
        <w:rPr>
          <w:rFonts w:hint="eastAsia"/>
          <w:kern w:val="0"/>
          <w:sz w:val="24"/>
          <w:lang w:val="zh-CN"/>
        </w:rPr>
        <w:t>井区原油物性含盐水等杂质较多，管路中原油的流速过大，超过冲蚀速度时，会产生冲蚀现象，其结果会对弯头、三通等造成损害。同时原油中存在的盐等砂粒，对管壁产生磨蚀。</w:t>
      </w:r>
    </w:p>
    <w:p w14:paraId="639030A1" w14:textId="77777777" w:rsidR="003D6A63" w:rsidRDefault="00000000">
      <w:pPr>
        <w:spacing w:line="360" w:lineRule="auto"/>
        <w:ind w:firstLineChars="100" w:firstLine="240"/>
        <w:rPr>
          <w:kern w:val="0"/>
          <w:sz w:val="24"/>
          <w:lang w:val="zh-CN"/>
        </w:rPr>
      </w:pPr>
      <w:r>
        <w:rPr>
          <w:rFonts w:hint="eastAsia"/>
          <w:kern w:val="0"/>
          <w:sz w:val="24"/>
          <w:lang w:val="zh-CN"/>
        </w:rPr>
        <w:t>（</w:t>
      </w:r>
      <w:r>
        <w:rPr>
          <w:rFonts w:hint="eastAsia"/>
          <w:kern w:val="0"/>
          <w:sz w:val="24"/>
        </w:rPr>
        <w:t>4</w:t>
      </w:r>
      <w:r>
        <w:rPr>
          <w:rFonts w:hint="eastAsia"/>
          <w:kern w:val="0"/>
          <w:sz w:val="24"/>
          <w:lang w:val="zh-CN"/>
        </w:rPr>
        <w:t>）外腐蚀</w:t>
      </w:r>
    </w:p>
    <w:p w14:paraId="2DA67245" w14:textId="77777777" w:rsidR="003D6A63" w:rsidRDefault="00000000">
      <w:pPr>
        <w:spacing w:line="360" w:lineRule="auto"/>
        <w:ind w:firstLineChars="200" w:firstLine="480"/>
        <w:rPr>
          <w:kern w:val="0"/>
          <w:sz w:val="24"/>
          <w:lang w:val="zh-CN"/>
        </w:rPr>
      </w:pPr>
      <w:r>
        <w:rPr>
          <w:rFonts w:hint="eastAsia"/>
          <w:kern w:val="0"/>
          <w:sz w:val="24"/>
          <w:lang w:val="zh-CN"/>
        </w:rPr>
        <w:t>管线埋地敷设时，土壤颗粒中充满着空气、水和不同的盐类，其中水分和可溶性盐类的存在使土壤能进行离子导电，具有电解质溶液的特征，因而金属在土壤中将发生电化学腐蚀。土壤中由于细菌作用而引起的腐蚀，称为细菌腐蚀（或微生物腐蚀），也是埋地管道腐蚀的原因之一。</w:t>
      </w:r>
    </w:p>
    <w:p w14:paraId="657A9C7A" w14:textId="77777777" w:rsidR="003D6A63" w:rsidRDefault="00000000">
      <w:pPr>
        <w:spacing w:line="360" w:lineRule="auto"/>
        <w:ind w:firstLineChars="200" w:firstLine="480"/>
        <w:rPr>
          <w:kern w:val="0"/>
          <w:sz w:val="24"/>
          <w:lang w:val="zh-CN"/>
        </w:rPr>
      </w:pPr>
      <w:r>
        <w:rPr>
          <w:rFonts w:hint="eastAsia"/>
          <w:kern w:val="0"/>
          <w:sz w:val="24"/>
          <w:lang w:val="zh-CN"/>
        </w:rPr>
        <w:t>站内地面管线如果未采用管墩架设或架设高度无法达到规范要求，造成管线半埋于土壤之中，会加速腐蚀。</w:t>
      </w:r>
    </w:p>
    <w:p w14:paraId="2BD1E53D" w14:textId="77777777" w:rsidR="003D6A63" w:rsidRDefault="00000000">
      <w:pPr>
        <w:spacing w:line="360" w:lineRule="auto"/>
        <w:ind w:firstLineChars="200" w:firstLine="480"/>
        <w:rPr>
          <w:kern w:val="0"/>
          <w:sz w:val="24"/>
          <w:lang w:val="zh-CN"/>
        </w:rPr>
      </w:pPr>
      <w:r>
        <w:rPr>
          <w:rFonts w:hint="eastAsia"/>
          <w:kern w:val="0"/>
          <w:sz w:val="24"/>
          <w:lang w:val="zh-CN"/>
        </w:rPr>
        <w:t>由于工业和民用用电有意、无意地排入或漏泄至大地，土壤中有杂散电流流入管道，因而发生电解作用，电解池的阳极是遭受腐蚀部位。</w:t>
      </w:r>
    </w:p>
    <w:p w14:paraId="2E5424BC" w14:textId="77777777" w:rsidR="003D6A63" w:rsidRDefault="00000000">
      <w:pPr>
        <w:spacing w:line="360" w:lineRule="auto"/>
        <w:ind w:firstLineChars="100" w:firstLine="240"/>
        <w:rPr>
          <w:kern w:val="0"/>
          <w:sz w:val="24"/>
          <w:lang w:val="zh-CN"/>
        </w:rPr>
      </w:pPr>
      <w:r>
        <w:rPr>
          <w:rFonts w:hint="eastAsia"/>
          <w:kern w:val="0"/>
          <w:sz w:val="24"/>
          <w:lang w:val="zh-CN"/>
        </w:rPr>
        <w:t>（</w:t>
      </w:r>
      <w:r>
        <w:rPr>
          <w:rFonts w:hint="eastAsia"/>
          <w:kern w:val="0"/>
          <w:sz w:val="24"/>
        </w:rPr>
        <w:t>5</w:t>
      </w:r>
      <w:r>
        <w:rPr>
          <w:rFonts w:hint="eastAsia"/>
          <w:kern w:val="0"/>
          <w:sz w:val="24"/>
          <w:lang w:val="zh-CN"/>
        </w:rPr>
        <w:t>）第三方破坏</w:t>
      </w:r>
    </w:p>
    <w:p w14:paraId="6D121663" w14:textId="77777777" w:rsidR="003D6A63" w:rsidRDefault="00000000">
      <w:pPr>
        <w:spacing w:line="360" w:lineRule="auto"/>
        <w:ind w:firstLineChars="200" w:firstLine="480"/>
        <w:rPr>
          <w:kern w:val="0"/>
          <w:sz w:val="24"/>
          <w:lang w:val="zh-CN"/>
        </w:rPr>
      </w:pPr>
      <w:r>
        <w:rPr>
          <w:rFonts w:hint="eastAsia"/>
          <w:kern w:val="0"/>
          <w:sz w:val="24"/>
          <w:lang w:val="zh-CN"/>
        </w:rPr>
        <w:t>包括施工破坏、打孔盗油、违章占压等，易造成输油管线的泄漏。</w:t>
      </w:r>
    </w:p>
    <w:p w14:paraId="69F1C8DA" w14:textId="77777777" w:rsidR="003D6A63" w:rsidRDefault="00000000">
      <w:pPr>
        <w:spacing w:line="360" w:lineRule="auto"/>
        <w:ind w:firstLineChars="100" w:firstLine="240"/>
        <w:rPr>
          <w:kern w:val="0"/>
          <w:sz w:val="24"/>
          <w:lang w:val="zh-CN"/>
        </w:rPr>
      </w:pPr>
      <w:r>
        <w:rPr>
          <w:rFonts w:hint="eastAsia"/>
          <w:kern w:val="0"/>
          <w:sz w:val="24"/>
          <w:lang w:val="zh-CN"/>
        </w:rPr>
        <w:t>（</w:t>
      </w:r>
      <w:r>
        <w:rPr>
          <w:rFonts w:hint="eastAsia"/>
          <w:kern w:val="0"/>
          <w:sz w:val="24"/>
        </w:rPr>
        <w:t>6</w:t>
      </w:r>
      <w:r>
        <w:rPr>
          <w:rFonts w:hint="eastAsia"/>
          <w:kern w:val="0"/>
          <w:sz w:val="24"/>
          <w:lang w:val="zh-CN"/>
        </w:rPr>
        <w:t>）其他</w:t>
      </w:r>
    </w:p>
    <w:p w14:paraId="7BB33AD1" w14:textId="77777777" w:rsidR="003D6A63" w:rsidRDefault="00000000">
      <w:pPr>
        <w:spacing w:line="360" w:lineRule="auto"/>
        <w:ind w:firstLineChars="200" w:firstLine="480"/>
        <w:rPr>
          <w:kern w:val="0"/>
          <w:sz w:val="24"/>
          <w:lang w:val="zh-CN"/>
        </w:rPr>
      </w:pPr>
      <w:r>
        <w:rPr>
          <w:rFonts w:hint="eastAsia"/>
          <w:kern w:val="0"/>
          <w:sz w:val="24"/>
          <w:lang w:val="zh-CN"/>
        </w:rPr>
        <w:t>管线埋深不足遇暴雨、洪水冲刷导致管线裸露在外遭受破坏；地震导致管线造成断裂等等。站内储罐进出口管线若未采用柔性连接，随着储罐基础的沉降、地震破坏，管道受到的应力会逐渐增大，有可能造成管道断裂事故。</w:t>
      </w:r>
    </w:p>
    <w:p w14:paraId="25E46C26" w14:textId="77777777" w:rsidR="003D6A63" w:rsidRDefault="00000000">
      <w:pPr>
        <w:spacing w:line="360" w:lineRule="auto"/>
        <w:ind w:firstLineChars="200" w:firstLine="480"/>
        <w:rPr>
          <w:kern w:val="0"/>
          <w:sz w:val="24"/>
          <w:lang w:val="zh-CN"/>
        </w:rPr>
      </w:pPr>
      <w:r>
        <w:rPr>
          <w:rFonts w:hint="eastAsia"/>
          <w:kern w:val="0"/>
          <w:sz w:val="24"/>
          <w:lang w:val="zh-CN"/>
        </w:rPr>
        <w:t>目前部分单井或集油管线越来越多的采用非金属材质，主要有塑料合金复合管、热塑性塑料复合管等。非金属管道具有防腐蚀性能强、输送能力高的优点，但也存在如耐</w:t>
      </w:r>
      <w:r>
        <w:rPr>
          <w:rFonts w:hint="eastAsia"/>
          <w:kern w:val="0"/>
          <w:sz w:val="24"/>
          <w:lang w:val="zh-CN"/>
        </w:rPr>
        <w:lastRenderedPageBreak/>
        <w:t>温性差、质量参差不齐、施工维护要求高等问题，是造成管线破裂、泄漏的重要因素。</w:t>
      </w:r>
    </w:p>
    <w:p w14:paraId="4715A9F9" w14:textId="77777777" w:rsidR="003D6A63" w:rsidRDefault="00000000">
      <w:pPr>
        <w:pStyle w:val="2"/>
        <w:keepNext w:val="0"/>
        <w:keepLines w:val="0"/>
        <w:adjustRightInd w:val="0"/>
        <w:snapToGrid w:val="0"/>
        <w:spacing w:before="0" w:after="0" w:line="360" w:lineRule="auto"/>
        <w:rPr>
          <w:rFonts w:ascii="Times New Roman" w:hAnsi="Times New Roman"/>
          <w:b w:val="0"/>
          <w:spacing w:val="0"/>
          <w:sz w:val="28"/>
          <w:lang w:val="zh-CN"/>
        </w:rPr>
      </w:pPr>
      <w:bookmarkStart w:id="71" w:name="_Toc26137"/>
      <w:r>
        <w:rPr>
          <w:rFonts w:ascii="Times New Roman" w:hAnsi="Times New Roman" w:hint="eastAsia"/>
          <w:b w:val="0"/>
          <w:spacing w:val="0"/>
          <w:sz w:val="28"/>
          <w:lang w:val="zh-CN"/>
        </w:rPr>
        <w:t>3.</w:t>
      </w:r>
      <w:r>
        <w:rPr>
          <w:rFonts w:ascii="Times New Roman" w:hAnsi="Times New Roman" w:hint="eastAsia"/>
          <w:b w:val="0"/>
          <w:spacing w:val="0"/>
          <w:sz w:val="28"/>
        </w:rPr>
        <w:t>4</w:t>
      </w:r>
      <w:r>
        <w:rPr>
          <w:rFonts w:ascii="Times New Roman" w:hAnsi="Times New Roman" w:hint="eastAsia"/>
          <w:b w:val="0"/>
          <w:spacing w:val="0"/>
          <w:sz w:val="28"/>
          <w:lang w:val="zh-CN"/>
        </w:rPr>
        <w:t xml:space="preserve"> </w:t>
      </w:r>
      <w:bookmarkStart w:id="72" w:name="_Toc22570"/>
      <w:r>
        <w:rPr>
          <w:rFonts w:ascii="Times New Roman" w:hAnsi="Times New Roman" w:hint="eastAsia"/>
          <w:b w:val="0"/>
          <w:spacing w:val="0"/>
          <w:sz w:val="28"/>
        </w:rPr>
        <w:t xml:space="preserve"> </w:t>
      </w:r>
      <w:r>
        <w:rPr>
          <w:rFonts w:ascii="Times New Roman" w:hAnsi="Times New Roman" w:hint="eastAsia"/>
          <w:b w:val="0"/>
          <w:spacing w:val="0"/>
          <w:sz w:val="28"/>
        </w:rPr>
        <w:t>公用工程及辅助生产设施危险、有害因素分析</w:t>
      </w:r>
      <w:bookmarkEnd w:id="71"/>
      <w:bookmarkEnd w:id="72"/>
    </w:p>
    <w:p w14:paraId="252689D4"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r>
        <w:rPr>
          <w:rFonts w:eastAsia="黑体" w:hint="eastAsia"/>
          <w:b w:val="0"/>
          <w:spacing w:val="0"/>
          <w:sz w:val="24"/>
          <w:szCs w:val="24"/>
        </w:rPr>
        <w:t xml:space="preserve">3.4.1  </w:t>
      </w:r>
      <w:r>
        <w:rPr>
          <w:rFonts w:eastAsia="黑体" w:hint="eastAsia"/>
          <w:b w:val="0"/>
          <w:spacing w:val="0"/>
          <w:sz w:val="24"/>
          <w:szCs w:val="24"/>
        </w:rPr>
        <w:t>自控</w:t>
      </w:r>
    </w:p>
    <w:p w14:paraId="528251B9" w14:textId="77777777" w:rsidR="003D6A63" w:rsidRDefault="00000000">
      <w:pPr>
        <w:adjustRightInd w:val="0"/>
        <w:snapToGrid w:val="0"/>
        <w:spacing w:line="360" w:lineRule="auto"/>
        <w:ind w:firstLine="471"/>
        <w:rPr>
          <w:sz w:val="24"/>
        </w:rPr>
      </w:pPr>
      <w:r>
        <w:rPr>
          <w:sz w:val="24"/>
        </w:rPr>
        <w:t>自控设备可靠性是系统安全运行的重要条件，井口的传感器由于各种原因（质量、安装、维护、自然条件等）造成失效，数据传输错误会导致远程控制错误，例如压力</w:t>
      </w:r>
      <w:r>
        <w:rPr>
          <w:rFonts w:hint="eastAsia"/>
          <w:sz w:val="24"/>
        </w:rPr>
        <w:t>、液位</w:t>
      </w:r>
      <w:r>
        <w:rPr>
          <w:sz w:val="24"/>
        </w:rPr>
        <w:t>数据错误造成系统超压运行或</w:t>
      </w:r>
      <w:r>
        <w:rPr>
          <w:rFonts w:hint="eastAsia"/>
          <w:sz w:val="24"/>
        </w:rPr>
        <w:t>储罐满溢</w:t>
      </w:r>
      <w:r>
        <w:rPr>
          <w:sz w:val="24"/>
        </w:rPr>
        <w:t>。</w:t>
      </w:r>
    </w:p>
    <w:p w14:paraId="6C85F986" w14:textId="77777777" w:rsidR="003D6A63" w:rsidRDefault="00000000">
      <w:pPr>
        <w:adjustRightInd w:val="0"/>
        <w:snapToGrid w:val="0"/>
        <w:spacing w:line="360" w:lineRule="auto"/>
        <w:ind w:firstLine="471"/>
        <w:rPr>
          <w:sz w:val="24"/>
        </w:rPr>
      </w:pPr>
      <w:r>
        <w:rPr>
          <w:sz w:val="24"/>
        </w:rPr>
        <w:t>在抽油机上安装井口</w:t>
      </w:r>
      <w:r>
        <w:rPr>
          <w:sz w:val="24"/>
        </w:rPr>
        <w:t>RTU</w:t>
      </w:r>
      <w:r>
        <w:rPr>
          <w:sz w:val="24"/>
        </w:rPr>
        <w:t>（远程终端单元），将抽油机载荷和位移数据通过井口施工图测量技术，转换为示功图，同时采集电参、运行状态及井口压力等信号，将井口</w:t>
      </w:r>
      <w:r>
        <w:rPr>
          <w:sz w:val="24"/>
        </w:rPr>
        <w:t>RTU</w:t>
      </w:r>
      <w:r>
        <w:rPr>
          <w:sz w:val="24"/>
        </w:rPr>
        <w:t>采集的信号通过无线方式传送至井场</w:t>
      </w:r>
      <w:r>
        <w:rPr>
          <w:sz w:val="24"/>
        </w:rPr>
        <w:t>RTU</w:t>
      </w:r>
      <w:r>
        <w:rPr>
          <w:sz w:val="24"/>
        </w:rPr>
        <w:t>，井场</w:t>
      </w:r>
      <w:r>
        <w:rPr>
          <w:sz w:val="24"/>
        </w:rPr>
        <w:t>RTU</w:t>
      </w:r>
      <w:r>
        <w:rPr>
          <w:sz w:val="24"/>
        </w:rPr>
        <w:t>将油井数据通过无线网桥方式传输至数控中心，从而实现数据采集和远程控制。</w:t>
      </w:r>
      <w:r>
        <w:rPr>
          <w:sz w:val="24"/>
        </w:rPr>
        <w:t xml:space="preserve"> </w:t>
      </w:r>
    </w:p>
    <w:p w14:paraId="6AC28948" w14:textId="77777777" w:rsidR="003D6A63" w:rsidRDefault="00000000">
      <w:pPr>
        <w:adjustRightInd w:val="0"/>
        <w:snapToGrid w:val="0"/>
        <w:spacing w:line="360" w:lineRule="auto"/>
        <w:ind w:firstLine="471"/>
        <w:rPr>
          <w:sz w:val="24"/>
        </w:rPr>
      </w:pPr>
      <w:r>
        <w:rPr>
          <w:sz w:val="24"/>
        </w:rPr>
        <w:t>抽油机的远程启停也存在危险。在自动停机过程中，如果抽油机平衡不好，恰好在最高点停机，有可能发生翻车等重大安全事故。启动时，如果现场无人值守时，刹车刹住则会出现烧毁电机及供电线路的后果；如果现场工作人员未能发现启动提示及时离开或者恰好有人在启动期间出现，可能造成死伤事故。</w:t>
      </w:r>
    </w:p>
    <w:p w14:paraId="441975E2" w14:textId="77777777" w:rsidR="003D6A63" w:rsidRDefault="00000000">
      <w:pPr>
        <w:adjustRightInd w:val="0"/>
        <w:snapToGrid w:val="0"/>
        <w:spacing w:line="360" w:lineRule="auto"/>
        <w:ind w:firstLine="471"/>
        <w:rPr>
          <w:sz w:val="24"/>
        </w:rPr>
      </w:pPr>
      <w:r>
        <w:rPr>
          <w:sz w:val="24"/>
        </w:rPr>
        <w:t>若温度、液位、压力、流量等传感器出现故障，生产过程中的各种参数不能正确显示，提供错误的信息，判断失误，从而发出错误的指令，进行错误的操作，影响安全生产，严重时发生火灾、爆炸等事故。若设置的可燃气体及有毒气体报警系统出现故障，当发生可燃气体或有毒气体泄漏时，不能及时发现，易错过处理的最佳时机，可发生火灾、爆炸或人员中毒事故。</w:t>
      </w:r>
    </w:p>
    <w:p w14:paraId="1FCC3A11" w14:textId="77777777" w:rsidR="003D6A63" w:rsidRDefault="00000000">
      <w:pPr>
        <w:pStyle w:val="3"/>
        <w:keepNext w:val="0"/>
        <w:keepLines w:val="0"/>
        <w:adjustRightInd w:val="0"/>
        <w:snapToGrid w:val="0"/>
        <w:spacing w:before="0" w:after="0" w:line="360" w:lineRule="auto"/>
        <w:rPr>
          <w:rFonts w:eastAsia="黑体"/>
          <w:b w:val="0"/>
          <w:spacing w:val="0"/>
          <w:sz w:val="24"/>
          <w:szCs w:val="24"/>
        </w:rPr>
      </w:pPr>
      <w:r>
        <w:rPr>
          <w:rFonts w:eastAsia="黑体" w:hint="eastAsia"/>
          <w:b w:val="0"/>
          <w:spacing w:val="0"/>
          <w:sz w:val="24"/>
          <w:szCs w:val="24"/>
        </w:rPr>
        <w:t xml:space="preserve">3.4.2  </w:t>
      </w:r>
      <w:r>
        <w:rPr>
          <w:rFonts w:eastAsia="黑体" w:hint="eastAsia"/>
          <w:b w:val="0"/>
          <w:spacing w:val="0"/>
          <w:sz w:val="24"/>
          <w:szCs w:val="24"/>
        </w:rPr>
        <w:t>安全设施及其它</w:t>
      </w:r>
    </w:p>
    <w:p w14:paraId="78DC6548" w14:textId="77777777" w:rsidR="003D6A63" w:rsidRDefault="00000000">
      <w:pPr>
        <w:numPr>
          <w:ilvl w:val="0"/>
          <w:numId w:val="14"/>
        </w:numPr>
        <w:adjustRightInd w:val="0"/>
        <w:snapToGrid w:val="0"/>
        <w:spacing w:line="360" w:lineRule="auto"/>
        <w:ind w:firstLineChars="100" w:firstLine="240"/>
        <w:rPr>
          <w:sz w:val="24"/>
        </w:rPr>
      </w:pPr>
      <w:r>
        <w:rPr>
          <w:sz w:val="24"/>
        </w:rPr>
        <w:t>爆炸危险场所若未合理设置可燃气体泄漏报警器或报警器质量不合格，则不利于及时发现和处理气体泄漏事故，增大了发生火灾、爆炸的可能性。</w:t>
      </w:r>
    </w:p>
    <w:p w14:paraId="3A266375" w14:textId="77777777" w:rsidR="003D6A63" w:rsidRDefault="00000000">
      <w:pPr>
        <w:numPr>
          <w:ilvl w:val="0"/>
          <w:numId w:val="14"/>
        </w:numPr>
        <w:adjustRightInd w:val="0"/>
        <w:snapToGrid w:val="0"/>
        <w:spacing w:line="360" w:lineRule="auto"/>
        <w:ind w:firstLineChars="100" w:firstLine="240"/>
        <w:rPr>
          <w:sz w:val="24"/>
        </w:rPr>
      </w:pPr>
      <w:r>
        <w:rPr>
          <w:sz w:val="24"/>
        </w:rPr>
        <w:t>未合理设置卸压装置或卸压装置故障，有引发容器爆炸的危险；压力表、温度计、液位计等选型不当、精度不够、显示失灵、故障等，可导致误操作，引起事故。</w:t>
      </w:r>
    </w:p>
    <w:p w14:paraId="6DC25359" w14:textId="77777777" w:rsidR="003D6A63" w:rsidRDefault="00000000">
      <w:pPr>
        <w:numPr>
          <w:ilvl w:val="0"/>
          <w:numId w:val="14"/>
        </w:numPr>
        <w:adjustRightInd w:val="0"/>
        <w:snapToGrid w:val="0"/>
        <w:spacing w:line="360" w:lineRule="auto"/>
        <w:ind w:firstLineChars="100" w:firstLine="240"/>
        <w:rPr>
          <w:sz w:val="24"/>
        </w:rPr>
      </w:pPr>
      <w:r>
        <w:rPr>
          <w:sz w:val="24"/>
        </w:rPr>
        <w:t>若未设置防雷防静电设施或设置不符合要求，有可能遭雷击或产生静电火花而导致火灾事故发生。</w:t>
      </w:r>
    </w:p>
    <w:p w14:paraId="530460FC" w14:textId="77777777" w:rsidR="003D6A63" w:rsidRDefault="00000000">
      <w:pPr>
        <w:numPr>
          <w:ilvl w:val="0"/>
          <w:numId w:val="14"/>
        </w:numPr>
        <w:adjustRightInd w:val="0"/>
        <w:snapToGrid w:val="0"/>
        <w:spacing w:line="360" w:lineRule="auto"/>
        <w:ind w:firstLineChars="100" w:firstLine="240"/>
        <w:rPr>
          <w:sz w:val="24"/>
        </w:rPr>
      </w:pPr>
      <w:r>
        <w:rPr>
          <w:sz w:val="24"/>
        </w:rPr>
        <w:t>未配备个人防护用品或防护用品不符合规范，未正确佩戴均可导致人员伤害事故。</w:t>
      </w:r>
    </w:p>
    <w:p w14:paraId="6A0993DD" w14:textId="77777777" w:rsidR="003D6A63" w:rsidRDefault="00000000">
      <w:pPr>
        <w:numPr>
          <w:ilvl w:val="0"/>
          <w:numId w:val="14"/>
        </w:numPr>
        <w:adjustRightInd w:val="0"/>
        <w:snapToGrid w:val="0"/>
        <w:spacing w:line="360" w:lineRule="auto"/>
        <w:ind w:firstLineChars="100" w:firstLine="240"/>
        <w:rPr>
          <w:sz w:val="24"/>
        </w:rPr>
      </w:pPr>
      <w:r>
        <w:rPr>
          <w:sz w:val="24"/>
        </w:rPr>
        <w:t>未设置监控系统或者监控系统损坏，不利于无人井场实时情况的反馈，易发生原油及其采油设备、设施的盗抢事件；并且，出现设备损坏、原油泄漏等事故时，不能</w:t>
      </w:r>
      <w:r>
        <w:rPr>
          <w:sz w:val="24"/>
        </w:rPr>
        <w:lastRenderedPageBreak/>
        <w:t>及时发现，及时救援。</w:t>
      </w:r>
    </w:p>
    <w:p w14:paraId="0C7A69D8" w14:textId="77777777" w:rsidR="003D6A63" w:rsidRDefault="00000000">
      <w:pPr>
        <w:numPr>
          <w:ilvl w:val="0"/>
          <w:numId w:val="14"/>
        </w:numPr>
        <w:adjustRightInd w:val="0"/>
        <w:snapToGrid w:val="0"/>
        <w:spacing w:line="360" w:lineRule="auto"/>
        <w:ind w:firstLineChars="100" w:firstLine="240"/>
        <w:rPr>
          <w:sz w:val="24"/>
        </w:rPr>
      </w:pPr>
      <w:r>
        <w:rPr>
          <w:sz w:val="24"/>
        </w:rPr>
        <w:t>通向井场的道路不畅，使检维修人员、车辆进入井场较为困难，设备得不到及时维修保养，可导致事故发生或事故扩大。</w:t>
      </w:r>
    </w:p>
    <w:p w14:paraId="4F3B2DCD" w14:textId="77777777" w:rsidR="003D6A63" w:rsidRDefault="00000000">
      <w:pPr>
        <w:pStyle w:val="nlw3"/>
        <w:spacing w:beforeLines="0" w:before="0" w:after="0" w:line="360" w:lineRule="auto"/>
        <w:rPr>
          <w:sz w:val="24"/>
          <w:szCs w:val="24"/>
        </w:rPr>
      </w:pPr>
      <w:r>
        <w:rPr>
          <w:rFonts w:hint="eastAsia"/>
          <w:sz w:val="24"/>
          <w:szCs w:val="24"/>
        </w:rPr>
        <w:t xml:space="preserve">3.4.3  </w:t>
      </w:r>
      <w:r>
        <w:rPr>
          <w:rFonts w:hint="eastAsia"/>
          <w:sz w:val="24"/>
          <w:szCs w:val="24"/>
        </w:rPr>
        <w:t>供配电设施</w:t>
      </w:r>
    </w:p>
    <w:p w14:paraId="2C59035D" w14:textId="77777777" w:rsidR="003D6A63" w:rsidRDefault="00000000">
      <w:pPr>
        <w:adjustRightInd w:val="0"/>
        <w:snapToGrid w:val="0"/>
        <w:spacing w:line="360" w:lineRule="auto"/>
        <w:ind w:firstLine="471"/>
        <w:rPr>
          <w:sz w:val="24"/>
        </w:rPr>
      </w:pPr>
      <w:r>
        <w:rPr>
          <w:sz w:val="24"/>
        </w:rPr>
        <w:t>变压器及配电箱未设置接地线或设置不符合规范，人员忽视警告，距离变压器太近，且无防护措施；跨越安全围栏或超越安全警戒线；工作人员跑错间隔误碰带电设备；以及在带电设备附近使用钢卷尺、皮卷尺等进行测量或携带金属超高物体在带电设备下行走；均可导致触电事故。</w:t>
      </w:r>
    </w:p>
    <w:p w14:paraId="6DE2E438" w14:textId="77777777" w:rsidR="003D6A63" w:rsidRDefault="00000000">
      <w:pPr>
        <w:adjustRightInd w:val="0"/>
        <w:snapToGrid w:val="0"/>
        <w:spacing w:line="360" w:lineRule="auto"/>
        <w:ind w:firstLine="471"/>
        <w:rPr>
          <w:sz w:val="24"/>
        </w:rPr>
      </w:pPr>
      <w:r>
        <w:rPr>
          <w:sz w:val="24"/>
        </w:rPr>
        <w:t>变压器过负荷运行时，将使设备温度过高，变压器里的绝缘材料在较高温度下作用将逐步发生老化，使绝缘强度降低；或者当变压器发生穿越性故障时；在过电压冲击时；检修质量不良使局部绝缘损坏等，造成短路，若没有一定的保护措施，就将发生火灾事故。</w:t>
      </w:r>
    </w:p>
    <w:p w14:paraId="345A2597" w14:textId="77777777" w:rsidR="003D6A63" w:rsidRDefault="00000000">
      <w:pPr>
        <w:adjustRightInd w:val="0"/>
        <w:snapToGrid w:val="0"/>
        <w:spacing w:line="360" w:lineRule="auto"/>
        <w:ind w:firstLine="471"/>
        <w:rPr>
          <w:sz w:val="24"/>
        </w:rPr>
      </w:pPr>
      <w:r>
        <w:rPr>
          <w:sz w:val="24"/>
        </w:rPr>
        <w:t>供配电设施应安装工作接地、保护接地，所有正常情况下不带电的电气设备金属外壳、工艺设备、工艺管线等均应可靠接地，否则有发生触电的危险。</w:t>
      </w:r>
    </w:p>
    <w:p w14:paraId="0160E568" w14:textId="77777777" w:rsidR="003D6A63" w:rsidRDefault="00000000">
      <w:pPr>
        <w:adjustRightInd w:val="0"/>
        <w:snapToGrid w:val="0"/>
        <w:spacing w:line="360" w:lineRule="auto"/>
        <w:ind w:firstLine="471"/>
        <w:rPr>
          <w:sz w:val="24"/>
        </w:rPr>
      </w:pPr>
      <w:r>
        <w:rPr>
          <w:sz w:val="24"/>
        </w:rPr>
        <w:t>电气设备若无接地保护或接地不良、绝缘破坏漏电，以及输配电线路绝缘破坏漏电，电气作业监护不力或违章操作等，人体触及带电体，有发生触电的危险。</w:t>
      </w:r>
    </w:p>
    <w:p w14:paraId="7D4D6832" w14:textId="77777777" w:rsidR="003D6A63" w:rsidRDefault="00000000">
      <w:pPr>
        <w:adjustRightInd w:val="0"/>
        <w:snapToGrid w:val="0"/>
        <w:spacing w:line="360" w:lineRule="auto"/>
        <w:ind w:firstLine="471"/>
        <w:rPr>
          <w:sz w:val="24"/>
        </w:rPr>
      </w:pPr>
      <w:r>
        <w:rPr>
          <w:sz w:val="24"/>
        </w:rPr>
        <w:t>电动机过负荷运行；金属物体及其他固体掉进电动机内造成绝缘受损；绕组受潮、高压击穿绝缘、电动机接线处各接线点接触不良或松动时；电动机单项运行、接触电阻过大或轴承过热、电动机的引线不牢，熔断器过大及其配电装置不符等；均有可能引起电器火灾或触电事故。电动机固定不牢时易造成对其它设备的损坏和人身伤害。</w:t>
      </w:r>
    </w:p>
    <w:p w14:paraId="1DA346D2" w14:textId="77777777" w:rsidR="003D6A63" w:rsidRDefault="00000000">
      <w:pPr>
        <w:adjustRightInd w:val="0"/>
        <w:snapToGrid w:val="0"/>
        <w:spacing w:line="360" w:lineRule="auto"/>
        <w:ind w:firstLine="471"/>
        <w:rPr>
          <w:sz w:val="24"/>
        </w:rPr>
      </w:pPr>
      <w:r>
        <w:rPr>
          <w:sz w:val="24"/>
        </w:rPr>
        <w:t>动力电缆的保护铅皮损坏或运行中电缆绝缘损伤；电缆长时间过负荷运行造成电缆过分干枯时；电缆接头盒的中间接头因压接不紧、焊接不牢或接头材料选择不当；运行中接头氧化、发热流胶或灌注在接头盒内的绝缘剂质量不符合要求，灌注时盒内存有空气，以及电缆盒密封不好，漏入水或潮湿气体等引起绝缘击穿；电缆端头表面受潮、引出线间绝缘处理不当或距离过小；外界的火源和热源侵害电缆时，均有可能引起电缆火灾。</w:t>
      </w:r>
    </w:p>
    <w:p w14:paraId="1BE0A0A9" w14:textId="77777777" w:rsidR="003D6A63" w:rsidRDefault="00000000">
      <w:pPr>
        <w:adjustRightInd w:val="0"/>
        <w:snapToGrid w:val="0"/>
        <w:spacing w:line="360" w:lineRule="auto"/>
        <w:ind w:firstLine="471"/>
        <w:rPr>
          <w:sz w:val="24"/>
        </w:rPr>
      </w:pPr>
      <w:r>
        <w:rPr>
          <w:sz w:val="24"/>
        </w:rPr>
        <w:t>在爆炸危险区域内，电气设备选型不当，防爆等级不够，可引起火灾、爆炸事故发生。</w:t>
      </w:r>
    </w:p>
    <w:p w14:paraId="138039FB" w14:textId="77777777" w:rsidR="003D6A63" w:rsidRDefault="00000000">
      <w:pPr>
        <w:adjustRightInd w:val="0"/>
        <w:snapToGrid w:val="0"/>
        <w:spacing w:line="360" w:lineRule="auto"/>
        <w:ind w:firstLine="471"/>
        <w:rPr>
          <w:sz w:val="24"/>
        </w:rPr>
      </w:pPr>
      <w:r>
        <w:rPr>
          <w:sz w:val="24"/>
        </w:rPr>
        <w:t>室内电气设备，若质量不合格、安装不规范、绝缘等级不够、无安全防护措施等，有发生触电和电器火灾的危险。如电器过热、短路打火，引燃周围可燃物，发生火灾。</w:t>
      </w:r>
    </w:p>
    <w:p w14:paraId="393D09B5" w14:textId="77777777" w:rsidR="003D6A63" w:rsidRDefault="00000000">
      <w:pPr>
        <w:pStyle w:val="nlw3"/>
        <w:spacing w:beforeLines="0" w:before="0" w:after="0" w:line="360" w:lineRule="auto"/>
        <w:rPr>
          <w:sz w:val="24"/>
          <w:szCs w:val="24"/>
        </w:rPr>
      </w:pPr>
      <w:r>
        <w:rPr>
          <w:rFonts w:hint="eastAsia"/>
          <w:sz w:val="24"/>
          <w:szCs w:val="24"/>
        </w:rPr>
        <w:lastRenderedPageBreak/>
        <w:t xml:space="preserve">3.4.4  </w:t>
      </w:r>
      <w:r>
        <w:rPr>
          <w:rFonts w:hint="eastAsia"/>
          <w:sz w:val="24"/>
          <w:szCs w:val="24"/>
        </w:rPr>
        <w:t>防雷设施</w:t>
      </w:r>
    </w:p>
    <w:p w14:paraId="75AA2F14" w14:textId="77777777" w:rsidR="003D6A63" w:rsidRDefault="00000000">
      <w:pPr>
        <w:pStyle w:val="2SLCON22"/>
        <w:adjustRightInd w:val="0"/>
        <w:snapToGrid w:val="0"/>
        <w:ind w:firstLine="480"/>
        <w:rPr>
          <w:lang w:val="zh-CN"/>
        </w:rPr>
      </w:pPr>
      <w:r>
        <w:rPr>
          <w:sz w:val="24"/>
          <w:szCs w:val="24"/>
          <w:lang w:val="zh-CN"/>
        </w:rPr>
        <w:t>变压器、配线（缆）、构架、箱式配电站及电气室都有遭受雷击的可能。若防雷设计不合理、施工不规范、接地电阻值不符合规范要求，则雷电过电压在雷电波及范围内会严重破坏建筑物及设备设施，并可能危及人身安全乃至有致命的危险，巨大的雷电流流入地下，会在雷击点及其连接的金属部分产生极高的对地电压，可能导致接触电压或跨步电压的触电事故；雷电流的热效应还能引起电气火灾及爆炸。</w:t>
      </w:r>
    </w:p>
    <w:p w14:paraId="1CDD19AA" w14:textId="77777777" w:rsidR="003D6A63" w:rsidRDefault="00000000">
      <w:pPr>
        <w:pStyle w:val="2"/>
        <w:keepNext w:val="0"/>
        <w:keepLines w:val="0"/>
        <w:adjustRightInd w:val="0"/>
        <w:snapToGrid w:val="0"/>
        <w:spacing w:before="0" w:after="0" w:line="360" w:lineRule="auto"/>
        <w:rPr>
          <w:rFonts w:ascii="Times New Roman" w:hAnsi="Times New Roman"/>
          <w:b w:val="0"/>
          <w:spacing w:val="0"/>
          <w:sz w:val="28"/>
          <w:lang w:val="zh-CN"/>
        </w:rPr>
      </w:pPr>
      <w:bookmarkStart w:id="73" w:name="_Toc300905643"/>
      <w:bookmarkStart w:id="74" w:name="_Toc298867857"/>
      <w:bookmarkStart w:id="75" w:name="_Toc8957"/>
      <w:r>
        <w:rPr>
          <w:rFonts w:ascii="Times New Roman" w:hAnsi="Times New Roman" w:hint="eastAsia"/>
          <w:b w:val="0"/>
          <w:spacing w:val="0"/>
          <w:sz w:val="28"/>
          <w:lang w:val="zh-CN"/>
        </w:rPr>
        <w:t xml:space="preserve">3.5  </w:t>
      </w:r>
      <w:r>
        <w:rPr>
          <w:rFonts w:ascii="Times New Roman" w:hAnsi="Times New Roman" w:hint="eastAsia"/>
          <w:b w:val="0"/>
          <w:spacing w:val="0"/>
          <w:sz w:val="28"/>
          <w:lang w:val="zh-CN"/>
        </w:rPr>
        <w:t>社会环境和自然条件影响分析</w:t>
      </w:r>
      <w:bookmarkEnd w:id="73"/>
      <w:bookmarkEnd w:id="74"/>
      <w:bookmarkEnd w:id="75"/>
    </w:p>
    <w:p w14:paraId="692E4AEC" w14:textId="77777777" w:rsidR="003D6A63" w:rsidRDefault="00000000">
      <w:pPr>
        <w:pStyle w:val="nlw3"/>
        <w:spacing w:beforeLines="0" w:before="0" w:after="0" w:line="360" w:lineRule="auto"/>
        <w:rPr>
          <w:sz w:val="24"/>
          <w:szCs w:val="24"/>
        </w:rPr>
      </w:pPr>
      <w:r>
        <w:rPr>
          <w:rFonts w:hint="eastAsia"/>
          <w:sz w:val="24"/>
          <w:szCs w:val="24"/>
        </w:rPr>
        <w:t xml:space="preserve">3.5.1  </w:t>
      </w:r>
      <w:r>
        <w:rPr>
          <w:rFonts w:hint="eastAsia"/>
          <w:sz w:val="24"/>
          <w:szCs w:val="24"/>
        </w:rPr>
        <w:t>油气生产对社会环境的影响</w:t>
      </w:r>
    </w:p>
    <w:p w14:paraId="2FFD3A78"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石油勘探、开发、输送过程中若发生油气泄漏会造成环境污染。井喷失控、设备、管道中的原油和天然气泄漏，会对邻近的周边设施和人员安全造成威胁。违规或意外进入井场的人员可能遭受抽油机设备挤、卷和撞击伤害</w:t>
      </w:r>
      <w:r>
        <w:rPr>
          <w:rFonts w:ascii="Times New Roman" w:hAnsi="Times New Roman"/>
          <w:sz w:val="24"/>
          <w:szCs w:val="24"/>
        </w:rPr>
        <w:t>。</w:t>
      </w:r>
    </w:p>
    <w:p w14:paraId="20B8D54D" w14:textId="77777777" w:rsidR="003D6A63" w:rsidRDefault="00000000">
      <w:pPr>
        <w:pStyle w:val="nlw3"/>
        <w:spacing w:beforeLines="0" w:before="0" w:after="0" w:line="360" w:lineRule="auto"/>
        <w:rPr>
          <w:sz w:val="24"/>
          <w:szCs w:val="24"/>
        </w:rPr>
      </w:pPr>
      <w:r>
        <w:rPr>
          <w:rFonts w:hint="eastAsia"/>
          <w:sz w:val="24"/>
          <w:szCs w:val="24"/>
        </w:rPr>
        <w:t xml:space="preserve">3.5.2  </w:t>
      </w:r>
      <w:r>
        <w:rPr>
          <w:rFonts w:hint="eastAsia"/>
          <w:sz w:val="24"/>
          <w:szCs w:val="24"/>
        </w:rPr>
        <w:t>社会环境对油气生产的影响</w:t>
      </w:r>
    </w:p>
    <w:p w14:paraId="6DDBBE4A" w14:textId="77777777" w:rsidR="003D6A63" w:rsidRDefault="00000000">
      <w:pPr>
        <w:adjustRightInd w:val="0"/>
        <w:snapToGrid w:val="0"/>
        <w:spacing w:line="360" w:lineRule="auto"/>
        <w:ind w:firstLine="471"/>
        <w:rPr>
          <w:kern w:val="0"/>
          <w:sz w:val="24"/>
          <w:lang w:val="zh-CN"/>
        </w:rPr>
      </w:pPr>
      <w:r>
        <w:rPr>
          <w:rFonts w:hint="eastAsia"/>
          <w:kern w:val="0"/>
          <w:sz w:val="24"/>
        </w:rPr>
        <w:t>中胜公司井场较为分散，</w:t>
      </w:r>
      <w:r>
        <w:rPr>
          <w:rFonts w:hint="eastAsia"/>
          <w:kern w:val="0"/>
          <w:sz w:val="24"/>
          <w:lang w:val="zh-CN"/>
        </w:rPr>
        <w:t>管辖面积</w:t>
      </w:r>
      <w:r>
        <w:rPr>
          <w:rFonts w:hint="eastAsia"/>
          <w:kern w:val="0"/>
          <w:sz w:val="24"/>
        </w:rPr>
        <w:t>分布于东营市、滨州市及淄博市</w:t>
      </w:r>
      <w:r>
        <w:rPr>
          <w:rFonts w:hint="eastAsia"/>
          <w:kern w:val="0"/>
          <w:sz w:val="24"/>
          <w:lang w:val="zh-CN"/>
        </w:rPr>
        <w:t>，油区工农关系较复杂，会影响油田生产。主要表现有：</w:t>
      </w:r>
      <w:r>
        <w:rPr>
          <w:rFonts w:hint="eastAsia"/>
          <w:kern w:val="0"/>
          <w:sz w:val="24"/>
        </w:rPr>
        <w:t>1</w:t>
      </w:r>
      <w:r>
        <w:rPr>
          <w:rFonts w:hint="eastAsia"/>
          <w:kern w:val="0"/>
          <w:sz w:val="24"/>
        </w:rPr>
        <w:t>）</w:t>
      </w:r>
      <w:r>
        <w:rPr>
          <w:rFonts w:hint="eastAsia"/>
          <w:kern w:val="0"/>
          <w:sz w:val="24"/>
          <w:lang w:val="zh-CN"/>
        </w:rPr>
        <w:t>井场及站场位于</w:t>
      </w:r>
      <w:r>
        <w:rPr>
          <w:rFonts w:hint="eastAsia"/>
          <w:kern w:val="0"/>
          <w:sz w:val="24"/>
        </w:rPr>
        <w:t>居住区附近或被工矿商贸企业包围，若人员随意出入井场，有可能导致机械伤害或物体打击事故；</w:t>
      </w:r>
      <w:r>
        <w:rPr>
          <w:rFonts w:hint="eastAsia"/>
          <w:kern w:val="0"/>
          <w:sz w:val="24"/>
        </w:rPr>
        <w:t>2</w:t>
      </w:r>
      <w:r>
        <w:rPr>
          <w:rFonts w:hint="eastAsia"/>
          <w:kern w:val="0"/>
          <w:sz w:val="24"/>
        </w:rPr>
        <w:t>）部分油井位于农田中，</w:t>
      </w:r>
      <w:r>
        <w:rPr>
          <w:rFonts w:hint="eastAsia"/>
          <w:kern w:val="0"/>
          <w:sz w:val="24"/>
          <w:lang w:val="zh-CN"/>
        </w:rPr>
        <w:t>若有人在农田内焚烧秸秆，火焰蔓延至井场或站场内，会引起火灾、爆炸事故。</w:t>
      </w:r>
    </w:p>
    <w:p w14:paraId="22201C7D"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抽油机、低压配电线路分布较散，会遭到不法人员的盗窃和破坏。由于原油属地下矿产资源，不法分子可能采取各种方式在原油输送管线上打卡子，盗取原油；部分非法用气户在天然气（主、支）管线、油井、计量站上采取各种方式偷盗天然气，轻者造成国家财产损失，重者引起火灾爆炸事故。</w:t>
      </w:r>
    </w:p>
    <w:p w14:paraId="44F1A7C6" w14:textId="77777777" w:rsidR="003D6A63" w:rsidRDefault="00000000">
      <w:pPr>
        <w:pStyle w:val="nlw3"/>
        <w:spacing w:beforeLines="0" w:before="0" w:after="0" w:line="360" w:lineRule="auto"/>
        <w:rPr>
          <w:sz w:val="24"/>
          <w:szCs w:val="24"/>
        </w:rPr>
      </w:pPr>
      <w:r>
        <w:rPr>
          <w:rFonts w:hint="eastAsia"/>
          <w:sz w:val="24"/>
          <w:szCs w:val="24"/>
        </w:rPr>
        <w:t xml:space="preserve">3.5.3  </w:t>
      </w:r>
      <w:r>
        <w:rPr>
          <w:rFonts w:hint="eastAsia"/>
          <w:sz w:val="24"/>
          <w:szCs w:val="24"/>
        </w:rPr>
        <w:t>自然条件对油气生产的影响</w:t>
      </w:r>
    </w:p>
    <w:p w14:paraId="05BE31E6" w14:textId="77777777" w:rsidR="003D6A63" w:rsidRDefault="00000000">
      <w:pPr>
        <w:spacing w:line="360" w:lineRule="auto"/>
        <w:ind w:firstLine="471"/>
        <w:rPr>
          <w:kern w:val="0"/>
          <w:sz w:val="24"/>
          <w:lang w:val="zh-CN"/>
        </w:rPr>
      </w:pPr>
      <w:bookmarkStart w:id="76" w:name="_Toc285616997"/>
      <w:bookmarkStart w:id="77" w:name="_Toc285631817"/>
      <w:bookmarkStart w:id="78" w:name="_Toc285632846"/>
      <w:bookmarkStart w:id="79" w:name="_Toc285631648"/>
      <w:bookmarkStart w:id="80" w:name="_Toc285631438"/>
      <w:r>
        <w:rPr>
          <w:rFonts w:hint="eastAsia"/>
          <w:kern w:val="0"/>
          <w:sz w:val="24"/>
          <w:lang w:val="zh-CN"/>
        </w:rPr>
        <w:t>自然环境条件中对采油和集输系统及其相关设施可以造成危险的因素主要包括地震、雷击、高温和低温、暴雨等。</w:t>
      </w:r>
    </w:p>
    <w:p w14:paraId="6C8CE54C"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1</w:t>
      </w:r>
      <w:r>
        <w:rPr>
          <w:rFonts w:ascii="Times New Roman" w:hAnsi="Times New Roman" w:hint="eastAsia"/>
          <w:sz w:val="24"/>
          <w:szCs w:val="24"/>
        </w:rPr>
        <w:t>）地震</w:t>
      </w:r>
    </w:p>
    <w:p w14:paraId="74457CE8"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地震具有破坏性巨大且难以预报的特点，一旦发生地震，根据地震强度的不同，不可避免的会造成破坏，甚至对油田设施带来灾难性的影响，并引发一系列的次生灾害事故。</w:t>
      </w:r>
    </w:p>
    <w:p w14:paraId="28D5CA7E"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地震是地球内部突然发生的一系列弹性波，一般出现在</w:t>
      </w:r>
      <w:r>
        <w:rPr>
          <w:rFonts w:hint="eastAsia"/>
          <w:kern w:val="0"/>
          <w:sz w:val="24"/>
          <w:lang w:val="zh-CN"/>
        </w:rPr>
        <w:t>700m</w:t>
      </w:r>
      <w:r>
        <w:rPr>
          <w:rFonts w:hint="eastAsia"/>
          <w:kern w:val="0"/>
          <w:sz w:val="24"/>
          <w:lang w:val="zh-CN"/>
        </w:rPr>
        <w:t>以下的深度。地震时会强烈振动并伴随着出现断层、地裂、地面隆起和下沉等现象，导致高架罐开裂或倾覆、</w:t>
      </w:r>
      <w:r>
        <w:rPr>
          <w:rFonts w:hint="eastAsia"/>
          <w:kern w:val="0"/>
          <w:sz w:val="24"/>
          <w:lang w:val="zh-CN"/>
        </w:rPr>
        <w:lastRenderedPageBreak/>
        <w:t>管道及阀件断裂。其中高架罐、管道均属于高柔性设备，被输送、储存从加工的又是易燃易爆的油气，因此，遭受地震时不仅损坏率极高，同时还会伴随发生火灾及爆炸等严重的二次事故。</w:t>
      </w:r>
    </w:p>
    <w:p w14:paraId="2CC60124"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2</w:t>
      </w:r>
      <w:r>
        <w:rPr>
          <w:rFonts w:ascii="Times New Roman" w:hAnsi="Times New Roman" w:hint="eastAsia"/>
          <w:sz w:val="24"/>
          <w:szCs w:val="24"/>
        </w:rPr>
        <w:t>）雷电</w:t>
      </w:r>
    </w:p>
    <w:p w14:paraId="432692DA"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雷电具有很大的破坏性，能够摧毁房屋，劈裂树木，损坏电气设备和电力线路。在雷电放电时，能产生高达数万伏，所产生的静电感应和电磁感应，足以烧毁电力系统的发电机、变压器、断路器等电气设备或将输电线路绝缘击穿而发生短路，导致可燃、易燃、易爆物品着火和爆炸。若雷击电流迅速通过人体，可立即使呼吸中枢麻痹，心室纤颤或心跳骤停，出现休克或突然死亡，雷击时产生的电火花，还可使人遭到不同程度的烧伤。</w:t>
      </w:r>
    </w:p>
    <w:p w14:paraId="39DC87B1"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3</w:t>
      </w:r>
      <w:r>
        <w:rPr>
          <w:rFonts w:ascii="Times New Roman" w:hAnsi="Times New Roman" w:hint="eastAsia"/>
          <w:sz w:val="24"/>
          <w:szCs w:val="24"/>
        </w:rPr>
        <w:t>）高温和低温</w:t>
      </w:r>
    </w:p>
    <w:p w14:paraId="5C4E6A9D"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在夏季高温环境下作业，有可能会导致人体发生水盐平衡失调，出现无力、体温升高等症状。同时高温使血管扩张，末梢循环血量增加，使心跳加速，心脏负担加重。高温作业可使动作的准确性、协调性、反应速度以及注意力降低，易发生工伤事故。长期在高温环境下作业，还可能导致人员中暑。</w:t>
      </w:r>
    </w:p>
    <w:p w14:paraId="475CF6A8"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油区所在地冬季寒冷，气温过低、保温或伴热失效、管道埋深过浅，易发生管线凝管、冻堵甚至冻裂事故。</w:t>
      </w:r>
    </w:p>
    <w:p w14:paraId="546F5AE7"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外界的温差变化引起的热胀冷缩作用，会产生巨大的温度应力，导致设备、管线等损坏，这些损坏容易发生在管线与设备的连接部位、转弯处、焊缝等处。</w:t>
      </w:r>
    </w:p>
    <w:p w14:paraId="4EFF41E2"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4</w:t>
      </w:r>
      <w:r>
        <w:rPr>
          <w:rFonts w:ascii="Times New Roman" w:hAnsi="Times New Roman" w:hint="eastAsia"/>
          <w:sz w:val="24"/>
          <w:szCs w:val="24"/>
        </w:rPr>
        <w:t>）</w:t>
      </w:r>
      <w:r>
        <w:rPr>
          <w:rFonts w:ascii="Times New Roman" w:hAnsi="Times New Roman" w:hint="eastAsia"/>
          <w:sz w:val="24"/>
          <w:szCs w:val="24"/>
          <w:lang w:val="en-US"/>
        </w:rPr>
        <w:t>大</w:t>
      </w:r>
      <w:r>
        <w:rPr>
          <w:rFonts w:ascii="Times New Roman" w:hAnsi="Times New Roman" w:hint="eastAsia"/>
          <w:sz w:val="24"/>
          <w:szCs w:val="24"/>
        </w:rPr>
        <w:t>风</w:t>
      </w:r>
    </w:p>
    <w:p w14:paraId="318F5F82"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本区为我国东部沿海季风区，多风，其中</w:t>
      </w:r>
      <w:r>
        <w:rPr>
          <w:rFonts w:hint="eastAsia"/>
          <w:kern w:val="0"/>
          <w:sz w:val="24"/>
          <w:lang w:val="zh-CN"/>
        </w:rPr>
        <w:t>4</w:t>
      </w:r>
      <w:r>
        <w:rPr>
          <w:rFonts w:hint="eastAsia"/>
          <w:kern w:val="0"/>
          <w:sz w:val="24"/>
          <w:lang w:val="zh-CN"/>
        </w:rPr>
        <w:t>月风力最大，平均风速</w:t>
      </w:r>
      <w:r>
        <w:rPr>
          <w:rFonts w:hint="eastAsia"/>
          <w:kern w:val="0"/>
          <w:sz w:val="24"/>
          <w:lang w:val="zh-CN"/>
        </w:rPr>
        <w:t>4.5</w:t>
      </w:r>
      <w:r>
        <w:rPr>
          <w:rFonts w:hint="eastAsia"/>
          <w:kern w:val="0"/>
          <w:sz w:val="24"/>
          <w:lang w:val="zh-CN"/>
        </w:rPr>
        <w:t>～</w:t>
      </w:r>
      <w:r>
        <w:rPr>
          <w:rFonts w:hint="eastAsia"/>
          <w:kern w:val="0"/>
          <w:sz w:val="24"/>
          <w:lang w:val="zh-CN"/>
        </w:rPr>
        <w:t>5.2m/s</w:t>
      </w:r>
      <w:r>
        <w:rPr>
          <w:rFonts w:hint="eastAsia"/>
          <w:kern w:val="0"/>
          <w:sz w:val="24"/>
          <w:lang w:val="zh-CN"/>
        </w:rPr>
        <w:t>，一些施工作业，如井下作业等，在大风天气受到限制。大风会吹折或吹倒树木、电杆、井架及烟向等细高直立的物体，它们在倒落过程中则可能发生砸伤人畜、砸毁房屋或设备、以及折断电线引发火灾等二次事故，更大的风力还可能直接摧毁建筑物及大型设备。</w:t>
      </w:r>
    </w:p>
    <w:p w14:paraId="644FC0FC"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5</w:t>
      </w:r>
      <w:r>
        <w:rPr>
          <w:rFonts w:ascii="Times New Roman" w:hAnsi="Times New Roman" w:hint="eastAsia"/>
          <w:sz w:val="24"/>
          <w:szCs w:val="24"/>
        </w:rPr>
        <w:t>）洪涝</w:t>
      </w:r>
    </w:p>
    <w:p w14:paraId="62AB7DAE"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因夏、秋季多雨，每年</w:t>
      </w:r>
      <w:r>
        <w:rPr>
          <w:rFonts w:hint="eastAsia"/>
          <w:kern w:val="0"/>
          <w:sz w:val="24"/>
          <w:lang w:val="zh-CN"/>
        </w:rPr>
        <w:t>6</w:t>
      </w:r>
      <w:r>
        <w:rPr>
          <w:rFonts w:hint="eastAsia"/>
          <w:kern w:val="0"/>
          <w:sz w:val="24"/>
          <w:lang w:val="zh-CN"/>
        </w:rPr>
        <w:t>月至</w:t>
      </w:r>
      <w:r>
        <w:rPr>
          <w:rFonts w:hint="eastAsia"/>
          <w:kern w:val="0"/>
          <w:sz w:val="24"/>
          <w:lang w:val="zh-CN"/>
        </w:rPr>
        <w:t>9</w:t>
      </w:r>
      <w:r>
        <w:rPr>
          <w:rFonts w:hint="eastAsia"/>
          <w:kern w:val="0"/>
          <w:sz w:val="24"/>
          <w:lang w:val="zh-CN"/>
        </w:rPr>
        <w:t>月这四个月的雨量占正常年降雨量的</w:t>
      </w:r>
      <w:r>
        <w:rPr>
          <w:rFonts w:hint="eastAsia"/>
          <w:kern w:val="0"/>
          <w:sz w:val="24"/>
          <w:lang w:val="zh-CN"/>
        </w:rPr>
        <w:t>60~80</w:t>
      </w:r>
      <w:r>
        <w:rPr>
          <w:rFonts w:hint="eastAsia"/>
          <w:kern w:val="0"/>
          <w:sz w:val="24"/>
          <w:lang w:val="zh-CN"/>
        </w:rPr>
        <w:t>％，易形成洪涝灾害。油井、计量站等地势较低，当雨量特别大时，不能及时排出积水，接触到部分设备（如电机、变压器、开关、加热炉等），都会导致设备损坏、停产，影响正常的运行。</w:t>
      </w:r>
    </w:p>
    <w:p w14:paraId="680158E5" w14:textId="77777777" w:rsidR="003D6A63" w:rsidRDefault="00000000">
      <w:pPr>
        <w:pStyle w:val="nlw1"/>
        <w:spacing w:line="360" w:lineRule="auto"/>
        <w:ind w:firstLineChars="100" w:firstLine="24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lang w:val="en-US"/>
        </w:rPr>
        <w:t>6</w:t>
      </w:r>
      <w:r>
        <w:rPr>
          <w:rFonts w:ascii="Times New Roman" w:hAnsi="Times New Roman" w:hint="eastAsia"/>
          <w:sz w:val="24"/>
          <w:szCs w:val="24"/>
        </w:rPr>
        <w:t>）腐蚀</w:t>
      </w:r>
    </w:p>
    <w:p w14:paraId="16BC3D7C" w14:textId="77777777" w:rsidR="003D6A63" w:rsidRDefault="00000000">
      <w:pPr>
        <w:adjustRightInd w:val="0"/>
        <w:snapToGrid w:val="0"/>
        <w:spacing w:line="360" w:lineRule="auto"/>
        <w:ind w:firstLine="471"/>
        <w:rPr>
          <w:kern w:val="0"/>
          <w:sz w:val="24"/>
          <w:lang w:val="zh-CN"/>
        </w:rPr>
      </w:pPr>
      <w:r>
        <w:rPr>
          <w:rFonts w:hint="eastAsia"/>
          <w:kern w:val="0"/>
          <w:sz w:val="24"/>
          <w:lang w:val="zh-CN"/>
        </w:rPr>
        <w:lastRenderedPageBreak/>
        <w:t>在大气中，由于氧的作用，雨水的作用，腐蚀物质的作用，裸露的设备、管线、阀、泵及其他设施会产生严重腐蚀，设备、设施、泵、螺栓、阀等锈蚀，会诱发事故的发生。</w:t>
      </w:r>
    </w:p>
    <w:p w14:paraId="4E8F6DED"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在管道连接处、衬板、垫片等处的金属与金属、金属与非金属间及金属涂层破损时，金属与涂层间所构成的窄缝于电解液中，会造成缝隙腐蚀。</w:t>
      </w:r>
    </w:p>
    <w:p w14:paraId="6F78F98E"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由于金属表面露头、错位、介质不均匀等，使其表面膜完整性遭到破坏，成为点蚀源，腐蚀介质会集中于金属表面个别小点上形成深度较大的腐蚀。</w:t>
      </w:r>
    </w:p>
    <w:p w14:paraId="0F0AC256" w14:textId="77777777" w:rsidR="003D6A63" w:rsidRDefault="00000000">
      <w:pPr>
        <w:adjustRightInd w:val="0"/>
        <w:snapToGrid w:val="0"/>
        <w:spacing w:line="360" w:lineRule="auto"/>
        <w:ind w:firstLine="471"/>
        <w:rPr>
          <w:kern w:val="0"/>
          <w:sz w:val="24"/>
          <w:lang w:val="zh-CN"/>
        </w:rPr>
      </w:pPr>
      <w:r>
        <w:rPr>
          <w:rFonts w:hint="eastAsia"/>
          <w:kern w:val="0"/>
          <w:sz w:val="24"/>
          <w:lang w:val="zh-CN"/>
        </w:rPr>
        <w:t>另外，该地区所在地土地多为盐碱地，如果管道表面缺乏保护或保护不够、防腐层破损、焊接部位处理不当，则土壤中的水分与各种盐分等化学物质形成电解质溶液，会对金属管道造成化学腐蚀和电化学腐蚀，引起穿孔、变薄，发生腐蚀破裂。</w:t>
      </w:r>
    </w:p>
    <w:p w14:paraId="2ACE1990" w14:textId="77777777" w:rsidR="003D6A63" w:rsidRDefault="00000000">
      <w:pPr>
        <w:pStyle w:val="2"/>
        <w:keepNext w:val="0"/>
        <w:keepLines w:val="0"/>
        <w:adjustRightInd w:val="0"/>
        <w:snapToGrid w:val="0"/>
        <w:spacing w:before="0" w:after="0" w:line="360" w:lineRule="auto"/>
        <w:rPr>
          <w:rFonts w:ascii="Times New Roman" w:hAnsi="Times New Roman"/>
          <w:b w:val="0"/>
          <w:spacing w:val="0"/>
          <w:sz w:val="28"/>
        </w:rPr>
      </w:pPr>
      <w:bookmarkStart w:id="81" w:name="_Toc22325"/>
      <w:bookmarkStart w:id="82" w:name="_Toc3904"/>
      <w:bookmarkStart w:id="83" w:name="_Toc25993"/>
      <w:bookmarkEnd w:id="76"/>
      <w:bookmarkEnd w:id="77"/>
      <w:bookmarkEnd w:id="78"/>
      <w:bookmarkEnd w:id="79"/>
      <w:bookmarkEnd w:id="80"/>
      <w:r>
        <w:rPr>
          <w:rFonts w:ascii="Times New Roman" w:hAnsi="Times New Roman"/>
          <w:b w:val="0"/>
          <w:spacing w:val="0"/>
          <w:sz w:val="28"/>
        </w:rPr>
        <w:t>3.</w:t>
      </w:r>
      <w:r>
        <w:rPr>
          <w:rFonts w:ascii="Times New Roman" w:hAnsi="Times New Roman" w:hint="eastAsia"/>
          <w:b w:val="0"/>
          <w:spacing w:val="0"/>
          <w:sz w:val="28"/>
        </w:rPr>
        <w:t>6</w:t>
      </w:r>
      <w:r>
        <w:rPr>
          <w:rFonts w:ascii="Times New Roman" w:hAnsi="Times New Roman"/>
          <w:b w:val="0"/>
          <w:spacing w:val="0"/>
          <w:sz w:val="28"/>
        </w:rPr>
        <w:t xml:space="preserve"> </w:t>
      </w:r>
      <w:r>
        <w:rPr>
          <w:rFonts w:ascii="Times New Roman" w:hAnsi="Times New Roman" w:hint="eastAsia"/>
          <w:b w:val="0"/>
          <w:spacing w:val="0"/>
          <w:sz w:val="28"/>
        </w:rPr>
        <w:t xml:space="preserve"> </w:t>
      </w:r>
      <w:r>
        <w:rPr>
          <w:rFonts w:ascii="Times New Roman" w:hAnsi="Times New Roman"/>
          <w:b w:val="0"/>
          <w:spacing w:val="0"/>
          <w:sz w:val="28"/>
        </w:rPr>
        <w:t>重大危险源辨识</w:t>
      </w:r>
      <w:bookmarkEnd w:id="81"/>
      <w:bookmarkEnd w:id="82"/>
      <w:bookmarkEnd w:id="83"/>
    </w:p>
    <w:p w14:paraId="3FB76541" w14:textId="77777777" w:rsidR="003D6A63" w:rsidRDefault="00000000">
      <w:pPr>
        <w:pStyle w:val="nlw3"/>
        <w:spacing w:beforeLines="0" w:before="0" w:after="0" w:line="360" w:lineRule="auto"/>
        <w:rPr>
          <w:sz w:val="24"/>
          <w:szCs w:val="24"/>
        </w:rPr>
      </w:pPr>
      <w:r>
        <w:rPr>
          <w:rFonts w:hint="eastAsia"/>
          <w:sz w:val="24"/>
          <w:szCs w:val="24"/>
        </w:rPr>
        <w:t xml:space="preserve">3.6.1  </w:t>
      </w:r>
      <w:r>
        <w:rPr>
          <w:rFonts w:hint="eastAsia"/>
          <w:sz w:val="24"/>
          <w:szCs w:val="24"/>
        </w:rPr>
        <w:t>危险化学品重大危险源定义</w:t>
      </w:r>
    </w:p>
    <w:p w14:paraId="79B45470" w14:textId="77777777" w:rsidR="003D6A63" w:rsidRDefault="00000000">
      <w:pPr>
        <w:adjustRightInd w:val="0"/>
        <w:snapToGrid w:val="0"/>
        <w:spacing w:line="360" w:lineRule="auto"/>
        <w:ind w:firstLine="471"/>
        <w:rPr>
          <w:sz w:val="24"/>
        </w:rPr>
      </w:pPr>
      <w:r>
        <w:rPr>
          <w:rFonts w:hint="eastAsia"/>
          <w:sz w:val="24"/>
        </w:rPr>
        <w:t>危险化学品重大危险源的辨识依据</w:t>
      </w:r>
      <w:bookmarkStart w:id="84" w:name="_Hlk505008531"/>
      <w:r>
        <w:rPr>
          <w:rFonts w:hint="eastAsia"/>
          <w:sz w:val="24"/>
        </w:rPr>
        <w:t>《危险化学品重大危险源辨识》（</w:t>
      </w:r>
      <w:r>
        <w:rPr>
          <w:rFonts w:hint="eastAsia"/>
          <w:sz w:val="24"/>
        </w:rPr>
        <w:t>GB18218-2018</w:t>
      </w:r>
      <w:r>
        <w:rPr>
          <w:rFonts w:hint="eastAsia"/>
          <w:sz w:val="24"/>
        </w:rPr>
        <w:t>）</w:t>
      </w:r>
      <w:bookmarkEnd w:id="84"/>
      <w:r>
        <w:rPr>
          <w:rFonts w:hint="eastAsia"/>
          <w:sz w:val="24"/>
        </w:rPr>
        <w:t>和《危险化学品重大危险源监督管理暂行规定》（安监总局令第</w:t>
      </w:r>
      <w:r>
        <w:rPr>
          <w:rFonts w:hint="eastAsia"/>
          <w:sz w:val="24"/>
        </w:rPr>
        <w:t>40</w:t>
      </w:r>
      <w:r>
        <w:rPr>
          <w:rFonts w:hint="eastAsia"/>
          <w:sz w:val="24"/>
        </w:rPr>
        <w:t>号，</w:t>
      </w:r>
      <w:r>
        <w:rPr>
          <w:rFonts w:hint="eastAsia"/>
          <w:sz w:val="24"/>
        </w:rPr>
        <w:t>79</w:t>
      </w:r>
      <w:r>
        <w:rPr>
          <w:rFonts w:hint="eastAsia"/>
          <w:sz w:val="24"/>
        </w:rPr>
        <w:t>号令修订）规定，危险化学品重大危险源、危险化学品和临界量的定义如下：</w:t>
      </w:r>
    </w:p>
    <w:p w14:paraId="16184720" w14:textId="77777777" w:rsidR="003D6A63" w:rsidRDefault="00000000">
      <w:pPr>
        <w:adjustRightInd w:val="0"/>
        <w:snapToGrid w:val="0"/>
        <w:spacing w:line="360" w:lineRule="auto"/>
        <w:ind w:firstLine="471"/>
        <w:rPr>
          <w:sz w:val="24"/>
        </w:rPr>
      </w:pPr>
      <w:r>
        <w:rPr>
          <w:rFonts w:hint="eastAsia"/>
          <w:sz w:val="24"/>
        </w:rPr>
        <w:t>危险化学品重大危险源：指长期地或临时地生产、加工、使用或储存危险化学品，且危险化学品的数量等于或超过临界量的单元。</w:t>
      </w:r>
    </w:p>
    <w:p w14:paraId="3C6D429C" w14:textId="77777777" w:rsidR="003D6A63" w:rsidRDefault="00000000">
      <w:pPr>
        <w:adjustRightInd w:val="0"/>
        <w:snapToGrid w:val="0"/>
        <w:spacing w:line="360" w:lineRule="auto"/>
        <w:ind w:firstLine="471"/>
        <w:rPr>
          <w:sz w:val="24"/>
        </w:rPr>
      </w:pPr>
      <w:r>
        <w:rPr>
          <w:rFonts w:hint="eastAsia"/>
          <w:sz w:val="24"/>
        </w:rPr>
        <w:t>生产单元：危险化学品的生产、加工及使用等的装置及设施，当装置及设施之间有切断阀时，以切断阀作为分隔界限划分为独立的单元。</w:t>
      </w:r>
    </w:p>
    <w:p w14:paraId="46A1260D" w14:textId="77777777" w:rsidR="003D6A63" w:rsidRDefault="00000000">
      <w:pPr>
        <w:adjustRightInd w:val="0"/>
        <w:snapToGrid w:val="0"/>
        <w:spacing w:line="360" w:lineRule="auto"/>
        <w:ind w:firstLine="471"/>
        <w:rPr>
          <w:sz w:val="24"/>
        </w:rPr>
      </w:pPr>
      <w:r>
        <w:rPr>
          <w:rFonts w:hint="eastAsia"/>
          <w:sz w:val="24"/>
        </w:rPr>
        <w:t>储存单元：用于储存危险化学品的储罐或仓库组成的相对独立的区域，储罐区以罐区防火堤为界限划分为独立的单元，仓库以独立库房（独立建筑物）为界限划分为独立的单元。</w:t>
      </w:r>
    </w:p>
    <w:p w14:paraId="2F3D9039" w14:textId="77777777" w:rsidR="003D6A63" w:rsidRDefault="00000000">
      <w:pPr>
        <w:adjustRightInd w:val="0"/>
        <w:snapToGrid w:val="0"/>
        <w:spacing w:line="360" w:lineRule="auto"/>
        <w:ind w:firstLine="471"/>
        <w:rPr>
          <w:sz w:val="24"/>
        </w:rPr>
      </w:pPr>
      <w:r>
        <w:rPr>
          <w:rFonts w:hint="eastAsia"/>
          <w:sz w:val="24"/>
        </w:rPr>
        <w:t>临界量：指对于某种或某类危险化学品规定的数量，若单元中的危险化学品数量等于或超过该数量，则该单元定为重大危险源。</w:t>
      </w:r>
    </w:p>
    <w:p w14:paraId="67D2A9D4" w14:textId="77777777" w:rsidR="003D6A63" w:rsidRDefault="00000000">
      <w:pPr>
        <w:adjustRightInd w:val="0"/>
        <w:snapToGrid w:val="0"/>
        <w:spacing w:line="360" w:lineRule="auto"/>
        <w:ind w:firstLine="471"/>
        <w:rPr>
          <w:sz w:val="24"/>
        </w:rPr>
      </w:pPr>
      <w:r>
        <w:rPr>
          <w:rFonts w:hint="eastAsia"/>
          <w:sz w:val="24"/>
        </w:rPr>
        <w:t>单元内存在的危险化学品的数量根据处理危险化学品种类的多少区分为以下两种情况：</w:t>
      </w:r>
    </w:p>
    <w:p w14:paraId="17CA2307"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）生产单元、储存单元内存在的危险化学品为单一品种，则该危险化学品的数量即为单元内危险化学品的总量，若等于或超过相应的临界量，则定为危险化学品重大危险源；</w:t>
      </w:r>
    </w:p>
    <w:p w14:paraId="40AE846E"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）生产单元、储存单元内存在的危险化学品为多品种时，则按下列公式计算，若满足下列公式，则定为危险化学品重大危险源。</w:t>
      </w:r>
    </w:p>
    <w:p w14:paraId="021B5558" w14:textId="77777777" w:rsidR="003D6A63" w:rsidRDefault="00000000">
      <w:pPr>
        <w:adjustRightInd w:val="0"/>
        <w:snapToGrid w:val="0"/>
        <w:spacing w:line="360" w:lineRule="auto"/>
        <w:ind w:firstLine="471"/>
        <w:rPr>
          <w:sz w:val="24"/>
        </w:rPr>
      </w:pPr>
      <w:r>
        <w:rPr>
          <w:rFonts w:hint="eastAsia"/>
          <w:sz w:val="24"/>
        </w:rPr>
        <w:lastRenderedPageBreak/>
        <w:t>S=q</w:t>
      </w:r>
      <w:r>
        <w:rPr>
          <w:rFonts w:hint="eastAsia"/>
          <w:sz w:val="24"/>
          <w:vertAlign w:val="subscript"/>
        </w:rPr>
        <w:t>1</w:t>
      </w:r>
      <w:r>
        <w:rPr>
          <w:rFonts w:hint="eastAsia"/>
          <w:sz w:val="24"/>
        </w:rPr>
        <w:t>/Q</w:t>
      </w:r>
      <w:r>
        <w:rPr>
          <w:rFonts w:hint="eastAsia"/>
          <w:sz w:val="24"/>
          <w:vertAlign w:val="subscript"/>
        </w:rPr>
        <w:t>1</w:t>
      </w:r>
      <w:r>
        <w:rPr>
          <w:rFonts w:hint="eastAsia"/>
          <w:sz w:val="24"/>
        </w:rPr>
        <w:t xml:space="preserve"> + q</w:t>
      </w:r>
      <w:r>
        <w:rPr>
          <w:rFonts w:hint="eastAsia"/>
          <w:sz w:val="24"/>
          <w:vertAlign w:val="subscript"/>
        </w:rPr>
        <w:t>2</w:t>
      </w:r>
      <w:r>
        <w:rPr>
          <w:rFonts w:hint="eastAsia"/>
          <w:sz w:val="24"/>
        </w:rPr>
        <w:t>/Q</w:t>
      </w:r>
      <w:r>
        <w:rPr>
          <w:rFonts w:hint="eastAsia"/>
          <w:sz w:val="24"/>
          <w:vertAlign w:val="subscript"/>
        </w:rPr>
        <w:t>2</w:t>
      </w:r>
      <w:r>
        <w:rPr>
          <w:rFonts w:hint="eastAsia"/>
          <w:sz w:val="24"/>
        </w:rPr>
        <w:t xml:space="preserve"> + </w:t>
      </w:r>
      <w:r>
        <w:rPr>
          <w:rFonts w:hint="eastAsia"/>
          <w:sz w:val="24"/>
        </w:rPr>
        <w:t>…</w:t>
      </w:r>
      <w:r>
        <w:rPr>
          <w:rFonts w:hint="eastAsia"/>
          <w:sz w:val="24"/>
        </w:rPr>
        <w:t xml:space="preserve"> + q</w:t>
      </w:r>
      <w:r>
        <w:rPr>
          <w:rFonts w:hint="eastAsia"/>
          <w:sz w:val="24"/>
          <w:vertAlign w:val="subscript"/>
        </w:rPr>
        <w:t>n</w:t>
      </w:r>
      <w:r>
        <w:rPr>
          <w:rFonts w:hint="eastAsia"/>
          <w:sz w:val="24"/>
        </w:rPr>
        <w:t>/Q</w:t>
      </w:r>
      <w:r>
        <w:rPr>
          <w:rFonts w:hint="eastAsia"/>
          <w:sz w:val="24"/>
          <w:vertAlign w:val="subscript"/>
        </w:rPr>
        <w:t>n</w:t>
      </w:r>
      <w:r>
        <w:rPr>
          <w:rFonts w:hint="eastAsia"/>
          <w:sz w:val="24"/>
        </w:rPr>
        <w:t xml:space="preserve"> </w:t>
      </w:r>
      <w:r>
        <w:rPr>
          <w:rFonts w:hint="eastAsia"/>
          <w:sz w:val="24"/>
        </w:rPr>
        <w:t>≥</w:t>
      </w:r>
      <w:r>
        <w:rPr>
          <w:rFonts w:hint="eastAsia"/>
          <w:sz w:val="24"/>
        </w:rPr>
        <w:t xml:space="preserve">1     </w:t>
      </w:r>
      <w:r>
        <w:rPr>
          <w:rFonts w:hint="eastAsia"/>
          <w:sz w:val="24"/>
        </w:rPr>
        <w:t>……………①</w:t>
      </w:r>
    </w:p>
    <w:p w14:paraId="6DA5BB3A" w14:textId="77777777" w:rsidR="003D6A63" w:rsidRDefault="00000000">
      <w:pPr>
        <w:adjustRightInd w:val="0"/>
        <w:snapToGrid w:val="0"/>
        <w:spacing w:line="360" w:lineRule="auto"/>
        <w:ind w:firstLine="471"/>
        <w:rPr>
          <w:sz w:val="24"/>
        </w:rPr>
      </w:pPr>
      <w:r>
        <w:rPr>
          <w:rFonts w:hint="eastAsia"/>
          <w:sz w:val="24"/>
        </w:rPr>
        <w:t>式中：</w:t>
      </w:r>
    </w:p>
    <w:p w14:paraId="0A0C8B00" w14:textId="77777777" w:rsidR="003D6A63" w:rsidRDefault="00000000">
      <w:pPr>
        <w:adjustRightInd w:val="0"/>
        <w:snapToGrid w:val="0"/>
        <w:spacing w:line="360" w:lineRule="auto"/>
        <w:ind w:firstLine="471"/>
        <w:rPr>
          <w:sz w:val="24"/>
        </w:rPr>
      </w:pPr>
      <w:r>
        <w:rPr>
          <w:rFonts w:hint="eastAsia"/>
          <w:sz w:val="24"/>
        </w:rPr>
        <w:t>S</w:t>
      </w:r>
      <w:r>
        <w:rPr>
          <w:rFonts w:hint="eastAsia"/>
          <w:sz w:val="24"/>
        </w:rPr>
        <w:t>—辨识指标；</w:t>
      </w:r>
    </w:p>
    <w:p w14:paraId="1E3D2AD6" w14:textId="77777777" w:rsidR="003D6A63" w:rsidRDefault="00000000">
      <w:pPr>
        <w:adjustRightInd w:val="0"/>
        <w:snapToGrid w:val="0"/>
        <w:spacing w:line="360" w:lineRule="auto"/>
        <w:ind w:firstLine="471"/>
        <w:rPr>
          <w:sz w:val="24"/>
        </w:rPr>
      </w:pPr>
      <w:r>
        <w:rPr>
          <w:rFonts w:hint="eastAsia"/>
          <w:sz w:val="24"/>
        </w:rPr>
        <w:t>q</w:t>
      </w:r>
      <w:r>
        <w:rPr>
          <w:rFonts w:hint="eastAsia"/>
          <w:sz w:val="24"/>
          <w:vertAlign w:val="subscript"/>
        </w:rPr>
        <w:t>1</w:t>
      </w:r>
      <w:r>
        <w:rPr>
          <w:rFonts w:hint="eastAsia"/>
          <w:sz w:val="24"/>
        </w:rPr>
        <w:t>，</w:t>
      </w:r>
      <w:r>
        <w:rPr>
          <w:rFonts w:hint="eastAsia"/>
          <w:sz w:val="24"/>
        </w:rPr>
        <w:t>q</w:t>
      </w:r>
      <w:r>
        <w:rPr>
          <w:rFonts w:hint="eastAsia"/>
          <w:sz w:val="24"/>
          <w:vertAlign w:val="subscript"/>
        </w:rPr>
        <w:t>2</w:t>
      </w:r>
      <w:r>
        <w:rPr>
          <w:rFonts w:hint="eastAsia"/>
          <w:sz w:val="24"/>
        </w:rPr>
        <w:t>，…，</w:t>
      </w:r>
      <w:r>
        <w:rPr>
          <w:rFonts w:hint="eastAsia"/>
          <w:sz w:val="24"/>
        </w:rPr>
        <w:t>q</w:t>
      </w:r>
      <w:r>
        <w:rPr>
          <w:rFonts w:hint="eastAsia"/>
          <w:sz w:val="24"/>
          <w:vertAlign w:val="subscript"/>
        </w:rPr>
        <w:t>n</w:t>
      </w:r>
      <w:r>
        <w:rPr>
          <w:rFonts w:hint="eastAsia"/>
          <w:sz w:val="24"/>
        </w:rPr>
        <w:t>—每种危险化学品实际存在量，单位为</w:t>
      </w:r>
      <w:r>
        <w:rPr>
          <w:rFonts w:hint="eastAsia"/>
          <w:sz w:val="24"/>
        </w:rPr>
        <w:t>t</w:t>
      </w:r>
      <w:r>
        <w:rPr>
          <w:rFonts w:hint="eastAsia"/>
          <w:sz w:val="24"/>
        </w:rPr>
        <w:t>；</w:t>
      </w:r>
    </w:p>
    <w:p w14:paraId="2BA1112F" w14:textId="77777777" w:rsidR="003D6A63" w:rsidRDefault="00000000">
      <w:pPr>
        <w:adjustRightInd w:val="0"/>
        <w:snapToGrid w:val="0"/>
        <w:spacing w:line="360" w:lineRule="auto"/>
        <w:ind w:firstLine="471"/>
        <w:rPr>
          <w:sz w:val="24"/>
        </w:rPr>
      </w:pPr>
      <w:r>
        <w:rPr>
          <w:rFonts w:hint="eastAsia"/>
          <w:sz w:val="24"/>
        </w:rPr>
        <w:t>Q</w:t>
      </w:r>
      <w:r>
        <w:rPr>
          <w:rFonts w:hint="eastAsia"/>
          <w:sz w:val="24"/>
          <w:vertAlign w:val="subscript"/>
        </w:rPr>
        <w:t>1</w:t>
      </w:r>
      <w:r>
        <w:rPr>
          <w:rFonts w:hint="eastAsia"/>
          <w:sz w:val="24"/>
        </w:rPr>
        <w:t>，</w:t>
      </w:r>
      <w:r>
        <w:rPr>
          <w:rFonts w:hint="eastAsia"/>
          <w:sz w:val="24"/>
        </w:rPr>
        <w:t>Q</w:t>
      </w:r>
      <w:r>
        <w:rPr>
          <w:rFonts w:hint="eastAsia"/>
          <w:sz w:val="24"/>
          <w:vertAlign w:val="subscript"/>
        </w:rPr>
        <w:t>2</w:t>
      </w:r>
      <w:r>
        <w:rPr>
          <w:rFonts w:hint="eastAsia"/>
          <w:sz w:val="24"/>
        </w:rPr>
        <w:t>，…，</w:t>
      </w:r>
      <w:r>
        <w:rPr>
          <w:rFonts w:hint="eastAsia"/>
          <w:sz w:val="24"/>
        </w:rPr>
        <w:t>Q</w:t>
      </w:r>
      <w:r>
        <w:rPr>
          <w:rFonts w:hint="eastAsia"/>
          <w:sz w:val="24"/>
          <w:vertAlign w:val="subscript"/>
        </w:rPr>
        <w:t>n</w:t>
      </w:r>
      <w:r>
        <w:rPr>
          <w:rFonts w:hint="eastAsia"/>
          <w:sz w:val="24"/>
        </w:rPr>
        <w:t>—与各危险化学品相对应的临界量，单位为</w:t>
      </w:r>
      <w:r>
        <w:rPr>
          <w:rFonts w:hint="eastAsia"/>
          <w:sz w:val="24"/>
        </w:rPr>
        <w:t>t</w:t>
      </w:r>
      <w:r>
        <w:rPr>
          <w:rFonts w:hint="eastAsia"/>
          <w:sz w:val="24"/>
        </w:rPr>
        <w:t>。</w:t>
      </w:r>
    </w:p>
    <w:p w14:paraId="5D1D0FD0" w14:textId="77777777" w:rsidR="003D6A63" w:rsidRDefault="00000000">
      <w:pPr>
        <w:pStyle w:val="nlw3"/>
        <w:spacing w:beforeLines="0" w:before="0" w:after="0" w:line="360" w:lineRule="auto"/>
        <w:rPr>
          <w:sz w:val="24"/>
          <w:szCs w:val="24"/>
        </w:rPr>
      </w:pPr>
      <w:r>
        <w:rPr>
          <w:rFonts w:hint="eastAsia"/>
          <w:sz w:val="24"/>
          <w:szCs w:val="24"/>
        </w:rPr>
        <w:t xml:space="preserve">3.6.2  </w:t>
      </w:r>
      <w:r>
        <w:rPr>
          <w:rFonts w:hint="eastAsia"/>
          <w:sz w:val="24"/>
          <w:szCs w:val="24"/>
        </w:rPr>
        <w:t>危险化学品重大危险源单元划分</w:t>
      </w:r>
    </w:p>
    <w:p w14:paraId="3EF4934D" w14:textId="77777777" w:rsidR="003D6A63" w:rsidRDefault="00000000">
      <w:pPr>
        <w:adjustRightInd w:val="0"/>
        <w:snapToGrid w:val="0"/>
        <w:spacing w:line="360" w:lineRule="auto"/>
        <w:ind w:firstLine="471"/>
        <w:rPr>
          <w:sz w:val="24"/>
        </w:rPr>
      </w:pPr>
      <w:r>
        <w:rPr>
          <w:rFonts w:hint="eastAsia"/>
          <w:sz w:val="24"/>
        </w:rPr>
        <w:t>依据《危险化学品重大危险源辨识》（</w:t>
      </w:r>
      <w:r>
        <w:rPr>
          <w:rFonts w:hint="eastAsia"/>
          <w:sz w:val="24"/>
        </w:rPr>
        <w:t>GB18218-2018</w:t>
      </w:r>
      <w:r>
        <w:rPr>
          <w:rFonts w:hint="eastAsia"/>
          <w:sz w:val="24"/>
        </w:rPr>
        <w:t>）第</w:t>
      </w:r>
      <w:r>
        <w:rPr>
          <w:rFonts w:hint="eastAsia"/>
          <w:sz w:val="24"/>
        </w:rPr>
        <w:t>4.1</w:t>
      </w:r>
      <w:r>
        <w:rPr>
          <w:rFonts w:hint="eastAsia"/>
          <w:sz w:val="24"/>
        </w:rPr>
        <w:t>条，危险化学品重大危险源可分为生产单元危险化学品重大危险源和储存单元危险化学品重大危险源，根据中胜公司的实际情况，井场原油储罐为界限各自划分独立的储存单元。</w:t>
      </w:r>
    </w:p>
    <w:p w14:paraId="47C3CAA9" w14:textId="77777777" w:rsidR="003D6A63" w:rsidRDefault="00000000">
      <w:pPr>
        <w:pStyle w:val="nlw3"/>
        <w:spacing w:beforeLines="0" w:before="0" w:after="0" w:line="360" w:lineRule="auto"/>
        <w:rPr>
          <w:sz w:val="24"/>
          <w:szCs w:val="24"/>
        </w:rPr>
      </w:pPr>
      <w:r>
        <w:rPr>
          <w:rFonts w:hint="eastAsia"/>
          <w:sz w:val="24"/>
          <w:szCs w:val="24"/>
        </w:rPr>
        <w:t xml:space="preserve">3.6.3  </w:t>
      </w:r>
      <w:r>
        <w:rPr>
          <w:rFonts w:hint="eastAsia"/>
          <w:sz w:val="24"/>
          <w:szCs w:val="24"/>
        </w:rPr>
        <w:t>危险化学品重大危险源辨识</w:t>
      </w:r>
    </w:p>
    <w:p w14:paraId="3D429F7E" w14:textId="77777777" w:rsidR="003D6A63" w:rsidRDefault="00000000">
      <w:pPr>
        <w:adjustRightInd w:val="0"/>
        <w:snapToGrid w:val="0"/>
        <w:spacing w:line="360" w:lineRule="auto"/>
        <w:ind w:firstLine="471"/>
        <w:rPr>
          <w:sz w:val="24"/>
        </w:rPr>
      </w:pPr>
      <w:r>
        <w:rPr>
          <w:rFonts w:hint="eastAsia"/>
          <w:sz w:val="24"/>
          <w:lang w:val="zh-CN"/>
        </w:rPr>
        <w:t>根据《化学品分类和标签规范</w:t>
      </w:r>
      <w:r>
        <w:rPr>
          <w:rFonts w:hint="eastAsia"/>
          <w:sz w:val="24"/>
          <w:lang w:val="zh-CN"/>
        </w:rPr>
        <w:t xml:space="preserve"> </w:t>
      </w:r>
      <w:r>
        <w:rPr>
          <w:rFonts w:hint="eastAsia"/>
          <w:sz w:val="24"/>
          <w:lang w:val="zh-CN"/>
        </w:rPr>
        <w:t>第</w:t>
      </w:r>
      <w:r>
        <w:rPr>
          <w:rFonts w:hint="eastAsia"/>
          <w:sz w:val="24"/>
          <w:lang w:val="zh-CN"/>
        </w:rPr>
        <w:t>7</w:t>
      </w:r>
      <w:r>
        <w:rPr>
          <w:rFonts w:hint="eastAsia"/>
          <w:sz w:val="24"/>
          <w:lang w:val="zh-CN"/>
        </w:rPr>
        <w:t>部分：易燃液体》（</w:t>
      </w:r>
      <w:r>
        <w:rPr>
          <w:rFonts w:hint="eastAsia"/>
          <w:sz w:val="24"/>
          <w:lang w:val="zh-CN"/>
        </w:rPr>
        <w:t>GB30000.7-2013</w:t>
      </w:r>
      <w:r>
        <w:rPr>
          <w:rFonts w:hint="eastAsia"/>
          <w:sz w:val="24"/>
          <w:lang w:val="zh-CN"/>
        </w:rPr>
        <w:t>）第</w:t>
      </w:r>
      <w:r>
        <w:rPr>
          <w:rFonts w:hint="eastAsia"/>
          <w:sz w:val="24"/>
          <w:lang w:val="zh-CN"/>
        </w:rPr>
        <w:t>4.2</w:t>
      </w:r>
      <w:r>
        <w:rPr>
          <w:rFonts w:hint="eastAsia"/>
          <w:sz w:val="24"/>
          <w:lang w:val="zh-CN"/>
        </w:rPr>
        <w:t>规定，确定易燃液体类别，依据《危险化学品重大危险源辨识》（</w:t>
      </w:r>
      <w:r>
        <w:rPr>
          <w:rFonts w:hint="eastAsia"/>
          <w:sz w:val="24"/>
          <w:lang w:val="zh-CN"/>
        </w:rPr>
        <w:t>GB18218-2018</w:t>
      </w:r>
      <w:r>
        <w:rPr>
          <w:rFonts w:hint="eastAsia"/>
          <w:sz w:val="24"/>
          <w:lang w:val="zh-CN"/>
        </w:rPr>
        <w:t>）第</w:t>
      </w:r>
      <w:r>
        <w:rPr>
          <w:rFonts w:hint="eastAsia"/>
          <w:sz w:val="24"/>
          <w:lang w:val="zh-CN"/>
        </w:rPr>
        <w:t>4.1.2</w:t>
      </w:r>
      <w:r>
        <w:rPr>
          <w:rFonts w:hint="eastAsia"/>
          <w:sz w:val="24"/>
          <w:lang w:val="zh-CN"/>
        </w:rPr>
        <w:t>危险化学品临界量的确定方法，进行危险化学品重大危险源辨识。《化学品分类和标签规范</w:t>
      </w:r>
      <w:r>
        <w:rPr>
          <w:rFonts w:hint="eastAsia"/>
          <w:sz w:val="24"/>
          <w:lang w:val="zh-CN"/>
        </w:rPr>
        <w:t xml:space="preserve"> </w:t>
      </w:r>
      <w:r>
        <w:rPr>
          <w:rFonts w:hint="eastAsia"/>
          <w:sz w:val="24"/>
          <w:lang w:val="zh-CN"/>
        </w:rPr>
        <w:t>第</w:t>
      </w:r>
      <w:r>
        <w:rPr>
          <w:rFonts w:hint="eastAsia"/>
          <w:sz w:val="24"/>
          <w:lang w:val="zh-CN"/>
        </w:rPr>
        <w:t>7</w:t>
      </w:r>
      <w:r>
        <w:rPr>
          <w:rFonts w:hint="eastAsia"/>
          <w:sz w:val="24"/>
          <w:lang w:val="zh-CN"/>
        </w:rPr>
        <w:t>部分：易燃液体》（</w:t>
      </w:r>
      <w:r>
        <w:rPr>
          <w:rFonts w:hint="eastAsia"/>
          <w:sz w:val="24"/>
          <w:lang w:val="zh-CN"/>
        </w:rPr>
        <w:t>GB30000.7-2013</w:t>
      </w:r>
      <w:r>
        <w:rPr>
          <w:rFonts w:hint="eastAsia"/>
          <w:sz w:val="24"/>
          <w:lang w:val="zh-CN"/>
        </w:rPr>
        <w:t>）第</w:t>
      </w:r>
      <w:r>
        <w:rPr>
          <w:rFonts w:hint="eastAsia"/>
          <w:sz w:val="24"/>
          <w:lang w:val="zh-CN"/>
        </w:rPr>
        <w:t>4.2</w:t>
      </w:r>
      <w:r>
        <w:rPr>
          <w:rFonts w:hint="eastAsia"/>
          <w:sz w:val="24"/>
        </w:rPr>
        <w:t>的内容见表</w:t>
      </w:r>
      <w:r>
        <w:rPr>
          <w:rFonts w:hint="eastAsia"/>
          <w:sz w:val="24"/>
        </w:rPr>
        <w:t>3.6-1</w:t>
      </w:r>
      <w:r>
        <w:rPr>
          <w:rFonts w:hint="eastAsia"/>
          <w:sz w:val="24"/>
        </w:rPr>
        <w:t>；《危险化学品重大危险源辨识》（</w:t>
      </w:r>
      <w:r>
        <w:rPr>
          <w:rFonts w:hint="eastAsia"/>
          <w:sz w:val="24"/>
        </w:rPr>
        <w:t>GB18218-2018</w:t>
      </w:r>
      <w:r>
        <w:rPr>
          <w:rFonts w:hint="eastAsia"/>
          <w:sz w:val="24"/>
        </w:rPr>
        <w:t>）第</w:t>
      </w:r>
      <w:r>
        <w:rPr>
          <w:rFonts w:hint="eastAsia"/>
          <w:sz w:val="24"/>
        </w:rPr>
        <w:t>4.1.2</w:t>
      </w:r>
      <w:r>
        <w:rPr>
          <w:rFonts w:hint="eastAsia"/>
          <w:sz w:val="24"/>
        </w:rPr>
        <w:t>的部分内容见表</w:t>
      </w:r>
      <w:r>
        <w:rPr>
          <w:rFonts w:hint="eastAsia"/>
          <w:sz w:val="24"/>
        </w:rPr>
        <w:t>3.6-2</w:t>
      </w:r>
      <w:r>
        <w:rPr>
          <w:rFonts w:hint="eastAsia"/>
          <w:sz w:val="24"/>
        </w:rPr>
        <w:t>。</w:t>
      </w:r>
    </w:p>
    <w:p w14:paraId="3FED8668" w14:textId="77777777" w:rsidR="003D6A63" w:rsidRDefault="00000000">
      <w:pPr>
        <w:spacing w:afterLines="50" w:after="120"/>
        <w:jc w:val="center"/>
        <w:rPr>
          <w:rFonts w:eastAsia="黑体"/>
          <w:szCs w:val="20"/>
        </w:rPr>
      </w:pPr>
      <w:r>
        <w:rPr>
          <w:rFonts w:eastAsia="黑体" w:hint="eastAsia"/>
          <w:szCs w:val="20"/>
        </w:rPr>
        <w:t>表</w:t>
      </w:r>
      <w:r>
        <w:rPr>
          <w:rFonts w:eastAsia="黑体" w:hint="eastAsia"/>
          <w:szCs w:val="20"/>
        </w:rPr>
        <w:fldChar w:fldCharType="begin"/>
      </w:r>
      <w:r>
        <w:rPr>
          <w:rFonts w:eastAsia="黑体" w:hint="eastAsia"/>
          <w:szCs w:val="20"/>
        </w:rPr>
        <w:instrText xml:space="preserve"> STYLEREF 2 \s </w:instrText>
      </w:r>
      <w:r>
        <w:rPr>
          <w:rFonts w:eastAsia="黑体" w:hint="eastAsia"/>
          <w:szCs w:val="20"/>
        </w:rPr>
        <w:fldChar w:fldCharType="separate"/>
      </w:r>
      <w:r>
        <w:rPr>
          <w:rFonts w:eastAsia="黑体" w:hint="eastAsia"/>
          <w:szCs w:val="20"/>
        </w:rPr>
        <w:t>3.6</w:t>
      </w:r>
      <w:r>
        <w:rPr>
          <w:rFonts w:eastAsia="黑体" w:hint="eastAsia"/>
          <w:szCs w:val="20"/>
        </w:rPr>
        <w:fldChar w:fldCharType="end"/>
      </w:r>
      <w:r>
        <w:rPr>
          <w:rFonts w:eastAsia="黑体" w:hint="eastAsia"/>
          <w:szCs w:val="20"/>
        </w:rPr>
        <w:noBreakHyphen/>
      </w:r>
      <w:r>
        <w:rPr>
          <w:rFonts w:eastAsia="黑体" w:hint="eastAsia"/>
          <w:szCs w:val="20"/>
        </w:rPr>
        <w:fldChar w:fldCharType="begin"/>
      </w:r>
      <w:r>
        <w:rPr>
          <w:rFonts w:eastAsia="黑体" w:hint="eastAsia"/>
          <w:szCs w:val="20"/>
        </w:rPr>
        <w:instrText xml:space="preserve"> SEQ </w:instrText>
      </w:r>
      <w:r>
        <w:rPr>
          <w:rFonts w:eastAsia="黑体" w:hint="eastAsia"/>
          <w:szCs w:val="20"/>
        </w:rPr>
        <w:instrText>表</w:instrText>
      </w:r>
      <w:r>
        <w:rPr>
          <w:rFonts w:eastAsia="黑体" w:hint="eastAsia"/>
          <w:szCs w:val="20"/>
        </w:rPr>
        <w:instrText xml:space="preserve"> \* ARABIC \s 2 </w:instrText>
      </w:r>
      <w:r>
        <w:rPr>
          <w:rFonts w:eastAsia="黑体" w:hint="eastAsia"/>
          <w:szCs w:val="20"/>
        </w:rPr>
        <w:fldChar w:fldCharType="separate"/>
      </w:r>
      <w:r>
        <w:rPr>
          <w:rFonts w:eastAsia="黑体" w:hint="eastAsia"/>
          <w:szCs w:val="20"/>
        </w:rPr>
        <w:t>1</w:t>
      </w:r>
      <w:r>
        <w:rPr>
          <w:rFonts w:eastAsia="黑体" w:hint="eastAsia"/>
          <w:szCs w:val="20"/>
        </w:rPr>
        <w:fldChar w:fldCharType="end"/>
      </w:r>
      <w:r>
        <w:rPr>
          <w:rFonts w:eastAsia="黑体" w:hint="eastAsia"/>
          <w:szCs w:val="20"/>
        </w:rPr>
        <w:t xml:space="preserve"> </w:t>
      </w:r>
      <w:r>
        <w:rPr>
          <w:rFonts w:eastAsia="黑体" w:hint="eastAsia"/>
          <w:szCs w:val="20"/>
          <w:lang w:val="zh-CN"/>
        </w:rPr>
        <w:t>易燃液体的分类</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83"/>
        <w:gridCol w:w="828"/>
        <w:gridCol w:w="3823"/>
        <w:gridCol w:w="2850"/>
      </w:tblGrid>
      <w:tr w:rsidR="003D6A63" w14:paraId="6AA1563F" w14:textId="77777777">
        <w:trPr>
          <w:trHeight w:val="397"/>
          <w:tblHeader/>
          <w:jc w:val="center"/>
        </w:trPr>
        <w:tc>
          <w:tcPr>
            <w:tcW w:w="1406" w:type="pct"/>
            <w:gridSpan w:val="2"/>
            <w:tcBorders>
              <w:tl2br w:val="nil"/>
              <w:tr2bl w:val="nil"/>
            </w:tcBorders>
            <w:vAlign w:val="center"/>
          </w:tcPr>
          <w:p w14:paraId="164A1143" w14:textId="77777777" w:rsidR="003D6A63" w:rsidRDefault="00000000">
            <w:pPr>
              <w:adjustRightInd w:val="0"/>
              <w:snapToGrid w:val="0"/>
              <w:jc w:val="center"/>
              <w:rPr>
                <w:b/>
                <w:bCs/>
              </w:rPr>
            </w:pPr>
            <w:r>
              <w:rPr>
                <w:b/>
                <w:bCs/>
              </w:rPr>
              <w:t>类别</w:t>
            </w:r>
          </w:p>
        </w:tc>
        <w:tc>
          <w:tcPr>
            <w:tcW w:w="2058" w:type="pct"/>
            <w:tcBorders>
              <w:tl2br w:val="nil"/>
              <w:tr2bl w:val="nil"/>
            </w:tcBorders>
            <w:vAlign w:val="center"/>
          </w:tcPr>
          <w:p w14:paraId="3284E3C6" w14:textId="77777777" w:rsidR="003D6A63" w:rsidRDefault="00000000">
            <w:pPr>
              <w:adjustRightInd w:val="0"/>
              <w:snapToGrid w:val="0"/>
              <w:jc w:val="center"/>
              <w:rPr>
                <w:b/>
                <w:bCs/>
              </w:rPr>
            </w:pPr>
            <w:r>
              <w:rPr>
                <w:b/>
                <w:bCs/>
              </w:rPr>
              <w:t>标准</w:t>
            </w:r>
          </w:p>
        </w:tc>
        <w:tc>
          <w:tcPr>
            <w:tcW w:w="1534" w:type="pct"/>
            <w:tcBorders>
              <w:tl2br w:val="nil"/>
              <w:tr2bl w:val="nil"/>
            </w:tcBorders>
            <w:vAlign w:val="center"/>
          </w:tcPr>
          <w:p w14:paraId="2F22F1C1" w14:textId="77777777" w:rsidR="003D6A63" w:rsidRDefault="00000000">
            <w:pPr>
              <w:adjustRightInd w:val="0"/>
              <w:snapToGrid w:val="0"/>
              <w:jc w:val="center"/>
              <w:rPr>
                <w:b/>
                <w:bCs/>
              </w:rPr>
            </w:pPr>
            <w:r>
              <w:rPr>
                <w:b/>
                <w:bCs/>
              </w:rPr>
              <w:t>备注</w:t>
            </w:r>
          </w:p>
        </w:tc>
      </w:tr>
      <w:tr w:rsidR="003D6A63" w14:paraId="550C70C7" w14:textId="77777777">
        <w:trPr>
          <w:trHeight w:val="397"/>
          <w:jc w:val="center"/>
        </w:trPr>
        <w:tc>
          <w:tcPr>
            <w:tcW w:w="960" w:type="pct"/>
            <w:vMerge w:val="restart"/>
            <w:tcBorders>
              <w:tl2br w:val="nil"/>
              <w:tr2bl w:val="nil"/>
            </w:tcBorders>
            <w:vAlign w:val="center"/>
          </w:tcPr>
          <w:p w14:paraId="4A76A69F" w14:textId="77777777" w:rsidR="003D6A63" w:rsidRDefault="00000000">
            <w:pPr>
              <w:adjustRightInd w:val="0"/>
              <w:snapToGrid w:val="0"/>
            </w:pPr>
            <w:r>
              <w:t>易燃液体的分类</w:t>
            </w:r>
          </w:p>
        </w:tc>
        <w:tc>
          <w:tcPr>
            <w:tcW w:w="445" w:type="pct"/>
            <w:tcBorders>
              <w:tl2br w:val="nil"/>
              <w:tr2bl w:val="nil"/>
            </w:tcBorders>
            <w:vAlign w:val="center"/>
          </w:tcPr>
          <w:p w14:paraId="44E305A4" w14:textId="77777777" w:rsidR="003D6A63" w:rsidRDefault="00000000">
            <w:pPr>
              <w:adjustRightInd w:val="0"/>
              <w:snapToGrid w:val="0"/>
              <w:jc w:val="center"/>
            </w:pPr>
            <w:r>
              <w:t>1</w:t>
            </w:r>
          </w:p>
        </w:tc>
        <w:tc>
          <w:tcPr>
            <w:tcW w:w="2058" w:type="pct"/>
            <w:tcBorders>
              <w:tl2br w:val="nil"/>
              <w:tr2bl w:val="nil"/>
            </w:tcBorders>
            <w:vAlign w:val="center"/>
          </w:tcPr>
          <w:p w14:paraId="545C4349" w14:textId="77777777" w:rsidR="003D6A63" w:rsidRDefault="00000000">
            <w:pPr>
              <w:adjustRightInd w:val="0"/>
              <w:snapToGrid w:val="0"/>
            </w:pPr>
            <w:r>
              <w:t>闪点小于</w:t>
            </w:r>
            <w:r>
              <w:t>23℃</w:t>
            </w:r>
            <w:r>
              <w:t>且初沸点不大于</w:t>
            </w:r>
            <w:r>
              <w:t>35℃</w:t>
            </w:r>
          </w:p>
        </w:tc>
        <w:tc>
          <w:tcPr>
            <w:tcW w:w="1534" w:type="pct"/>
            <w:vMerge w:val="restart"/>
            <w:tcBorders>
              <w:tl2br w:val="nil"/>
              <w:tr2bl w:val="nil"/>
            </w:tcBorders>
            <w:vAlign w:val="center"/>
          </w:tcPr>
          <w:p w14:paraId="728E3822" w14:textId="77777777" w:rsidR="003D6A63" w:rsidRDefault="00000000">
            <w:pPr>
              <w:adjustRightInd w:val="0"/>
              <w:snapToGrid w:val="0"/>
            </w:pPr>
            <w:r>
              <w:rPr>
                <w:lang w:val="zh-CN"/>
              </w:rPr>
              <w:t>《化学品分类和标签规范</w:t>
            </w:r>
            <w:r>
              <w:rPr>
                <w:lang w:val="zh-CN"/>
              </w:rPr>
              <w:t xml:space="preserve"> </w:t>
            </w:r>
            <w:r>
              <w:rPr>
                <w:lang w:val="zh-CN"/>
              </w:rPr>
              <w:t>第</w:t>
            </w:r>
            <w:r>
              <w:rPr>
                <w:lang w:val="zh-CN"/>
              </w:rPr>
              <w:t>7</w:t>
            </w:r>
            <w:r>
              <w:rPr>
                <w:lang w:val="zh-CN"/>
              </w:rPr>
              <w:t>部分：易燃液体》（</w:t>
            </w:r>
            <w:r>
              <w:rPr>
                <w:lang w:val="zh-CN"/>
              </w:rPr>
              <w:t>GB30000.7-2013</w:t>
            </w:r>
            <w:r>
              <w:rPr>
                <w:lang w:val="zh-CN"/>
              </w:rPr>
              <w:t>）第</w:t>
            </w:r>
            <w:r>
              <w:rPr>
                <w:lang w:val="zh-CN"/>
              </w:rPr>
              <w:t>4.2</w:t>
            </w:r>
            <w:r>
              <w:rPr>
                <w:lang w:val="zh-CN"/>
              </w:rPr>
              <w:t>规定</w:t>
            </w:r>
          </w:p>
        </w:tc>
      </w:tr>
      <w:tr w:rsidR="003D6A63" w14:paraId="3180E7ED" w14:textId="77777777">
        <w:trPr>
          <w:trHeight w:val="397"/>
          <w:jc w:val="center"/>
        </w:trPr>
        <w:tc>
          <w:tcPr>
            <w:tcW w:w="960" w:type="pct"/>
            <w:vMerge/>
            <w:tcBorders>
              <w:tl2br w:val="nil"/>
              <w:tr2bl w:val="nil"/>
            </w:tcBorders>
          </w:tcPr>
          <w:p w14:paraId="594F6905" w14:textId="77777777" w:rsidR="003D6A63" w:rsidRDefault="003D6A63">
            <w:pPr>
              <w:adjustRightInd w:val="0"/>
              <w:snapToGrid w:val="0"/>
            </w:pPr>
          </w:p>
        </w:tc>
        <w:tc>
          <w:tcPr>
            <w:tcW w:w="445" w:type="pct"/>
            <w:tcBorders>
              <w:tl2br w:val="nil"/>
              <w:tr2bl w:val="nil"/>
            </w:tcBorders>
            <w:vAlign w:val="center"/>
          </w:tcPr>
          <w:p w14:paraId="567CBFC7" w14:textId="77777777" w:rsidR="003D6A63" w:rsidRDefault="00000000">
            <w:pPr>
              <w:adjustRightInd w:val="0"/>
              <w:snapToGrid w:val="0"/>
              <w:jc w:val="center"/>
            </w:pPr>
            <w:r>
              <w:t>2</w:t>
            </w:r>
          </w:p>
        </w:tc>
        <w:tc>
          <w:tcPr>
            <w:tcW w:w="2058" w:type="pct"/>
            <w:tcBorders>
              <w:tl2br w:val="nil"/>
              <w:tr2bl w:val="nil"/>
            </w:tcBorders>
            <w:vAlign w:val="center"/>
          </w:tcPr>
          <w:p w14:paraId="0AD622C4" w14:textId="77777777" w:rsidR="003D6A63" w:rsidRDefault="00000000">
            <w:pPr>
              <w:adjustRightInd w:val="0"/>
              <w:snapToGrid w:val="0"/>
            </w:pPr>
            <w:r>
              <w:t>闪点小于</w:t>
            </w:r>
            <w:r>
              <w:t>23℃</w:t>
            </w:r>
            <w:r>
              <w:t>且初沸点大于</w:t>
            </w:r>
            <w:r>
              <w:t>35℃</w:t>
            </w:r>
          </w:p>
        </w:tc>
        <w:tc>
          <w:tcPr>
            <w:tcW w:w="1534" w:type="pct"/>
            <w:vMerge/>
            <w:tcBorders>
              <w:tl2br w:val="nil"/>
              <w:tr2bl w:val="nil"/>
            </w:tcBorders>
            <w:vAlign w:val="center"/>
          </w:tcPr>
          <w:p w14:paraId="54007B24" w14:textId="77777777" w:rsidR="003D6A63" w:rsidRDefault="003D6A63">
            <w:pPr>
              <w:adjustRightInd w:val="0"/>
              <w:snapToGrid w:val="0"/>
            </w:pPr>
          </w:p>
        </w:tc>
      </w:tr>
      <w:tr w:rsidR="003D6A63" w14:paraId="2135E30D" w14:textId="77777777">
        <w:trPr>
          <w:trHeight w:val="397"/>
          <w:jc w:val="center"/>
        </w:trPr>
        <w:tc>
          <w:tcPr>
            <w:tcW w:w="960" w:type="pct"/>
            <w:vMerge/>
            <w:tcBorders>
              <w:tl2br w:val="nil"/>
              <w:tr2bl w:val="nil"/>
            </w:tcBorders>
          </w:tcPr>
          <w:p w14:paraId="394E2C64" w14:textId="77777777" w:rsidR="003D6A63" w:rsidRDefault="003D6A63">
            <w:pPr>
              <w:adjustRightInd w:val="0"/>
              <w:snapToGrid w:val="0"/>
            </w:pPr>
          </w:p>
        </w:tc>
        <w:tc>
          <w:tcPr>
            <w:tcW w:w="445" w:type="pct"/>
            <w:tcBorders>
              <w:tl2br w:val="nil"/>
              <w:tr2bl w:val="nil"/>
            </w:tcBorders>
            <w:vAlign w:val="center"/>
          </w:tcPr>
          <w:p w14:paraId="0709C223" w14:textId="77777777" w:rsidR="003D6A63" w:rsidRDefault="00000000">
            <w:pPr>
              <w:adjustRightInd w:val="0"/>
              <w:snapToGrid w:val="0"/>
              <w:jc w:val="center"/>
            </w:pPr>
            <w:r>
              <w:t>3</w:t>
            </w:r>
          </w:p>
        </w:tc>
        <w:tc>
          <w:tcPr>
            <w:tcW w:w="2058" w:type="pct"/>
            <w:tcBorders>
              <w:tl2br w:val="nil"/>
              <w:tr2bl w:val="nil"/>
            </w:tcBorders>
            <w:vAlign w:val="center"/>
          </w:tcPr>
          <w:p w14:paraId="1C6968F9" w14:textId="77777777" w:rsidR="003D6A63" w:rsidRDefault="00000000">
            <w:pPr>
              <w:adjustRightInd w:val="0"/>
              <w:snapToGrid w:val="0"/>
            </w:pPr>
            <w:r>
              <w:t>闪点不小于</w:t>
            </w:r>
            <w:r>
              <w:t>23℃</w:t>
            </w:r>
            <w:r>
              <w:t>且不大于</w:t>
            </w:r>
            <w:r>
              <w:t>60℃</w:t>
            </w:r>
          </w:p>
        </w:tc>
        <w:tc>
          <w:tcPr>
            <w:tcW w:w="1534" w:type="pct"/>
            <w:vMerge/>
            <w:tcBorders>
              <w:tl2br w:val="nil"/>
              <w:tr2bl w:val="nil"/>
            </w:tcBorders>
            <w:vAlign w:val="center"/>
          </w:tcPr>
          <w:p w14:paraId="12ECCB09" w14:textId="77777777" w:rsidR="003D6A63" w:rsidRDefault="003D6A63">
            <w:pPr>
              <w:adjustRightInd w:val="0"/>
              <w:snapToGrid w:val="0"/>
            </w:pPr>
          </w:p>
        </w:tc>
      </w:tr>
      <w:tr w:rsidR="003D6A63" w14:paraId="0CD720BC" w14:textId="77777777">
        <w:trPr>
          <w:trHeight w:val="397"/>
          <w:jc w:val="center"/>
        </w:trPr>
        <w:tc>
          <w:tcPr>
            <w:tcW w:w="960" w:type="pct"/>
            <w:vMerge/>
            <w:tcBorders>
              <w:tl2br w:val="nil"/>
              <w:tr2bl w:val="nil"/>
            </w:tcBorders>
          </w:tcPr>
          <w:p w14:paraId="2B5427D7" w14:textId="77777777" w:rsidR="003D6A63" w:rsidRDefault="003D6A63">
            <w:pPr>
              <w:adjustRightInd w:val="0"/>
              <w:snapToGrid w:val="0"/>
            </w:pPr>
          </w:p>
        </w:tc>
        <w:tc>
          <w:tcPr>
            <w:tcW w:w="445" w:type="pct"/>
            <w:tcBorders>
              <w:tl2br w:val="nil"/>
              <w:tr2bl w:val="nil"/>
            </w:tcBorders>
            <w:vAlign w:val="center"/>
          </w:tcPr>
          <w:p w14:paraId="56892CD5" w14:textId="77777777" w:rsidR="003D6A63" w:rsidRDefault="00000000">
            <w:pPr>
              <w:adjustRightInd w:val="0"/>
              <w:snapToGrid w:val="0"/>
              <w:jc w:val="center"/>
            </w:pPr>
            <w:r>
              <w:t>4</w:t>
            </w:r>
          </w:p>
        </w:tc>
        <w:tc>
          <w:tcPr>
            <w:tcW w:w="2058" w:type="pct"/>
            <w:tcBorders>
              <w:tl2br w:val="nil"/>
              <w:tr2bl w:val="nil"/>
            </w:tcBorders>
            <w:vAlign w:val="center"/>
          </w:tcPr>
          <w:p w14:paraId="6789DD64" w14:textId="77777777" w:rsidR="003D6A63" w:rsidRDefault="00000000">
            <w:pPr>
              <w:adjustRightInd w:val="0"/>
              <w:snapToGrid w:val="0"/>
            </w:pPr>
            <w:r>
              <w:t>闪点大于</w:t>
            </w:r>
            <w:r>
              <w:t>60℃</w:t>
            </w:r>
            <w:r>
              <w:t>且不大于</w:t>
            </w:r>
            <w:r>
              <w:t>93℃</w:t>
            </w:r>
          </w:p>
        </w:tc>
        <w:tc>
          <w:tcPr>
            <w:tcW w:w="1534" w:type="pct"/>
            <w:vMerge/>
            <w:tcBorders>
              <w:tl2br w:val="nil"/>
              <w:tr2bl w:val="nil"/>
            </w:tcBorders>
            <w:vAlign w:val="center"/>
          </w:tcPr>
          <w:p w14:paraId="2EFF2264" w14:textId="77777777" w:rsidR="003D6A63" w:rsidRDefault="003D6A63">
            <w:pPr>
              <w:adjustRightInd w:val="0"/>
              <w:snapToGrid w:val="0"/>
            </w:pPr>
          </w:p>
        </w:tc>
      </w:tr>
    </w:tbl>
    <w:p w14:paraId="340F8DEF" w14:textId="77777777" w:rsidR="003D6A63" w:rsidRDefault="00000000">
      <w:pPr>
        <w:adjustRightInd w:val="0"/>
        <w:snapToGrid w:val="0"/>
        <w:spacing w:beforeLines="50" w:before="120" w:afterLines="50" w:after="120"/>
        <w:jc w:val="center"/>
        <w:rPr>
          <w:rFonts w:eastAsia="黑体"/>
          <w:szCs w:val="20"/>
          <w:lang w:val="zh-CN"/>
        </w:rPr>
      </w:pPr>
      <w:r>
        <w:rPr>
          <w:rFonts w:eastAsia="黑体" w:hint="eastAsia"/>
          <w:szCs w:val="20"/>
          <w:lang w:val="zh-CN"/>
        </w:rPr>
        <w:t>表</w:t>
      </w:r>
      <w:r>
        <w:rPr>
          <w:rFonts w:eastAsia="黑体" w:hint="eastAsia"/>
          <w:szCs w:val="20"/>
        </w:rPr>
        <w:t xml:space="preserve">3.6-2 </w:t>
      </w:r>
      <w:r>
        <w:rPr>
          <w:rFonts w:eastAsia="黑体" w:hint="eastAsia"/>
          <w:szCs w:val="20"/>
          <w:lang w:val="zh-CN"/>
        </w:rPr>
        <w:t>危险化学品类别及其临界量</w:t>
      </w:r>
    </w:p>
    <w:tbl>
      <w:tblPr>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55"/>
        <w:gridCol w:w="781"/>
        <w:gridCol w:w="4793"/>
        <w:gridCol w:w="1112"/>
        <w:gridCol w:w="1943"/>
      </w:tblGrid>
      <w:tr w:rsidR="003D6A63" w14:paraId="61573FC6" w14:textId="77777777">
        <w:trPr>
          <w:trHeight w:val="397"/>
        </w:trPr>
        <w:tc>
          <w:tcPr>
            <w:tcW w:w="401" w:type="pct"/>
            <w:tcBorders>
              <w:tl2br w:val="nil"/>
              <w:tr2bl w:val="nil"/>
            </w:tcBorders>
            <w:vAlign w:val="center"/>
          </w:tcPr>
          <w:p w14:paraId="53C4E828" w14:textId="77777777" w:rsidR="003D6A63" w:rsidRDefault="00000000">
            <w:pPr>
              <w:adjustRightInd w:val="0"/>
              <w:snapToGrid w:val="0"/>
              <w:jc w:val="center"/>
              <w:rPr>
                <w:b/>
                <w:bCs/>
              </w:rPr>
            </w:pPr>
            <w:r>
              <w:rPr>
                <w:b/>
                <w:bCs/>
              </w:rPr>
              <w:t>类别</w:t>
            </w:r>
          </w:p>
        </w:tc>
        <w:tc>
          <w:tcPr>
            <w:tcW w:w="469" w:type="pct"/>
            <w:tcBorders>
              <w:tl2br w:val="nil"/>
              <w:tr2bl w:val="nil"/>
            </w:tcBorders>
            <w:vAlign w:val="center"/>
          </w:tcPr>
          <w:p w14:paraId="440B3AAC" w14:textId="77777777" w:rsidR="003D6A63" w:rsidRDefault="00000000">
            <w:pPr>
              <w:adjustRightInd w:val="0"/>
              <w:snapToGrid w:val="0"/>
              <w:jc w:val="center"/>
              <w:rPr>
                <w:b/>
                <w:bCs/>
              </w:rPr>
            </w:pPr>
            <w:r>
              <w:rPr>
                <w:b/>
                <w:bCs/>
              </w:rPr>
              <w:t>符号</w:t>
            </w:r>
          </w:p>
        </w:tc>
        <w:tc>
          <w:tcPr>
            <w:tcW w:w="2629" w:type="pct"/>
            <w:tcBorders>
              <w:tl2br w:val="nil"/>
              <w:tr2bl w:val="nil"/>
            </w:tcBorders>
            <w:vAlign w:val="center"/>
          </w:tcPr>
          <w:p w14:paraId="7DD6A0C9" w14:textId="77777777" w:rsidR="003D6A63" w:rsidRDefault="00000000">
            <w:pPr>
              <w:adjustRightInd w:val="0"/>
              <w:snapToGrid w:val="0"/>
              <w:jc w:val="center"/>
              <w:rPr>
                <w:b/>
                <w:bCs/>
              </w:rPr>
            </w:pPr>
            <w:r>
              <w:rPr>
                <w:b/>
                <w:bCs/>
              </w:rPr>
              <w:t>危险性分类及说明</w:t>
            </w:r>
          </w:p>
        </w:tc>
        <w:tc>
          <w:tcPr>
            <w:tcW w:w="647" w:type="pct"/>
            <w:tcBorders>
              <w:tl2br w:val="nil"/>
              <w:tr2bl w:val="nil"/>
            </w:tcBorders>
            <w:vAlign w:val="center"/>
          </w:tcPr>
          <w:p w14:paraId="2DE34A16" w14:textId="77777777" w:rsidR="003D6A63" w:rsidRDefault="00000000">
            <w:pPr>
              <w:adjustRightInd w:val="0"/>
              <w:snapToGrid w:val="0"/>
              <w:jc w:val="center"/>
              <w:rPr>
                <w:b/>
                <w:bCs/>
              </w:rPr>
            </w:pPr>
            <w:r>
              <w:rPr>
                <w:b/>
                <w:bCs/>
              </w:rPr>
              <w:t>临界量</w:t>
            </w:r>
            <w:r>
              <w:rPr>
                <w:b/>
                <w:bCs/>
              </w:rPr>
              <w:t>/t</w:t>
            </w:r>
          </w:p>
        </w:tc>
        <w:tc>
          <w:tcPr>
            <w:tcW w:w="852" w:type="pct"/>
            <w:tcBorders>
              <w:tl2br w:val="nil"/>
              <w:tr2bl w:val="nil"/>
            </w:tcBorders>
            <w:vAlign w:val="center"/>
          </w:tcPr>
          <w:p w14:paraId="039E0CA1" w14:textId="77777777" w:rsidR="003D6A63" w:rsidRDefault="00000000">
            <w:pPr>
              <w:adjustRightInd w:val="0"/>
              <w:snapToGrid w:val="0"/>
              <w:jc w:val="center"/>
              <w:rPr>
                <w:b/>
                <w:bCs/>
              </w:rPr>
            </w:pPr>
            <w:r>
              <w:rPr>
                <w:b/>
                <w:bCs/>
              </w:rPr>
              <w:t>备注</w:t>
            </w:r>
          </w:p>
        </w:tc>
      </w:tr>
      <w:tr w:rsidR="003D6A63" w14:paraId="264FDC72" w14:textId="77777777">
        <w:trPr>
          <w:trHeight w:val="397"/>
        </w:trPr>
        <w:tc>
          <w:tcPr>
            <w:tcW w:w="401" w:type="pct"/>
            <w:vMerge w:val="restart"/>
            <w:tcBorders>
              <w:tl2br w:val="nil"/>
              <w:tr2bl w:val="nil"/>
            </w:tcBorders>
            <w:vAlign w:val="center"/>
          </w:tcPr>
          <w:p w14:paraId="6B366D1D" w14:textId="77777777" w:rsidR="003D6A63" w:rsidRDefault="00000000">
            <w:pPr>
              <w:adjustRightInd w:val="0"/>
              <w:snapToGrid w:val="0"/>
            </w:pPr>
            <w:r>
              <w:t>易燃液体</w:t>
            </w:r>
          </w:p>
        </w:tc>
        <w:tc>
          <w:tcPr>
            <w:tcW w:w="469" w:type="pct"/>
            <w:tcBorders>
              <w:tl2br w:val="nil"/>
              <w:tr2bl w:val="nil"/>
            </w:tcBorders>
            <w:vAlign w:val="center"/>
          </w:tcPr>
          <w:p w14:paraId="2204D7BD" w14:textId="77777777" w:rsidR="003D6A63" w:rsidRDefault="00000000">
            <w:pPr>
              <w:adjustRightInd w:val="0"/>
              <w:snapToGrid w:val="0"/>
            </w:pPr>
            <w:r>
              <w:t>W5.1</w:t>
            </w:r>
          </w:p>
        </w:tc>
        <w:tc>
          <w:tcPr>
            <w:tcW w:w="2629" w:type="pct"/>
            <w:tcBorders>
              <w:tl2br w:val="nil"/>
              <w:tr2bl w:val="nil"/>
            </w:tcBorders>
            <w:vAlign w:val="center"/>
          </w:tcPr>
          <w:p w14:paraId="2ED53E36" w14:textId="77777777" w:rsidR="003D6A63" w:rsidRDefault="00000000">
            <w:pPr>
              <w:adjustRightInd w:val="0"/>
              <w:snapToGrid w:val="0"/>
            </w:pPr>
            <w:r>
              <w:t>—</w:t>
            </w:r>
            <w:r>
              <w:t>类别</w:t>
            </w:r>
            <w:r>
              <w:t>1</w:t>
            </w:r>
          </w:p>
          <w:p w14:paraId="45C05B35" w14:textId="77777777" w:rsidR="003D6A63" w:rsidRDefault="00000000">
            <w:pPr>
              <w:adjustRightInd w:val="0"/>
              <w:snapToGrid w:val="0"/>
            </w:pPr>
            <w:r>
              <w:t>—</w:t>
            </w:r>
            <w:r>
              <w:t>类别</w:t>
            </w:r>
            <w:r>
              <w:t>2</w:t>
            </w:r>
            <w:r>
              <w:t>和</w:t>
            </w:r>
            <w:r>
              <w:t>3</w:t>
            </w:r>
            <w:r>
              <w:t>，工作温度高于沸点</w:t>
            </w:r>
          </w:p>
        </w:tc>
        <w:tc>
          <w:tcPr>
            <w:tcW w:w="647" w:type="pct"/>
            <w:tcBorders>
              <w:tl2br w:val="nil"/>
              <w:tr2bl w:val="nil"/>
            </w:tcBorders>
            <w:vAlign w:val="center"/>
          </w:tcPr>
          <w:p w14:paraId="7F77E5EE" w14:textId="77777777" w:rsidR="003D6A63" w:rsidRDefault="00000000">
            <w:pPr>
              <w:adjustRightInd w:val="0"/>
              <w:snapToGrid w:val="0"/>
              <w:jc w:val="center"/>
            </w:pPr>
            <w:r>
              <w:t>10</w:t>
            </w:r>
          </w:p>
        </w:tc>
        <w:tc>
          <w:tcPr>
            <w:tcW w:w="852" w:type="pct"/>
            <w:vMerge w:val="restart"/>
            <w:tcBorders>
              <w:tl2br w:val="nil"/>
              <w:tr2bl w:val="nil"/>
            </w:tcBorders>
            <w:vAlign w:val="center"/>
          </w:tcPr>
          <w:p w14:paraId="35BCC7F5" w14:textId="77777777" w:rsidR="003D6A63" w:rsidRDefault="00000000">
            <w:pPr>
              <w:adjustRightInd w:val="0"/>
              <w:snapToGrid w:val="0"/>
            </w:pPr>
            <w:r>
              <w:rPr>
                <w:lang w:val="zh-CN"/>
              </w:rPr>
              <w:t>《危险化学品重大危险源辨识》（</w:t>
            </w:r>
            <w:r>
              <w:rPr>
                <w:lang w:val="zh-CN"/>
              </w:rPr>
              <w:t>GB18218-2018</w:t>
            </w:r>
            <w:r>
              <w:rPr>
                <w:lang w:val="zh-CN"/>
              </w:rPr>
              <w:t>）第</w:t>
            </w:r>
            <w:r>
              <w:rPr>
                <w:lang w:val="zh-CN"/>
              </w:rPr>
              <w:t>4.1.2</w:t>
            </w:r>
          </w:p>
        </w:tc>
      </w:tr>
      <w:tr w:rsidR="003D6A63" w14:paraId="7C1D0192" w14:textId="77777777">
        <w:trPr>
          <w:trHeight w:val="397"/>
        </w:trPr>
        <w:tc>
          <w:tcPr>
            <w:tcW w:w="401" w:type="pct"/>
            <w:vMerge/>
            <w:tcBorders>
              <w:tl2br w:val="nil"/>
              <w:tr2bl w:val="nil"/>
            </w:tcBorders>
            <w:vAlign w:val="center"/>
          </w:tcPr>
          <w:p w14:paraId="60C8BE1B" w14:textId="77777777" w:rsidR="003D6A63" w:rsidRDefault="003D6A63">
            <w:pPr>
              <w:adjustRightInd w:val="0"/>
              <w:snapToGrid w:val="0"/>
            </w:pPr>
          </w:p>
        </w:tc>
        <w:tc>
          <w:tcPr>
            <w:tcW w:w="469" w:type="pct"/>
            <w:tcBorders>
              <w:tl2br w:val="nil"/>
              <w:tr2bl w:val="nil"/>
            </w:tcBorders>
            <w:vAlign w:val="center"/>
          </w:tcPr>
          <w:p w14:paraId="1031F099" w14:textId="77777777" w:rsidR="003D6A63" w:rsidRDefault="00000000">
            <w:pPr>
              <w:adjustRightInd w:val="0"/>
              <w:snapToGrid w:val="0"/>
            </w:pPr>
            <w:r>
              <w:t>W5.2</w:t>
            </w:r>
          </w:p>
        </w:tc>
        <w:tc>
          <w:tcPr>
            <w:tcW w:w="2629" w:type="pct"/>
            <w:tcBorders>
              <w:tl2br w:val="nil"/>
              <w:tr2bl w:val="nil"/>
            </w:tcBorders>
            <w:vAlign w:val="center"/>
          </w:tcPr>
          <w:p w14:paraId="66E7C870" w14:textId="77777777" w:rsidR="003D6A63" w:rsidRDefault="00000000">
            <w:pPr>
              <w:adjustRightInd w:val="0"/>
              <w:snapToGrid w:val="0"/>
            </w:pPr>
            <w:r>
              <w:t>—</w:t>
            </w:r>
            <w:r>
              <w:t>类别</w:t>
            </w:r>
            <w:r>
              <w:t>2</w:t>
            </w:r>
            <w:r>
              <w:t>和</w:t>
            </w:r>
            <w:r>
              <w:t>3</w:t>
            </w:r>
            <w:r>
              <w:t>，具有引发重大事故的特殊工艺条件包括危险化工工艺，爆炸极限范围或附近操作、操作压力大于</w:t>
            </w:r>
            <w:r>
              <w:t>1.6MPa</w:t>
            </w:r>
            <w:r>
              <w:t>等</w:t>
            </w:r>
          </w:p>
        </w:tc>
        <w:tc>
          <w:tcPr>
            <w:tcW w:w="647" w:type="pct"/>
            <w:tcBorders>
              <w:tl2br w:val="nil"/>
              <w:tr2bl w:val="nil"/>
            </w:tcBorders>
            <w:vAlign w:val="center"/>
          </w:tcPr>
          <w:p w14:paraId="65016CFE" w14:textId="77777777" w:rsidR="003D6A63" w:rsidRDefault="00000000">
            <w:pPr>
              <w:adjustRightInd w:val="0"/>
              <w:snapToGrid w:val="0"/>
              <w:jc w:val="center"/>
            </w:pPr>
            <w:r>
              <w:t>50</w:t>
            </w:r>
          </w:p>
        </w:tc>
        <w:tc>
          <w:tcPr>
            <w:tcW w:w="852" w:type="pct"/>
            <w:vMerge/>
            <w:tcBorders>
              <w:tl2br w:val="nil"/>
              <w:tr2bl w:val="nil"/>
            </w:tcBorders>
            <w:vAlign w:val="center"/>
          </w:tcPr>
          <w:p w14:paraId="02BF333B" w14:textId="77777777" w:rsidR="003D6A63" w:rsidRDefault="003D6A63">
            <w:pPr>
              <w:adjustRightInd w:val="0"/>
              <w:snapToGrid w:val="0"/>
            </w:pPr>
          </w:p>
        </w:tc>
      </w:tr>
      <w:tr w:rsidR="003D6A63" w14:paraId="1067E42F" w14:textId="77777777">
        <w:trPr>
          <w:trHeight w:val="397"/>
        </w:trPr>
        <w:tc>
          <w:tcPr>
            <w:tcW w:w="401" w:type="pct"/>
            <w:vMerge/>
            <w:tcBorders>
              <w:tl2br w:val="nil"/>
              <w:tr2bl w:val="nil"/>
            </w:tcBorders>
            <w:vAlign w:val="center"/>
          </w:tcPr>
          <w:p w14:paraId="7FD24582" w14:textId="77777777" w:rsidR="003D6A63" w:rsidRDefault="003D6A63">
            <w:pPr>
              <w:adjustRightInd w:val="0"/>
              <w:snapToGrid w:val="0"/>
            </w:pPr>
          </w:p>
        </w:tc>
        <w:tc>
          <w:tcPr>
            <w:tcW w:w="469" w:type="pct"/>
            <w:tcBorders>
              <w:tl2br w:val="nil"/>
              <w:tr2bl w:val="nil"/>
            </w:tcBorders>
            <w:vAlign w:val="center"/>
          </w:tcPr>
          <w:p w14:paraId="40C18CBB" w14:textId="77777777" w:rsidR="003D6A63" w:rsidRDefault="00000000">
            <w:pPr>
              <w:adjustRightInd w:val="0"/>
              <w:snapToGrid w:val="0"/>
            </w:pPr>
            <w:r>
              <w:t>W5.3</w:t>
            </w:r>
          </w:p>
        </w:tc>
        <w:tc>
          <w:tcPr>
            <w:tcW w:w="2629" w:type="pct"/>
            <w:tcBorders>
              <w:tl2br w:val="nil"/>
              <w:tr2bl w:val="nil"/>
            </w:tcBorders>
            <w:vAlign w:val="center"/>
          </w:tcPr>
          <w:p w14:paraId="5C40A930" w14:textId="77777777" w:rsidR="003D6A63" w:rsidRDefault="00000000">
            <w:pPr>
              <w:adjustRightInd w:val="0"/>
              <w:snapToGrid w:val="0"/>
            </w:pPr>
            <w:r>
              <w:t>—</w:t>
            </w:r>
            <w:r>
              <w:t>不属于</w:t>
            </w:r>
            <w:r>
              <w:t>W5.1</w:t>
            </w:r>
            <w:r>
              <w:t>或</w:t>
            </w:r>
            <w:r>
              <w:t>W5.2</w:t>
            </w:r>
            <w:r>
              <w:t>的其他类别</w:t>
            </w:r>
            <w:r>
              <w:t>2</w:t>
            </w:r>
          </w:p>
        </w:tc>
        <w:tc>
          <w:tcPr>
            <w:tcW w:w="647" w:type="pct"/>
            <w:tcBorders>
              <w:tl2br w:val="nil"/>
              <w:tr2bl w:val="nil"/>
            </w:tcBorders>
            <w:vAlign w:val="center"/>
          </w:tcPr>
          <w:p w14:paraId="37A78CAD" w14:textId="77777777" w:rsidR="003D6A63" w:rsidRDefault="00000000">
            <w:pPr>
              <w:adjustRightInd w:val="0"/>
              <w:snapToGrid w:val="0"/>
              <w:jc w:val="center"/>
            </w:pPr>
            <w:r>
              <w:t>1000</w:t>
            </w:r>
          </w:p>
        </w:tc>
        <w:tc>
          <w:tcPr>
            <w:tcW w:w="852" w:type="pct"/>
            <w:vMerge/>
            <w:tcBorders>
              <w:tl2br w:val="nil"/>
              <w:tr2bl w:val="nil"/>
            </w:tcBorders>
            <w:vAlign w:val="center"/>
          </w:tcPr>
          <w:p w14:paraId="31CC9474" w14:textId="77777777" w:rsidR="003D6A63" w:rsidRDefault="003D6A63">
            <w:pPr>
              <w:adjustRightInd w:val="0"/>
              <w:snapToGrid w:val="0"/>
            </w:pPr>
          </w:p>
        </w:tc>
      </w:tr>
      <w:tr w:rsidR="003D6A63" w14:paraId="6EE41EDB" w14:textId="77777777">
        <w:trPr>
          <w:trHeight w:val="397"/>
        </w:trPr>
        <w:tc>
          <w:tcPr>
            <w:tcW w:w="401" w:type="pct"/>
            <w:vMerge/>
            <w:tcBorders>
              <w:tl2br w:val="nil"/>
              <w:tr2bl w:val="nil"/>
            </w:tcBorders>
            <w:vAlign w:val="center"/>
          </w:tcPr>
          <w:p w14:paraId="7CA9A1D5" w14:textId="77777777" w:rsidR="003D6A63" w:rsidRDefault="003D6A63">
            <w:pPr>
              <w:adjustRightInd w:val="0"/>
              <w:snapToGrid w:val="0"/>
            </w:pPr>
          </w:p>
        </w:tc>
        <w:tc>
          <w:tcPr>
            <w:tcW w:w="469" w:type="pct"/>
            <w:tcBorders>
              <w:tl2br w:val="nil"/>
              <w:tr2bl w:val="nil"/>
            </w:tcBorders>
            <w:vAlign w:val="center"/>
          </w:tcPr>
          <w:p w14:paraId="12B26284" w14:textId="77777777" w:rsidR="003D6A63" w:rsidRDefault="00000000">
            <w:pPr>
              <w:adjustRightInd w:val="0"/>
              <w:snapToGrid w:val="0"/>
            </w:pPr>
            <w:r>
              <w:t>W5.4</w:t>
            </w:r>
          </w:p>
        </w:tc>
        <w:tc>
          <w:tcPr>
            <w:tcW w:w="2629" w:type="pct"/>
            <w:tcBorders>
              <w:tl2br w:val="nil"/>
              <w:tr2bl w:val="nil"/>
            </w:tcBorders>
            <w:vAlign w:val="center"/>
          </w:tcPr>
          <w:p w14:paraId="607A186D" w14:textId="77777777" w:rsidR="003D6A63" w:rsidRDefault="00000000">
            <w:pPr>
              <w:adjustRightInd w:val="0"/>
              <w:snapToGrid w:val="0"/>
            </w:pPr>
            <w:r>
              <w:t>—</w:t>
            </w:r>
            <w:r>
              <w:t>不属于</w:t>
            </w:r>
            <w:r>
              <w:t>W5.1</w:t>
            </w:r>
            <w:r>
              <w:t>或</w:t>
            </w:r>
            <w:r>
              <w:t>W5.2</w:t>
            </w:r>
            <w:r>
              <w:t>的其他类别</w:t>
            </w:r>
            <w:r>
              <w:t>3</w:t>
            </w:r>
          </w:p>
        </w:tc>
        <w:tc>
          <w:tcPr>
            <w:tcW w:w="647" w:type="pct"/>
            <w:tcBorders>
              <w:tl2br w:val="nil"/>
              <w:tr2bl w:val="nil"/>
            </w:tcBorders>
            <w:vAlign w:val="center"/>
          </w:tcPr>
          <w:p w14:paraId="4707E976" w14:textId="77777777" w:rsidR="003D6A63" w:rsidRDefault="00000000">
            <w:pPr>
              <w:adjustRightInd w:val="0"/>
              <w:snapToGrid w:val="0"/>
              <w:jc w:val="center"/>
            </w:pPr>
            <w:r>
              <w:t>5000</w:t>
            </w:r>
          </w:p>
        </w:tc>
        <w:tc>
          <w:tcPr>
            <w:tcW w:w="852" w:type="pct"/>
            <w:vMerge/>
            <w:tcBorders>
              <w:tl2br w:val="nil"/>
              <w:tr2bl w:val="nil"/>
            </w:tcBorders>
            <w:vAlign w:val="center"/>
          </w:tcPr>
          <w:p w14:paraId="159421DF" w14:textId="77777777" w:rsidR="003D6A63" w:rsidRDefault="003D6A63">
            <w:pPr>
              <w:adjustRightInd w:val="0"/>
              <w:snapToGrid w:val="0"/>
            </w:pPr>
          </w:p>
        </w:tc>
      </w:tr>
    </w:tbl>
    <w:p w14:paraId="4080B643" w14:textId="77777777" w:rsidR="003D6A63" w:rsidRDefault="00000000">
      <w:pPr>
        <w:adjustRightInd w:val="0"/>
        <w:snapToGrid w:val="0"/>
        <w:spacing w:beforeLines="50" w:before="120" w:line="360" w:lineRule="auto"/>
        <w:ind w:firstLineChars="200" w:firstLine="480"/>
        <w:rPr>
          <w:snapToGrid w:val="0"/>
          <w:kern w:val="0"/>
          <w:sz w:val="24"/>
        </w:rPr>
      </w:pPr>
      <w:r>
        <w:rPr>
          <w:rFonts w:hint="eastAsia"/>
          <w:sz w:val="24"/>
        </w:rPr>
        <w:t>根据中胜公司原油物性，</w:t>
      </w:r>
      <w:r>
        <w:rPr>
          <w:rFonts w:hint="eastAsia"/>
          <w:sz w:val="24"/>
          <w:lang w:val="zh-CN"/>
        </w:rPr>
        <w:t>各</w:t>
      </w:r>
      <w:r>
        <w:rPr>
          <w:rFonts w:hint="eastAsia"/>
          <w:sz w:val="24"/>
        </w:rPr>
        <w:t>井场</w:t>
      </w:r>
      <w:r>
        <w:rPr>
          <w:rFonts w:hint="eastAsia"/>
          <w:sz w:val="24"/>
          <w:lang w:val="zh-CN"/>
        </w:rPr>
        <w:t>的原油为</w:t>
      </w:r>
      <w:r>
        <w:rPr>
          <w:rFonts w:hint="eastAsia"/>
          <w:sz w:val="24"/>
        </w:rPr>
        <w:t>易燃液体类别</w:t>
      </w:r>
      <w:r>
        <w:rPr>
          <w:rFonts w:hint="eastAsia"/>
          <w:sz w:val="24"/>
        </w:rPr>
        <w:t>4</w:t>
      </w:r>
      <w:r>
        <w:rPr>
          <w:rFonts w:hint="eastAsia"/>
          <w:sz w:val="24"/>
          <w:lang w:val="zh-CN"/>
        </w:rPr>
        <w:t>，</w:t>
      </w:r>
      <w:r>
        <w:rPr>
          <w:rFonts w:hint="eastAsia"/>
          <w:sz w:val="24"/>
        </w:rPr>
        <w:t>其中</w:t>
      </w:r>
      <w:r>
        <w:rPr>
          <w:rFonts w:hint="eastAsia"/>
          <w:sz w:val="24"/>
          <w:lang w:val="zh-CN"/>
        </w:rPr>
        <w:t>易燃液体类别</w:t>
      </w:r>
      <w:r>
        <w:rPr>
          <w:rFonts w:hint="eastAsia"/>
          <w:sz w:val="24"/>
        </w:rPr>
        <w:t>4</w:t>
      </w:r>
      <w:r>
        <w:rPr>
          <w:rFonts w:hint="eastAsia"/>
          <w:sz w:val="24"/>
        </w:rPr>
        <w:t>构成重大危险源临界量为</w:t>
      </w:r>
      <w:r>
        <w:rPr>
          <w:rFonts w:hint="eastAsia"/>
          <w:sz w:val="24"/>
        </w:rPr>
        <w:t>5000t</w:t>
      </w:r>
      <w:r>
        <w:rPr>
          <w:rFonts w:hint="eastAsia"/>
          <w:sz w:val="24"/>
          <w:lang w:val="zh-CN"/>
        </w:rPr>
        <w:t>。</w:t>
      </w:r>
      <w:r>
        <w:rPr>
          <w:rFonts w:hint="eastAsia"/>
          <w:sz w:val="24"/>
        </w:rPr>
        <w:t>中胜公司各井场高架罐原油储量最大为</w:t>
      </w:r>
      <w:r>
        <w:rPr>
          <w:rFonts w:hint="eastAsia"/>
          <w:sz w:val="24"/>
        </w:rPr>
        <w:t>40m</w:t>
      </w:r>
      <w:r>
        <w:rPr>
          <w:rFonts w:hint="eastAsia"/>
          <w:sz w:val="24"/>
        </w:rPr>
        <w:t>³，原油储量</w:t>
      </w:r>
      <w:r>
        <w:rPr>
          <w:rFonts w:hint="eastAsia"/>
          <w:sz w:val="24"/>
        </w:rPr>
        <w:lastRenderedPageBreak/>
        <w:t>均小于</w:t>
      </w:r>
      <w:r>
        <w:rPr>
          <w:rFonts w:hint="eastAsia"/>
          <w:sz w:val="24"/>
        </w:rPr>
        <w:t>40t</w:t>
      </w:r>
      <w:r>
        <w:rPr>
          <w:rFonts w:hint="eastAsia"/>
          <w:sz w:val="24"/>
        </w:rPr>
        <w:t>，中胜公司</w:t>
      </w:r>
      <w:r>
        <w:rPr>
          <w:sz w:val="24"/>
        </w:rPr>
        <w:t>未构成</w:t>
      </w:r>
      <w:r>
        <w:rPr>
          <w:rFonts w:hint="eastAsia"/>
          <w:sz w:val="24"/>
        </w:rPr>
        <w:t>危险化学品</w:t>
      </w:r>
      <w:r>
        <w:rPr>
          <w:sz w:val="24"/>
        </w:rPr>
        <w:t>重大危险源</w:t>
      </w:r>
      <w:r>
        <w:rPr>
          <w:snapToGrid w:val="0"/>
          <w:kern w:val="0"/>
          <w:sz w:val="24"/>
        </w:rPr>
        <w:t>。</w:t>
      </w:r>
    </w:p>
    <w:p w14:paraId="24DD082D" w14:textId="77777777" w:rsidR="003D6A63" w:rsidRDefault="00000000">
      <w:pPr>
        <w:pStyle w:val="2"/>
        <w:keepNext w:val="0"/>
        <w:keepLines w:val="0"/>
        <w:adjustRightInd w:val="0"/>
        <w:snapToGrid w:val="0"/>
        <w:spacing w:before="0" w:after="0" w:line="360" w:lineRule="auto"/>
        <w:rPr>
          <w:rFonts w:ascii="Times New Roman" w:hAnsi="Times New Roman"/>
          <w:b w:val="0"/>
          <w:spacing w:val="0"/>
          <w:sz w:val="28"/>
        </w:rPr>
      </w:pPr>
      <w:bookmarkStart w:id="85" w:name="_Toc7985"/>
      <w:r>
        <w:rPr>
          <w:rFonts w:ascii="Times New Roman" w:hAnsi="Times New Roman"/>
          <w:b w:val="0"/>
          <w:spacing w:val="0"/>
          <w:sz w:val="28"/>
        </w:rPr>
        <w:t>3.</w:t>
      </w:r>
      <w:r>
        <w:rPr>
          <w:rFonts w:ascii="Times New Roman" w:hAnsi="Times New Roman" w:hint="eastAsia"/>
          <w:b w:val="0"/>
          <w:spacing w:val="0"/>
          <w:sz w:val="28"/>
        </w:rPr>
        <w:t>7</w:t>
      </w:r>
      <w:r>
        <w:rPr>
          <w:rFonts w:ascii="Times New Roman" w:hAnsi="Times New Roman"/>
          <w:b w:val="0"/>
          <w:spacing w:val="0"/>
          <w:sz w:val="28"/>
        </w:rPr>
        <w:t xml:space="preserve">  </w:t>
      </w:r>
      <w:r>
        <w:rPr>
          <w:rFonts w:ascii="Times New Roman" w:hAnsi="Times New Roman"/>
          <w:b w:val="0"/>
          <w:spacing w:val="0"/>
          <w:sz w:val="28"/>
        </w:rPr>
        <w:t>危险、有害因素辨识与分析汇总</w:t>
      </w:r>
      <w:bookmarkEnd w:id="85"/>
    </w:p>
    <w:p w14:paraId="4E8F6609" w14:textId="77777777" w:rsidR="003D6A63" w:rsidRDefault="00000000">
      <w:pPr>
        <w:adjustRightInd w:val="0"/>
        <w:snapToGrid w:val="0"/>
        <w:spacing w:line="360" w:lineRule="auto"/>
        <w:ind w:firstLine="471"/>
        <w:rPr>
          <w:sz w:val="24"/>
        </w:rPr>
      </w:pPr>
      <w:r>
        <w:rPr>
          <w:rFonts w:hint="eastAsia"/>
          <w:sz w:val="24"/>
        </w:rPr>
        <w:t>主要危险、有害因素分布主要危险、有害因素分布见下表。</w:t>
      </w:r>
    </w:p>
    <w:p w14:paraId="6E4A503E" w14:textId="77777777" w:rsidR="003D6A63" w:rsidRDefault="00000000">
      <w:pPr>
        <w:jc w:val="center"/>
        <w:rPr>
          <w:rFonts w:eastAsia="黑体"/>
          <w:b/>
          <w:sz w:val="24"/>
        </w:rPr>
      </w:pPr>
      <w:r>
        <w:rPr>
          <w:rFonts w:eastAsia="黑体" w:hint="eastAsia"/>
          <w:szCs w:val="20"/>
        </w:rPr>
        <w:t>表</w:t>
      </w:r>
      <w:r>
        <w:rPr>
          <w:rFonts w:eastAsia="黑体" w:hint="eastAsia"/>
          <w:szCs w:val="20"/>
        </w:rPr>
        <w:t>3.7-1</w:t>
      </w:r>
      <w:r>
        <w:rPr>
          <w:rFonts w:eastAsia="黑体" w:hint="eastAsia"/>
          <w:szCs w:val="20"/>
        </w:rPr>
        <w:t>危险、有害因素辨识与分析汇总</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95"/>
        <w:gridCol w:w="1393"/>
        <w:gridCol w:w="7098"/>
      </w:tblGrid>
      <w:tr w:rsidR="003D6A63" w14:paraId="178FAB19" w14:textId="77777777">
        <w:trPr>
          <w:trHeight w:val="340"/>
          <w:jc w:val="center"/>
        </w:trPr>
        <w:tc>
          <w:tcPr>
            <w:tcW w:w="795" w:type="dxa"/>
            <w:tcBorders>
              <w:tl2br w:val="nil"/>
              <w:tr2bl w:val="nil"/>
            </w:tcBorders>
            <w:vAlign w:val="center"/>
          </w:tcPr>
          <w:p w14:paraId="33F546B9" w14:textId="77777777" w:rsidR="003D6A63" w:rsidRDefault="00000000">
            <w:pPr>
              <w:spacing w:line="300" w:lineRule="exact"/>
              <w:jc w:val="center"/>
              <w:rPr>
                <w:b/>
                <w:bCs/>
                <w:szCs w:val="21"/>
              </w:rPr>
            </w:pPr>
            <w:r>
              <w:rPr>
                <w:b/>
                <w:bCs/>
                <w:szCs w:val="21"/>
              </w:rPr>
              <w:t>序号</w:t>
            </w:r>
          </w:p>
        </w:tc>
        <w:tc>
          <w:tcPr>
            <w:tcW w:w="1393" w:type="dxa"/>
            <w:tcBorders>
              <w:tl2br w:val="nil"/>
              <w:tr2bl w:val="nil"/>
            </w:tcBorders>
            <w:vAlign w:val="center"/>
          </w:tcPr>
          <w:p w14:paraId="63A6E5C5" w14:textId="77777777" w:rsidR="003D6A63" w:rsidRDefault="00000000">
            <w:pPr>
              <w:spacing w:line="300" w:lineRule="exact"/>
              <w:jc w:val="center"/>
              <w:rPr>
                <w:b/>
                <w:bCs/>
                <w:szCs w:val="21"/>
              </w:rPr>
            </w:pPr>
            <w:r>
              <w:rPr>
                <w:b/>
                <w:bCs/>
                <w:szCs w:val="21"/>
              </w:rPr>
              <w:t>生产过程</w:t>
            </w:r>
          </w:p>
        </w:tc>
        <w:tc>
          <w:tcPr>
            <w:tcW w:w="7098" w:type="dxa"/>
            <w:tcBorders>
              <w:tl2br w:val="nil"/>
              <w:tr2bl w:val="nil"/>
            </w:tcBorders>
            <w:vAlign w:val="center"/>
          </w:tcPr>
          <w:p w14:paraId="14C9AA1C" w14:textId="77777777" w:rsidR="003D6A63" w:rsidRDefault="00000000">
            <w:pPr>
              <w:spacing w:line="300" w:lineRule="exact"/>
              <w:jc w:val="center"/>
              <w:rPr>
                <w:b/>
                <w:bCs/>
                <w:szCs w:val="21"/>
              </w:rPr>
            </w:pPr>
            <w:r>
              <w:rPr>
                <w:b/>
                <w:bCs/>
                <w:szCs w:val="21"/>
              </w:rPr>
              <w:t>危险、有害因素</w:t>
            </w:r>
          </w:p>
        </w:tc>
      </w:tr>
      <w:tr w:rsidR="003D6A63" w14:paraId="31B98A11" w14:textId="77777777">
        <w:trPr>
          <w:trHeight w:val="340"/>
          <w:jc w:val="center"/>
        </w:trPr>
        <w:tc>
          <w:tcPr>
            <w:tcW w:w="795" w:type="dxa"/>
            <w:tcBorders>
              <w:tl2br w:val="nil"/>
              <w:tr2bl w:val="nil"/>
            </w:tcBorders>
            <w:vAlign w:val="center"/>
          </w:tcPr>
          <w:p w14:paraId="7DA39706" w14:textId="77777777" w:rsidR="003D6A63" w:rsidRDefault="00000000">
            <w:pPr>
              <w:spacing w:line="300" w:lineRule="exact"/>
              <w:jc w:val="center"/>
              <w:rPr>
                <w:szCs w:val="21"/>
              </w:rPr>
            </w:pPr>
            <w:r>
              <w:rPr>
                <w:szCs w:val="21"/>
              </w:rPr>
              <w:t>1</w:t>
            </w:r>
          </w:p>
        </w:tc>
        <w:tc>
          <w:tcPr>
            <w:tcW w:w="1393" w:type="dxa"/>
            <w:tcBorders>
              <w:tl2br w:val="nil"/>
              <w:tr2bl w:val="nil"/>
            </w:tcBorders>
            <w:vAlign w:val="center"/>
          </w:tcPr>
          <w:p w14:paraId="07E5C32F" w14:textId="77777777" w:rsidR="003D6A63" w:rsidRDefault="00000000">
            <w:pPr>
              <w:spacing w:line="300" w:lineRule="exact"/>
              <w:jc w:val="center"/>
              <w:rPr>
                <w:szCs w:val="21"/>
              </w:rPr>
            </w:pPr>
            <w:r>
              <w:rPr>
                <w:szCs w:val="21"/>
              </w:rPr>
              <w:t>采油系统</w:t>
            </w:r>
          </w:p>
        </w:tc>
        <w:tc>
          <w:tcPr>
            <w:tcW w:w="7098" w:type="dxa"/>
            <w:tcBorders>
              <w:tl2br w:val="nil"/>
              <w:tr2bl w:val="nil"/>
            </w:tcBorders>
            <w:vAlign w:val="center"/>
          </w:tcPr>
          <w:p w14:paraId="147D9B3F" w14:textId="77777777" w:rsidR="003D6A63" w:rsidRDefault="00000000">
            <w:pPr>
              <w:adjustRightInd w:val="0"/>
              <w:snapToGrid w:val="0"/>
              <w:jc w:val="left"/>
              <w:rPr>
                <w:szCs w:val="21"/>
              </w:rPr>
            </w:pPr>
            <w:r>
              <w:rPr>
                <w:szCs w:val="21"/>
              </w:rPr>
              <w:t>火灾爆炸、中毒</w:t>
            </w:r>
            <w:r>
              <w:rPr>
                <w:rFonts w:hint="eastAsia"/>
                <w:szCs w:val="21"/>
              </w:rPr>
              <w:t>和</w:t>
            </w:r>
            <w:r>
              <w:rPr>
                <w:szCs w:val="21"/>
              </w:rPr>
              <w:t>窒息</w:t>
            </w:r>
            <w:r>
              <w:rPr>
                <w:rFonts w:hint="eastAsia"/>
                <w:szCs w:val="21"/>
              </w:rPr>
              <w:t>、</w:t>
            </w:r>
            <w:r>
              <w:rPr>
                <w:szCs w:val="21"/>
              </w:rPr>
              <w:t>物体打击、机械伤害、高处坠落、</w:t>
            </w:r>
            <w:r>
              <w:rPr>
                <w:rFonts w:hint="eastAsia"/>
                <w:szCs w:val="21"/>
              </w:rPr>
              <w:t>触电</w:t>
            </w:r>
          </w:p>
        </w:tc>
      </w:tr>
      <w:tr w:rsidR="003D6A63" w14:paraId="00A4D16F" w14:textId="77777777">
        <w:trPr>
          <w:trHeight w:val="340"/>
          <w:jc w:val="center"/>
        </w:trPr>
        <w:tc>
          <w:tcPr>
            <w:tcW w:w="795" w:type="dxa"/>
            <w:tcBorders>
              <w:tl2br w:val="nil"/>
              <w:tr2bl w:val="nil"/>
            </w:tcBorders>
            <w:vAlign w:val="center"/>
          </w:tcPr>
          <w:p w14:paraId="35F28146" w14:textId="77777777" w:rsidR="003D6A63" w:rsidRDefault="00000000">
            <w:pPr>
              <w:spacing w:line="300" w:lineRule="exact"/>
              <w:jc w:val="center"/>
              <w:rPr>
                <w:szCs w:val="21"/>
              </w:rPr>
            </w:pPr>
            <w:r>
              <w:rPr>
                <w:szCs w:val="21"/>
              </w:rPr>
              <w:t>2</w:t>
            </w:r>
          </w:p>
        </w:tc>
        <w:tc>
          <w:tcPr>
            <w:tcW w:w="1393" w:type="dxa"/>
            <w:tcBorders>
              <w:tl2br w:val="nil"/>
              <w:tr2bl w:val="nil"/>
            </w:tcBorders>
            <w:vAlign w:val="center"/>
          </w:tcPr>
          <w:p w14:paraId="33561EC4" w14:textId="77777777" w:rsidR="003D6A63" w:rsidRDefault="00000000">
            <w:pPr>
              <w:spacing w:line="300" w:lineRule="exact"/>
              <w:jc w:val="center"/>
              <w:rPr>
                <w:szCs w:val="21"/>
              </w:rPr>
            </w:pPr>
            <w:r>
              <w:rPr>
                <w:szCs w:val="21"/>
              </w:rPr>
              <w:t>注</w:t>
            </w:r>
            <w:r>
              <w:rPr>
                <w:rFonts w:hint="eastAsia"/>
                <w:szCs w:val="21"/>
              </w:rPr>
              <w:t>入</w:t>
            </w:r>
            <w:r>
              <w:rPr>
                <w:szCs w:val="21"/>
              </w:rPr>
              <w:t>系统</w:t>
            </w:r>
          </w:p>
        </w:tc>
        <w:tc>
          <w:tcPr>
            <w:tcW w:w="7098" w:type="dxa"/>
            <w:tcBorders>
              <w:tl2br w:val="nil"/>
              <w:tr2bl w:val="nil"/>
            </w:tcBorders>
            <w:vAlign w:val="center"/>
          </w:tcPr>
          <w:p w14:paraId="09E711DC" w14:textId="77777777" w:rsidR="003D6A63" w:rsidRDefault="00000000">
            <w:pPr>
              <w:adjustRightInd w:val="0"/>
              <w:snapToGrid w:val="0"/>
              <w:jc w:val="left"/>
              <w:rPr>
                <w:szCs w:val="21"/>
              </w:rPr>
            </w:pPr>
            <w:r>
              <w:rPr>
                <w:szCs w:val="21"/>
              </w:rPr>
              <w:t>物体打击、机械伤害、淹溺、高处坠落、触电、</w:t>
            </w:r>
            <w:r>
              <w:rPr>
                <w:rFonts w:hint="eastAsia"/>
                <w:szCs w:val="21"/>
              </w:rPr>
              <w:t>火灾爆炸、</w:t>
            </w:r>
            <w:r>
              <w:rPr>
                <w:szCs w:val="21"/>
              </w:rPr>
              <w:t>噪声</w:t>
            </w:r>
          </w:p>
        </w:tc>
      </w:tr>
      <w:tr w:rsidR="003D6A63" w14:paraId="630392DE" w14:textId="77777777">
        <w:trPr>
          <w:trHeight w:val="340"/>
          <w:jc w:val="center"/>
        </w:trPr>
        <w:tc>
          <w:tcPr>
            <w:tcW w:w="795" w:type="dxa"/>
            <w:tcBorders>
              <w:tl2br w:val="nil"/>
              <w:tr2bl w:val="nil"/>
            </w:tcBorders>
            <w:vAlign w:val="center"/>
          </w:tcPr>
          <w:p w14:paraId="4E033EC1" w14:textId="77777777" w:rsidR="003D6A63" w:rsidRDefault="00000000">
            <w:pPr>
              <w:spacing w:line="300" w:lineRule="exact"/>
              <w:jc w:val="center"/>
              <w:rPr>
                <w:szCs w:val="21"/>
              </w:rPr>
            </w:pPr>
            <w:r>
              <w:rPr>
                <w:szCs w:val="21"/>
              </w:rPr>
              <w:t>3</w:t>
            </w:r>
          </w:p>
        </w:tc>
        <w:tc>
          <w:tcPr>
            <w:tcW w:w="1393" w:type="dxa"/>
            <w:tcBorders>
              <w:tl2br w:val="nil"/>
              <w:tr2bl w:val="nil"/>
            </w:tcBorders>
            <w:vAlign w:val="center"/>
          </w:tcPr>
          <w:p w14:paraId="6D8B4B20" w14:textId="77777777" w:rsidR="003D6A63" w:rsidRDefault="00000000">
            <w:pPr>
              <w:spacing w:line="300" w:lineRule="exact"/>
              <w:jc w:val="center"/>
              <w:rPr>
                <w:szCs w:val="21"/>
              </w:rPr>
            </w:pPr>
            <w:r>
              <w:rPr>
                <w:szCs w:val="21"/>
              </w:rPr>
              <w:t>油气集输系统</w:t>
            </w:r>
          </w:p>
        </w:tc>
        <w:tc>
          <w:tcPr>
            <w:tcW w:w="7098" w:type="dxa"/>
            <w:tcBorders>
              <w:tl2br w:val="nil"/>
              <w:tr2bl w:val="nil"/>
            </w:tcBorders>
            <w:vAlign w:val="center"/>
          </w:tcPr>
          <w:p w14:paraId="13CE0E34" w14:textId="77777777" w:rsidR="003D6A63" w:rsidRDefault="00000000">
            <w:pPr>
              <w:adjustRightInd w:val="0"/>
              <w:snapToGrid w:val="0"/>
              <w:jc w:val="left"/>
              <w:rPr>
                <w:szCs w:val="21"/>
              </w:rPr>
            </w:pPr>
            <w:r>
              <w:rPr>
                <w:szCs w:val="21"/>
              </w:rPr>
              <w:t>火灾爆炸、</w:t>
            </w:r>
            <w:r>
              <w:rPr>
                <w:rFonts w:hint="eastAsia"/>
                <w:szCs w:val="21"/>
              </w:rPr>
              <w:t>容器</w:t>
            </w:r>
            <w:r>
              <w:rPr>
                <w:szCs w:val="21"/>
              </w:rPr>
              <w:t>爆炸、物体打击、机械伤害、高处坠落、中毒</w:t>
            </w:r>
            <w:r>
              <w:rPr>
                <w:rFonts w:hint="eastAsia"/>
                <w:szCs w:val="21"/>
              </w:rPr>
              <w:t>和</w:t>
            </w:r>
            <w:r>
              <w:rPr>
                <w:szCs w:val="21"/>
              </w:rPr>
              <w:t>窒息、</w:t>
            </w:r>
            <w:r>
              <w:rPr>
                <w:rFonts w:hint="eastAsia"/>
                <w:szCs w:val="21"/>
              </w:rPr>
              <w:t>触电、</w:t>
            </w:r>
            <w:r>
              <w:rPr>
                <w:szCs w:val="21"/>
              </w:rPr>
              <w:t>车辆伤害</w:t>
            </w:r>
          </w:p>
        </w:tc>
      </w:tr>
      <w:tr w:rsidR="003D6A63" w14:paraId="6D216E0F" w14:textId="77777777">
        <w:trPr>
          <w:trHeight w:val="340"/>
          <w:jc w:val="center"/>
        </w:trPr>
        <w:tc>
          <w:tcPr>
            <w:tcW w:w="795" w:type="dxa"/>
            <w:tcBorders>
              <w:tl2br w:val="nil"/>
              <w:tr2bl w:val="nil"/>
            </w:tcBorders>
            <w:vAlign w:val="center"/>
          </w:tcPr>
          <w:p w14:paraId="1B262E69" w14:textId="77777777" w:rsidR="003D6A63" w:rsidRDefault="00000000">
            <w:pPr>
              <w:spacing w:line="300" w:lineRule="exact"/>
              <w:jc w:val="center"/>
              <w:rPr>
                <w:szCs w:val="21"/>
              </w:rPr>
            </w:pPr>
            <w:bookmarkStart w:id="86" w:name="_Toc301155265"/>
            <w:bookmarkStart w:id="87" w:name="_Toc210179245"/>
            <w:r>
              <w:rPr>
                <w:rFonts w:hint="eastAsia"/>
                <w:szCs w:val="21"/>
              </w:rPr>
              <w:t>4</w:t>
            </w:r>
          </w:p>
        </w:tc>
        <w:tc>
          <w:tcPr>
            <w:tcW w:w="1393" w:type="dxa"/>
            <w:tcBorders>
              <w:tl2br w:val="nil"/>
              <w:tr2bl w:val="nil"/>
            </w:tcBorders>
            <w:vAlign w:val="center"/>
          </w:tcPr>
          <w:p w14:paraId="22CF2ADE" w14:textId="77777777" w:rsidR="003D6A63" w:rsidRDefault="00000000">
            <w:pPr>
              <w:spacing w:line="300" w:lineRule="exact"/>
              <w:jc w:val="center"/>
              <w:rPr>
                <w:szCs w:val="21"/>
              </w:rPr>
            </w:pPr>
            <w:r>
              <w:rPr>
                <w:rFonts w:hint="eastAsia"/>
                <w:szCs w:val="21"/>
              </w:rPr>
              <w:t>特殊作业</w:t>
            </w:r>
          </w:p>
        </w:tc>
        <w:tc>
          <w:tcPr>
            <w:tcW w:w="7098" w:type="dxa"/>
            <w:tcBorders>
              <w:tl2br w:val="nil"/>
              <w:tr2bl w:val="nil"/>
            </w:tcBorders>
            <w:vAlign w:val="center"/>
          </w:tcPr>
          <w:p w14:paraId="00AC4D63" w14:textId="77777777" w:rsidR="003D6A63" w:rsidRDefault="00000000">
            <w:pPr>
              <w:adjustRightInd w:val="0"/>
              <w:snapToGrid w:val="0"/>
              <w:jc w:val="left"/>
              <w:rPr>
                <w:szCs w:val="21"/>
              </w:rPr>
            </w:pPr>
            <w:r>
              <w:rPr>
                <w:szCs w:val="21"/>
              </w:rPr>
              <w:t>火灾爆炸、中毒</w:t>
            </w:r>
            <w:r>
              <w:rPr>
                <w:rFonts w:hint="eastAsia"/>
                <w:szCs w:val="21"/>
              </w:rPr>
              <w:t>和</w:t>
            </w:r>
            <w:r>
              <w:rPr>
                <w:szCs w:val="21"/>
              </w:rPr>
              <w:t>窒息</w:t>
            </w:r>
            <w:r>
              <w:rPr>
                <w:rFonts w:hint="eastAsia"/>
                <w:szCs w:val="21"/>
              </w:rPr>
              <w:t>、</w:t>
            </w:r>
            <w:r>
              <w:rPr>
                <w:szCs w:val="21"/>
              </w:rPr>
              <w:t>物体打击、机械伤害、高处坠落、</w:t>
            </w:r>
            <w:r>
              <w:rPr>
                <w:rFonts w:hint="eastAsia"/>
                <w:szCs w:val="21"/>
              </w:rPr>
              <w:t>触电、车辆伤害</w:t>
            </w:r>
          </w:p>
        </w:tc>
      </w:tr>
    </w:tbl>
    <w:p w14:paraId="36881DE7" w14:textId="77777777" w:rsidR="003D6A63" w:rsidRDefault="003D6A63">
      <w:pPr>
        <w:pStyle w:val="nlw10"/>
        <w:jc w:val="center"/>
        <w:rPr>
          <w:rFonts w:ascii="Times New Roman" w:hAnsi="Times New Roman"/>
        </w:rPr>
        <w:sectPr w:rsidR="003D6A63">
          <w:pgSz w:w="11906" w:h="16838"/>
          <w:pgMar w:top="1417" w:right="1417" w:bottom="1417" w:left="1417" w:header="964" w:footer="964" w:gutter="0"/>
          <w:cols w:space="425"/>
          <w:docGrid w:linePitch="312" w:charSpace="-1489"/>
        </w:sectPr>
      </w:pPr>
    </w:p>
    <w:p w14:paraId="1EEFEDE1" w14:textId="77777777" w:rsidR="003D6A63" w:rsidRDefault="00000000">
      <w:pPr>
        <w:pStyle w:val="1"/>
        <w:keepNext w:val="0"/>
        <w:keepLines w:val="0"/>
        <w:spacing w:beforeLines="100" w:before="240" w:afterLines="100" w:after="240" w:line="360" w:lineRule="auto"/>
        <w:ind w:firstLine="200"/>
        <w:rPr>
          <w:rFonts w:eastAsia="黑体"/>
          <w:b w:val="0"/>
          <w:spacing w:val="0"/>
        </w:rPr>
      </w:pPr>
      <w:bookmarkStart w:id="88" w:name="_Toc26498"/>
      <w:r>
        <w:rPr>
          <w:rFonts w:eastAsia="黑体" w:hint="eastAsia"/>
          <w:b w:val="0"/>
          <w:spacing w:val="0"/>
        </w:rPr>
        <w:lastRenderedPageBreak/>
        <w:t xml:space="preserve">4  </w:t>
      </w:r>
      <w:r>
        <w:rPr>
          <w:rFonts w:eastAsia="黑体" w:hint="eastAsia"/>
          <w:b w:val="0"/>
          <w:spacing w:val="0"/>
        </w:rPr>
        <w:t>评价单元的划分及评价方法的选择</w:t>
      </w:r>
      <w:bookmarkEnd w:id="86"/>
      <w:bookmarkEnd w:id="87"/>
      <w:bookmarkEnd w:id="88"/>
    </w:p>
    <w:p w14:paraId="758584BC" w14:textId="77777777" w:rsidR="003D6A63" w:rsidRDefault="00000000">
      <w:pPr>
        <w:pStyle w:val="nlw2"/>
        <w:spacing w:beforeLines="0" w:before="0" w:afterLines="0" w:after="0" w:line="360" w:lineRule="auto"/>
        <w:rPr>
          <w:rFonts w:ascii="Times New Roman" w:hAnsi="Times New Roman"/>
        </w:rPr>
      </w:pPr>
      <w:bookmarkStart w:id="89" w:name="_Toc301155266"/>
      <w:bookmarkStart w:id="90" w:name="_Toc210179246"/>
      <w:bookmarkStart w:id="91" w:name="_Toc802"/>
      <w:r>
        <w:rPr>
          <w:rFonts w:ascii="Times New Roman" w:hAnsi="Times New Roman"/>
        </w:rPr>
        <w:t xml:space="preserve">4.1  </w:t>
      </w:r>
      <w:r>
        <w:rPr>
          <w:rFonts w:ascii="Times New Roman" w:hAnsi="Times New Roman"/>
        </w:rPr>
        <w:t>评价单元的划分</w:t>
      </w:r>
      <w:bookmarkEnd w:id="89"/>
      <w:bookmarkEnd w:id="90"/>
      <w:bookmarkEnd w:id="91"/>
    </w:p>
    <w:p w14:paraId="1E4222C0" w14:textId="77777777" w:rsidR="003D6A63" w:rsidRDefault="00000000">
      <w:pPr>
        <w:pStyle w:val="nlw3"/>
        <w:spacing w:beforeLines="0" w:before="0" w:after="0" w:line="360" w:lineRule="auto"/>
        <w:rPr>
          <w:sz w:val="24"/>
          <w:szCs w:val="24"/>
        </w:rPr>
      </w:pPr>
      <w:r>
        <w:rPr>
          <w:rFonts w:hint="eastAsia"/>
          <w:sz w:val="24"/>
          <w:szCs w:val="24"/>
        </w:rPr>
        <w:t xml:space="preserve">4.1.1  </w:t>
      </w:r>
      <w:r>
        <w:rPr>
          <w:rFonts w:hint="eastAsia"/>
          <w:sz w:val="24"/>
          <w:szCs w:val="24"/>
        </w:rPr>
        <w:t>评价单元划分原则</w:t>
      </w:r>
    </w:p>
    <w:p w14:paraId="6A3BDC5D" w14:textId="77777777" w:rsidR="003D6A63" w:rsidRDefault="00000000">
      <w:pPr>
        <w:adjustRightInd w:val="0"/>
        <w:snapToGrid w:val="0"/>
        <w:spacing w:line="360" w:lineRule="auto"/>
        <w:ind w:firstLineChars="200" w:firstLine="480"/>
        <w:rPr>
          <w:sz w:val="24"/>
        </w:rPr>
      </w:pPr>
      <w:r>
        <w:rPr>
          <w:rFonts w:hint="eastAsia"/>
          <w:sz w:val="24"/>
        </w:rPr>
        <w:t>评价单元是指在对危险、有害因素进行分析的基础上，根据评价目标和评价方法的需要，将整个系统划分成若干个有限的确定范围而分别进行评价的相对独立的装置、设施和场所。</w:t>
      </w:r>
    </w:p>
    <w:p w14:paraId="1581D9F8" w14:textId="77777777" w:rsidR="003D6A63" w:rsidRDefault="00000000">
      <w:pPr>
        <w:adjustRightInd w:val="0"/>
        <w:snapToGrid w:val="0"/>
        <w:spacing w:line="360" w:lineRule="auto"/>
        <w:ind w:firstLineChars="200" w:firstLine="480"/>
        <w:rPr>
          <w:sz w:val="24"/>
        </w:rPr>
      </w:pPr>
      <w:r>
        <w:rPr>
          <w:rFonts w:hint="eastAsia"/>
          <w:sz w:val="24"/>
        </w:rPr>
        <w:t>划分评价单元的一般性原则是按生产工艺功能、生产设施设备相对独立空间、危险有害因素类别及事故范围划分评价单元，使评价单元相对独立，具有明显特征界限。</w:t>
      </w:r>
    </w:p>
    <w:p w14:paraId="3193AE13" w14:textId="77777777" w:rsidR="003D6A63" w:rsidRDefault="00000000">
      <w:pPr>
        <w:adjustRightInd w:val="0"/>
        <w:snapToGrid w:val="0"/>
        <w:spacing w:line="360" w:lineRule="auto"/>
        <w:ind w:firstLineChars="200" w:firstLine="480"/>
        <w:rPr>
          <w:sz w:val="24"/>
        </w:rPr>
      </w:pPr>
      <w:r>
        <w:rPr>
          <w:rFonts w:hint="eastAsia"/>
          <w:sz w:val="24"/>
        </w:rPr>
        <w:t>常用的评价单元的划分原则有：</w:t>
      </w:r>
    </w:p>
    <w:p w14:paraId="0989E479"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）以危险、有害因素的类别为主划分；</w:t>
      </w:r>
    </w:p>
    <w:p w14:paraId="0A0EBA12" w14:textId="77777777" w:rsidR="003D6A63" w:rsidRDefault="00000000">
      <w:pPr>
        <w:adjustRightInd w:val="0"/>
        <w:snapToGrid w:val="0"/>
        <w:spacing w:line="360" w:lineRule="auto"/>
        <w:ind w:firstLineChars="100" w:firstLine="240"/>
        <w:rPr>
          <w:sz w:val="24"/>
          <w:lang w:val="zh-CN"/>
        </w:rPr>
      </w:pPr>
      <w:r>
        <w:rPr>
          <w:rFonts w:hint="eastAsia"/>
          <w:sz w:val="24"/>
        </w:rPr>
        <w:t>（</w:t>
      </w:r>
      <w:r>
        <w:rPr>
          <w:rFonts w:hint="eastAsia"/>
          <w:sz w:val="24"/>
        </w:rPr>
        <w:t>2</w:t>
      </w:r>
      <w:r>
        <w:rPr>
          <w:rFonts w:hint="eastAsia"/>
          <w:sz w:val="24"/>
        </w:rPr>
        <w:t>）以装置和物质的特性划分。</w:t>
      </w:r>
    </w:p>
    <w:p w14:paraId="7204FC48" w14:textId="77777777" w:rsidR="003D6A63" w:rsidRDefault="00000000">
      <w:pPr>
        <w:pStyle w:val="nlw3"/>
        <w:spacing w:beforeLines="0" w:before="0" w:after="0" w:line="360" w:lineRule="auto"/>
        <w:rPr>
          <w:sz w:val="24"/>
          <w:szCs w:val="24"/>
        </w:rPr>
      </w:pPr>
      <w:r>
        <w:rPr>
          <w:rFonts w:hint="eastAsia"/>
          <w:sz w:val="24"/>
          <w:szCs w:val="24"/>
        </w:rPr>
        <w:t xml:space="preserve">4.1.2  </w:t>
      </w:r>
      <w:r>
        <w:rPr>
          <w:rFonts w:hint="eastAsia"/>
          <w:sz w:val="24"/>
          <w:szCs w:val="24"/>
        </w:rPr>
        <w:t>评价单元划分原则</w:t>
      </w:r>
    </w:p>
    <w:p w14:paraId="444F5BC1" w14:textId="77777777" w:rsidR="003D6A63" w:rsidRDefault="00000000">
      <w:pPr>
        <w:adjustRightInd w:val="0"/>
        <w:snapToGrid w:val="0"/>
        <w:spacing w:line="360" w:lineRule="auto"/>
        <w:ind w:firstLineChars="200" w:firstLine="480"/>
        <w:rPr>
          <w:sz w:val="24"/>
          <w:lang w:val="zh-CN"/>
        </w:rPr>
      </w:pPr>
      <w:r>
        <w:rPr>
          <w:sz w:val="24"/>
          <w:lang w:val="zh-CN"/>
        </w:rPr>
        <w:t>根据</w:t>
      </w:r>
      <w:r>
        <w:rPr>
          <w:rFonts w:hint="eastAsia"/>
          <w:sz w:val="24"/>
          <w:lang w:val="zh-CN"/>
        </w:rPr>
        <w:t>中胜公司</w:t>
      </w:r>
      <w:r>
        <w:rPr>
          <w:sz w:val="24"/>
          <w:lang w:val="zh-CN"/>
        </w:rPr>
        <w:t>机构和下属单位设置、油气生产单位生产作业内容和特点，结合《石油天然气工程项目安全现状评价报告编写规则》（</w:t>
      </w:r>
      <w:r>
        <w:rPr>
          <w:sz w:val="24"/>
          <w:lang w:val="zh-CN"/>
        </w:rPr>
        <w:t>SY/T6778-2010</w:t>
      </w:r>
      <w:r>
        <w:rPr>
          <w:sz w:val="24"/>
          <w:lang w:val="zh-CN"/>
        </w:rPr>
        <w:t>）的规定，将该项目划分为</w:t>
      </w:r>
      <w:r>
        <w:rPr>
          <w:sz w:val="24"/>
          <w:lang w:val="zh-CN"/>
        </w:rPr>
        <w:t>2</w:t>
      </w:r>
      <w:r>
        <w:rPr>
          <w:sz w:val="24"/>
          <w:lang w:val="zh-CN"/>
        </w:rPr>
        <w:t>个单元：</w:t>
      </w:r>
    </w:p>
    <w:p w14:paraId="337FCFDC" w14:textId="77777777" w:rsidR="003D6A63" w:rsidRDefault="00000000">
      <w:pPr>
        <w:adjustRightInd w:val="0"/>
        <w:snapToGrid w:val="0"/>
        <w:spacing w:line="360" w:lineRule="auto"/>
        <w:ind w:firstLineChars="100" w:firstLine="240"/>
        <w:rPr>
          <w:sz w:val="24"/>
          <w:lang w:val="zh-CN"/>
        </w:rPr>
      </w:pPr>
      <w:r>
        <w:rPr>
          <w:rFonts w:hint="eastAsia"/>
          <w:sz w:val="24"/>
        </w:rPr>
        <w:t>（</w:t>
      </w:r>
      <w:r>
        <w:rPr>
          <w:rFonts w:hint="eastAsia"/>
          <w:sz w:val="24"/>
        </w:rPr>
        <w:t>1</w:t>
      </w:r>
      <w:r>
        <w:rPr>
          <w:rFonts w:hint="eastAsia"/>
          <w:sz w:val="24"/>
        </w:rPr>
        <w:t>）</w:t>
      </w:r>
      <w:r>
        <w:rPr>
          <w:rFonts w:hint="eastAsia"/>
          <w:sz w:val="24"/>
          <w:lang w:val="zh-CN"/>
        </w:rPr>
        <w:t>设备设施及生产作业单元</w:t>
      </w:r>
      <w:r>
        <w:rPr>
          <w:sz w:val="24"/>
          <w:lang w:val="zh-CN"/>
        </w:rPr>
        <w:t>，包括：</w:t>
      </w:r>
      <w:r>
        <w:rPr>
          <w:rFonts w:hint="eastAsia"/>
          <w:sz w:val="24"/>
          <w:lang w:val="zh-CN"/>
        </w:rPr>
        <w:t>中胜公司</w:t>
      </w:r>
      <w:r>
        <w:rPr>
          <w:sz w:val="24"/>
          <w:lang w:val="zh-CN"/>
        </w:rPr>
        <w:t>所辖中国石油化工股份有限公司矿业权范围内的开发生产单位所辖油气生产设备设施和辅助生产设施；油气生产和作业活动。</w:t>
      </w:r>
    </w:p>
    <w:p w14:paraId="4955EF1B" w14:textId="77777777" w:rsidR="003D6A63" w:rsidRDefault="00000000">
      <w:pPr>
        <w:adjustRightInd w:val="0"/>
        <w:snapToGrid w:val="0"/>
        <w:spacing w:line="360" w:lineRule="auto"/>
        <w:ind w:firstLineChars="200" w:firstLine="480"/>
        <w:rPr>
          <w:kern w:val="0"/>
          <w:sz w:val="24"/>
          <w:lang w:val="zh-CN"/>
        </w:rPr>
      </w:pPr>
      <w:r>
        <w:rPr>
          <w:kern w:val="0"/>
          <w:sz w:val="24"/>
          <w:lang w:val="zh-CN"/>
        </w:rPr>
        <w:t>为方便评价，结合</w:t>
      </w:r>
      <w:r>
        <w:rPr>
          <w:rFonts w:hint="eastAsia"/>
          <w:kern w:val="0"/>
          <w:sz w:val="24"/>
          <w:lang w:val="zh-CN"/>
        </w:rPr>
        <w:t>中胜公司</w:t>
      </w:r>
      <w:r>
        <w:rPr>
          <w:kern w:val="0"/>
          <w:sz w:val="24"/>
          <w:lang w:val="zh-CN"/>
        </w:rPr>
        <w:t>机关部门和下属单位设置、油气生产单位生产作业内容和特点，将设备设施及生产作业单元划分为：采油、注入系统、油气集输系统</w:t>
      </w:r>
      <w:r>
        <w:rPr>
          <w:kern w:val="0"/>
          <w:sz w:val="24"/>
          <w:lang w:val="zh-CN"/>
        </w:rPr>
        <w:t>3</w:t>
      </w:r>
      <w:r>
        <w:rPr>
          <w:kern w:val="0"/>
          <w:sz w:val="24"/>
          <w:lang w:val="zh-CN"/>
        </w:rPr>
        <w:t>个系统。</w:t>
      </w:r>
    </w:p>
    <w:p w14:paraId="00C2C3E4"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）安全管理单元，包括：中胜公司及基层单位安全管理现状：</w:t>
      </w:r>
    </w:p>
    <w:p w14:paraId="4AE1B694" w14:textId="77777777" w:rsidR="003D6A63" w:rsidRDefault="00000000">
      <w:pPr>
        <w:adjustRightInd w:val="0"/>
        <w:snapToGrid w:val="0"/>
        <w:spacing w:line="360" w:lineRule="auto"/>
        <w:jc w:val="center"/>
        <w:rPr>
          <w:rFonts w:eastAsia="黑体"/>
          <w:szCs w:val="20"/>
        </w:rPr>
      </w:pPr>
      <w:bookmarkStart w:id="92" w:name="_Toc192407911"/>
      <w:r>
        <w:rPr>
          <w:rFonts w:eastAsia="黑体" w:hint="eastAsia"/>
          <w:szCs w:val="20"/>
        </w:rPr>
        <w:t>表</w:t>
      </w:r>
      <w:r>
        <w:rPr>
          <w:rFonts w:eastAsia="黑体" w:hint="eastAsia"/>
          <w:szCs w:val="20"/>
        </w:rPr>
        <w:t xml:space="preserve">4.1-1  </w:t>
      </w:r>
      <w:r>
        <w:rPr>
          <w:rFonts w:eastAsia="黑体" w:hint="eastAsia"/>
          <w:szCs w:val="20"/>
        </w:rPr>
        <w:t>评价单元划分及评价方法选择</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17"/>
        <w:gridCol w:w="1514"/>
        <w:gridCol w:w="1899"/>
        <w:gridCol w:w="3085"/>
        <w:gridCol w:w="2066"/>
      </w:tblGrid>
      <w:tr w:rsidR="003D6A63" w14:paraId="41E076B9" w14:textId="77777777">
        <w:trPr>
          <w:trHeight w:val="374"/>
          <w:tblHeader/>
          <w:jc w:val="center"/>
        </w:trPr>
        <w:tc>
          <w:tcPr>
            <w:tcW w:w="386" w:type="pct"/>
            <w:tcBorders>
              <w:tl2br w:val="nil"/>
              <w:tr2bl w:val="nil"/>
            </w:tcBorders>
            <w:shd w:val="clear" w:color="auto" w:fill="auto"/>
            <w:vAlign w:val="center"/>
          </w:tcPr>
          <w:p w14:paraId="502620CF" w14:textId="77777777" w:rsidR="003D6A63" w:rsidRDefault="00000000">
            <w:pPr>
              <w:jc w:val="center"/>
              <w:rPr>
                <w:b/>
                <w:kern w:val="0"/>
                <w:szCs w:val="21"/>
              </w:rPr>
            </w:pPr>
            <w:r>
              <w:rPr>
                <w:b/>
                <w:kern w:val="0"/>
                <w:szCs w:val="21"/>
              </w:rPr>
              <w:t>序号</w:t>
            </w:r>
          </w:p>
        </w:tc>
        <w:tc>
          <w:tcPr>
            <w:tcW w:w="815" w:type="pct"/>
            <w:tcBorders>
              <w:tl2br w:val="nil"/>
              <w:tr2bl w:val="nil"/>
            </w:tcBorders>
            <w:shd w:val="clear" w:color="auto" w:fill="auto"/>
            <w:vAlign w:val="center"/>
          </w:tcPr>
          <w:p w14:paraId="61C590B8" w14:textId="77777777" w:rsidR="003D6A63" w:rsidRDefault="00000000">
            <w:pPr>
              <w:jc w:val="center"/>
              <w:rPr>
                <w:b/>
                <w:kern w:val="0"/>
                <w:szCs w:val="21"/>
              </w:rPr>
            </w:pPr>
            <w:r>
              <w:rPr>
                <w:b/>
                <w:kern w:val="0"/>
                <w:szCs w:val="21"/>
              </w:rPr>
              <w:t>评价单元</w:t>
            </w:r>
          </w:p>
        </w:tc>
        <w:tc>
          <w:tcPr>
            <w:tcW w:w="2685" w:type="pct"/>
            <w:gridSpan w:val="2"/>
            <w:tcBorders>
              <w:tl2br w:val="nil"/>
              <w:tr2bl w:val="nil"/>
            </w:tcBorders>
            <w:vAlign w:val="center"/>
          </w:tcPr>
          <w:p w14:paraId="734DD5C8" w14:textId="77777777" w:rsidR="003D6A63" w:rsidRDefault="00000000">
            <w:pPr>
              <w:jc w:val="center"/>
              <w:rPr>
                <w:b/>
                <w:kern w:val="0"/>
                <w:szCs w:val="21"/>
              </w:rPr>
            </w:pPr>
            <w:r>
              <w:rPr>
                <w:b/>
                <w:kern w:val="0"/>
                <w:szCs w:val="21"/>
              </w:rPr>
              <w:t>评价范围</w:t>
            </w:r>
          </w:p>
        </w:tc>
        <w:tc>
          <w:tcPr>
            <w:tcW w:w="1113" w:type="pct"/>
            <w:tcBorders>
              <w:tl2br w:val="nil"/>
              <w:tr2bl w:val="nil"/>
            </w:tcBorders>
            <w:vAlign w:val="center"/>
          </w:tcPr>
          <w:p w14:paraId="0C0F4BED" w14:textId="77777777" w:rsidR="003D6A63" w:rsidRDefault="00000000">
            <w:pPr>
              <w:jc w:val="center"/>
              <w:rPr>
                <w:b/>
                <w:kern w:val="0"/>
                <w:szCs w:val="21"/>
              </w:rPr>
            </w:pPr>
            <w:r>
              <w:rPr>
                <w:b/>
                <w:kern w:val="0"/>
                <w:szCs w:val="21"/>
              </w:rPr>
              <w:t>评价方法</w:t>
            </w:r>
          </w:p>
        </w:tc>
      </w:tr>
      <w:tr w:rsidR="003D6A63" w14:paraId="0C2B60B2" w14:textId="77777777">
        <w:trPr>
          <w:trHeight w:val="374"/>
          <w:jc w:val="center"/>
        </w:trPr>
        <w:tc>
          <w:tcPr>
            <w:tcW w:w="386" w:type="pct"/>
            <w:vMerge w:val="restart"/>
            <w:tcBorders>
              <w:tl2br w:val="nil"/>
              <w:tr2bl w:val="nil"/>
            </w:tcBorders>
            <w:shd w:val="clear" w:color="auto" w:fill="auto"/>
            <w:vAlign w:val="center"/>
          </w:tcPr>
          <w:p w14:paraId="5B3776D0" w14:textId="77777777" w:rsidR="003D6A63" w:rsidRDefault="00000000">
            <w:pPr>
              <w:jc w:val="center"/>
              <w:rPr>
                <w:spacing w:val="20"/>
                <w:szCs w:val="21"/>
              </w:rPr>
            </w:pPr>
            <w:r>
              <w:rPr>
                <w:spacing w:val="20"/>
                <w:szCs w:val="21"/>
              </w:rPr>
              <w:t>1</w:t>
            </w:r>
          </w:p>
        </w:tc>
        <w:tc>
          <w:tcPr>
            <w:tcW w:w="815" w:type="pct"/>
            <w:vMerge w:val="restart"/>
            <w:tcBorders>
              <w:tl2br w:val="nil"/>
              <w:tr2bl w:val="nil"/>
            </w:tcBorders>
            <w:shd w:val="clear" w:color="auto" w:fill="auto"/>
            <w:vAlign w:val="center"/>
          </w:tcPr>
          <w:p w14:paraId="79D60112" w14:textId="77777777" w:rsidR="003D6A63" w:rsidRDefault="00000000">
            <w:pPr>
              <w:jc w:val="center"/>
              <w:rPr>
                <w:spacing w:val="20"/>
                <w:szCs w:val="21"/>
              </w:rPr>
            </w:pPr>
            <w:r>
              <w:t>设备设施及生产作业单元</w:t>
            </w:r>
          </w:p>
        </w:tc>
        <w:tc>
          <w:tcPr>
            <w:tcW w:w="1023" w:type="pct"/>
            <w:tcBorders>
              <w:tl2br w:val="nil"/>
              <w:tr2bl w:val="nil"/>
            </w:tcBorders>
            <w:vAlign w:val="center"/>
          </w:tcPr>
          <w:p w14:paraId="21F404E1" w14:textId="77777777" w:rsidR="003D6A63" w:rsidRDefault="00000000">
            <w:pPr>
              <w:jc w:val="center"/>
              <w:rPr>
                <w:kern w:val="0"/>
                <w:szCs w:val="21"/>
              </w:rPr>
            </w:pPr>
            <w:r>
              <w:rPr>
                <w:rFonts w:hint="eastAsia"/>
                <w:kern w:val="0"/>
                <w:szCs w:val="21"/>
              </w:rPr>
              <w:t>采油</w:t>
            </w:r>
            <w:r>
              <w:rPr>
                <w:kern w:val="0"/>
                <w:szCs w:val="21"/>
              </w:rPr>
              <w:t>系统</w:t>
            </w:r>
          </w:p>
        </w:tc>
        <w:tc>
          <w:tcPr>
            <w:tcW w:w="3086" w:type="dxa"/>
            <w:tcBorders>
              <w:tl2br w:val="nil"/>
              <w:tr2bl w:val="nil"/>
            </w:tcBorders>
            <w:vAlign w:val="center"/>
          </w:tcPr>
          <w:p w14:paraId="296BF099" w14:textId="77777777" w:rsidR="003D6A63" w:rsidRDefault="00000000">
            <w:pPr>
              <w:adjustRightInd w:val="0"/>
              <w:snapToGrid w:val="0"/>
              <w:rPr>
                <w:spacing w:val="20"/>
                <w:szCs w:val="21"/>
              </w:rPr>
            </w:pPr>
            <w:r>
              <w:t>包括</w:t>
            </w:r>
            <w:r>
              <w:rPr>
                <w:rFonts w:hint="eastAsia"/>
              </w:rPr>
              <w:t>中胜公司</w:t>
            </w:r>
            <w:r>
              <w:t>所辖</w:t>
            </w:r>
            <w:r>
              <w:rPr>
                <w:rFonts w:hint="eastAsia"/>
              </w:rPr>
              <w:t>开发区</w:t>
            </w:r>
            <w:r>
              <w:t>管辖的井场以及其他辅助采油设备、设施</w:t>
            </w:r>
            <w:r>
              <w:rPr>
                <w:rFonts w:hint="eastAsia"/>
              </w:rPr>
              <w:t>等</w:t>
            </w:r>
            <w:r>
              <w:t>。</w:t>
            </w:r>
          </w:p>
        </w:tc>
        <w:tc>
          <w:tcPr>
            <w:tcW w:w="1113" w:type="pct"/>
            <w:vMerge w:val="restart"/>
            <w:tcBorders>
              <w:tl2br w:val="nil"/>
              <w:tr2bl w:val="nil"/>
            </w:tcBorders>
            <w:vAlign w:val="center"/>
          </w:tcPr>
          <w:p w14:paraId="2CF9F4A6" w14:textId="77777777" w:rsidR="003D6A63" w:rsidRDefault="00000000">
            <w:pPr>
              <w:jc w:val="center"/>
              <w:rPr>
                <w:spacing w:val="20"/>
                <w:szCs w:val="21"/>
              </w:rPr>
            </w:pPr>
            <w:r>
              <w:rPr>
                <w:spacing w:val="20"/>
                <w:szCs w:val="21"/>
              </w:rPr>
              <w:t>安全检查表</w:t>
            </w:r>
          </w:p>
        </w:tc>
      </w:tr>
      <w:tr w:rsidR="003D6A63" w14:paraId="59D41F50" w14:textId="77777777">
        <w:trPr>
          <w:trHeight w:val="374"/>
          <w:jc w:val="center"/>
        </w:trPr>
        <w:tc>
          <w:tcPr>
            <w:tcW w:w="386" w:type="pct"/>
            <w:vMerge/>
            <w:tcBorders>
              <w:tl2br w:val="nil"/>
              <w:tr2bl w:val="nil"/>
            </w:tcBorders>
            <w:shd w:val="clear" w:color="auto" w:fill="auto"/>
            <w:vAlign w:val="center"/>
          </w:tcPr>
          <w:p w14:paraId="77293EB7" w14:textId="77777777" w:rsidR="003D6A63" w:rsidRDefault="003D6A63">
            <w:pPr>
              <w:jc w:val="center"/>
              <w:rPr>
                <w:spacing w:val="20"/>
                <w:szCs w:val="21"/>
              </w:rPr>
            </w:pPr>
          </w:p>
        </w:tc>
        <w:tc>
          <w:tcPr>
            <w:tcW w:w="815" w:type="pct"/>
            <w:vMerge/>
            <w:tcBorders>
              <w:tl2br w:val="nil"/>
              <w:tr2bl w:val="nil"/>
            </w:tcBorders>
            <w:shd w:val="clear" w:color="auto" w:fill="auto"/>
            <w:vAlign w:val="center"/>
          </w:tcPr>
          <w:p w14:paraId="0457D936" w14:textId="77777777" w:rsidR="003D6A63" w:rsidRDefault="003D6A63">
            <w:pPr>
              <w:jc w:val="center"/>
              <w:rPr>
                <w:kern w:val="0"/>
                <w:szCs w:val="21"/>
              </w:rPr>
            </w:pPr>
          </w:p>
        </w:tc>
        <w:tc>
          <w:tcPr>
            <w:tcW w:w="1023" w:type="pct"/>
            <w:tcBorders>
              <w:tl2br w:val="nil"/>
              <w:tr2bl w:val="nil"/>
            </w:tcBorders>
            <w:vAlign w:val="center"/>
          </w:tcPr>
          <w:p w14:paraId="3934A14B" w14:textId="77777777" w:rsidR="003D6A63" w:rsidRDefault="00000000">
            <w:pPr>
              <w:jc w:val="center"/>
              <w:rPr>
                <w:kern w:val="0"/>
                <w:szCs w:val="21"/>
              </w:rPr>
            </w:pPr>
            <w:r>
              <w:rPr>
                <w:kern w:val="0"/>
                <w:szCs w:val="21"/>
              </w:rPr>
              <w:t>注入系统</w:t>
            </w:r>
          </w:p>
        </w:tc>
        <w:tc>
          <w:tcPr>
            <w:tcW w:w="3086" w:type="dxa"/>
            <w:tcBorders>
              <w:tl2br w:val="nil"/>
              <w:tr2bl w:val="nil"/>
            </w:tcBorders>
            <w:vAlign w:val="center"/>
          </w:tcPr>
          <w:p w14:paraId="331C8853" w14:textId="77777777" w:rsidR="003D6A63" w:rsidRDefault="00000000">
            <w:pPr>
              <w:adjustRightInd w:val="0"/>
              <w:snapToGrid w:val="0"/>
              <w:rPr>
                <w:spacing w:val="20"/>
                <w:szCs w:val="21"/>
              </w:rPr>
            </w:pPr>
            <w:r>
              <w:t>包括</w:t>
            </w:r>
            <w:r>
              <w:rPr>
                <w:rFonts w:hint="eastAsia"/>
              </w:rPr>
              <w:t>中胜公司</w:t>
            </w:r>
            <w:r>
              <w:t>所辖</w:t>
            </w:r>
            <w:r>
              <w:rPr>
                <w:rFonts w:hint="eastAsia"/>
              </w:rPr>
              <w:t>注水站、注水间以及其它辅助设施等。</w:t>
            </w:r>
          </w:p>
        </w:tc>
        <w:tc>
          <w:tcPr>
            <w:tcW w:w="1113" w:type="pct"/>
            <w:vMerge/>
            <w:tcBorders>
              <w:tl2br w:val="nil"/>
              <w:tr2bl w:val="nil"/>
            </w:tcBorders>
            <w:vAlign w:val="center"/>
          </w:tcPr>
          <w:p w14:paraId="68A695F7" w14:textId="77777777" w:rsidR="003D6A63" w:rsidRDefault="003D6A63">
            <w:pPr>
              <w:jc w:val="center"/>
              <w:rPr>
                <w:spacing w:val="20"/>
                <w:szCs w:val="21"/>
              </w:rPr>
            </w:pPr>
          </w:p>
        </w:tc>
      </w:tr>
      <w:tr w:rsidR="003D6A63" w14:paraId="64A39F01" w14:textId="77777777">
        <w:trPr>
          <w:trHeight w:val="374"/>
          <w:jc w:val="center"/>
        </w:trPr>
        <w:tc>
          <w:tcPr>
            <w:tcW w:w="386" w:type="pct"/>
            <w:vMerge/>
            <w:tcBorders>
              <w:tl2br w:val="nil"/>
              <w:tr2bl w:val="nil"/>
            </w:tcBorders>
            <w:shd w:val="clear" w:color="auto" w:fill="auto"/>
            <w:vAlign w:val="center"/>
          </w:tcPr>
          <w:p w14:paraId="39C22032" w14:textId="77777777" w:rsidR="003D6A63" w:rsidRDefault="003D6A63">
            <w:pPr>
              <w:jc w:val="center"/>
              <w:rPr>
                <w:spacing w:val="20"/>
                <w:szCs w:val="21"/>
              </w:rPr>
            </w:pPr>
          </w:p>
        </w:tc>
        <w:tc>
          <w:tcPr>
            <w:tcW w:w="815" w:type="pct"/>
            <w:vMerge/>
            <w:tcBorders>
              <w:tl2br w:val="nil"/>
              <w:tr2bl w:val="nil"/>
            </w:tcBorders>
            <w:shd w:val="clear" w:color="auto" w:fill="auto"/>
            <w:vAlign w:val="center"/>
          </w:tcPr>
          <w:p w14:paraId="6759F9B9" w14:textId="77777777" w:rsidR="003D6A63" w:rsidRDefault="003D6A63">
            <w:pPr>
              <w:jc w:val="center"/>
              <w:rPr>
                <w:spacing w:val="20"/>
                <w:szCs w:val="21"/>
              </w:rPr>
            </w:pPr>
          </w:p>
        </w:tc>
        <w:tc>
          <w:tcPr>
            <w:tcW w:w="1023" w:type="pct"/>
            <w:tcBorders>
              <w:tl2br w:val="nil"/>
              <w:tr2bl w:val="nil"/>
            </w:tcBorders>
            <w:vAlign w:val="center"/>
          </w:tcPr>
          <w:p w14:paraId="01CE2D11" w14:textId="77777777" w:rsidR="003D6A63" w:rsidRDefault="00000000">
            <w:pPr>
              <w:jc w:val="center"/>
              <w:rPr>
                <w:spacing w:val="20"/>
                <w:szCs w:val="21"/>
              </w:rPr>
            </w:pPr>
            <w:r>
              <w:rPr>
                <w:kern w:val="0"/>
                <w:szCs w:val="21"/>
              </w:rPr>
              <w:t>油气集输系统</w:t>
            </w:r>
          </w:p>
        </w:tc>
        <w:tc>
          <w:tcPr>
            <w:tcW w:w="3086" w:type="dxa"/>
            <w:tcBorders>
              <w:tl2br w:val="nil"/>
              <w:tr2bl w:val="nil"/>
            </w:tcBorders>
            <w:vAlign w:val="center"/>
          </w:tcPr>
          <w:p w14:paraId="5DA38625" w14:textId="77777777" w:rsidR="003D6A63" w:rsidRDefault="00000000">
            <w:pPr>
              <w:adjustRightInd w:val="0"/>
              <w:snapToGrid w:val="0"/>
              <w:rPr>
                <w:spacing w:val="20"/>
                <w:szCs w:val="21"/>
              </w:rPr>
            </w:pPr>
            <w:r>
              <w:t>包括</w:t>
            </w:r>
            <w:r>
              <w:rPr>
                <w:rFonts w:hint="eastAsia"/>
              </w:rPr>
              <w:t>中胜公司</w:t>
            </w:r>
            <w:r>
              <w:t>所管辖的</w:t>
            </w:r>
            <w:r>
              <w:rPr>
                <w:rFonts w:hint="eastAsia"/>
              </w:rPr>
              <w:t>井场、计量间内</w:t>
            </w:r>
            <w:r>
              <w:t>集输设备、设施及其他辅助集输设施</w:t>
            </w:r>
            <w:r>
              <w:rPr>
                <w:rFonts w:hint="eastAsia"/>
              </w:rPr>
              <w:t>等</w:t>
            </w:r>
            <w:r>
              <w:t>。</w:t>
            </w:r>
          </w:p>
        </w:tc>
        <w:tc>
          <w:tcPr>
            <w:tcW w:w="1113" w:type="pct"/>
            <w:vMerge/>
            <w:tcBorders>
              <w:tl2br w:val="nil"/>
              <w:tr2bl w:val="nil"/>
            </w:tcBorders>
            <w:vAlign w:val="center"/>
          </w:tcPr>
          <w:p w14:paraId="655E1049" w14:textId="77777777" w:rsidR="003D6A63" w:rsidRDefault="003D6A63">
            <w:pPr>
              <w:jc w:val="center"/>
              <w:rPr>
                <w:spacing w:val="20"/>
                <w:szCs w:val="21"/>
              </w:rPr>
            </w:pPr>
          </w:p>
        </w:tc>
      </w:tr>
      <w:tr w:rsidR="003D6A63" w14:paraId="6BC00A6A" w14:textId="77777777">
        <w:trPr>
          <w:trHeight w:val="374"/>
          <w:jc w:val="center"/>
        </w:trPr>
        <w:tc>
          <w:tcPr>
            <w:tcW w:w="386" w:type="pct"/>
            <w:tcBorders>
              <w:tl2br w:val="nil"/>
              <w:tr2bl w:val="nil"/>
            </w:tcBorders>
            <w:shd w:val="clear" w:color="auto" w:fill="auto"/>
            <w:vAlign w:val="center"/>
          </w:tcPr>
          <w:p w14:paraId="7417C513" w14:textId="77777777" w:rsidR="003D6A63" w:rsidRDefault="00000000">
            <w:pPr>
              <w:jc w:val="center"/>
              <w:rPr>
                <w:spacing w:val="20"/>
                <w:szCs w:val="21"/>
              </w:rPr>
            </w:pPr>
            <w:r>
              <w:rPr>
                <w:spacing w:val="20"/>
                <w:szCs w:val="21"/>
              </w:rPr>
              <w:t>2</w:t>
            </w:r>
          </w:p>
        </w:tc>
        <w:tc>
          <w:tcPr>
            <w:tcW w:w="815" w:type="pct"/>
            <w:tcBorders>
              <w:tl2br w:val="nil"/>
              <w:tr2bl w:val="nil"/>
            </w:tcBorders>
            <w:shd w:val="clear" w:color="auto" w:fill="auto"/>
            <w:vAlign w:val="center"/>
          </w:tcPr>
          <w:p w14:paraId="4EF05054" w14:textId="77777777" w:rsidR="003D6A63" w:rsidRDefault="00000000">
            <w:pPr>
              <w:jc w:val="center"/>
              <w:rPr>
                <w:spacing w:val="20"/>
                <w:szCs w:val="21"/>
              </w:rPr>
            </w:pPr>
            <w:r>
              <w:rPr>
                <w:kern w:val="0"/>
                <w:szCs w:val="21"/>
              </w:rPr>
              <w:t>安全管理单元</w:t>
            </w:r>
          </w:p>
        </w:tc>
        <w:tc>
          <w:tcPr>
            <w:tcW w:w="2685" w:type="pct"/>
            <w:gridSpan w:val="2"/>
            <w:tcBorders>
              <w:tl2br w:val="nil"/>
              <w:tr2bl w:val="nil"/>
            </w:tcBorders>
            <w:vAlign w:val="center"/>
          </w:tcPr>
          <w:p w14:paraId="74468C0A" w14:textId="77777777" w:rsidR="003D6A63" w:rsidRDefault="00000000">
            <w:pPr>
              <w:jc w:val="center"/>
              <w:rPr>
                <w:spacing w:val="20"/>
                <w:szCs w:val="21"/>
              </w:rPr>
            </w:pPr>
            <w:r>
              <w:rPr>
                <w:kern w:val="0"/>
                <w:szCs w:val="21"/>
              </w:rPr>
              <w:t>包括</w:t>
            </w:r>
            <w:r>
              <w:rPr>
                <w:rFonts w:hint="eastAsia"/>
                <w:kern w:val="0"/>
                <w:szCs w:val="21"/>
              </w:rPr>
              <w:t>中胜公司</w:t>
            </w:r>
            <w:r>
              <w:rPr>
                <w:kern w:val="0"/>
                <w:szCs w:val="21"/>
              </w:rPr>
              <w:t>安全管理现状</w:t>
            </w:r>
          </w:p>
        </w:tc>
        <w:tc>
          <w:tcPr>
            <w:tcW w:w="1113" w:type="pct"/>
            <w:tcBorders>
              <w:tl2br w:val="nil"/>
              <w:tr2bl w:val="nil"/>
            </w:tcBorders>
            <w:vAlign w:val="center"/>
          </w:tcPr>
          <w:p w14:paraId="5177608E" w14:textId="77777777" w:rsidR="003D6A63" w:rsidRDefault="00000000">
            <w:pPr>
              <w:jc w:val="center"/>
              <w:rPr>
                <w:spacing w:val="20"/>
                <w:szCs w:val="21"/>
              </w:rPr>
            </w:pPr>
            <w:r>
              <w:rPr>
                <w:spacing w:val="20"/>
                <w:szCs w:val="21"/>
              </w:rPr>
              <w:t>安全检查表</w:t>
            </w:r>
          </w:p>
        </w:tc>
      </w:tr>
    </w:tbl>
    <w:p w14:paraId="415C74C0" w14:textId="77777777" w:rsidR="003D6A63" w:rsidRDefault="00000000">
      <w:pPr>
        <w:pStyle w:val="nlw2"/>
        <w:rPr>
          <w:rFonts w:ascii="Times New Roman" w:hAnsi="Times New Roman"/>
        </w:rPr>
      </w:pPr>
      <w:bookmarkStart w:id="93" w:name="_Toc210179247"/>
      <w:bookmarkStart w:id="94" w:name="_Toc301155267"/>
      <w:bookmarkStart w:id="95" w:name="_Toc5438"/>
      <w:bookmarkEnd w:id="92"/>
      <w:r>
        <w:rPr>
          <w:rFonts w:ascii="Times New Roman" w:hAnsi="Times New Roman"/>
        </w:rPr>
        <w:lastRenderedPageBreak/>
        <w:t xml:space="preserve">4.2  </w:t>
      </w:r>
      <w:r>
        <w:rPr>
          <w:rFonts w:ascii="Times New Roman" w:hAnsi="Times New Roman"/>
        </w:rPr>
        <w:t>评价方法</w:t>
      </w:r>
      <w:bookmarkEnd w:id="93"/>
      <w:bookmarkEnd w:id="94"/>
      <w:r>
        <w:rPr>
          <w:rFonts w:ascii="Times New Roman" w:hAnsi="Times New Roman"/>
        </w:rPr>
        <w:t>的选择</w:t>
      </w:r>
      <w:bookmarkEnd w:id="95"/>
    </w:p>
    <w:p w14:paraId="12F7C77D"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sz w:val="24"/>
          <w:szCs w:val="24"/>
        </w:rPr>
        <w:t>安全评价方法是分析和预测项目可能存在的危险、危害因素的工具。按照安全评价结果的量化程度，可分为定性评价方法和定量评价方法。</w:t>
      </w:r>
    </w:p>
    <w:p w14:paraId="46ACC2CD"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sz w:val="24"/>
          <w:szCs w:val="24"/>
        </w:rPr>
        <w:t>定性安全评价方法主要是根据经验和直观判断能力对生产系统的工艺、设备、设施、环境、人员和管理等方面的状况进行定性的分析。安全检查表、预先危险性都是常用的定性安全评价方法。</w:t>
      </w:r>
      <w:bookmarkStart w:id="96" w:name="_Toc301155268"/>
    </w:p>
    <w:p w14:paraId="6CBA1BBF" w14:textId="77777777" w:rsidR="003D6A63" w:rsidRDefault="00000000">
      <w:pPr>
        <w:pStyle w:val="nlw3"/>
        <w:spacing w:beforeLines="0" w:before="0" w:after="0" w:line="360" w:lineRule="auto"/>
        <w:rPr>
          <w:sz w:val="24"/>
          <w:szCs w:val="24"/>
        </w:rPr>
      </w:pPr>
      <w:r>
        <w:rPr>
          <w:rFonts w:hint="eastAsia"/>
          <w:sz w:val="24"/>
          <w:szCs w:val="24"/>
        </w:rPr>
        <w:t xml:space="preserve">4.2.1  </w:t>
      </w:r>
      <w:r>
        <w:rPr>
          <w:rFonts w:hint="eastAsia"/>
          <w:sz w:val="24"/>
          <w:szCs w:val="24"/>
        </w:rPr>
        <w:t>安全检查表</w:t>
      </w:r>
    </w:p>
    <w:p w14:paraId="3AC75018"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安全检查表（</w:t>
      </w:r>
      <w:r>
        <w:rPr>
          <w:rFonts w:ascii="Times New Roman" w:hAnsi="Times New Roman" w:hint="eastAsia"/>
          <w:sz w:val="24"/>
          <w:szCs w:val="24"/>
        </w:rPr>
        <w:t>SCL</w:t>
      </w:r>
      <w:r>
        <w:rPr>
          <w:rFonts w:ascii="Times New Roman" w:hAnsi="Times New Roman" w:hint="eastAsia"/>
          <w:sz w:val="24"/>
          <w:szCs w:val="24"/>
        </w:rPr>
        <w:t>）是由一些对工艺过程、机械设备和作业情况熟悉并富有安全技术、安全管理经验的人员，事先对分析对象进行详尽分析和充分讨论，根据相应安全法规、标准的要求，列出检查单元和部位、检查项目、检查要求等内容的表格，它是系统安全工程的一种最基础、最简便、广泛应用的系统危险性评价方法。现场检查时</w:t>
      </w:r>
    </w:p>
    <w:p w14:paraId="0B587D2B"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hint="eastAsia"/>
          <w:sz w:val="24"/>
          <w:szCs w:val="24"/>
        </w:rPr>
        <w:t>本报告书中采用的检查表的格式见下表</w:t>
      </w:r>
      <w:r>
        <w:rPr>
          <w:rFonts w:ascii="Times New Roman" w:hAnsi="Times New Roman" w:hint="eastAsia"/>
          <w:sz w:val="24"/>
          <w:szCs w:val="24"/>
        </w:rPr>
        <w:t>4.2-2</w:t>
      </w:r>
      <w:r>
        <w:rPr>
          <w:rFonts w:ascii="Times New Roman" w:hAnsi="Times New Roman" w:hint="eastAsia"/>
          <w:sz w:val="24"/>
          <w:szCs w:val="24"/>
        </w:rPr>
        <w:t>。在安全检查表中，对已采取了的安全措施在“检查结果”一栏中标以“√”，而未采取安全措施或采取了但不完善的在安全检查表“检查结果”一栏中标以“×”。安全检查表中的具体内容可作为安全生产管理的依据，应逐条加以落实，否则会留下安全隐患。</w:t>
      </w:r>
    </w:p>
    <w:p w14:paraId="5CC682EE" w14:textId="77777777" w:rsidR="003D6A63" w:rsidRDefault="00000000">
      <w:pPr>
        <w:adjustRightInd w:val="0"/>
        <w:snapToGrid w:val="0"/>
        <w:spacing w:line="360" w:lineRule="auto"/>
        <w:jc w:val="center"/>
        <w:rPr>
          <w:rFonts w:eastAsia="黑体"/>
          <w:szCs w:val="20"/>
        </w:rPr>
      </w:pPr>
      <w:r>
        <w:rPr>
          <w:rFonts w:eastAsia="黑体" w:hint="eastAsia"/>
          <w:szCs w:val="20"/>
        </w:rPr>
        <w:t>表</w:t>
      </w:r>
      <w:r>
        <w:rPr>
          <w:rFonts w:eastAsia="黑体" w:hint="eastAsia"/>
          <w:szCs w:val="20"/>
        </w:rPr>
        <w:t xml:space="preserve">4.2-1  </w:t>
      </w:r>
      <w:r>
        <w:rPr>
          <w:rFonts w:eastAsia="黑体" w:hint="eastAsia"/>
          <w:szCs w:val="20"/>
        </w:rPr>
        <w:t>安全检查表</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87"/>
        <w:gridCol w:w="3607"/>
        <w:gridCol w:w="1456"/>
        <w:gridCol w:w="1897"/>
        <w:gridCol w:w="1535"/>
      </w:tblGrid>
      <w:tr w:rsidR="003D6A63" w14:paraId="2A9461AD" w14:textId="77777777">
        <w:trPr>
          <w:cantSplit/>
          <w:trHeight w:val="397"/>
          <w:jc w:val="center"/>
        </w:trPr>
        <w:tc>
          <w:tcPr>
            <w:tcW w:w="793" w:type="dxa"/>
            <w:tcBorders>
              <w:tl2br w:val="nil"/>
              <w:tr2bl w:val="nil"/>
            </w:tcBorders>
            <w:vAlign w:val="center"/>
          </w:tcPr>
          <w:p w14:paraId="4699DA06" w14:textId="77777777" w:rsidR="003D6A63" w:rsidRDefault="00000000">
            <w:pPr>
              <w:adjustRightInd w:val="0"/>
              <w:snapToGrid w:val="0"/>
              <w:jc w:val="center"/>
              <w:rPr>
                <w:b/>
                <w:bCs/>
              </w:rPr>
            </w:pPr>
            <w:r>
              <w:rPr>
                <w:b/>
                <w:bCs/>
              </w:rPr>
              <w:t>序号</w:t>
            </w:r>
          </w:p>
        </w:tc>
        <w:tc>
          <w:tcPr>
            <w:tcW w:w="3658" w:type="dxa"/>
            <w:tcBorders>
              <w:tl2br w:val="nil"/>
              <w:tr2bl w:val="nil"/>
            </w:tcBorders>
            <w:vAlign w:val="center"/>
          </w:tcPr>
          <w:p w14:paraId="174DF1CC" w14:textId="77777777" w:rsidR="003D6A63" w:rsidRDefault="00000000">
            <w:pPr>
              <w:adjustRightInd w:val="0"/>
              <w:snapToGrid w:val="0"/>
              <w:jc w:val="center"/>
              <w:rPr>
                <w:b/>
                <w:bCs/>
              </w:rPr>
            </w:pPr>
            <w:r>
              <w:rPr>
                <w:b/>
                <w:bCs/>
              </w:rPr>
              <w:t>检查内容</w:t>
            </w:r>
          </w:p>
        </w:tc>
        <w:tc>
          <w:tcPr>
            <w:tcW w:w="1472" w:type="dxa"/>
            <w:tcBorders>
              <w:tl2br w:val="nil"/>
              <w:tr2bl w:val="nil"/>
            </w:tcBorders>
            <w:vAlign w:val="center"/>
          </w:tcPr>
          <w:p w14:paraId="2441DBE1" w14:textId="77777777" w:rsidR="003D6A63" w:rsidRDefault="00000000">
            <w:pPr>
              <w:adjustRightInd w:val="0"/>
              <w:snapToGrid w:val="0"/>
              <w:jc w:val="center"/>
              <w:rPr>
                <w:b/>
                <w:bCs/>
              </w:rPr>
            </w:pPr>
            <w:r>
              <w:rPr>
                <w:b/>
                <w:bCs/>
              </w:rPr>
              <w:t>检查依据</w:t>
            </w:r>
          </w:p>
        </w:tc>
        <w:tc>
          <w:tcPr>
            <w:tcW w:w="1920" w:type="dxa"/>
            <w:tcBorders>
              <w:tl2br w:val="nil"/>
              <w:tr2bl w:val="nil"/>
            </w:tcBorders>
            <w:vAlign w:val="center"/>
          </w:tcPr>
          <w:p w14:paraId="0D9D0622" w14:textId="77777777" w:rsidR="003D6A63" w:rsidRDefault="00000000">
            <w:pPr>
              <w:adjustRightInd w:val="0"/>
              <w:snapToGrid w:val="0"/>
              <w:jc w:val="center"/>
              <w:rPr>
                <w:b/>
                <w:bCs/>
              </w:rPr>
            </w:pPr>
            <w:r>
              <w:rPr>
                <w:b/>
                <w:bCs/>
              </w:rPr>
              <w:t>实际情况</w:t>
            </w:r>
          </w:p>
        </w:tc>
        <w:tc>
          <w:tcPr>
            <w:tcW w:w="1553" w:type="dxa"/>
            <w:tcBorders>
              <w:tl2br w:val="nil"/>
              <w:tr2bl w:val="nil"/>
            </w:tcBorders>
            <w:vAlign w:val="center"/>
          </w:tcPr>
          <w:p w14:paraId="5C00ED17" w14:textId="77777777" w:rsidR="003D6A63" w:rsidRDefault="00000000">
            <w:pPr>
              <w:adjustRightInd w:val="0"/>
              <w:snapToGrid w:val="0"/>
              <w:jc w:val="center"/>
              <w:rPr>
                <w:b/>
                <w:bCs/>
              </w:rPr>
            </w:pPr>
            <w:r>
              <w:rPr>
                <w:b/>
                <w:bCs/>
              </w:rPr>
              <w:t>检查结果</w:t>
            </w:r>
          </w:p>
        </w:tc>
      </w:tr>
      <w:tr w:rsidR="003D6A63" w14:paraId="38B442DF" w14:textId="77777777">
        <w:trPr>
          <w:cantSplit/>
          <w:trHeight w:val="397"/>
          <w:jc w:val="center"/>
        </w:trPr>
        <w:tc>
          <w:tcPr>
            <w:tcW w:w="793" w:type="dxa"/>
            <w:tcBorders>
              <w:tl2br w:val="nil"/>
              <w:tr2bl w:val="nil"/>
            </w:tcBorders>
            <w:vAlign w:val="center"/>
          </w:tcPr>
          <w:p w14:paraId="1973E6EB" w14:textId="77777777" w:rsidR="003D6A63" w:rsidRDefault="003D6A63">
            <w:pPr>
              <w:adjustRightInd w:val="0"/>
              <w:snapToGrid w:val="0"/>
            </w:pPr>
          </w:p>
        </w:tc>
        <w:tc>
          <w:tcPr>
            <w:tcW w:w="3658" w:type="dxa"/>
            <w:tcBorders>
              <w:tl2br w:val="nil"/>
              <w:tr2bl w:val="nil"/>
            </w:tcBorders>
            <w:vAlign w:val="center"/>
          </w:tcPr>
          <w:p w14:paraId="0E6E7A46" w14:textId="77777777" w:rsidR="003D6A63" w:rsidRDefault="003D6A63">
            <w:pPr>
              <w:adjustRightInd w:val="0"/>
              <w:snapToGrid w:val="0"/>
            </w:pPr>
          </w:p>
        </w:tc>
        <w:tc>
          <w:tcPr>
            <w:tcW w:w="1472" w:type="dxa"/>
            <w:tcBorders>
              <w:tl2br w:val="nil"/>
              <w:tr2bl w:val="nil"/>
            </w:tcBorders>
          </w:tcPr>
          <w:p w14:paraId="3F558C0C" w14:textId="77777777" w:rsidR="003D6A63" w:rsidRDefault="003D6A63">
            <w:pPr>
              <w:adjustRightInd w:val="0"/>
              <w:snapToGrid w:val="0"/>
            </w:pPr>
          </w:p>
        </w:tc>
        <w:tc>
          <w:tcPr>
            <w:tcW w:w="1920" w:type="dxa"/>
            <w:tcBorders>
              <w:tl2br w:val="nil"/>
              <w:tr2bl w:val="nil"/>
            </w:tcBorders>
          </w:tcPr>
          <w:p w14:paraId="4FEA802D" w14:textId="77777777" w:rsidR="003D6A63" w:rsidRDefault="003D6A63">
            <w:pPr>
              <w:adjustRightInd w:val="0"/>
              <w:snapToGrid w:val="0"/>
            </w:pPr>
          </w:p>
        </w:tc>
        <w:tc>
          <w:tcPr>
            <w:tcW w:w="1553" w:type="dxa"/>
            <w:tcBorders>
              <w:tl2br w:val="nil"/>
              <w:tr2bl w:val="nil"/>
            </w:tcBorders>
            <w:vAlign w:val="center"/>
          </w:tcPr>
          <w:p w14:paraId="724413B0" w14:textId="77777777" w:rsidR="003D6A63" w:rsidRDefault="003D6A63">
            <w:pPr>
              <w:adjustRightInd w:val="0"/>
              <w:snapToGrid w:val="0"/>
            </w:pPr>
          </w:p>
        </w:tc>
      </w:tr>
      <w:tr w:rsidR="003D6A63" w14:paraId="04B5982E" w14:textId="77777777">
        <w:trPr>
          <w:cantSplit/>
          <w:trHeight w:val="397"/>
          <w:jc w:val="center"/>
        </w:trPr>
        <w:tc>
          <w:tcPr>
            <w:tcW w:w="793" w:type="dxa"/>
            <w:tcBorders>
              <w:tl2br w:val="nil"/>
              <w:tr2bl w:val="nil"/>
            </w:tcBorders>
            <w:vAlign w:val="center"/>
          </w:tcPr>
          <w:p w14:paraId="76762945" w14:textId="77777777" w:rsidR="003D6A63" w:rsidRDefault="003D6A63">
            <w:pPr>
              <w:adjustRightInd w:val="0"/>
              <w:snapToGrid w:val="0"/>
            </w:pPr>
          </w:p>
        </w:tc>
        <w:tc>
          <w:tcPr>
            <w:tcW w:w="3658" w:type="dxa"/>
            <w:tcBorders>
              <w:tl2br w:val="nil"/>
              <w:tr2bl w:val="nil"/>
            </w:tcBorders>
            <w:vAlign w:val="center"/>
          </w:tcPr>
          <w:p w14:paraId="2E1A281D" w14:textId="77777777" w:rsidR="003D6A63" w:rsidRDefault="003D6A63">
            <w:pPr>
              <w:adjustRightInd w:val="0"/>
              <w:snapToGrid w:val="0"/>
            </w:pPr>
          </w:p>
        </w:tc>
        <w:tc>
          <w:tcPr>
            <w:tcW w:w="1472" w:type="dxa"/>
            <w:tcBorders>
              <w:tl2br w:val="nil"/>
              <w:tr2bl w:val="nil"/>
            </w:tcBorders>
          </w:tcPr>
          <w:p w14:paraId="3C81B7AD" w14:textId="77777777" w:rsidR="003D6A63" w:rsidRDefault="003D6A63">
            <w:pPr>
              <w:adjustRightInd w:val="0"/>
              <w:snapToGrid w:val="0"/>
            </w:pPr>
          </w:p>
        </w:tc>
        <w:tc>
          <w:tcPr>
            <w:tcW w:w="1920" w:type="dxa"/>
            <w:tcBorders>
              <w:tl2br w:val="nil"/>
              <w:tr2bl w:val="nil"/>
            </w:tcBorders>
          </w:tcPr>
          <w:p w14:paraId="57704B34" w14:textId="77777777" w:rsidR="003D6A63" w:rsidRDefault="003D6A63">
            <w:pPr>
              <w:adjustRightInd w:val="0"/>
              <w:snapToGrid w:val="0"/>
            </w:pPr>
          </w:p>
        </w:tc>
        <w:tc>
          <w:tcPr>
            <w:tcW w:w="1553" w:type="dxa"/>
            <w:tcBorders>
              <w:tl2br w:val="nil"/>
              <w:tr2bl w:val="nil"/>
            </w:tcBorders>
            <w:vAlign w:val="center"/>
          </w:tcPr>
          <w:p w14:paraId="0A01DE30" w14:textId="77777777" w:rsidR="003D6A63" w:rsidRDefault="003D6A63">
            <w:pPr>
              <w:adjustRightInd w:val="0"/>
              <w:snapToGrid w:val="0"/>
            </w:pPr>
          </w:p>
        </w:tc>
      </w:tr>
      <w:bookmarkEnd w:id="96"/>
    </w:tbl>
    <w:p w14:paraId="459BCDCA" w14:textId="77777777" w:rsidR="003D6A63" w:rsidRDefault="003D6A63">
      <w:pPr>
        <w:pStyle w:val="nlw1"/>
        <w:ind w:firstLineChars="0" w:firstLine="0"/>
      </w:pPr>
    </w:p>
    <w:p w14:paraId="05329740" w14:textId="77777777" w:rsidR="003D6A63" w:rsidRDefault="003D6A63">
      <w:pPr>
        <w:pStyle w:val="nlw10"/>
        <w:jc w:val="both"/>
        <w:rPr>
          <w:rFonts w:ascii="Times New Roman" w:hAnsi="Times New Roman"/>
        </w:rPr>
        <w:sectPr w:rsidR="003D6A63">
          <w:pgSz w:w="11906" w:h="16838"/>
          <w:pgMar w:top="1417" w:right="1417" w:bottom="1417" w:left="1417" w:header="964" w:footer="964" w:gutter="0"/>
          <w:cols w:space="425"/>
          <w:docGrid w:linePitch="312" w:charSpace="-1489"/>
        </w:sectPr>
      </w:pPr>
    </w:p>
    <w:p w14:paraId="00E13610" w14:textId="77777777" w:rsidR="003D6A63" w:rsidRDefault="00000000">
      <w:pPr>
        <w:pStyle w:val="1"/>
        <w:keepNext w:val="0"/>
        <w:keepLines w:val="0"/>
        <w:spacing w:beforeLines="100" w:before="240" w:afterLines="100" w:after="240" w:line="360" w:lineRule="auto"/>
        <w:ind w:firstLine="200"/>
        <w:rPr>
          <w:rFonts w:eastAsia="黑体"/>
          <w:b w:val="0"/>
          <w:spacing w:val="0"/>
        </w:rPr>
      </w:pPr>
      <w:bookmarkStart w:id="97" w:name="_Toc10209"/>
      <w:r>
        <w:rPr>
          <w:rFonts w:eastAsia="黑体" w:hint="eastAsia"/>
          <w:b w:val="0"/>
          <w:spacing w:val="0"/>
        </w:rPr>
        <w:lastRenderedPageBreak/>
        <w:t xml:space="preserve">5  </w:t>
      </w:r>
      <w:r>
        <w:rPr>
          <w:rFonts w:eastAsia="黑体" w:hint="eastAsia"/>
          <w:b w:val="0"/>
          <w:spacing w:val="0"/>
        </w:rPr>
        <w:t>设备设施及生产作业单元评价</w:t>
      </w:r>
      <w:bookmarkEnd w:id="97"/>
    </w:p>
    <w:p w14:paraId="5AE3C60C" w14:textId="77777777" w:rsidR="003D6A63" w:rsidRDefault="00000000">
      <w:pPr>
        <w:pStyle w:val="nlw2"/>
        <w:spacing w:beforeLines="0" w:before="0" w:afterLines="0" w:after="0" w:line="360" w:lineRule="auto"/>
        <w:rPr>
          <w:rFonts w:ascii="Times New Roman" w:hAnsi="Times New Roman"/>
        </w:rPr>
      </w:pPr>
      <w:bookmarkStart w:id="98" w:name="_Toc27967"/>
      <w:r>
        <w:rPr>
          <w:rFonts w:ascii="Times New Roman" w:hAnsi="Times New Roman" w:hint="eastAsia"/>
        </w:rPr>
        <w:t xml:space="preserve">5.1  </w:t>
      </w:r>
      <w:r>
        <w:rPr>
          <w:rFonts w:ascii="Times New Roman" w:hAnsi="Times New Roman" w:hint="eastAsia"/>
        </w:rPr>
        <w:t>采油系统单元</w:t>
      </w:r>
      <w:bookmarkEnd w:id="98"/>
    </w:p>
    <w:p w14:paraId="6F31AA13" w14:textId="77777777" w:rsidR="003D6A63" w:rsidRDefault="00000000">
      <w:pPr>
        <w:spacing w:line="360" w:lineRule="auto"/>
        <w:ind w:firstLineChars="200" w:firstLine="480"/>
        <w:rPr>
          <w:sz w:val="24"/>
        </w:rPr>
      </w:pPr>
      <w:r>
        <w:rPr>
          <w:rFonts w:hint="eastAsia"/>
          <w:sz w:val="24"/>
        </w:rPr>
        <w:t>中胜公司</w:t>
      </w:r>
      <w:r>
        <w:rPr>
          <w:sz w:val="24"/>
        </w:rPr>
        <w:t>有</w:t>
      </w:r>
      <w:r>
        <w:rPr>
          <w:rFonts w:hint="eastAsia"/>
          <w:sz w:val="24"/>
        </w:rPr>
        <w:t>128</w:t>
      </w:r>
      <w:r>
        <w:rPr>
          <w:sz w:val="24"/>
        </w:rPr>
        <w:t>口油井，主要以机械采油为主。抽油机主要有游梁式抽油机、皮带式抽油机。井场主要设置有油井、监控立</w:t>
      </w:r>
      <w:r>
        <w:rPr>
          <w:rFonts w:hint="eastAsia"/>
          <w:sz w:val="24"/>
        </w:rPr>
        <w:t>杆</w:t>
      </w:r>
      <w:r>
        <w:rPr>
          <w:sz w:val="24"/>
        </w:rPr>
        <w:t>、变压器等。根据《石油天然气工程设计防火规范》（</w:t>
      </w:r>
      <w:r>
        <w:rPr>
          <w:sz w:val="24"/>
        </w:rPr>
        <w:t>GB50183-2004</w:t>
      </w:r>
      <w:r>
        <w:rPr>
          <w:sz w:val="24"/>
        </w:rPr>
        <w:t>），油气井场属于五级站场。</w:t>
      </w:r>
    </w:p>
    <w:p w14:paraId="5F569FE6" w14:textId="77777777" w:rsidR="003D6A63" w:rsidRDefault="00000000">
      <w:pPr>
        <w:pStyle w:val="nlw3"/>
        <w:spacing w:beforeLines="0" w:before="0" w:after="0" w:line="360" w:lineRule="auto"/>
        <w:rPr>
          <w:sz w:val="24"/>
          <w:szCs w:val="24"/>
        </w:rPr>
      </w:pPr>
      <w:r>
        <w:rPr>
          <w:rFonts w:hint="eastAsia"/>
          <w:sz w:val="24"/>
          <w:szCs w:val="24"/>
        </w:rPr>
        <w:t xml:space="preserve">5.1.1  </w:t>
      </w:r>
      <w:r>
        <w:rPr>
          <w:rFonts w:hint="eastAsia"/>
          <w:sz w:val="24"/>
          <w:szCs w:val="24"/>
        </w:rPr>
        <w:t>安全检查表法评价</w:t>
      </w:r>
    </w:p>
    <w:p w14:paraId="19412448" w14:textId="77777777" w:rsidR="003D6A63" w:rsidRDefault="00000000">
      <w:pPr>
        <w:adjustRightInd w:val="0"/>
        <w:snapToGrid w:val="0"/>
        <w:spacing w:line="360" w:lineRule="auto"/>
        <w:ind w:firstLineChars="200" w:firstLine="480"/>
        <w:rPr>
          <w:sz w:val="24"/>
        </w:rPr>
      </w:pPr>
      <w:r>
        <w:rPr>
          <w:rFonts w:hint="eastAsia"/>
          <w:sz w:val="24"/>
        </w:rPr>
        <w:t>根据《石油天然气工程设计防火规范》（</w:t>
      </w:r>
      <w:r>
        <w:rPr>
          <w:rFonts w:hint="eastAsia"/>
          <w:sz w:val="24"/>
        </w:rPr>
        <w:t>GB50183-2004</w:t>
      </w:r>
      <w:r>
        <w:rPr>
          <w:rFonts w:hint="eastAsia"/>
          <w:sz w:val="24"/>
        </w:rPr>
        <w:t>）、《油田油气集输设计规范》（</w:t>
      </w:r>
      <w:r>
        <w:rPr>
          <w:rFonts w:hint="eastAsia"/>
          <w:sz w:val="24"/>
        </w:rPr>
        <w:t>GB50350-2015</w:t>
      </w:r>
      <w:r>
        <w:rPr>
          <w:rFonts w:hint="eastAsia"/>
          <w:sz w:val="24"/>
        </w:rPr>
        <w:t>）等标准，编制“采油系统安全检查表”。评价项目组于</w:t>
      </w:r>
      <w:r>
        <w:rPr>
          <w:rFonts w:hint="eastAsia"/>
          <w:sz w:val="24"/>
        </w:rPr>
        <w:t>2023</w:t>
      </w:r>
      <w:r>
        <w:rPr>
          <w:rFonts w:hint="eastAsia"/>
          <w:sz w:val="24"/>
        </w:rPr>
        <w:t>年</w:t>
      </w:r>
      <w:r>
        <w:rPr>
          <w:rFonts w:hint="eastAsia"/>
          <w:sz w:val="24"/>
        </w:rPr>
        <w:t>2</w:t>
      </w:r>
      <w:r>
        <w:rPr>
          <w:rFonts w:hint="eastAsia"/>
          <w:sz w:val="24"/>
        </w:rPr>
        <w:t>月</w:t>
      </w:r>
      <w:r>
        <w:rPr>
          <w:rFonts w:hint="eastAsia"/>
          <w:sz w:val="24"/>
        </w:rPr>
        <w:t>24</w:t>
      </w:r>
      <w:r>
        <w:rPr>
          <w:rFonts w:hint="eastAsia"/>
          <w:sz w:val="24"/>
        </w:rPr>
        <w:t>日至</w:t>
      </w:r>
      <w:r>
        <w:rPr>
          <w:rFonts w:hint="eastAsia"/>
          <w:sz w:val="24"/>
        </w:rPr>
        <w:t>2</w:t>
      </w:r>
      <w:r>
        <w:rPr>
          <w:rFonts w:hint="eastAsia"/>
          <w:sz w:val="24"/>
        </w:rPr>
        <w:t>月</w:t>
      </w:r>
      <w:r>
        <w:rPr>
          <w:rFonts w:hint="eastAsia"/>
          <w:sz w:val="24"/>
        </w:rPr>
        <w:t>26</w:t>
      </w:r>
      <w:r>
        <w:rPr>
          <w:rFonts w:hint="eastAsia"/>
          <w:sz w:val="24"/>
        </w:rPr>
        <w:t>日，对中胜公司滨南开发区（滨</w:t>
      </w:r>
      <w:r>
        <w:rPr>
          <w:rFonts w:hint="eastAsia"/>
          <w:sz w:val="24"/>
        </w:rPr>
        <w:t>603-X13</w:t>
      </w:r>
      <w:r>
        <w:rPr>
          <w:rFonts w:hint="eastAsia"/>
          <w:sz w:val="24"/>
        </w:rPr>
        <w:t>井场、林</w:t>
      </w:r>
      <w:r>
        <w:rPr>
          <w:rFonts w:hint="eastAsia"/>
          <w:sz w:val="24"/>
        </w:rPr>
        <w:t>1-3</w:t>
      </w:r>
      <w:r>
        <w:rPr>
          <w:rFonts w:hint="eastAsia"/>
          <w:sz w:val="24"/>
        </w:rPr>
        <w:t>井场、林东</w:t>
      </w:r>
      <w:r>
        <w:rPr>
          <w:rFonts w:hint="eastAsia"/>
          <w:sz w:val="24"/>
        </w:rPr>
        <w:t>11</w:t>
      </w:r>
      <w:r>
        <w:rPr>
          <w:rFonts w:hint="eastAsia"/>
          <w:sz w:val="24"/>
        </w:rPr>
        <w:t>号站、林东</w:t>
      </w:r>
      <w:r>
        <w:rPr>
          <w:rFonts w:hint="eastAsia"/>
          <w:sz w:val="24"/>
        </w:rPr>
        <w:t>15</w:t>
      </w:r>
      <w:r>
        <w:rPr>
          <w:rFonts w:hint="eastAsia"/>
          <w:sz w:val="24"/>
        </w:rPr>
        <w:t>号站、林</w:t>
      </w:r>
      <w:r>
        <w:rPr>
          <w:rFonts w:hint="eastAsia"/>
          <w:sz w:val="24"/>
        </w:rPr>
        <w:t>5-24</w:t>
      </w:r>
      <w:r>
        <w:rPr>
          <w:rFonts w:hint="eastAsia"/>
          <w:sz w:val="24"/>
        </w:rPr>
        <w:t>井场）、高青开发区（高</w:t>
      </w:r>
      <w:r>
        <w:rPr>
          <w:rFonts w:hint="eastAsia"/>
          <w:sz w:val="24"/>
        </w:rPr>
        <w:t>20-X1</w:t>
      </w:r>
      <w:r>
        <w:rPr>
          <w:rFonts w:hint="eastAsia"/>
          <w:sz w:val="24"/>
        </w:rPr>
        <w:t>井场、高</w:t>
      </w:r>
      <w:r>
        <w:rPr>
          <w:rFonts w:hint="eastAsia"/>
          <w:sz w:val="24"/>
        </w:rPr>
        <w:t>20-X5</w:t>
      </w:r>
      <w:r>
        <w:rPr>
          <w:rFonts w:hint="eastAsia"/>
          <w:sz w:val="24"/>
        </w:rPr>
        <w:t>井场）、城中开发区（王</w:t>
      </w:r>
      <w:r>
        <w:rPr>
          <w:rFonts w:hint="eastAsia"/>
          <w:sz w:val="24"/>
        </w:rPr>
        <w:t>73-</w:t>
      </w:r>
      <w:r>
        <w:rPr>
          <w:rFonts w:hint="eastAsia"/>
          <w:sz w:val="24"/>
        </w:rPr>
        <w:t>斜</w:t>
      </w:r>
      <w:r>
        <w:rPr>
          <w:rFonts w:hint="eastAsia"/>
          <w:sz w:val="24"/>
        </w:rPr>
        <w:t>3</w:t>
      </w:r>
      <w:r>
        <w:rPr>
          <w:rFonts w:hint="eastAsia"/>
          <w:sz w:val="24"/>
        </w:rPr>
        <w:t>井场、王</w:t>
      </w:r>
      <w:r>
        <w:rPr>
          <w:rFonts w:hint="eastAsia"/>
          <w:sz w:val="24"/>
        </w:rPr>
        <w:t>73-</w:t>
      </w:r>
      <w:r>
        <w:rPr>
          <w:rFonts w:hint="eastAsia"/>
          <w:sz w:val="24"/>
        </w:rPr>
        <w:t>平</w:t>
      </w:r>
      <w:r>
        <w:rPr>
          <w:rFonts w:hint="eastAsia"/>
          <w:sz w:val="24"/>
        </w:rPr>
        <w:t>6</w:t>
      </w:r>
      <w:r>
        <w:rPr>
          <w:rFonts w:hint="eastAsia"/>
          <w:sz w:val="24"/>
        </w:rPr>
        <w:t>井场、王</w:t>
      </w:r>
      <w:r>
        <w:rPr>
          <w:rFonts w:hint="eastAsia"/>
          <w:sz w:val="24"/>
        </w:rPr>
        <w:t>73-</w:t>
      </w:r>
      <w:r>
        <w:rPr>
          <w:rFonts w:hint="eastAsia"/>
          <w:sz w:val="24"/>
        </w:rPr>
        <w:t>平</w:t>
      </w:r>
      <w:r>
        <w:rPr>
          <w:rFonts w:hint="eastAsia"/>
          <w:sz w:val="24"/>
        </w:rPr>
        <w:t>2</w:t>
      </w:r>
      <w:r>
        <w:rPr>
          <w:rFonts w:hint="eastAsia"/>
          <w:sz w:val="24"/>
        </w:rPr>
        <w:t>长停井、河</w:t>
      </w:r>
      <w:r>
        <w:rPr>
          <w:rFonts w:hint="eastAsia"/>
          <w:sz w:val="24"/>
        </w:rPr>
        <w:t>55</w:t>
      </w:r>
      <w:r>
        <w:rPr>
          <w:rFonts w:hint="eastAsia"/>
          <w:sz w:val="24"/>
        </w:rPr>
        <w:t>站、河</w:t>
      </w:r>
      <w:r>
        <w:rPr>
          <w:rFonts w:hint="eastAsia"/>
          <w:sz w:val="24"/>
        </w:rPr>
        <w:t>67-8</w:t>
      </w:r>
      <w:r>
        <w:rPr>
          <w:rFonts w:hint="eastAsia"/>
          <w:sz w:val="24"/>
        </w:rPr>
        <w:t>站）进行了现场检查。检查内容和检查情况见表</w:t>
      </w:r>
      <w:r>
        <w:rPr>
          <w:rFonts w:hint="eastAsia"/>
          <w:sz w:val="24"/>
        </w:rPr>
        <w:t>5.1-1</w:t>
      </w:r>
      <w:r>
        <w:rPr>
          <w:rFonts w:hint="eastAsia"/>
          <w:sz w:val="24"/>
        </w:rPr>
        <w:t>。</w:t>
      </w:r>
    </w:p>
    <w:p w14:paraId="73199CF2" w14:textId="77777777" w:rsidR="003D6A63" w:rsidRDefault="00000000">
      <w:pPr>
        <w:adjustRightInd w:val="0"/>
        <w:snapToGrid w:val="0"/>
        <w:spacing w:line="360" w:lineRule="auto"/>
        <w:jc w:val="center"/>
        <w:rPr>
          <w:rFonts w:eastAsia="黑体"/>
          <w:szCs w:val="20"/>
        </w:rPr>
      </w:pPr>
      <w:r>
        <w:rPr>
          <w:rFonts w:eastAsia="黑体" w:hint="eastAsia"/>
          <w:szCs w:val="20"/>
        </w:rPr>
        <w:t>表</w:t>
      </w:r>
      <w:r>
        <w:rPr>
          <w:rFonts w:eastAsia="黑体" w:hint="eastAsia"/>
          <w:szCs w:val="20"/>
        </w:rPr>
        <w:t>5.1-1</w:t>
      </w:r>
      <w:r>
        <w:rPr>
          <w:rFonts w:eastAsia="黑体" w:hint="eastAsia"/>
          <w:szCs w:val="20"/>
        </w:rPr>
        <w:t>采油系统安全检查表</w:t>
      </w:r>
    </w:p>
    <w:tbl>
      <w:tblPr>
        <w:tblW w:w="4996"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67"/>
        <w:gridCol w:w="4320"/>
        <w:gridCol w:w="2001"/>
        <w:gridCol w:w="1834"/>
        <w:gridCol w:w="659"/>
      </w:tblGrid>
      <w:tr w:rsidR="003D6A63" w14:paraId="10AE0FE9" w14:textId="77777777">
        <w:trPr>
          <w:trHeight w:val="374"/>
          <w:tblHeader/>
        </w:trPr>
        <w:tc>
          <w:tcPr>
            <w:tcW w:w="251" w:type="pct"/>
            <w:tcBorders>
              <w:tl2br w:val="nil"/>
              <w:tr2bl w:val="nil"/>
            </w:tcBorders>
            <w:vAlign w:val="center"/>
          </w:tcPr>
          <w:p w14:paraId="38A6D1FF" w14:textId="77777777" w:rsidR="003D6A63" w:rsidRDefault="00000000">
            <w:pPr>
              <w:adjustRightInd w:val="0"/>
              <w:snapToGrid w:val="0"/>
              <w:jc w:val="center"/>
              <w:rPr>
                <w:b/>
                <w:bCs/>
                <w:szCs w:val="21"/>
              </w:rPr>
            </w:pPr>
            <w:r>
              <w:rPr>
                <w:b/>
                <w:bCs/>
                <w:szCs w:val="21"/>
              </w:rPr>
              <w:t>序号</w:t>
            </w:r>
          </w:p>
        </w:tc>
        <w:tc>
          <w:tcPr>
            <w:tcW w:w="2326" w:type="pct"/>
            <w:tcBorders>
              <w:tl2br w:val="nil"/>
              <w:tr2bl w:val="nil"/>
            </w:tcBorders>
            <w:vAlign w:val="center"/>
          </w:tcPr>
          <w:p w14:paraId="72D2F4A2" w14:textId="77777777" w:rsidR="003D6A63" w:rsidRDefault="00000000">
            <w:pPr>
              <w:adjustRightInd w:val="0"/>
              <w:snapToGrid w:val="0"/>
              <w:jc w:val="center"/>
              <w:rPr>
                <w:b/>
                <w:bCs/>
                <w:szCs w:val="21"/>
              </w:rPr>
            </w:pPr>
            <w:r>
              <w:rPr>
                <w:b/>
                <w:bCs/>
                <w:szCs w:val="21"/>
              </w:rPr>
              <w:t>检查内容</w:t>
            </w:r>
          </w:p>
        </w:tc>
        <w:tc>
          <w:tcPr>
            <w:tcW w:w="1078" w:type="pct"/>
            <w:tcBorders>
              <w:tl2br w:val="nil"/>
              <w:tr2bl w:val="nil"/>
            </w:tcBorders>
            <w:vAlign w:val="center"/>
          </w:tcPr>
          <w:p w14:paraId="21FFD241" w14:textId="77777777" w:rsidR="003D6A63" w:rsidRDefault="00000000">
            <w:pPr>
              <w:adjustRightInd w:val="0"/>
              <w:snapToGrid w:val="0"/>
              <w:jc w:val="center"/>
              <w:rPr>
                <w:b/>
                <w:bCs/>
                <w:szCs w:val="21"/>
              </w:rPr>
            </w:pPr>
            <w:r>
              <w:rPr>
                <w:b/>
                <w:bCs/>
                <w:szCs w:val="21"/>
              </w:rPr>
              <w:t>检查依据</w:t>
            </w:r>
          </w:p>
        </w:tc>
        <w:tc>
          <w:tcPr>
            <w:tcW w:w="988" w:type="pct"/>
            <w:tcBorders>
              <w:tl2br w:val="nil"/>
              <w:tr2bl w:val="nil"/>
            </w:tcBorders>
            <w:vAlign w:val="center"/>
          </w:tcPr>
          <w:p w14:paraId="6E31D490" w14:textId="77777777" w:rsidR="003D6A63" w:rsidRDefault="00000000">
            <w:pPr>
              <w:adjustRightInd w:val="0"/>
              <w:snapToGrid w:val="0"/>
              <w:jc w:val="center"/>
              <w:rPr>
                <w:b/>
                <w:bCs/>
                <w:szCs w:val="21"/>
              </w:rPr>
            </w:pPr>
            <w:r>
              <w:rPr>
                <w:b/>
                <w:bCs/>
                <w:szCs w:val="21"/>
              </w:rPr>
              <w:t>实际情况</w:t>
            </w:r>
          </w:p>
        </w:tc>
        <w:tc>
          <w:tcPr>
            <w:tcW w:w="355" w:type="pct"/>
            <w:tcBorders>
              <w:tl2br w:val="nil"/>
              <w:tr2bl w:val="nil"/>
            </w:tcBorders>
            <w:vAlign w:val="center"/>
          </w:tcPr>
          <w:p w14:paraId="08B4870F" w14:textId="77777777" w:rsidR="003D6A63" w:rsidRDefault="00000000">
            <w:pPr>
              <w:adjustRightInd w:val="0"/>
              <w:snapToGrid w:val="0"/>
              <w:jc w:val="center"/>
              <w:rPr>
                <w:b/>
                <w:bCs/>
                <w:szCs w:val="21"/>
              </w:rPr>
            </w:pPr>
            <w:r>
              <w:rPr>
                <w:b/>
                <w:bCs/>
                <w:szCs w:val="21"/>
              </w:rPr>
              <w:t>检查结果</w:t>
            </w:r>
          </w:p>
        </w:tc>
      </w:tr>
      <w:tr w:rsidR="003D6A63" w14:paraId="3ECBD2BB" w14:textId="77777777">
        <w:trPr>
          <w:trHeight w:val="374"/>
        </w:trPr>
        <w:tc>
          <w:tcPr>
            <w:tcW w:w="251" w:type="pct"/>
            <w:tcBorders>
              <w:tl2br w:val="nil"/>
              <w:tr2bl w:val="nil"/>
            </w:tcBorders>
            <w:vAlign w:val="center"/>
          </w:tcPr>
          <w:p w14:paraId="00A51FBC" w14:textId="77777777" w:rsidR="003D6A63" w:rsidRDefault="00000000">
            <w:pPr>
              <w:adjustRightInd w:val="0"/>
              <w:snapToGrid w:val="0"/>
              <w:jc w:val="center"/>
              <w:rPr>
                <w:b/>
                <w:bCs/>
                <w:szCs w:val="21"/>
              </w:rPr>
            </w:pPr>
            <w:r>
              <w:rPr>
                <w:b/>
                <w:bCs/>
                <w:szCs w:val="21"/>
              </w:rPr>
              <w:t>一</w:t>
            </w:r>
          </w:p>
        </w:tc>
        <w:tc>
          <w:tcPr>
            <w:tcW w:w="2326" w:type="pct"/>
            <w:tcBorders>
              <w:tl2br w:val="nil"/>
              <w:tr2bl w:val="nil"/>
            </w:tcBorders>
            <w:vAlign w:val="center"/>
          </w:tcPr>
          <w:p w14:paraId="59BF2AB7" w14:textId="77777777" w:rsidR="003D6A63" w:rsidRDefault="00000000">
            <w:pPr>
              <w:adjustRightInd w:val="0"/>
              <w:snapToGrid w:val="0"/>
              <w:jc w:val="center"/>
              <w:rPr>
                <w:b/>
                <w:bCs/>
                <w:szCs w:val="21"/>
              </w:rPr>
            </w:pPr>
            <w:r>
              <w:rPr>
                <w:b/>
                <w:bCs/>
                <w:szCs w:val="21"/>
              </w:rPr>
              <w:t>采油井场</w:t>
            </w:r>
            <w:r>
              <w:rPr>
                <w:rFonts w:hint="eastAsia"/>
                <w:b/>
                <w:bCs/>
                <w:szCs w:val="21"/>
              </w:rPr>
              <w:t>周边及平面布置</w:t>
            </w:r>
          </w:p>
        </w:tc>
        <w:tc>
          <w:tcPr>
            <w:tcW w:w="1078" w:type="pct"/>
            <w:tcBorders>
              <w:tl2br w:val="nil"/>
              <w:tr2bl w:val="nil"/>
            </w:tcBorders>
            <w:vAlign w:val="center"/>
          </w:tcPr>
          <w:p w14:paraId="15D689E6" w14:textId="77777777" w:rsidR="003D6A63" w:rsidRDefault="003D6A63">
            <w:pPr>
              <w:adjustRightInd w:val="0"/>
              <w:snapToGrid w:val="0"/>
              <w:jc w:val="center"/>
              <w:rPr>
                <w:szCs w:val="21"/>
              </w:rPr>
            </w:pPr>
          </w:p>
        </w:tc>
        <w:tc>
          <w:tcPr>
            <w:tcW w:w="988" w:type="pct"/>
            <w:tcBorders>
              <w:tl2br w:val="nil"/>
              <w:tr2bl w:val="nil"/>
            </w:tcBorders>
            <w:vAlign w:val="center"/>
          </w:tcPr>
          <w:p w14:paraId="6274EC35" w14:textId="77777777" w:rsidR="003D6A63" w:rsidRDefault="003D6A63">
            <w:pPr>
              <w:adjustRightInd w:val="0"/>
              <w:snapToGrid w:val="0"/>
              <w:jc w:val="center"/>
              <w:rPr>
                <w:szCs w:val="21"/>
              </w:rPr>
            </w:pPr>
          </w:p>
        </w:tc>
        <w:tc>
          <w:tcPr>
            <w:tcW w:w="355" w:type="pct"/>
            <w:tcBorders>
              <w:tl2br w:val="nil"/>
              <w:tr2bl w:val="nil"/>
            </w:tcBorders>
            <w:vAlign w:val="center"/>
          </w:tcPr>
          <w:p w14:paraId="3A969B2D" w14:textId="77777777" w:rsidR="003D6A63" w:rsidRDefault="003D6A63">
            <w:pPr>
              <w:adjustRightInd w:val="0"/>
              <w:snapToGrid w:val="0"/>
              <w:jc w:val="center"/>
              <w:rPr>
                <w:szCs w:val="21"/>
              </w:rPr>
            </w:pPr>
          </w:p>
        </w:tc>
      </w:tr>
      <w:tr w:rsidR="003D6A63" w14:paraId="7942A51A" w14:textId="77777777">
        <w:trPr>
          <w:trHeight w:val="374"/>
        </w:trPr>
        <w:tc>
          <w:tcPr>
            <w:tcW w:w="251" w:type="pct"/>
            <w:tcBorders>
              <w:tl2br w:val="nil"/>
              <w:tr2bl w:val="nil"/>
            </w:tcBorders>
            <w:vAlign w:val="center"/>
          </w:tcPr>
          <w:p w14:paraId="2C60316B"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0154956A" w14:textId="77777777" w:rsidR="003D6A63" w:rsidRDefault="00000000">
            <w:pPr>
              <w:adjustRightInd w:val="0"/>
              <w:snapToGrid w:val="0"/>
              <w:jc w:val="left"/>
              <w:rPr>
                <w:szCs w:val="21"/>
              </w:rPr>
            </w:pPr>
            <w:r>
              <w:rPr>
                <w:rFonts w:hint="eastAsia"/>
                <w:szCs w:val="21"/>
              </w:rPr>
              <w:t>机械</w:t>
            </w:r>
            <w:r>
              <w:rPr>
                <w:szCs w:val="21"/>
              </w:rPr>
              <w:t>油井与周围建（构）筑物、设施的防火间距应符合以下规定：</w:t>
            </w:r>
          </w:p>
          <w:p w14:paraId="24F4B82F" w14:textId="77777777" w:rsidR="003D6A63" w:rsidRDefault="00000000">
            <w:pPr>
              <w:numPr>
                <w:ilvl w:val="0"/>
                <w:numId w:val="16"/>
              </w:numPr>
              <w:adjustRightInd w:val="0"/>
              <w:snapToGrid w:val="0"/>
              <w:jc w:val="left"/>
              <w:rPr>
                <w:szCs w:val="21"/>
              </w:rPr>
            </w:pPr>
            <w:r>
              <w:rPr>
                <w:szCs w:val="21"/>
              </w:rPr>
              <w:t>与一、二、三、四级石油天然气站场储罐及甲乙类容器之间防火间距不小于</w:t>
            </w:r>
            <w:r>
              <w:rPr>
                <w:szCs w:val="21"/>
              </w:rPr>
              <w:t>20m</w:t>
            </w:r>
            <w:r>
              <w:rPr>
                <w:rFonts w:hint="eastAsia"/>
                <w:szCs w:val="21"/>
              </w:rPr>
              <w:t>；</w:t>
            </w:r>
          </w:p>
          <w:p w14:paraId="5B4AB126" w14:textId="77777777" w:rsidR="003D6A63" w:rsidRDefault="00000000">
            <w:pPr>
              <w:numPr>
                <w:ilvl w:val="0"/>
                <w:numId w:val="16"/>
              </w:numPr>
              <w:adjustRightInd w:val="0"/>
              <w:snapToGrid w:val="0"/>
              <w:jc w:val="left"/>
              <w:rPr>
                <w:szCs w:val="21"/>
              </w:rPr>
            </w:pPr>
            <w:r>
              <w:rPr>
                <w:szCs w:val="21"/>
              </w:rPr>
              <w:t>与</w:t>
            </w:r>
            <w:r>
              <w:rPr>
                <w:szCs w:val="21"/>
              </w:rPr>
              <w:t>100</w:t>
            </w:r>
            <w:r>
              <w:rPr>
                <w:szCs w:val="21"/>
              </w:rPr>
              <w:t>人以上的居住区、村镇、公共福利设施之间防火间距不应小于</w:t>
            </w:r>
            <w:r>
              <w:rPr>
                <w:szCs w:val="21"/>
              </w:rPr>
              <w:t>25m</w:t>
            </w:r>
            <w:r>
              <w:rPr>
                <w:rFonts w:hint="eastAsia"/>
                <w:szCs w:val="21"/>
              </w:rPr>
              <w:t>；</w:t>
            </w:r>
          </w:p>
          <w:p w14:paraId="5B7AEE7C" w14:textId="77777777" w:rsidR="003D6A63" w:rsidRDefault="00000000">
            <w:pPr>
              <w:numPr>
                <w:ilvl w:val="0"/>
                <w:numId w:val="16"/>
              </w:numPr>
              <w:adjustRightInd w:val="0"/>
              <w:snapToGrid w:val="0"/>
              <w:jc w:val="left"/>
              <w:rPr>
                <w:szCs w:val="21"/>
              </w:rPr>
            </w:pPr>
            <w:r>
              <w:rPr>
                <w:szCs w:val="21"/>
              </w:rPr>
              <w:t>与相邻厂矿企业的防火间距不应小于</w:t>
            </w:r>
            <w:r>
              <w:rPr>
                <w:szCs w:val="21"/>
              </w:rPr>
              <w:t>20m</w:t>
            </w:r>
            <w:r>
              <w:rPr>
                <w:szCs w:val="21"/>
              </w:rPr>
              <w:t>；</w:t>
            </w:r>
          </w:p>
          <w:p w14:paraId="161BEDF5" w14:textId="77777777" w:rsidR="003D6A63" w:rsidRDefault="00000000">
            <w:pPr>
              <w:numPr>
                <w:ilvl w:val="0"/>
                <w:numId w:val="16"/>
              </w:numPr>
              <w:adjustRightInd w:val="0"/>
              <w:snapToGrid w:val="0"/>
              <w:jc w:val="left"/>
              <w:rPr>
                <w:szCs w:val="21"/>
              </w:rPr>
            </w:pPr>
            <w:r>
              <w:rPr>
                <w:szCs w:val="21"/>
              </w:rPr>
              <w:t>与高速公路之间防火间距不应小于</w:t>
            </w:r>
            <w:r>
              <w:rPr>
                <w:szCs w:val="21"/>
              </w:rPr>
              <w:t>20m</w:t>
            </w:r>
            <w:r>
              <w:rPr>
                <w:szCs w:val="21"/>
              </w:rPr>
              <w:t>，与其他公路之间防火间距不应小于</w:t>
            </w:r>
            <w:r>
              <w:rPr>
                <w:szCs w:val="21"/>
              </w:rPr>
              <w:t>10m</w:t>
            </w:r>
            <w:r>
              <w:rPr>
                <w:rFonts w:hint="eastAsia"/>
                <w:szCs w:val="21"/>
              </w:rPr>
              <w:t>；</w:t>
            </w:r>
          </w:p>
          <w:p w14:paraId="48847A7D" w14:textId="77777777" w:rsidR="003D6A63" w:rsidRDefault="00000000">
            <w:pPr>
              <w:numPr>
                <w:ilvl w:val="0"/>
                <w:numId w:val="16"/>
              </w:numPr>
              <w:adjustRightInd w:val="0"/>
              <w:snapToGrid w:val="0"/>
              <w:jc w:val="left"/>
              <w:rPr>
                <w:szCs w:val="21"/>
              </w:rPr>
            </w:pPr>
            <w:r>
              <w:rPr>
                <w:szCs w:val="21"/>
              </w:rPr>
              <w:t>与架空电力线的防火间距不小于</w:t>
            </w:r>
            <w:r>
              <w:rPr>
                <w:szCs w:val="21"/>
              </w:rPr>
              <w:t>1.5</w:t>
            </w:r>
            <w:r>
              <w:rPr>
                <w:szCs w:val="21"/>
              </w:rPr>
              <w:t>倍杆高。</w:t>
            </w:r>
          </w:p>
        </w:tc>
        <w:tc>
          <w:tcPr>
            <w:tcW w:w="1078" w:type="pct"/>
            <w:tcBorders>
              <w:tl2br w:val="nil"/>
              <w:tr2bl w:val="nil"/>
            </w:tcBorders>
            <w:vAlign w:val="center"/>
          </w:tcPr>
          <w:p w14:paraId="1D5BE6E1" w14:textId="77777777" w:rsidR="003D6A63" w:rsidRDefault="00000000">
            <w:pPr>
              <w:adjustRightInd w:val="0"/>
              <w:snapToGrid w:val="0"/>
              <w:jc w:val="center"/>
              <w:rPr>
                <w:szCs w:val="21"/>
              </w:rPr>
            </w:pPr>
            <w:r>
              <w:rPr>
                <w:szCs w:val="21"/>
              </w:rPr>
              <w:t>GB50183</w:t>
            </w:r>
            <w:r>
              <w:rPr>
                <w:rFonts w:hint="eastAsia"/>
                <w:szCs w:val="21"/>
              </w:rPr>
              <w:t>-2004</w:t>
            </w:r>
          </w:p>
          <w:p w14:paraId="69B4F491" w14:textId="77777777" w:rsidR="003D6A63" w:rsidRDefault="00000000">
            <w:pPr>
              <w:adjustRightInd w:val="0"/>
              <w:snapToGrid w:val="0"/>
              <w:jc w:val="center"/>
              <w:rPr>
                <w:szCs w:val="21"/>
              </w:rPr>
            </w:pPr>
            <w:r>
              <w:rPr>
                <w:szCs w:val="21"/>
              </w:rPr>
              <w:t>4.0.7</w:t>
            </w:r>
          </w:p>
        </w:tc>
        <w:tc>
          <w:tcPr>
            <w:tcW w:w="988" w:type="pct"/>
            <w:tcBorders>
              <w:tl2br w:val="nil"/>
              <w:tr2bl w:val="nil"/>
            </w:tcBorders>
            <w:vAlign w:val="center"/>
          </w:tcPr>
          <w:p w14:paraId="5E174CAB" w14:textId="77777777" w:rsidR="003D6A63" w:rsidRDefault="00000000">
            <w:pPr>
              <w:adjustRightInd w:val="0"/>
              <w:snapToGrid w:val="0"/>
              <w:jc w:val="left"/>
              <w:rPr>
                <w:szCs w:val="21"/>
              </w:rPr>
            </w:pPr>
            <w:r>
              <w:rPr>
                <w:rFonts w:hint="eastAsia"/>
                <w:szCs w:val="21"/>
              </w:rPr>
              <w:t>河</w:t>
            </w:r>
            <w:r>
              <w:rPr>
                <w:rFonts w:hint="eastAsia"/>
                <w:szCs w:val="21"/>
              </w:rPr>
              <w:t>67-8</w:t>
            </w:r>
            <w:r>
              <w:rPr>
                <w:rFonts w:hint="eastAsia"/>
                <w:szCs w:val="21"/>
              </w:rPr>
              <w:t>站内</w:t>
            </w:r>
            <w:r>
              <w:rPr>
                <w:rFonts w:cs="宋体" w:hint="eastAsia"/>
                <w:kern w:val="0"/>
                <w:szCs w:val="21"/>
                <w:lang w:bidi="en-US"/>
              </w:rPr>
              <w:t>河</w:t>
            </w:r>
            <w:r>
              <w:rPr>
                <w:rFonts w:cs="宋体" w:hint="eastAsia"/>
                <w:kern w:val="0"/>
                <w:szCs w:val="21"/>
                <w:lang w:bidi="en-US"/>
              </w:rPr>
              <w:t>67-</w:t>
            </w:r>
            <w:r>
              <w:rPr>
                <w:rFonts w:cs="宋体" w:hint="eastAsia"/>
                <w:kern w:val="0"/>
                <w:szCs w:val="21"/>
                <w:lang w:bidi="en-US"/>
              </w:rPr>
              <w:t>斜</w:t>
            </w:r>
            <w:r>
              <w:rPr>
                <w:rFonts w:cs="宋体" w:hint="eastAsia"/>
                <w:kern w:val="0"/>
                <w:szCs w:val="21"/>
                <w:lang w:bidi="en-US"/>
              </w:rPr>
              <w:t>11</w:t>
            </w:r>
            <w:r>
              <w:rPr>
                <w:rFonts w:cs="宋体" w:hint="eastAsia"/>
                <w:kern w:val="0"/>
                <w:szCs w:val="21"/>
                <w:lang w:bidi="en-US"/>
              </w:rPr>
              <w:t>井口距南院墙外平方间距＜</w:t>
            </w:r>
            <w:r>
              <w:rPr>
                <w:rFonts w:cs="宋体" w:hint="eastAsia"/>
                <w:kern w:val="0"/>
                <w:szCs w:val="21"/>
                <w:lang w:bidi="en-US"/>
              </w:rPr>
              <w:t>10m</w:t>
            </w:r>
            <w:r>
              <w:rPr>
                <w:rFonts w:cs="宋体" w:hint="eastAsia"/>
                <w:kern w:val="0"/>
                <w:szCs w:val="21"/>
                <w:lang w:bidi="en-US"/>
              </w:rPr>
              <w:t>；河</w:t>
            </w:r>
            <w:r>
              <w:rPr>
                <w:rFonts w:cs="宋体" w:hint="eastAsia"/>
                <w:kern w:val="0"/>
                <w:szCs w:val="21"/>
                <w:lang w:bidi="en-US"/>
              </w:rPr>
              <w:t>55</w:t>
            </w:r>
            <w:r>
              <w:rPr>
                <w:rFonts w:cs="宋体" w:hint="eastAsia"/>
                <w:kern w:val="0"/>
                <w:szCs w:val="21"/>
                <w:lang w:bidi="en-US"/>
              </w:rPr>
              <w:t>站河</w:t>
            </w:r>
            <w:r>
              <w:rPr>
                <w:rFonts w:cs="宋体" w:hint="eastAsia"/>
                <w:kern w:val="0"/>
                <w:szCs w:val="21"/>
                <w:lang w:bidi="en-US"/>
              </w:rPr>
              <w:t>67-X10</w:t>
            </w:r>
            <w:r>
              <w:rPr>
                <w:rFonts w:cs="宋体" w:hint="eastAsia"/>
                <w:kern w:val="0"/>
                <w:szCs w:val="21"/>
                <w:lang w:bidi="en-US"/>
              </w:rPr>
              <w:t>油井井口距东侧居民楼</w:t>
            </w:r>
            <w:r>
              <w:rPr>
                <w:rFonts w:cs="宋体" w:hint="eastAsia"/>
                <w:kern w:val="0"/>
                <w:szCs w:val="21"/>
                <w:lang w:bidi="en-US"/>
              </w:rPr>
              <w:t>/</w:t>
            </w:r>
            <w:r>
              <w:rPr>
                <w:rFonts w:cs="宋体" w:hint="eastAsia"/>
                <w:kern w:val="0"/>
                <w:szCs w:val="21"/>
                <w:lang w:bidi="en-US"/>
              </w:rPr>
              <w:t>平房不足</w:t>
            </w:r>
            <w:r>
              <w:rPr>
                <w:rFonts w:cs="宋体" w:hint="eastAsia"/>
                <w:kern w:val="0"/>
                <w:szCs w:val="21"/>
                <w:lang w:bidi="en-US"/>
              </w:rPr>
              <w:t>20m</w:t>
            </w:r>
            <w:r>
              <w:rPr>
                <w:rFonts w:cs="宋体" w:hint="eastAsia"/>
                <w:kern w:val="0"/>
                <w:szCs w:val="21"/>
                <w:lang w:bidi="en-US"/>
              </w:rPr>
              <w:t>；</w:t>
            </w:r>
            <w:r>
              <w:rPr>
                <w:rFonts w:cs="宋体" w:hint="eastAsia"/>
                <w:kern w:val="0"/>
                <w:szCs w:val="21"/>
                <w:lang w:bidi="en-US"/>
              </w:rPr>
              <w:t>H51-1</w:t>
            </w:r>
            <w:r>
              <w:rPr>
                <w:rFonts w:cs="宋体" w:hint="eastAsia"/>
                <w:kern w:val="0"/>
                <w:szCs w:val="21"/>
                <w:lang w:bidi="en-US"/>
              </w:rPr>
              <w:t>油井距南侧民房</w:t>
            </w:r>
            <w:r>
              <w:rPr>
                <w:rFonts w:cs="宋体" w:hint="eastAsia"/>
                <w:kern w:val="0"/>
                <w:szCs w:val="21"/>
                <w:lang w:bidi="en-US"/>
              </w:rPr>
              <w:t>18.5m</w:t>
            </w:r>
            <w:r>
              <w:rPr>
                <w:rFonts w:cs="宋体" w:hint="eastAsia"/>
                <w:kern w:val="0"/>
                <w:szCs w:val="21"/>
                <w:lang w:bidi="en-US"/>
              </w:rPr>
              <w:t>；</w:t>
            </w:r>
            <w:r>
              <w:rPr>
                <w:rFonts w:hint="eastAsia"/>
                <w:szCs w:val="21"/>
              </w:rPr>
              <w:t>经与中胜公司沟通，井场建设时，站场外无居民区、厂矿企业；目前</w:t>
            </w:r>
            <w:r>
              <w:rPr>
                <w:rFonts w:cs="宋体" w:hint="eastAsia"/>
                <w:kern w:val="0"/>
                <w:szCs w:val="21"/>
                <w:lang w:bidi="en-US"/>
              </w:rPr>
              <w:t>河</w:t>
            </w:r>
            <w:r>
              <w:rPr>
                <w:rFonts w:cs="宋体" w:hint="eastAsia"/>
                <w:kern w:val="0"/>
                <w:szCs w:val="21"/>
                <w:lang w:bidi="en-US"/>
              </w:rPr>
              <w:t>67-8</w:t>
            </w:r>
            <w:r>
              <w:rPr>
                <w:rFonts w:cs="宋体" w:hint="eastAsia"/>
                <w:kern w:val="0"/>
                <w:szCs w:val="21"/>
                <w:lang w:bidi="en-US"/>
              </w:rPr>
              <w:t>站及河</w:t>
            </w:r>
            <w:r>
              <w:rPr>
                <w:rFonts w:cs="宋体" w:hint="eastAsia"/>
                <w:kern w:val="0"/>
                <w:szCs w:val="21"/>
                <w:lang w:bidi="en-US"/>
              </w:rPr>
              <w:t>55</w:t>
            </w:r>
            <w:r>
              <w:rPr>
                <w:rFonts w:cs="宋体" w:hint="eastAsia"/>
                <w:kern w:val="0"/>
                <w:szCs w:val="21"/>
                <w:lang w:bidi="en-US"/>
              </w:rPr>
              <w:t>站设置有高</w:t>
            </w:r>
            <w:r>
              <w:rPr>
                <w:rFonts w:cs="宋体" w:hint="eastAsia"/>
                <w:kern w:val="0"/>
                <w:szCs w:val="21"/>
                <w:lang w:bidi="en-US"/>
              </w:rPr>
              <w:t>2m</w:t>
            </w:r>
            <w:r>
              <w:rPr>
                <w:rFonts w:cs="宋体" w:hint="eastAsia"/>
                <w:kern w:val="0"/>
                <w:szCs w:val="21"/>
                <w:lang w:bidi="en-US"/>
              </w:rPr>
              <w:t>的实体围墙与站外建构筑物隔开，实体围墙在火灾发生时可有效防止火灾蔓延至站外。</w:t>
            </w:r>
          </w:p>
        </w:tc>
        <w:tc>
          <w:tcPr>
            <w:tcW w:w="355" w:type="pct"/>
            <w:tcBorders>
              <w:tl2br w:val="nil"/>
              <w:tr2bl w:val="nil"/>
            </w:tcBorders>
            <w:vAlign w:val="center"/>
          </w:tcPr>
          <w:p w14:paraId="3EE52ED6" w14:textId="77777777" w:rsidR="003D6A63" w:rsidRDefault="00000000">
            <w:pPr>
              <w:adjustRightInd w:val="0"/>
              <w:snapToGrid w:val="0"/>
              <w:jc w:val="center"/>
              <w:rPr>
                <w:szCs w:val="21"/>
              </w:rPr>
            </w:pPr>
            <w:r>
              <w:rPr>
                <w:rFonts w:hint="eastAsia"/>
                <w:szCs w:val="21"/>
              </w:rPr>
              <w:t>风险可接受</w:t>
            </w:r>
          </w:p>
        </w:tc>
      </w:tr>
      <w:tr w:rsidR="003D6A63" w14:paraId="36246746" w14:textId="77777777">
        <w:trPr>
          <w:trHeight w:val="374"/>
        </w:trPr>
        <w:tc>
          <w:tcPr>
            <w:tcW w:w="251" w:type="pct"/>
            <w:tcBorders>
              <w:tl2br w:val="nil"/>
              <w:tr2bl w:val="nil"/>
            </w:tcBorders>
            <w:vAlign w:val="center"/>
          </w:tcPr>
          <w:p w14:paraId="0CC4BCBA"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7288DCCC" w14:textId="77777777" w:rsidR="003D6A63" w:rsidRDefault="00000000">
            <w:pPr>
              <w:adjustRightInd w:val="0"/>
              <w:snapToGrid w:val="0"/>
              <w:jc w:val="left"/>
              <w:rPr>
                <w:szCs w:val="21"/>
              </w:rPr>
            </w:pPr>
            <w:r>
              <w:rPr>
                <w:szCs w:val="21"/>
              </w:rPr>
              <w:t>油气井与其它生产设施的防火间距应符合以下规定：</w:t>
            </w:r>
          </w:p>
          <w:p w14:paraId="078B64EA" w14:textId="77777777" w:rsidR="003D6A63" w:rsidRDefault="00000000">
            <w:pPr>
              <w:adjustRightInd w:val="0"/>
              <w:snapToGrid w:val="0"/>
              <w:jc w:val="left"/>
              <w:rPr>
                <w:szCs w:val="21"/>
              </w:rPr>
            </w:pPr>
            <w:r>
              <w:rPr>
                <w:szCs w:val="21"/>
              </w:rPr>
              <w:t>a</w:t>
            </w:r>
            <w:r>
              <w:rPr>
                <w:szCs w:val="21"/>
              </w:rPr>
              <w:t>）与计量仪表间、配水间、值班室、水套炉</w:t>
            </w:r>
            <w:r>
              <w:rPr>
                <w:szCs w:val="21"/>
              </w:rPr>
              <w:lastRenderedPageBreak/>
              <w:t>的防火间距不小于</w:t>
            </w:r>
            <w:r>
              <w:rPr>
                <w:szCs w:val="21"/>
              </w:rPr>
              <w:t>9m</w:t>
            </w:r>
            <w:r>
              <w:rPr>
                <w:szCs w:val="21"/>
              </w:rPr>
              <w:t>；</w:t>
            </w:r>
          </w:p>
          <w:p w14:paraId="09AB2094" w14:textId="77777777" w:rsidR="003D6A63" w:rsidRDefault="00000000">
            <w:pPr>
              <w:adjustRightInd w:val="0"/>
              <w:snapToGrid w:val="0"/>
              <w:jc w:val="left"/>
              <w:rPr>
                <w:szCs w:val="21"/>
              </w:rPr>
            </w:pPr>
            <w:r>
              <w:rPr>
                <w:szCs w:val="21"/>
              </w:rPr>
              <w:t>b</w:t>
            </w:r>
            <w:r>
              <w:rPr>
                <w:szCs w:val="21"/>
              </w:rPr>
              <w:t>）与</w:t>
            </w:r>
            <w:r>
              <w:rPr>
                <w:szCs w:val="21"/>
              </w:rPr>
              <w:t>10kV</w:t>
            </w:r>
            <w:r>
              <w:rPr>
                <w:szCs w:val="21"/>
              </w:rPr>
              <w:t>以下户外变压器、配电间、小于或等于</w:t>
            </w:r>
            <w:r>
              <w:rPr>
                <w:szCs w:val="21"/>
              </w:rPr>
              <w:t>500</w:t>
            </w:r>
            <w:r>
              <w:rPr>
                <w:rFonts w:hint="eastAsia"/>
                <w:szCs w:val="21"/>
              </w:rPr>
              <w:t>m</w:t>
            </w:r>
            <w:r>
              <w:rPr>
                <w:rFonts w:hint="eastAsia"/>
                <w:szCs w:val="21"/>
              </w:rPr>
              <w:t>³</w:t>
            </w:r>
            <w:r>
              <w:rPr>
                <w:szCs w:val="21"/>
              </w:rPr>
              <w:t>油罐及装卸车鹤管的防火间距不小于</w:t>
            </w:r>
            <w:r>
              <w:rPr>
                <w:szCs w:val="21"/>
              </w:rPr>
              <w:t>15m</w:t>
            </w:r>
            <w:r>
              <w:rPr>
                <w:szCs w:val="21"/>
              </w:rPr>
              <w:t>；</w:t>
            </w:r>
          </w:p>
          <w:p w14:paraId="050D90C1" w14:textId="77777777" w:rsidR="003D6A63" w:rsidRDefault="00000000">
            <w:pPr>
              <w:adjustRightInd w:val="0"/>
              <w:snapToGrid w:val="0"/>
              <w:jc w:val="left"/>
              <w:rPr>
                <w:szCs w:val="21"/>
              </w:rPr>
            </w:pPr>
            <w:r>
              <w:rPr>
                <w:szCs w:val="21"/>
              </w:rPr>
              <w:t>c</w:t>
            </w:r>
            <w:r>
              <w:rPr>
                <w:szCs w:val="21"/>
              </w:rPr>
              <w:t>）与大于</w:t>
            </w:r>
            <w:r>
              <w:rPr>
                <w:szCs w:val="21"/>
              </w:rPr>
              <w:t>30m</w:t>
            </w:r>
            <w:r>
              <w:rPr>
                <w:bCs/>
                <w:szCs w:val="21"/>
                <w:vertAlign w:val="superscript"/>
              </w:rPr>
              <w:t>3</w:t>
            </w:r>
            <w:r>
              <w:rPr>
                <w:szCs w:val="21"/>
              </w:rPr>
              <w:t>的卸油池、辅助生产厂房、设施的防火间距不小于</w:t>
            </w:r>
            <w:r>
              <w:rPr>
                <w:szCs w:val="21"/>
              </w:rPr>
              <w:t>20m</w:t>
            </w:r>
            <w:r>
              <w:rPr>
                <w:szCs w:val="21"/>
              </w:rPr>
              <w:t>；</w:t>
            </w:r>
          </w:p>
          <w:p w14:paraId="7476FE6C" w14:textId="77777777" w:rsidR="003D6A63" w:rsidRDefault="00000000">
            <w:pPr>
              <w:adjustRightInd w:val="0"/>
              <w:snapToGrid w:val="0"/>
              <w:jc w:val="left"/>
              <w:rPr>
                <w:szCs w:val="21"/>
              </w:rPr>
            </w:pPr>
            <w:r>
              <w:rPr>
                <w:szCs w:val="21"/>
              </w:rPr>
              <w:t>d</w:t>
            </w:r>
            <w:r>
              <w:rPr>
                <w:szCs w:val="21"/>
              </w:rPr>
              <w:t>）与露天油气密闭设备和阀组的防火间距不小于</w:t>
            </w:r>
            <w:r>
              <w:rPr>
                <w:szCs w:val="21"/>
              </w:rPr>
              <w:t>5m</w:t>
            </w:r>
            <w:r>
              <w:rPr>
                <w:rFonts w:hint="eastAsia"/>
                <w:szCs w:val="21"/>
              </w:rPr>
              <w:t>。</w:t>
            </w:r>
          </w:p>
        </w:tc>
        <w:tc>
          <w:tcPr>
            <w:tcW w:w="1078" w:type="pct"/>
            <w:tcBorders>
              <w:tl2br w:val="nil"/>
              <w:tr2bl w:val="nil"/>
            </w:tcBorders>
            <w:vAlign w:val="center"/>
          </w:tcPr>
          <w:p w14:paraId="140B6BEC" w14:textId="77777777" w:rsidR="003D6A63" w:rsidRDefault="00000000">
            <w:pPr>
              <w:adjustRightInd w:val="0"/>
              <w:snapToGrid w:val="0"/>
              <w:jc w:val="center"/>
              <w:rPr>
                <w:color w:val="000000"/>
                <w:szCs w:val="21"/>
              </w:rPr>
            </w:pPr>
            <w:r>
              <w:rPr>
                <w:color w:val="000000"/>
                <w:szCs w:val="21"/>
              </w:rPr>
              <w:lastRenderedPageBreak/>
              <w:t>GB50183-2004</w:t>
            </w:r>
          </w:p>
          <w:p w14:paraId="15380BC9" w14:textId="77777777" w:rsidR="003D6A63" w:rsidRDefault="00000000">
            <w:pPr>
              <w:adjustRightInd w:val="0"/>
              <w:snapToGrid w:val="0"/>
              <w:jc w:val="center"/>
              <w:rPr>
                <w:szCs w:val="21"/>
              </w:rPr>
            </w:pPr>
            <w:r>
              <w:rPr>
                <w:color w:val="000000"/>
                <w:szCs w:val="21"/>
              </w:rPr>
              <w:t>5.2.3</w:t>
            </w:r>
          </w:p>
        </w:tc>
        <w:tc>
          <w:tcPr>
            <w:tcW w:w="988" w:type="pct"/>
            <w:tcBorders>
              <w:tl2br w:val="nil"/>
              <w:tr2bl w:val="nil"/>
            </w:tcBorders>
            <w:vAlign w:val="center"/>
          </w:tcPr>
          <w:p w14:paraId="2228E9B3" w14:textId="77777777" w:rsidR="003D6A63" w:rsidRDefault="00000000">
            <w:pPr>
              <w:adjustRightInd w:val="0"/>
              <w:snapToGrid w:val="0"/>
              <w:jc w:val="left"/>
              <w:rPr>
                <w:szCs w:val="21"/>
              </w:rPr>
            </w:pPr>
            <w:r>
              <w:rPr>
                <w:rFonts w:hint="eastAsia"/>
                <w:szCs w:val="21"/>
              </w:rPr>
              <w:t>油气井与计量间、户外变压器、高架油罐及装卸车鹤</w:t>
            </w:r>
            <w:r>
              <w:rPr>
                <w:rFonts w:hint="eastAsia"/>
                <w:szCs w:val="21"/>
              </w:rPr>
              <w:lastRenderedPageBreak/>
              <w:t>管、露天油气密闭设备和阀组的防火间距符合要求。</w:t>
            </w:r>
          </w:p>
        </w:tc>
        <w:tc>
          <w:tcPr>
            <w:tcW w:w="355" w:type="pct"/>
            <w:tcBorders>
              <w:tl2br w:val="nil"/>
              <w:tr2bl w:val="nil"/>
            </w:tcBorders>
            <w:vAlign w:val="center"/>
          </w:tcPr>
          <w:p w14:paraId="169A3D0A" w14:textId="77777777" w:rsidR="003D6A63" w:rsidRDefault="00000000">
            <w:pPr>
              <w:adjustRightInd w:val="0"/>
              <w:snapToGrid w:val="0"/>
              <w:jc w:val="center"/>
              <w:rPr>
                <w:szCs w:val="21"/>
              </w:rPr>
            </w:pPr>
            <w:r>
              <w:rPr>
                <w:rFonts w:hint="eastAsia"/>
                <w:szCs w:val="21"/>
              </w:rPr>
              <w:lastRenderedPageBreak/>
              <w:t>√</w:t>
            </w:r>
          </w:p>
        </w:tc>
      </w:tr>
      <w:tr w:rsidR="003D6A63" w14:paraId="3D781C3D" w14:textId="77777777">
        <w:trPr>
          <w:trHeight w:val="374"/>
        </w:trPr>
        <w:tc>
          <w:tcPr>
            <w:tcW w:w="251" w:type="pct"/>
            <w:tcBorders>
              <w:tl2br w:val="nil"/>
              <w:tr2bl w:val="nil"/>
            </w:tcBorders>
            <w:vAlign w:val="center"/>
          </w:tcPr>
          <w:p w14:paraId="2D9ABC93"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24412C92" w14:textId="77777777" w:rsidR="003D6A63" w:rsidRDefault="00000000">
            <w:pPr>
              <w:adjustRightInd w:val="0"/>
              <w:snapToGrid w:val="0"/>
              <w:jc w:val="left"/>
            </w:pPr>
            <w:r>
              <w:rPr>
                <w:szCs w:val="21"/>
              </w:rPr>
              <w:t>采油井场的标高和面积应能满足生产管理和井下作业的需要。</w:t>
            </w:r>
          </w:p>
        </w:tc>
        <w:tc>
          <w:tcPr>
            <w:tcW w:w="1078" w:type="pct"/>
            <w:tcBorders>
              <w:tl2br w:val="nil"/>
              <w:tr2bl w:val="nil"/>
            </w:tcBorders>
            <w:vAlign w:val="center"/>
          </w:tcPr>
          <w:p w14:paraId="7357965B" w14:textId="77777777" w:rsidR="003D6A63" w:rsidRDefault="00000000">
            <w:pPr>
              <w:adjustRightInd w:val="0"/>
              <w:snapToGrid w:val="0"/>
              <w:jc w:val="center"/>
              <w:rPr>
                <w:szCs w:val="21"/>
              </w:rPr>
            </w:pPr>
            <w:r>
              <w:rPr>
                <w:szCs w:val="21"/>
              </w:rPr>
              <w:t>GB50350-2015</w:t>
            </w:r>
          </w:p>
          <w:p w14:paraId="02301F8B" w14:textId="77777777" w:rsidR="003D6A63" w:rsidRDefault="00000000">
            <w:pPr>
              <w:adjustRightInd w:val="0"/>
              <w:snapToGrid w:val="0"/>
              <w:jc w:val="center"/>
            </w:pPr>
            <w:r>
              <w:rPr>
                <w:szCs w:val="21"/>
              </w:rPr>
              <w:t>4.2.</w:t>
            </w:r>
            <w:r>
              <w:rPr>
                <w:rFonts w:hint="eastAsia"/>
                <w:szCs w:val="21"/>
              </w:rPr>
              <w:t>5</w:t>
            </w:r>
          </w:p>
        </w:tc>
        <w:tc>
          <w:tcPr>
            <w:tcW w:w="988" w:type="pct"/>
            <w:tcBorders>
              <w:tl2br w:val="nil"/>
              <w:tr2bl w:val="nil"/>
            </w:tcBorders>
            <w:vAlign w:val="center"/>
          </w:tcPr>
          <w:p w14:paraId="0B36BBFD" w14:textId="77777777" w:rsidR="003D6A63" w:rsidRDefault="00000000">
            <w:pPr>
              <w:adjustRightInd w:val="0"/>
              <w:snapToGrid w:val="0"/>
              <w:jc w:val="left"/>
              <w:rPr>
                <w:szCs w:val="21"/>
              </w:rPr>
            </w:pPr>
            <w:r>
              <w:rPr>
                <w:szCs w:val="21"/>
              </w:rPr>
              <w:t>采油井场的标高和面积</w:t>
            </w:r>
            <w:r>
              <w:rPr>
                <w:rFonts w:hint="eastAsia"/>
                <w:szCs w:val="21"/>
              </w:rPr>
              <w:t>满足生产管理和井下作业的需要。</w:t>
            </w:r>
          </w:p>
        </w:tc>
        <w:tc>
          <w:tcPr>
            <w:tcW w:w="355" w:type="pct"/>
            <w:tcBorders>
              <w:tl2br w:val="nil"/>
              <w:tr2bl w:val="nil"/>
            </w:tcBorders>
            <w:vAlign w:val="center"/>
          </w:tcPr>
          <w:p w14:paraId="4DD69DFF" w14:textId="77777777" w:rsidR="003D6A63" w:rsidRDefault="00000000">
            <w:pPr>
              <w:adjustRightInd w:val="0"/>
              <w:snapToGrid w:val="0"/>
              <w:jc w:val="center"/>
              <w:rPr>
                <w:szCs w:val="21"/>
              </w:rPr>
            </w:pPr>
            <w:r>
              <w:rPr>
                <w:rFonts w:hint="eastAsia"/>
                <w:szCs w:val="21"/>
              </w:rPr>
              <w:t>√</w:t>
            </w:r>
          </w:p>
        </w:tc>
      </w:tr>
      <w:tr w:rsidR="003D6A63" w14:paraId="2D612B0C" w14:textId="77777777">
        <w:trPr>
          <w:trHeight w:val="374"/>
        </w:trPr>
        <w:tc>
          <w:tcPr>
            <w:tcW w:w="251" w:type="pct"/>
            <w:tcBorders>
              <w:tl2br w:val="nil"/>
              <w:tr2bl w:val="nil"/>
            </w:tcBorders>
            <w:vAlign w:val="center"/>
          </w:tcPr>
          <w:p w14:paraId="43E02E32"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0A590C6F" w14:textId="77777777" w:rsidR="003D6A63" w:rsidRDefault="00000000">
            <w:pPr>
              <w:adjustRightInd w:val="0"/>
              <w:snapToGrid w:val="0"/>
              <w:jc w:val="left"/>
              <w:rPr>
                <w:color w:val="000000"/>
                <w:szCs w:val="21"/>
              </w:rPr>
            </w:pPr>
            <w:r>
              <w:rPr>
                <w:color w:val="000000"/>
                <w:szCs w:val="21"/>
              </w:rPr>
              <w:t>居民区内以及靠近居民区的采油井场应设围栏或围墙等保护措施。</w:t>
            </w:r>
          </w:p>
        </w:tc>
        <w:tc>
          <w:tcPr>
            <w:tcW w:w="1078" w:type="pct"/>
            <w:tcBorders>
              <w:tl2br w:val="nil"/>
              <w:tr2bl w:val="nil"/>
            </w:tcBorders>
            <w:vAlign w:val="center"/>
          </w:tcPr>
          <w:p w14:paraId="153EB0C1" w14:textId="77777777" w:rsidR="003D6A63" w:rsidRDefault="00000000">
            <w:pPr>
              <w:adjustRightInd w:val="0"/>
              <w:snapToGrid w:val="0"/>
              <w:jc w:val="center"/>
              <w:rPr>
                <w:color w:val="000000"/>
                <w:szCs w:val="21"/>
              </w:rPr>
            </w:pPr>
            <w:r>
              <w:rPr>
                <w:color w:val="000000"/>
                <w:szCs w:val="21"/>
              </w:rPr>
              <w:t>GB50350-2015</w:t>
            </w:r>
          </w:p>
          <w:p w14:paraId="210F98F5" w14:textId="77777777" w:rsidR="003D6A63" w:rsidRDefault="00000000">
            <w:pPr>
              <w:adjustRightInd w:val="0"/>
              <w:snapToGrid w:val="0"/>
              <w:jc w:val="center"/>
              <w:rPr>
                <w:color w:val="000000"/>
                <w:szCs w:val="21"/>
              </w:rPr>
            </w:pPr>
            <w:r>
              <w:rPr>
                <w:color w:val="000000"/>
                <w:szCs w:val="21"/>
              </w:rPr>
              <w:t>4.2.</w:t>
            </w:r>
            <w:r>
              <w:rPr>
                <w:rFonts w:hint="eastAsia"/>
                <w:color w:val="000000"/>
                <w:szCs w:val="21"/>
              </w:rPr>
              <w:t>6</w:t>
            </w:r>
          </w:p>
        </w:tc>
        <w:tc>
          <w:tcPr>
            <w:tcW w:w="988" w:type="pct"/>
            <w:tcBorders>
              <w:tl2br w:val="nil"/>
              <w:tr2bl w:val="nil"/>
            </w:tcBorders>
            <w:vAlign w:val="center"/>
          </w:tcPr>
          <w:p w14:paraId="6E6BB55C" w14:textId="77777777" w:rsidR="003D6A63" w:rsidRDefault="00000000">
            <w:pPr>
              <w:adjustRightInd w:val="0"/>
              <w:snapToGrid w:val="0"/>
              <w:jc w:val="left"/>
              <w:rPr>
                <w:szCs w:val="21"/>
              </w:rPr>
            </w:pPr>
            <w:r>
              <w:rPr>
                <w:rFonts w:hint="eastAsia"/>
                <w:szCs w:val="21"/>
              </w:rPr>
              <w:t>靠近居民区的采油井场设置有围栏或围墙等保护措施。</w:t>
            </w:r>
          </w:p>
        </w:tc>
        <w:tc>
          <w:tcPr>
            <w:tcW w:w="355" w:type="pct"/>
            <w:tcBorders>
              <w:tl2br w:val="nil"/>
              <w:tr2bl w:val="nil"/>
            </w:tcBorders>
            <w:vAlign w:val="center"/>
          </w:tcPr>
          <w:p w14:paraId="351979C4" w14:textId="77777777" w:rsidR="003D6A63" w:rsidRDefault="00000000">
            <w:pPr>
              <w:adjustRightInd w:val="0"/>
              <w:snapToGrid w:val="0"/>
              <w:jc w:val="center"/>
              <w:rPr>
                <w:szCs w:val="21"/>
              </w:rPr>
            </w:pPr>
            <w:r>
              <w:rPr>
                <w:rFonts w:hint="eastAsia"/>
                <w:szCs w:val="21"/>
              </w:rPr>
              <w:t>√</w:t>
            </w:r>
          </w:p>
        </w:tc>
      </w:tr>
      <w:tr w:rsidR="003D6A63" w14:paraId="1E2B5463" w14:textId="77777777">
        <w:trPr>
          <w:trHeight w:val="374"/>
        </w:trPr>
        <w:tc>
          <w:tcPr>
            <w:tcW w:w="251" w:type="pct"/>
            <w:tcBorders>
              <w:tl2br w:val="nil"/>
              <w:tr2bl w:val="nil"/>
            </w:tcBorders>
            <w:vAlign w:val="center"/>
          </w:tcPr>
          <w:p w14:paraId="03BD32D8"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0C5446E3" w14:textId="77777777" w:rsidR="003D6A63" w:rsidRDefault="00000000">
            <w:pPr>
              <w:adjustRightInd w:val="0"/>
              <w:snapToGrid w:val="0"/>
              <w:jc w:val="left"/>
              <w:rPr>
                <w:szCs w:val="21"/>
              </w:rPr>
            </w:pPr>
            <w:r>
              <w:rPr>
                <w:szCs w:val="21"/>
              </w:rPr>
              <w:t>抽油机外露的旋转部位在低于</w:t>
            </w:r>
            <w:r>
              <w:rPr>
                <w:szCs w:val="21"/>
              </w:rPr>
              <w:t>2m</w:t>
            </w:r>
            <w:r>
              <w:rPr>
                <w:szCs w:val="21"/>
              </w:rPr>
              <w:t>时，应安装防护装置并设置安全标志。</w:t>
            </w:r>
          </w:p>
        </w:tc>
        <w:tc>
          <w:tcPr>
            <w:tcW w:w="1078" w:type="pct"/>
            <w:tcBorders>
              <w:tl2br w:val="nil"/>
              <w:tr2bl w:val="nil"/>
            </w:tcBorders>
            <w:vAlign w:val="center"/>
          </w:tcPr>
          <w:p w14:paraId="183031B5" w14:textId="77777777" w:rsidR="003D6A63" w:rsidRDefault="00000000">
            <w:pPr>
              <w:adjustRightInd w:val="0"/>
              <w:snapToGrid w:val="0"/>
              <w:jc w:val="center"/>
              <w:rPr>
                <w:szCs w:val="21"/>
              </w:rPr>
            </w:pPr>
            <w:r>
              <w:rPr>
                <w:szCs w:val="21"/>
              </w:rPr>
              <w:t>SY/T6320-20</w:t>
            </w:r>
            <w:r>
              <w:rPr>
                <w:rFonts w:hint="eastAsia"/>
                <w:szCs w:val="21"/>
              </w:rPr>
              <w:t>22</w:t>
            </w:r>
          </w:p>
          <w:p w14:paraId="0BEFABEC" w14:textId="77777777" w:rsidR="003D6A63" w:rsidRDefault="00000000">
            <w:pPr>
              <w:adjustRightInd w:val="0"/>
              <w:snapToGrid w:val="0"/>
              <w:jc w:val="center"/>
              <w:rPr>
                <w:szCs w:val="21"/>
              </w:rPr>
            </w:pPr>
            <w:r>
              <w:rPr>
                <w:rFonts w:hint="eastAsia"/>
                <w:szCs w:val="21"/>
              </w:rPr>
              <w:t>5</w:t>
            </w:r>
            <w:r>
              <w:rPr>
                <w:szCs w:val="21"/>
              </w:rPr>
              <w:t>.1.3</w:t>
            </w:r>
          </w:p>
        </w:tc>
        <w:tc>
          <w:tcPr>
            <w:tcW w:w="988" w:type="pct"/>
            <w:tcBorders>
              <w:tl2br w:val="nil"/>
              <w:tr2bl w:val="nil"/>
            </w:tcBorders>
            <w:vAlign w:val="center"/>
          </w:tcPr>
          <w:p w14:paraId="04A334EF" w14:textId="77777777" w:rsidR="003D6A63" w:rsidRDefault="00000000">
            <w:pPr>
              <w:adjustRightInd w:val="0"/>
              <w:snapToGrid w:val="0"/>
              <w:jc w:val="left"/>
              <w:rPr>
                <w:szCs w:val="21"/>
              </w:rPr>
            </w:pPr>
            <w:r>
              <w:rPr>
                <w:rFonts w:cs="宋体" w:hint="eastAsia"/>
                <w:kern w:val="0"/>
                <w:szCs w:val="21"/>
                <w:lang w:bidi="en-US"/>
              </w:rPr>
              <w:t>王</w:t>
            </w:r>
            <w:r>
              <w:rPr>
                <w:rFonts w:cs="宋体" w:hint="eastAsia"/>
                <w:kern w:val="0"/>
                <w:szCs w:val="21"/>
                <w:lang w:bidi="en-US"/>
              </w:rPr>
              <w:t>73-X3</w:t>
            </w:r>
            <w:r>
              <w:rPr>
                <w:rFonts w:cs="宋体" w:hint="eastAsia"/>
                <w:kern w:val="0"/>
                <w:szCs w:val="21"/>
                <w:lang w:bidi="en-US"/>
              </w:rPr>
              <w:t>油井抽油机皮带旋转部位未设置防护罩。</w:t>
            </w:r>
          </w:p>
        </w:tc>
        <w:tc>
          <w:tcPr>
            <w:tcW w:w="355" w:type="pct"/>
            <w:tcBorders>
              <w:tl2br w:val="nil"/>
              <w:tr2bl w:val="nil"/>
            </w:tcBorders>
            <w:vAlign w:val="center"/>
          </w:tcPr>
          <w:p w14:paraId="04327125" w14:textId="77777777" w:rsidR="003D6A63" w:rsidRDefault="00000000">
            <w:pPr>
              <w:adjustRightInd w:val="0"/>
              <w:snapToGrid w:val="0"/>
              <w:jc w:val="center"/>
              <w:rPr>
                <w:szCs w:val="21"/>
              </w:rPr>
            </w:pPr>
            <w:r>
              <w:rPr>
                <w:rFonts w:hint="eastAsia"/>
                <w:b/>
                <w:bCs/>
                <w:szCs w:val="21"/>
              </w:rPr>
              <w:t>×</w:t>
            </w:r>
          </w:p>
        </w:tc>
      </w:tr>
      <w:tr w:rsidR="003D6A63" w14:paraId="7797EFBB" w14:textId="77777777">
        <w:trPr>
          <w:trHeight w:val="374"/>
        </w:trPr>
        <w:tc>
          <w:tcPr>
            <w:tcW w:w="251" w:type="pct"/>
            <w:tcBorders>
              <w:tl2br w:val="nil"/>
              <w:tr2bl w:val="nil"/>
            </w:tcBorders>
            <w:vAlign w:val="center"/>
          </w:tcPr>
          <w:p w14:paraId="7F51196D"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65496507" w14:textId="77777777" w:rsidR="003D6A63" w:rsidRDefault="00000000">
            <w:pPr>
              <w:widowControl/>
              <w:adjustRightInd w:val="0"/>
              <w:snapToGrid w:val="0"/>
              <w:jc w:val="left"/>
            </w:pPr>
            <w:r>
              <w:rPr>
                <w:color w:val="000000"/>
                <w:szCs w:val="21"/>
              </w:rPr>
              <w:t>井口装置及其他设备应完好不漏，油气井口阀门应开关灵活。</w:t>
            </w:r>
          </w:p>
        </w:tc>
        <w:tc>
          <w:tcPr>
            <w:tcW w:w="1078" w:type="pct"/>
            <w:tcBorders>
              <w:tl2br w:val="nil"/>
              <w:tr2bl w:val="nil"/>
            </w:tcBorders>
            <w:vAlign w:val="center"/>
          </w:tcPr>
          <w:p w14:paraId="4BB5B641" w14:textId="77777777" w:rsidR="003D6A63" w:rsidRDefault="00000000">
            <w:pPr>
              <w:adjustRightInd w:val="0"/>
              <w:snapToGrid w:val="0"/>
              <w:jc w:val="center"/>
              <w:rPr>
                <w:szCs w:val="21"/>
              </w:rPr>
            </w:pPr>
            <w:r>
              <w:rPr>
                <w:szCs w:val="21"/>
              </w:rPr>
              <w:t>AQ2012-2007</w:t>
            </w:r>
          </w:p>
          <w:p w14:paraId="151DA6FE" w14:textId="77777777" w:rsidR="003D6A63" w:rsidRDefault="00000000">
            <w:pPr>
              <w:tabs>
                <w:tab w:val="left" w:pos="377"/>
              </w:tabs>
              <w:adjustRightInd w:val="0"/>
              <w:snapToGrid w:val="0"/>
              <w:jc w:val="center"/>
              <w:rPr>
                <w:szCs w:val="21"/>
              </w:rPr>
            </w:pPr>
            <w:r>
              <w:rPr>
                <w:bCs/>
                <w:szCs w:val="21"/>
              </w:rPr>
              <w:t>5.6.5</w:t>
            </w:r>
          </w:p>
        </w:tc>
        <w:tc>
          <w:tcPr>
            <w:tcW w:w="988" w:type="pct"/>
            <w:tcBorders>
              <w:tl2br w:val="nil"/>
              <w:tr2bl w:val="nil"/>
            </w:tcBorders>
            <w:vAlign w:val="center"/>
          </w:tcPr>
          <w:p w14:paraId="2D9C2DC6" w14:textId="77777777" w:rsidR="003D6A63" w:rsidRDefault="00000000">
            <w:pPr>
              <w:adjustRightInd w:val="0"/>
              <w:snapToGrid w:val="0"/>
              <w:jc w:val="left"/>
              <w:rPr>
                <w:szCs w:val="21"/>
              </w:rPr>
            </w:pPr>
            <w:r>
              <w:rPr>
                <w:color w:val="000000"/>
                <w:szCs w:val="21"/>
              </w:rPr>
              <w:t>井口装置及其他设备</w:t>
            </w:r>
            <w:r>
              <w:rPr>
                <w:rFonts w:hint="eastAsia"/>
                <w:color w:val="000000"/>
                <w:szCs w:val="21"/>
              </w:rPr>
              <w:t>完好。</w:t>
            </w:r>
          </w:p>
        </w:tc>
        <w:tc>
          <w:tcPr>
            <w:tcW w:w="355" w:type="pct"/>
            <w:tcBorders>
              <w:tl2br w:val="nil"/>
              <w:tr2bl w:val="nil"/>
            </w:tcBorders>
            <w:vAlign w:val="center"/>
          </w:tcPr>
          <w:p w14:paraId="5B94D40D" w14:textId="77777777" w:rsidR="003D6A63" w:rsidRDefault="00000000">
            <w:pPr>
              <w:adjustRightInd w:val="0"/>
              <w:snapToGrid w:val="0"/>
              <w:jc w:val="center"/>
              <w:rPr>
                <w:szCs w:val="21"/>
              </w:rPr>
            </w:pPr>
            <w:r>
              <w:rPr>
                <w:rFonts w:hint="eastAsia"/>
                <w:szCs w:val="21"/>
              </w:rPr>
              <w:t>√</w:t>
            </w:r>
          </w:p>
        </w:tc>
      </w:tr>
      <w:tr w:rsidR="003D6A63" w14:paraId="6B9EDF72" w14:textId="77777777">
        <w:trPr>
          <w:trHeight w:val="374"/>
        </w:trPr>
        <w:tc>
          <w:tcPr>
            <w:tcW w:w="251" w:type="pct"/>
            <w:vMerge w:val="restart"/>
            <w:tcBorders>
              <w:tl2br w:val="nil"/>
              <w:tr2bl w:val="nil"/>
            </w:tcBorders>
            <w:vAlign w:val="center"/>
          </w:tcPr>
          <w:p w14:paraId="1AD4C030" w14:textId="77777777" w:rsidR="003D6A63" w:rsidRDefault="003D6A63">
            <w:pPr>
              <w:numPr>
                <w:ilvl w:val="0"/>
                <w:numId w:val="15"/>
              </w:numPr>
              <w:adjustRightInd w:val="0"/>
              <w:snapToGrid w:val="0"/>
              <w:ind w:left="0" w:firstLine="0"/>
              <w:jc w:val="center"/>
              <w:rPr>
                <w:szCs w:val="21"/>
              </w:rPr>
            </w:pPr>
          </w:p>
        </w:tc>
        <w:tc>
          <w:tcPr>
            <w:tcW w:w="2326" w:type="pct"/>
            <w:vMerge w:val="restart"/>
            <w:tcBorders>
              <w:tl2br w:val="nil"/>
              <w:tr2bl w:val="nil"/>
            </w:tcBorders>
            <w:vAlign w:val="center"/>
          </w:tcPr>
          <w:p w14:paraId="6EDDB099" w14:textId="77777777" w:rsidR="003D6A63" w:rsidRDefault="00000000">
            <w:pPr>
              <w:adjustRightInd w:val="0"/>
              <w:snapToGrid w:val="0"/>
              <w:jc w:val="left"/>
              <w:rPr>
                <w:szCs w:val="21"/>
              </w:rPr>
            </w:pPr>
            <w:r>
              <w:rPr>
                <w:szCs w:val="21"/>
              </w:rPr>
              <w:t>井口装置和计量站及其他设备应不漏油、不漏气、不漏电、井场无油污、无</w:t>
            </w:r>
            <w:r>
              <w:rPr>
                <w:rFonts w:hint="eastAsia"/>
                <w:szCs w:val="21"/>
              </w:rPr>
              <w:t>杂草、无</w:t>
            </w:r>
            <w:r>
              <w:rPr>
                <w:szCs w:val="21"/>
              </w:rPr>
              <w:t>其他易燃易爆物品</w:t>
            </w:r>
            <w:r>
              <w:rPr>
                <w:rFonts w:hint="eastAsia"/>
                <w:szCs w:val="21"/>
              </w:rPr>
              <w:t>。</w:t>
            </w:r>
          </w:p>
        </w:tc>
        <w:tc>
          <w:tcPr>
            <w:tcW w:w="1078" w:type="pct"/>
            <w:vMerge w:val="restart"/>
            <w:tcBorders>
              <w:tl2br w:val="nil"/>
              <w:tr2bl w:val="nil"/>
            </w:tcBorders>
            <w:vAlign w:val="center"/>
          </w:tcPr>
          <w:p w14:paraId="49CCE281" w14:textId="77777777" w:rsidR="003D6A63" w:rsidRDefault="00000000">
            <w:pPr>
              <w:adjustRightInd w:val="0"/>
              <w:snapToGrid w:val="0"/>
              <w:jc w:val="center"/>
              <w:rPr>
                <w:szCs w:val="21"/>
              </w:rPr>
            </w:pPr>
            <w:r>
              <w:rPr>
                <w:rFonts w:hint="eastAsia"/>
                <w:szCs w:val="21"/>
              </w:rPr>
              <w:t>SY/T5225-</w:t>
            </w:r>
            <w:r>
              <w:rPr>
                <w:szCs w:val="21"/>
              </w:rPr>
              <w:t>201</w:t>
            </w:r>
            <w:r>
              <w:rPr>
                <w:rFonts w:hint="eastAsia"/>
                <w:szCs w:val="21"/>
              </w:rPr>
              <w:t>9</w:t>
            </w:r>
          </w:p>
          <w:p w14:paraId="541A51B1" w14:textId="77777777" w:rsidR="003D6A63" w:rsidRDefault="00000000">
            <w:pPr>
              <w:adjustRightInd w:val="0"/>
              <w:snapToGrid w:val="0"/>
              <w:jc w:val="center"/>
              <w:rPr>
                <w:szCs w:val="21"/>
              </w:rPr>
            </w:pPr>
            <w:r>
              <w:rPr>
                <w:szCs w:val="21"/>
              </w:rPr>
              <w:t>5.2.1</w:t>
            </w:r>
          </w:p>
        </w:tc>
        <w:tc>
          <w:tcPr>
            <w:tcW w:w="988" w:type="pct"/>
            <w:tcBorders>
              <w:tl2br w:val="nil"/>
              <w:tr2bl w:val="nil"/>
            </w:tcBorders>
            <w:vAlign w:val="center"/>
          </w:tcPr>
          <w:p w14:paraId="10BCE38C" w14:textId="77777777" w:rsidR="003D6A63" w:rsidRDefault="00000000">
            <w:pPr>
              <w:adjustRightInd w:val="0"/>
              <w:snapToGrid w:val="0"/>
              <w:jc w:val="left"/>
              <w:rPr>
                <w:szCs w:val="21"/>
              </w:rPr>
            </w:pPr>
            <w:r>
              <w:rPr>
                <w:rFonts w:cs="宋体" w:hint="eastAsia"/>
                <w:kern w:val="0"/>
                <w:szCs w:val="21"/>
                <w:lang w:bidi="en-US"/>
              </w:rPr>
              <w:t>王</w:t>
            </w:r>
            <w:r>
              <w:rPr>
                <w:rFonts w:cs="宋体" w:hint="eastAsia"/>
                <w:kern w:val="0"/>
                <w:szCs w:val="21"/>
                <w:lang w:bidi="en-US"/>
              </w:rPr>
              <w:t>73-X3</w:t>
            </w:r>
            <w:r>
              <w:rPr>
                <w:rFonts w:cs="宋体" w:hint="eastAsia"/>
                <w:kern w:val="0"/>
                <w:szCs w:val="21"/>
                <w:lang w:bidi="en-US"/>
              </w:rPr>
              <w:t>油井井口有油污。</w:t>
            </w:r>
          </w:p>
        </w:tc>
        <w:tc>
          <w:tcPr>
            <w:tcW w:w="355" w:type="pct"/>
            <w:tcBorders>
              <w:tl2br w:val="nil"/>
              <w:tr2bl w:val="nil"/>
            </w:tcBorders>
            <w:vAlign w:val="center"/>
          </w:tcPr>
          <w:p w14:paraId="39722915" w14:textId="77777777" w:rsidR="003D6A63" w:rsidRDefault="00000000">
            <w:pPr>
              <w:adjustRightInd w:val="0"/>
              <w:snapToGrid w:val="0"/>
              <w:jc w:val="center"/>
              <w:rPr>
                <w:szCs w:val="21"/>
              </w:rPr>
            </w:pPr>
            <w:r>
              <w:rPr>
                <w:rFonts w:hint="eastAsia"/>
                <w:b/>
                <w:bCs/>
                <w:szCs w:val="21"/>
              </w:rPr>
              <w:t>×</w:t>
            </w:r>
          </w:p>
        </w:tc>
      </w:tr>
      <w:tr w:rsidR="003D6A63" w14:paraId="6A8364FB" w14:textId="77777777">
        <w:trPr>
          <w:trHeight w:val="374"/>
        </w:trPr>
        <w:tc>
          <w:tcPr>
            <w:tcW w:w="251" w:type="pct"/>
            <w:vMerge/>
            <w:tcBorders>
              <w:tl2br w:val="nil"/>
              <w:tr2bl w:val="nil"/>
            </w:tcBorders>
            <w:vAlign w:val="center"/>
          </w:tcPr>
          <w:p w14:paraId="48EF09EE" w14:textId="77777777" w:rsidR="003D6A63" w:rsidRDefault="003D6A63">
            <w:pPr>
              <w:adjustRightInd w:val="0"/>
              <w:snapToGrid w:val="0"/>
              <w:jc w:val="center"/>
              <w:rPr>
                <w:szCs w:val="21"/>
              </w:rPr>
            </w:pPr>
          </w:p>
        </w:tc>
        <w:tc>
          <w:tcPr>
            <w:tcW w:w="2326" w:type="pct"/>
            <w:vMerge/>
            <w:tcBorders>
              <w:tl2br w:val="nil"/>
              <w:tr2bl w:val="nil"/>
            </w:tcBorders>
            <w:vAlign w:val="center"/>
          </w:tcPr>
          <w:p w14:paraId="155CD07F" w14:textId="77777777" w:rsidR="003D6A63" w:rsidRDefault="003D6A63">
            <w:pPr>
              <w:adjustRightInd w:val="0"/>
              <w:snapToGrid w:val="0"/>
              <w:jc w:val="left"/>
              <w:rPr>
                <w:szCs w:val="21"/>
              </w:rPr>
            </w:pPr>
          </w:p>
        </w:tc>
        <w:tc>
          <w:tcPr>
            <w:tcW w:w="1078" w:type="pct"/>
            <w:vMerge/>
            <w:tcBorders>
              <w:tl2br w:val="nil"/>
              <w:tr2bl w:val="nil"/>
            </w:tcBorders>
            <w:vAlign w:val="center"/>
          </w:tcPr>
          <w:p w14:paraId="24B7543B" w14:textId="77777777" w:rsidR="003D6A63" w:rsidRDefault="003D6A63">
            <w:pPr>
              <w:adjustRightInd w:val="0"/>
              <w:snapToGrid w:val="0"/>
              <w:jc w:val="center"/>
              <w:rPr>
                <w:szCs w:val="21"/>
              </w:rPr>
            </w:pPr>
          </w:p>
        </w:tc>
        <w:tc>
          <w:tcPr>
            <w:tcW w:w="988" w:type="pct"/>
            <w:tcBorders>
              <w:tl2br w:val="nil"/>
              <w:tr2bl w:val="nil"/>
            </w:tcBorders>
            <w:vAlign w:val="center"/>
          </w:tcPr>
          <w:p w14:paraId="282728D6" w14:textId="77777777" w:rsidR="003D6A63" w:rsidRDefault="00000000">
            <w:pPr>
              <w:adjustRightInd w:val="0"/>
              <w:snapToGrid w:val="0"/>
              <w:jc w:val="left"/>
              <w:rPr>
                <w:rFonts w:cs="宋体"/>
                <w:kern w:val="0"/>
                <w:szCs w:val="21"/>
                <w:lang w:bidi="en-US"/>
              </w:rPr>
            </w:pPr>
            <w:r>
              <w:rPr>
                <w:rFonts w:cs="宋体" w:hint="eastAsia"/>
                <w:kern w:val="0"/>
                <w:szCs w:val="21"/>
                <w:lang w:bidi="en-US"/>
              </w:rPr>
              <w:t>王</w:t>
            </w:r>
            <w:r>
              <w:rPr>
                <w:rFonts w:cs="宋体" w:hint="eastAsia"/>
                <w:kern w:val="0"/>
                <w:szCs w:val="21"/>
                <w:lang w:bidi="en-US"/>
              </w:rPr>
              <w:t>73-</w:t>
            </w:r>
            <w:r>
              <w:rPr>
                <w:rFonts w:cs="宋体" w:hint="eastAsia"/>
                <w:kern w:val="0"/>
                <w:szCs w:val="21"/>
                <w:lang w:bidi="en-US"/>
              </w:rPr>
              <w:t>平</w:t>
            </w:r>
            <w:r>
              <w:rPr>
                <w:rFonts w:cs="宋体" w:hint="eastAsia"/>
                <w:kern w:val="0"/>
                <w:szCs w:val="21"/>
                <w:lang w:bidi="en-US"/>
              </w:rPr>
              <w:t>6</w:t>
            </w:r>
            <w:r>
              <w:rPr>
                <w:rFonts w:cs="宋体" w:hint="eastAsia"/>
                <w:kern w:val="0"/>
                <w:szCs w:val="21"/>
                <w:lang w:bidi="en-US"/>
              </w:rPr>
              <w:t>油井井口有油污。</w:t>
            </w:r>
          </w:p>
        </w:tc>
        <w:tc>
          <w:tcPr>
            <w:tcW w:w="355" w:type="pct"/>
            <w:tcBorders>
              <w:tl2br w:val="nil"/>
              <w:tr2bl w:val="nil"/>
            </w:tcBorders>
            <w:vAlign w:val="center"/>
          </w:tcPr>
          <w:p w14:paraId="01566593" w14:textId="77777777" w:rsidR="003D6A63" w:rsidRDefault="00000000">
            <w:pPr>
              <w:adjustRightInd w:val="0"/>
              <w:snapToGrid w:val="0"/>
              <w:jc w:val="center"/>
              <w:rPr>
                <w:b/>
                <w:bCs/>
                <w:szCs w:val="21"/>
              </w:rPr>
            </w:pPr>
            <w:r>
              <w:rPr>
                <w:rFonts w:hint="eastAsia"/>
                <w:b/>
                <w:bCs/>
                <w:szCs w:val="21"/>
              </w:rPr>
              <w:t>×</w:t>
            </w:r>
          </w:p>
        </w:tc>
      </w:tr>
      <w:tr w:rsidR="003D6A63" w14:paraId="69FE5916" w14:textId="77777777">
        <w:trPr>
          <w:trHeight w:val="374"/>
        </w:trPr>
        <w:tc>
          <w:tcPr>
            <w:tcW w:w="251" w:type="pct"/>
            <w:tcBorders>
              <w:tl2br w:val="nil"/>
              <w:tr2bl w:val="nil"/>
            </w:tcBorders>
            <w:vAlign w:val="center"/>
          </w:tcPr>
          <w:p w14:paraId="4DC5F44F"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3E3A5B0F" w14:textId="77777777" w:rsidR="003D6A63" w:rsidRDefault="00000000">
            <w:pPr>
              <w:tabs>
                <w:tab w:val="left" w:pos="377"/>
              </w:tabs>
              <w:adjustRightInd w:val="0"/>
              <w:snapToGrid w:val="0"/>
              <w:jc w:val="left"/>
              <w:rPr>
                <w:szCs w:val="21"/>
              </w:rPr>
            </w:pPr>
            <w:r>
              <w:rPr>
                <w:szCs w:val="21"/>
              </w:rPr>
              <w:t>抽油机应安装刹车装置，并保持灵活好用；需安装抽油机曲柄防护栏的，应符合</w:t>
            </w:r>
            <w:r>
              <w:rPr>
                <w:szCs w:val="21"/>
              </w:rPr>
              <w:t>SY/T6518</w:t>
            </w:r>
            <w:r>
              <w:rPr>
                <w:szCs w:val="21"/>
              </w:rPr>
              <w:t>的要求；钢直梯、钢斜梯、钢平台的防护栏应符合</w:t>
            </w:r>
            <w:r>
              <w:rPr>
                <w:szCs w:val="21"/>
              </w:rPr>
              <w:t>GB 4053.1</w:t>
            </w:r>
            <w:r>
              <w:rPr>
                <w:szCs w:val="21"/>
              </w:rPr>
              <w:t>、</w:t>
            </w:r>
            <w:r>
              <w:rPr>
                <w:szCs w:val="21"/>
              </w:rPr>
              <w:t>GB 4053.2</w:t>
            </w:r>
            <w:r>
              <w:rPr>
                <w:szCs w:val="21"/>
              </w:rPr>
              <w:t>和</w:t>
            </w:r>
            <w:r>
              <w:rPr>
                <w:szCs w:val="21"/>
              </w:rPr>
              <w:t>GB 4053.3</w:t>
            </w:r>
            <w:r>
              <w:rPr>
                <w:szCs w:val="21"/>
              </w:rPr>
              <w:t>要求；其它设施、设备防护装置的安装应符合</w:t>
            </w:r>
            <w:r>
              <w:rPr>
                <w:szCs w:val="21"/>
              </w:rPr>
              <w:t>GB/T8196</w:t>
            </w:r>
            <w:r>
              <w:rPr>
                <w:szCs w:val="21"/>
              </w:rPr>
              <w:t>的要求。</w:t>
            </w:r>
          </w:p>
        </w:tc>
        <w:tc>
          <w:tcPr>
            <w:tcW w:w="1078" w:type="pct"/>
            <w:tcBorders>
              <w:tl2br w:val="nil"/>
              <w:tr2bl w:val="nil"/>
            </w:tcBorders>
            <w:vAlign w:val="center"/>
          </w:tcPr>
          <w:p w14:paraId="5FC4188D" w14:textId="77777777" w:rsidR="003D6A63" w:rsidRDefault="00000000">
            <w:pPr>
              <w:tabs>
                <w:tab w:val="left" w:pos="377"/>
              </w:tabs>
              <w:adjustRightInd w:val="0"/>
              <w:snapToGrid w:val="0"/>
              <w:jc w:val="center"/>
              <w:rPr>
                <w:szCs w:val="21"/>
              </w:rPr>
            </w:pPr>
            <w:r>
              <w:rPr>
                <w:szCs w:val="21"/>
              </w:rPr>
              <w:t>AQ2042-2012</w:t>
            </w:r>
          </w:p>
          <w:p w14:paraId="00EECBB8" w14:textId="77777777" w:rsidR="003D6A63" w:rsidRDefault="00000000">
            <w:pPr>
              <w:tabs>
                <w:tab w:val="left" w:pos="377"/>
              </w:tabs>
              <w:adjustRightInd w:val="0"/>
              <w:snapToGrid w:val="0"/>
              <w:jc w:val="center"/>
              <w:rPr>
                <w:szCs w:val="21"/>
              </w:rPr>
            </w:pPr>
            <w:r>
              <w:rPr>
                <w:szCs w:val="21"/>
              </w:rPr>
              <w:t>5.5.1.10</w:t>
            </w:r>
          </w:p>
        </w:tc>
        <w:tc>
          <w:tcPr>
            <w:tcW w:w="988" w:type="pct"/>
            <w:tcBorders>
              <w:tl2br w:val="nil"/>
              <w:tr2bl w:val="nil"/>
            </w:tcBorders>
            <w:vAlign w:val="center"/>
          </w:tcPr>
          <w:p w14:paraId="6409F3EF" w14:textId="77777777" w:rsidR="003D6A63" w:rsidRDefault="00000000">
            <w:pPr>
              <w:adjustRightInd w:val="0"/>
              <w:snapToGrid w:val="0"/>
              <w:jc w:val="left"/>
              <w:rPr>
                <w:szCs w:val="21"/>
              </w:rPr>
            </w:pPr>
            <w:r>
              <w:rPr>
                <w:rFonts w:hint="eastAsia"/>
                <w:szCs w:val="21"/>
              </w:rPr>
              <w:t>抽油机设置有刹车装置，刹车装置灵活好用。</w:t>
            </w:r>
          </w:p>
        </w:tc>
        <w:tc>
          <w:tcPr>
            <w:tcW w:w="355" w:type="pct"/>
            <w:tcBorders>
              <w:tl2br w:val="nil"/>
              <w:tr2bl w:val="nil"/>
            </w:tcBorders>
            <w:vAlign w:val="center"/>
          </w:tcPr>
          <w:p w14:paraId="6CE00A77" w14:textId="77777777" w:rsidR="003D6A63" w:rsidRDefault="00000000">
            <w:pPr>
              <w:adjustRightInd w:val="0"/>
              <w:snapToGrid w:val="0"/>
              <w:jc w:val="center"/>
              <w:rPr>
                <w:szCs w:val="21"/>
              </w:rPr>
            </w:pPr>
            <w:r>
              <w:rPr>
                <w:rFonts w:hint="eastAsia"/>
                <w:szCs w:val="21"/>
              </w:rPr>
              <w:t>√</w:t>
            </w:r>
          </w:p>
        </w:tc>
      </w:tr>
      <w:tr w:rsidR="003D6A63" w14:paraId="205A6958" w14:textId="77777777">
        <w:trPr>
          <w:trHeight w:val="374"/>
        </w:trPr>
        <w:tc>
          <w:tcPr>
            <w:tcW w:w="251" w:type="pct"/>
            <w:tcBorders>
              <w:tl2br w:val="nil"/>
              <w:tr2bl w:val="nil"/>
            </w:tcBorders>
            <w:vAlign w:val="center"/>
          </w:tcPr>
          <w:p w14:paraId="5DAC8385" w14:textId="77777777" w:rsidR="003D6A63" w:rsidRDefault="00000000">
            <w:pPr>
              <w:adjustRightInd w:val="0"/>
              <w:snapToGrid w:val="0"/>
              <w:jc w:val="center"/>
              <w:rPr>
                <w:b/>
                <w:bCs/>
                <w:szCs w:val="21"/>
              </w:rPr>
            </w:pPr>
            <w:r>
              <w:rPr>
                <w:rFonts w:hint="eastAsia"/>
                <w:b/>
                <w:bCs/>
                <w:szCs w:val="21"/>
              </w:rPr>
              <w:t>二</w:t>
            </w:r>
          </w:p>
        </w:tc>
        <w:tc>
          <w:tcPr>
            <w:tcW w:w="2326" w:type="pct"/>
            <w:tcBorders>
              <w:tl2br w:val="nil"/>
              <w:tr2bl w:val="nil"/>
            </w:tcBorders>
            <w:vAlign w:val="center"/>
          </w:tcPr>
          <w:p w14:paraId="3E3E800D" w14:textId="77777777" w:rsidR="003D6A63" w:rsidRDefault="00000000">
            <w:pPr>
              <w:adjustRightInd w:val="0"/>
              <w:snapToGrid w:val="0"/>
              <w:jc w:val="center"/>
              <w:rPr>
                <w:b/>
                <w:bCs/>
                <w:szCs w:val="21"/>
              </w:rPr>
            </w:pPr>
            <w:r>
              <w:rPr>
                <w:rFonts w:hint="eastAsia"/>
                <w:b/>
                <w:bCs/>
                <w:szCs w:val="21"/>
              </w:rPr>
              <w:t>安全警示标志</w:t>
            </w:r>
          </w:p>
        </w:tc>
        <w:tc>
          <w:tcPr>
            <w:tcW w:w="1078" w:type="pct"/>
            <w:tcBorders>
              <w:tl2br w:val="nil"/>
              <w:tr2bl w:val="nil"/>
            </w:tcBorders>
            <w:vAlign w:val="center"/>
          </w:tcPr>
          <w:p w14:paraId="7EC33A6D" w14:textId="77777777" w:rsidR="003D6A63" w:rsidRDefault="003D6A63">
            <w:pPr>
              <w:adjustRightInd w:val="0"/>
              <w:snapToGrid w:val="0"/>
              <w:jc w:val="center"/>
              <w:rPr>
                <w:szCs w:val="21"/>
              </w:rPr>
            </w:pPr>
          </w:p>
        </w:tc>
        <w:tc>
          <w:tcPr>
            <w:tcW w:w="988" w:type="pct"/>
            <w:tcBorders>
              <w:tl2br w:val="nil"/>
              <w:tr2bl w:val="nil"/>
            </w:tcBorders>
            <w:vAlign w:val="center"/>
          </w:tcPr>
          <w:p w14:paraId="22A56149" w14:textId="77777777" w:rsidR="003D6A63" w:rsidRDefault="003D6A63">
            <w:pPr>
              <w:adjustRightInd w:val="0"/>
              <w:snapToGrid w:val="0"/>
              <w:jc w:val="center"/>
              <w:rPr>
                <w:szCs w:val="21"/>
              </w:rPr>
            </w:pPr>
          </w:p>
        </w:tc>
        <w:tc>
          <w:tcPr>
            <w:tcW w:w="355" w:type="pct"/>
            <w:tcBorders>
              <w:tl2br w:val="nil"/>
              <w:tr2bl w:val="nil"/>
            </w:tcBorders>
            <w:vAlign w:val="center"/>
          </w:tcPr>
          <w:p w14:paraId="3D91E065" w14:textId="77777777" w:rsidR="003D6A63" w:rsidRDefault="003D6A63">
            <w:pPr>
              <w:adjustRightInd w:val="0"/>
              <w:snapToGrid w:val="0"/>
              <w:jc w:val="center"/>
              <w:rPr>
                <w:szCs w:val="21"/>
              </w:rPr>
            </w:pPr>
          </w:p>
        </w:tc>
      </w:tr>
      <w:tr w:rsidR="003D6A63" w14:paraId="13603E6A" w14:textId="77777777">
        <w:trPr>
          <w:trHeight w:val="374"/>
        </w:trPr>
        <w:tc>
          <w:tcPr>
            <w:tcW w:w="251" w:type="pct"/>
            <w:vMerge w:val="restart"/>
            <w:tcBorders>
              <w:tl2br w:val="nil"/>
              <w:tr2bl w:val="nil"/>
            </w:tcBorders>
            <w:vAlign w:val="center"/>
          </w:tcPr>
          <w:p w14:paraId="478828F7" w14:textId="77777777" w:rsidR="003D6A63" w:rsidRDefault="003D6A63">
            <w:pPr>
              <w:numPr>
                <w:ilvl w:val="0"/>
                <w:numId w:val="15"/>
              </w:numPr>
              <w:adjustRightInd w:val="0"/>
              <w:snapToGrid w:val="0"/>
              <w:ind w:left="0" w:firstLine="0"/>
              <w:jc w:val="center"/>
              <w:rPr>
                <w:szCs w:val="21"/>
              </w:rPr>
            </w:pPr>
          </w:p>
        </w:tc>
        <w:tc>
          <w:tcPr>
            <w:tcW w:w="2326" w:type="pct"/>
            <w:vMerge w:val="restart"/>
            <w:tcBorders>
              <w:tl2br w:val="nil"/>
              <w:tr2bl w:val="nil"/>
            </w:tcBorders>
            <w:vAlign w:val="center"/>
          </w:tcPr>
          <w:p w14:paraId="4D9856F5" w14:textId="77777777" w:rsidR="003D6A63" w:rsidRDefault="00000000">
            <w:pPr>
              <w:adjustRightInd w:val="0"/>
              <w:snapToGrid w:val="0"/>
              <w:jc w:val="left"/>
              <w:rPr>
                <w:szCs w:val="21"/>
              </w:rPr>
            </w:pPr>
            <w:r>
              <w:rPr>
                <w:szCs w:val="21"/>
              </w:rPr>
              <w:t>油气井井场应有醒目的安全警示标志，建立严格的防火防爆制度。</w:t>
            </w:r>
          </w:p>
        </w:tc>
        <w:tc>
          <w:tcPr>
            <w:tcW w:w="1078" w:type="pct"/>
            <w:vMerge w:val="restart"/>
            <w:tcBorders>
              <w:tl2br w:val="nil"/>
              <w:tr2bl w:val="nil"/>
            </w:tcBorders>
            <w:vAlign w:val="center"/>
          </w:tcPr>
          <w:p w14:paraId="684CDCED" w14:textId="77777777" w:rsidR="003D6A63" w:rsidRDefault="00000000">
            <w:pPr>
              <w:adjustRightInd w:val="0"/>
              <w:snapToGrid w:val="0"/>
              <w:jc w:val="center"/>
              <w:rPr>
                <w:szCs w:val="21"/>
              </w:rPr>
            </w:pPr>
            <w:r>
              <w:rPr>
                <w:szCs w:val="21"/>
              </w:rPr>
              <w:t>AQ2012-2007</w:t>
            </w:r>
          </w:p>
          <w:p w14:paraId="67C46DD3" w14:textId="77777777" w:rsidR="003D6A63" w:rsidRDefault="00000000">
            <w:pPr>
              <w:adjustRightInd w:val="0"/>
              <w:snapToGrid w:val="0"/>
              <w:jc w:val="center"/>
              <w:rPr>
                <w:szCs w:val="21"/>
              </w:rPr>
            </w:pPr>
            <w:r>
              <w:rPr>
                <w:szCs w:val="21"/>
              </w:rPr>
              <w:t>5.6.4</w:t>
            </w:r>
          </w:p>
        </w:tc>
        <w:tc>
          <w:tcPr>
            <w:tcW w:w="988" w:type="pct"/>
            <w:tcBorders>
              <w:tl2br w:val="nil"/>
              <w:tr2bl w:val="nil"/>
            </w:tcBorders>
            <w:vAlign w:val="center"/>
          </w:tcPr>
          <w:p w14:paraId="75B62FE9" w14:textId="77777777" w:rsidR="003D6A63" w:rsidRDefault="00000000">
            <w:pPr>
              <w:adjustRightInd w:val="0"/>
              <w:snapToGrid w:val="0"/>
              <w:jc w:val="left"/>
              <w:rPr>
                <w:szCs w:val="21"/>
              </w:rPr>
            </w:pPr>
            <w:r>
              <w:rPr>
                <w:rFonts w:hint="eastAsia"/>
                <w:szCs w:val="21"/>
                <w:lang w:bidi="en-US"/>
              </w:rPr>
              <w:t>B603-X13</w:t>
            </w:r>
            <w:r>
              <w:rPr>
                <w:rFonts w:hint="eastAsia"/>
                <w:szCs w:val="21"/>
                <w:lang w:bidi="en-US"/>
              </w:rPr>
              <w:t>井场高架罐警示标识褪色。</w:t>
            </w:r>
          </w:p>
        </w:tc>
        <w:tc>
          <w:tcPr>
            <w:tcW w:w="355" w:type="pct"/>
            <w:tcBorders>
              <w:tl2br w:val="nil"/>
              <w:tr2bl w:val="nil"/>
            </w:tcBorders>
            <w:vAlign w:val="center"/>
          </w:tcPr>
          <w:p w14:paraId="6958EBF0" w14:textId="77777777" w:rsidR="003D6A63" w:rsidRDefault="00000000">
            <w:pPr>
              <w:adjustRightInd w:val="0"/>
              <w:snapToGrid w:val="0"/>
              <w:jc w:val="center"/>
              <w:rPr>
                <w:szCs w:val="21"/>
              </w:rPr>
            </w:pPr>
            <w:r>
              <w:rPr>
                <w:rFonts w:hint="eastAsia"/>
                <w:b/>
                <w:bCs/>
                <w:szCs w:val="21"/>
              </w:rPr>
              <w:t>×</w:t>
            </w:r>
          </w:p>
        </w:tc>
      </w:tr>
      <w:tr w:rsidR="003D6A63" w14:paraId="11BCD6CA" w14:textId="77777777">
        <w:trPr>
          <w:trHeight w:val="374"/>
        </w:trPr>
        <w:tc>
          <w:tcPr>
            <w:tcW w:w="251" w:type="pct"/>
            <w:vMerge/>
            <w:tcBorders>
              <w:tl2br w:val="nil"/>
              <w:tr2bl w:val="nil"/>
            </w:tcBorders>
            <w:vAlign w:val="center"/>
          </w:tcPr>
          <w:p w14:paraId="6E473562" w14:textId="77777777" w:rsidR="003D6A63" w:rsidRDefault="003D6A63">
            <w:pPr>
              <w:adjustRightInd w:val="0"/>
              <w:snapToGrid w:val="0"/>
              <w:jc w:val="center"/>
              <w:rPr>
                <w:szCs w:val="21"/>
              </w:rPr>
            </w:pPr>
          </w:p>
        </w:tc>
        <w:tc>
          <w:tcPr>
            <w:tcW w:w="2326" w:type="pct"/>
            <w:vMerge/>
            <w:tcBorders>
              <w:tl2br w:val="nil"/>
              <w:tr2bl w:val="nil"/>
            </w:tcBorders>
            <w:vAlign w:val="center"/>
          </w:tcPr>
          <w:p w14:paraId="3CD7D861" w14:textId="77777777" w:rsidR="003D6A63" w:rsidRDefault="003D6A63">
            <w:pPr>
              <w:adjustRightInd w:val="0"/>
              <w:snapToGrid w:val="0"/>
              <w:jc w:val="left"/>
              <w:rPr>
                <w:szCs w:val="21"/>
              </w:rPr>
            </w:pPr>
          </w:p>
        </w:tc>
        <w:tc>
          <w:tcPr>
            <w:tcW w:w="1078" w:type="pct"/>
            <w:vMerge/>
            <w:tcBorders>
              <w:tl2br w:val="nil"/>
              <w:tr2bl w:val="nil"/>
            </w:tcBorders>
            <w:vAlign w:val="center"/>
          </w:tcPr>
          <w:p w14:paraId="3F94CABE" w14:textId="77777777" w:rsidR="003D6A63" w:rsidRDefault="003D6A63">
            <w:pPr>
              <w:adjustRightInd w:val="0"/>
              <w:snapToGrid w:val="0"/>
              <w:jc w:val="center"/>
              <w:rPr>
                <w:szCs w:val="21"/>
              </w:rPr>
            </w:pPr>
          </w:p>
        </w:tc>
        <w:tc>
          <w:tcPr>
            <w:tcW w:w="988" w:type="pct"/>
            <w:tcBorders>
              <w:tl2br w:val="nil"/>
              <w:tr2bl w:val="nil"/>
            </w:tcBorders>
            <w:vAlign w:val="center"/>
          </w:tcPr>
          <w:p w14:paraId="4A32BC21" w14:textId="77777777" w:rsidR="003D6A63" w:rsidRDefault="00000000">
            <w:pPr>
              <w:adjustRightInd w:val="0"/>
              <w:snapToGrid w:val="0"/>
              <w:jc w:val="left"/>
              <w:rPr>
                <w:szCs w:val="21"/>
                <w:lang w:bidi="en-US"/>
              </w:rPr>
            </w:pPr>
            <w:r>
              <w:rPr>
                <w:rFonts w:cs="宋体" w:hint="eastAsia"/>
                <w:kern w:val="0"/>
                <w:szCs w:val="21"/>
                <w:lang w:bidi="en-US"/>
              </w:rPr>
              <w:t>王</w:t>
            </w:r>
            <w:r>
              <w:rPr>
                <w:rFonts w:cs="宋体" w:hint="eastAsia"/>
                <w:kern w:val="0"/>
                <w:szCs w:val="21"/>
                <w:lang w:bidi="en-US"/>
              </w:rPr>
              <w:t>73-X3</w:t>
            </w:r>
            <w:r>
              <w:rPr>
                <w:rFonts w:cs="宋体" w:hint="eastAsia"/>
                <w:kern w:val="0"/>
                <w:szCs w:val="21"/>
                <w:lang w:bidi="en-US"/>
              </w:rPr>
              <w:t>井场警示标识褪色。</w:t>
            </w:r>
          </w:p>
        </w:tc>
        <w:tc>
          <w:tcPr>
            <w:tcW w:w="355" w:type="pct"/>
            <w:tcBorders>
              <w:tl2br w:val="nil"/>
              <w:tr2bl w:val="nil"/>
            </w:tcBorders>
            <w:vAlign w:val="center"/>
          </w:tcPr>
          <w:p w14:paraId="1768276A" w14:textId="77777777" w:rsidR="003D6A63" w:rsidRDefault="00000000">
            <w:pPr>
              <w:adjustRightInd w:val="0"/>
              <w:snapToGrid w:val="0"/>
              <w:jc w:val="center"/>
              <w:rPr>
                <w:b/>
                <w:bCs/>
                <w:szCs w:val="21"/>
              </w:rPr>
            </w:pPr>
            <w:r>
              <w:rPr>
                <w:rFonts w:hint="eastAsia"/>
                <w:b/>
                <w:bCs/>
                <w:szCs w:val="21"/>
              </w:rPr>
              <w:t>×</w:t>
            </w:r>
          </w:p>
        </w:tc>
      </w:tr>
      <w:tr w:rsidR="003D6A63" w14:paraId="3F910DCD" w14:textId="77777777">
        <w:trPr>
          <w:trHeight w:val="374"/>
        </w:trPr>
        <w:tc>
          <w:tcPr>
            <w:tcW w:w="251" w:type="pct"/>
            <w:vMerge/>
            <w:tcBorders>
              <w:tl2br w:val="nil"/>
              <w:tr2bl w:val="nil"/>
            </w:tcBorders>
            <w:vAlign w:val="center"/>
          </w:tcPr>
          <w:p w14:paraId="1488CF96" w14:textId="77777777" w:rsidR="003D6A63" w:rsidRDefault="003D6A63">
            <w:pPr>
              <w:adjustRightInd w:val="0"/>
              <w:snapToGrid w:val="0"/>
              <w:jc w:val="center"/>
              <w:rPr>
                <w:szCs w:val="21"/>
              </w:rPr>
            </w:pPr>
          </w:p>
        </w:tc>
        <w:tc>
          <w:tcPr>
            <w:tcW w:w="2326" w:type="pct"/>
            <w:vMerge/>
            <w:tcBorders>
              <w:tl2br w:val="nil"/>
              <w:tr2bl w:val="nil"/>
            </w:tcBorders>
            <w:vAlign w:val="center"/>
          </w:tcPr>
          <w:p w14:paraId="5F907CEA" w14:textId="77777777" w:rsidR="003D6A63" w:rsidRDefault="003D6A63">
            <w:pPr>
              <w:adjustRightInd w:val="0"/>
              <w:snapToGrid w:val="0"/>
              <w:jc w:val="left"/>
              <w:rPr>
                <w:szCs w:val="21"/>
              </w:rPr>
            </w:pPr>
          </w:p>
        </w:tc>
        <w:tc>
          <w:tcPr>
            <w:tcW w:w="1078" w:type="pct"/>
            <w:vMerge/>
            <w:tcBorders>
              <w:tl2br w:val="nil"/>
              <w:tr2bl w:val="nil"/>
            </w:tcBorders>
            <w:vAlign w:val="center"/>
          </w:tcPr>
          <w:p w14:paraId="45150B87" w14:textId="77777777" w:rsidR="003D6A63" w:rsidRDefault="003D6A63">
            <w:pPr>
              <w:adjustRightInd w:val="0"/>
              <w:snapToGrid w:val="0"/>
              <w:jc w:val="center"/>
              <w:rPr>
                <w:szCs w:val="21"/>
              </w:rPr>
            </w:pPr>
          </w:p>
        </w:tc>
        <w:tc>
          <w:tcPr>
            <w:tcW w:w="988" w:type="pct"/>
            <w:tcBorders>
              <w:tl2br w:val="nil"/>
              <w:tr2bl w:val="nil"/>
            </w:tcBorders>
            <w:vAlign w:val="center"/>
          </w:tcPr>
          <w:p w14:paraId="536810CF" w14:textId="77777777" w:rsidR="003D6A63" w:rsidRDefault="00000000">
            <w:pPr>
              <w:adjustRightInd w:val="0"/>
              <w:snapToGrid w:val="0"/>
              <w:jc w:val="left"/>
              <w:rPr>
                <w:szCs w:val="21"/>
                <w:lang w:bidi="en-US"/>
              </w:rPr>
            </w:pPr>
            <w:r>
              <w:rPr>
                <w:rFonts w:cs="宋体" w:hint="eastAsia"/>
                <w:szCs w:val="21"/>
                <w:lang w:bidi="en-US"/>
              </w:rPr>
              <w:t>G20-X1</w:t>
            </w:r>
            <w:r>
              <w:rPr>
                <w:rFonts w:cs="宋体" w:hint="eastAsia"/>
                <w:szCs w:val="21"/>
                <w:lang w:bidi="en-US"/>
              </w:rPr>
              <w:t>井场警示标识褪色。</w:t>
            </w:r>
          </w:p>
        </w:tc>
        <w:tc>
          <w:tcPr>
            <w:tcW w:w="355" w:type="pct"/>
            <w:tcBorders>
              <w:tl2br w:val="nil"/>
              <w:tr2bl w:val="nil"/>
            </w:tcBorders>
            <w:vAlign w:val="center"/>
          </w:tcPr>
          <w:p w14:paraId="5A59BC13" w14:textId="77777777" w:rsidR="003D6A63" w:rsidRDefault="00000000">
            <w:pPr>
              <w:adjustRightInd w:val="0"/>
              <w:snapToGrid w:val="0"/>
              <w:jc w:val="center"/>
              <w:rPr>
                <w:b/>
                <w:bCs/>
                <w:szCs w:val="21"/>
              </w:rPr>
            </w:pPr>
            <w:r>
              <w:rPr>
                <w:rFonts w:hint="eastAsia"/>
                <w:b/>
                <w:bCs/>
                <w:szCs w:val="21"/>
              </w:rPr>
              <w:t>×</w:t>
            </w:r>
          </w:p>
        </w:tc>
      </w:tr>
      <w:tr w:rsidR="003D6A63" w14:paraId="13F727D9" w14:textId="77777777">
        <w:trPr>
          <w:trHeight w:val="374"/>
        </w:trPr>
        <w:tc>
          <w:tcPr>
            <w:tcW w:w="251" w:type="pct"/>
            <w:vMerge/>
            <w:tcBorders>
              <w:tl2br w:val="nil"/>
              <w:tr2bl w:val="nil"/>
            </w:tcBorders>
            <w:vAlign w:val="center"/>
          </w:tcPr>
          <w:p w14:paraId="3ACB56B4" w14:textId="77777777" w:rsidR="003D6A63" w:rsidRDefault="003D6A63">
            <w:pPr>
              <w:adjustRightInd w:val="0"/>
              <w:snapToGrid w:val="0"/>
              <w:jc w:val="center"/>
              <w:rPr>
                <w:szCs w:val="21"/>
              </w:rPr>
            </w:pPr>
          </w:p>
        </w:tc>
        <w:tc>
          <w:tcPr>
            <w:tcW w:w="2326" w:type="pct"/>
            <w:vMerge/>
            <w:tcBorders>
              <w:tl2br w:val="nil"/>
              <w:tr2bl w:val="nil"/>
            </w:tcBorders>
            <w:vAlign w:val="center"/>
          </w:tcPr>
          <w:p w14:paraId="25C9FA14" w14:textId="77777777" w:rsidR="003D6A63" w:rsidRDefault="003D6A63">
            <w:pPr>
              <w:adjustRightInd w:val="0"/>
              <w:snapToGrid w:val="0"/>
              <w:jc w:val="left"/>
              <w:rPr>
                <w:szCs w:val="21"/>
              </w:rPr>
            </w:pPr>
          </w:p>
        </w:tc>
        <w:tc>
          <w:tcPr>
            <w:tcW w:w="1078" w:type="pct"/>
            <w:vMerge/>
            <w:tcBorders>
              <w:tl2br w:val="nil"/>
              <w:tr2bl w:val="nil"/>
            </w:tcBorders>
            <w:vAlign w:val="center"/>
          </w:tcPr>
          <w:p w14:paraId="508B9E11" w14:textId="77777777" w:rsidR="003D6A63" w:rsidRDefault="003D6A63">
            <w:pPr>
              <w:adjustRightInd w:val="0"/>
              <w:snapToGrid w:val="0"/>
              <w:jc w:val="center"/>
              <w:rPr>
                <w:szCs w:val="21"/>
              </w:rPr>
            </w:pPr>
          </w:p>
        </w:tc>
        <w:tc>
          <w:tcPr>
            <w:tcW w:w="988" w:type="pct"/>
            <w:tcBorders>
              <w:tl2br w:val="nil"/>
              <w:tr2bl w:val="nil"/>
            </w:tcBorders>
            <w:vAlign w:val="center"/>
          </w:tcPr>
          <w:p w14:paraId="173BD2FC" w14:textId="77777777" w:rsidR="003D6A63" w:rsidRDefault="00000000">
            <w:pPr>
              <w:adjustRightInd w:val="0"/>
              <w:snapToGrid w:val="0"/>
              <w:jc w:val="left"/>
              <w:rPr>
                <w:rFonts w:cs="宋体"/>
                <w:szCs w:val="21"/>
                <w:lang w:bidi="en-US"/>
              </w:rPr>
            </w:pPr>
            <w:r>
              <w:rPr>
                <w:rFonts w:cs="宋体" w:hint="eastAsia"/>
                <w:kern w:val="0"/>
                <w:szCs w:val="21"/>
                <w:lang w:bidi="en-US"/>
              </w:rPr>
              <w:t>王</w:t>
            </w:r>
            <w:r>
              <w:rPr>
                <w:rFonts w:cs="宋体" w:hint="eastAsia"/>
                <w:kern w:val="0"/>
                <w:szCs w:val="21"/>
                <w:lang w:bidi="en-US"/>
              </w:rPr>
              <w:t>73-</w:t>
            </w:r>
            <w:r>
              <w:rPr>
                <w:rFonts w:cs="宋体" w:hint="eastAsia"/>
                <w:kern w:val="0"/>
                <w:szCs w:val="21"/>
                <w:lang w:bidi="en-US"/>
              </w:rPr>
              <w:t>平</w:t>
            </w:r>
            <w:r>
              <w:rPr>
                <w:rFonts w:cs="宋体" w:hint="eastAsia"/>
                <w:kern w:val="0"/>
                <w:szCs w:val="21"/>
                <w:lang w:bidi="en-US"/>
              </w:rPr>
              <w:t>6</w:t>
            </w:r>
            <w:r>
              <w:rPr>
                <w:rFonts w:cs="宋体" w:hint="eastAsia"/>
                <w:kern w:val="0"/>
                <w:szCs w:val="21"/>
                <w:lang w:bidi="en-US"/>
              </w:rPr>
              <w:t>井场高架罐警示标识褪色。</w:t>
            </w:r>
          </w:p>
        </w:tc>
        <w:tc>
          <w:tcPr>
            <w:tcW w:w="355" w:type="pct"/>
            <w:tcBorders>
              <w:tl2br w:val="nil"/>
              <w:tr2bl w:val="nil"/>
            </w:tcBorders>
            <w:vAlign w:val="center"/>
          </w:tcPr>
          <w:p w14:paraId="6D19DB18" w14:textId="77777777" w:rsidR="003D6A63" w:rsidRDefault="00000000">
            <w:pPr>
              <w:adjustRightInd w:val="0"/>
              <w:snapToGrid w:val="0"/>
              <w:jc w:val="center"/>
              <w:rPr>
                <w:b/>
                <w:bCs/>
                <w:szCs w:val="21"/>
              </w:rPr>
            </w:pPr>
            <w:r>
              <w:rPr>
                <w:rFonts w:hint="eastAsia"/>
                <w:b/>
                <w:bCs/>
                <w:szCs w:val="21"/>
              </w:rPr>
              <w:t>×</w:t>
            </w:r>
          </w:p>
        </w:tc>
      </w:tr>
      <w:tr w:rsidR="003D6A63" w14:paraId="40FFDDD7" w14:textId="77777777">
        <w:trPr>
          <w:trHeight w:val="374"/>
        </w:trPr>
        <w:tc>
          <w:tcPr>
            <w:tcW w:w="251" w:type="pct"/>
            <w:tcBorders>
              <w:tl2br w:val="nil"/>
              <w:tr2bl w:val="nil"/>
            </w:tcBorders>
            <w:vAlign w:val="center"/>
          </w:tcPr>
          <w:p w14:paraId="0BC07AB0" w14:textId="77777777" w:rsidR="003D6A63" w:rsidRDefault="00000000">
            <w:pPr>
              <w:adjustRightInd w:val="0"/>
              <w:snapToGrid w:val="0"/>
              <w:jc w:val="center"/>
              <w:rPr>
                <w:b/>
                <w:bCs/>
                <w:szCs w:val="21"/>
              </w:rPr>
            </w:pPr>
            <w:r>
              <w:rPr>
                <w:rFonts w:hint="eastAsia"/>
                <w:b/>
                <w:bCs/>
                <w:szCs w:val="21"/>
              </w:rPr>
              <w:t>三</w:t>
            </w:r>
          </w:p>
        </w:tc>
        <w:tc>
          <w:tcPr>
            <w:tcW w:w="2326" w:type="pct"/>
            <w:tcBorders>
              <w:tl2br w:val="nil"/>
              <w:tr2bl w:val="nil"/>
            </w:tcBorders>
            <w:vAlign w:val="center"/>
          </w:tcPr>
          <w:p w14:paraId="722F7705" w14:textId="77777777" w:rsidR="003D6A63" w:rsidRDefault="00000000">
            <w:pPr>
              <w:adjustRightInd w:val="0"/>
              <w:snapToGrid w:val="0"/>
              <w:jc w:val="center"/>
              <w:rPr>
                <w:rFonts w:ascii="宋体" w:hAnsi="宋体" w:cs="宋体"/>
                <w:b/>
                <w:bCs/>
                <w:szCs w:val="21"/>
              </w:rPr>
            </w:pPr>
            <w:r>
              <w:rPr>
                <w:rFonts w:ascii="宋体" w:hAnsi="宋体" w:cs="宋体" w:hint="eastAsia"/>
                <w:b/>
                <w:bCs/>
                <w:szCs w:val="21"/>
              </w:rPr>
              <w:t>电气设备及供配电装置</w:t>
            </w:r>
          </w:p>
        </w:tc>
        <w:tc>
          <w:tcPr>
            <w:tcW w:w="1078" w:type="pct"/>
            <w:tcBorders>
              <w:tl2br w:val="nil"/>
              <w:tr2bl w:val="nil"/>
            </w:tcBorders>
            <w:vAlign w:val="center"/>
          </w:tcPr>
          <w:p w14:paraId="21F5E6CA" w14:textId="77777777" w:rsidR="003D6A63" w:rsidRDefault="003D6A63">
            <w:pPr>
              <w:adjustRightInd w:val="0"/>
              <w:snapToGrid w:val="0"/>
              <w:jc w:val="center"/>
              <w:rPr>
                <w:rFonts w:ascii="宋体" w:hAnsi="宋体" w:cs="宋体"/>
                <w:szCs w:val="21"/>
              </w:rPr>
            </w:pPr>
          </w:p>
        </w:tc>
        <w:tc>
          <w:tcPr>
            <w:tcW w:w="988" w:type="pct"/>
            <w:tcBorders>
              <w:tl2br w:val="nil"/>
              <w:tr2bl w:val="nil"/>
            </w:tcBorders>
            <w:vAlign w:val="center"/>
          </w:tcPr>
          <w:p w14:paraId="71A3A37A" w14:textId="77777777" w:rsidR="003D6A63" w:rsidRDefault="003D6A63">
            <w:pPr>
              <w:adjustRightInd w:val="0"/>
              <w:snapToGrid w:val="0"/>
              <w:jc w:val="center"/>
              <w:rPr>
                <w:rFonts w:ascii="宋体" w:hAnsi="宋体" w:cs="宋体"/>
                <w:kern w:val="0"/>
                <w:szCs w:val="21"/>
              </w:rPr>
            </w:pPr>
          </w:p>
        </w:tc>
        <w:tc>
          <w:tcPr>
            <w:tcW w:w="355" w:type="pct"/>
            <w:tcBorders>
              <w:tl2br w:val="nil"/>
              <w:tr2bl w:val="nil"/>
            </w:tcBorders>
            <w:vAlign w:val="center"/>
          </w:tcPr>
          <w:p w14:paraId="2DC38631" w14:textId="77777777" w:rsidR="003D6A63" w:rsidRDefault="003D6A63">
            <w:pPr>
              <w:adjustRightInd w:val="0"/>
              <w:snapToGrid w:val="0"/>
              <w:jc w:val="center"/>
              <w:rPr>
                <w:rFonts w:ascii="宋体" w:hAnsi="宋体" w:cs="宋体"/>
                <w:szCs w:val="21"/>
              </w:rPr>
            </w:pPr>
          </w:p>
        </w:tc>
      </w:tr>
      <w:tr w:rsidR="003D6A63" w14:paraId="3F6E58F5" w14:textId="77777777">
        <w:trPr>
          <w:trHeight w:val="374"/>
        </w:trPr>
        <w:tc>
          <w:tcPr>
            <w:tcW w:w="251" w:type="pct"/>
            <w:tcBorders>
              <w:tl2br w:val="nil"/>
              <w:tr2bl w:val="nil"/>
            </w:tcBorders>
            <w:vAlign w:val="center"/>
          </w:tcPr>
          <w:p w14:paraId="32EE6B5B"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7F994B43" w14:textId="77777777" w:rsidR="003D6A63" w:rsidRDefault="00000000">
            <w:pPr>
              <w:adjustRightInd w:val="0"/>
              <w:snapToGrid w:val="0"/>
              <w:jc w:val="left"/>
            </w:pPr>
            <w:r>
              <w:t>位于充分通风的非封闭场所之内的游梁式抽油机井周围的区域，当没有井口井池或低于地面的集油槽时，井口</w:t>
            </w:r>
            <w:r>
              <w:t>3m</w:t>
            </w:r>
            <w:r>
              <w:t>范围内为爆炸危险</w:t>
            </w:r>
            <w:r>
              <w:t>2</w:t>
            </w:r>
            <w:r>
              <w:t>区。</w:t>
            </w:r>
          </w:p>
          <w:p w14:paraId="36E934F0" w14:textId="77777777" w:rsidR="003D6A63" w:rsidRDefault="00000000">
            <w:pPr>
              <w:adjustRightInd w:val="0"/>
              <w:snapToGrid w:val="0"/>
              <w:jc w:val="left"/>
            </w:pPr>
            <w:r>
              <w:lastRenderedPageBreak/>
              <w:t>爆炸性</w:t>
            </w:r>
            <w:r>
              <w:t>2</w:t>
            </w:r>
            <w:r>
              <w:t>区环境内电气设备防护级别应为</w:t>
            </w:r>
            <w:r>
              <w:t>Ga</w:t>
            </w:r>
            <w:r>
              <w:t>、</w:t>
            </w:r>
            <w:r>
              <w:t>Gb</w:t>
            </w:r>
            <w:r>
              <w:t>或</w:t>
            </w:r>
            <w:r>
              <w:t>Gc</w:t>
            </w:r>
            <w:r>
              <w:t>。</w:t>
            </w:r>
          </w:p>
        </w:tc>
        <w:tc>
          <w:tcPr>
            <w:tcW w:w="1078" w:type="pct"/>
            <w:tcBorders>
              <w:tl2br w:val="nil"/>
              <w:tr2bl w:val="nil"/>
            </w:tcBorders>
            <w:vAlign w:val="center"/>
          </w:tcPr>
          <w:p w14:paraId="2BA0AEBC" w14:textId="77777777" w:rsidR="003D6A63" w:rsidRDefault="00000000">
            <w:pPr>
              <w:tabs>
                <w:tab w:val="left" w:pos="377"/>
              </w:tabs>
              <w:adjustRightInd w:val="0"/>
              <w:snapToGrid w:val="0"/>
              <w:jc w:val="center"/>
              <w:rPr>
                <w:color w:val="000000"/>
                <w:kern w:val="0"/>
                <w:szCs w:val="21"/>
              </w:rPr>
            </w:pPr>
            <w:r>
              <w:rPr>
                <w:color w:val="000000"/>
                <w:kern w:val="0"/>
                <w:szCs w:val="21"/>
              </w:rPr>
              <w:lastRenderedPageBreak/>
              <w:t>SY/T6671-2017</w:t>
            </w:r>
          </w:p>
          <w:p w14:paraId="4E5C2A14" w14:textId="77777777" w:rsidR="003D6A63" w:rsidRDefault="00000000">
            <w:pPr>
              <w:tabs>
                <w:tab w:val="left" w:pos="377"/>
              </w:tabs>
              <w:adjustRightInd w:val="0"/>
              <w:snapToGrid w:val="0"/>
              <w:jc w:val="center"/>
              <w:rPr>
                <w:color w:val="000000"/>
                <w:kern w:val="0"/>
                <w:szCs w:val="21"/>
              </w:rPr>
            </w:pPr>
            <w:r>
              <w:rPr>
                <w:color w:val="000000"/>
                <w:kern w:val="0"/>
                <w:szCs w:val="21"/>
              </w:rPr>
              <w:t>10.5.2.1.1</w:t>
            </w:r>
          </w:p>
          <w:p w14:paraId="40C71B8E" w14:textId="77777777" w:rsidR="003D6A63" w:rsidRDefault="00000000">
            <w:pPr>
              <w:tabs>
                <w:tab w:val="left" w:pos="377"/>
              </w:tabs>
              <w:adjustRightInd w:val="0"/>
              <w:snapToGrid w:val="0"/>
              <w:jc w:val="center"/>
              <w:rPr>
                <w:color w:val="000000"/>
                <w:kern w:val="0"/>
                <w:szCs w:val="21"/>
              </w:rPr>
            </w:pPr>
            <w:r>
              <w:rPr>
                <w:color w:val="000000"/>
                <w:kern w:val="0"/>
                <w:szCs w:val="21"/>
              </w:rPr>
              <w:t>GB50058-2014</w:t>
            </w:r>
          </w:p>
          <w:p w14:paraId="3178EBB5" w14:textId="77777777" w:rsidR="003D6A63" w:rsidRDefault="00000000">
            <w:pPr>
              <w:tabs>
                <w:tab w:val="left" w:pos="377"/>
              </w:tabs>
              <w:adjustRightInd w:val="0"/>
              <w:snapToGrid w:val="0"/>
              <w:jc w:val="center"/>
              <w:rPr>
                <w:color w:val="000000"/>
                <w:kern w:val="0"/>
                <w:szCs w:val="21"/>
              </w:rPr>
            </w:pPr>
            <w:r>
              <w:rPr>
                <w:color w:val="000000"/>
                <w:kern w:val="0"/>
                <w:szCs w:val="21"/>
              </w:rPr>
              <w:t>5.2.2</w:t>
            </w:r>
          </w:p>
        </w:tc>
        <w:tc>
          <w:tcPr>
            <w:tcW w:w="988" w:type="pct"/>
            <w:tcBorders>
              <w:tl2br w:val="nil"/>
              <w:tr2bl w:val="nil"/>
            </w:tcBorders>
            <w:vAlign w:val="center"/>
          </w:tcPr>
          <w:p w14:paraId="06F73F6C" w14:textId="77777777" w:rsidR="003D6A63" w:rsidRDefault="00000000">
            <w:pPr>
              <w:adjustRightInd w:val="0"/>
              <w:snapToGrid w:val="0"/>
              <w:jc w:val="left"/>
              <w:rPr>
                <w:rFonts w:ascii="宋体" w:hAnsi="宋体" w:cs="宋体"/>
                <w:kern w:val="0"/>
                <w:szCs w:val="21"/>
              </w:rPr>
            </w:pPr>
            <w:r>
              <w:rPr>
                <w:rFonts w:ascii="宋体" w:hAnsi="宋体" w:cs="宋体" w:hint="eastAsia"/>
                <w:kern w:val="0"/>
                <w:szCs w:val="21"/>
              </w:rPr>
              <w:t>现场核实</w:t>
            </w:r>
            <w:r>
              <w:t>井口</w:t>
            </w:r>
            <w:r>
              <w:t>3m</w:t>
            </w:r>
            <w:r>
              <w:rPr>
                <w:rFonts w:hint="eastAsia"/>
              </w:rPr>
              <w:t>内使用电气为防爆电器，符合要求。</w:t>
            </w:r>
          </w:p>
        </w:tc>
        <w:tc>
          <w:tcPr>
            <w:tcW w:w="355" w:type="pct"/>
            <w:tcBorders>
              <w:tl2br w:val="nil"/>
              <w:tr2bl w:val="nil"/>
            </w:tcBorders>
            <w:vAlign w:val="center"/>
          </w:tcPr>
          <w:p w14:paraId="5648BC58" w14:textId="77777777" w:rsidR="003D6A63" w:rsidRDefault="00000000">
            <w:pPr>
              <w:adjustRightInd w:val="0"/>
              <w:snapToGrid w:val="0"/>
              <w:jc w:val="center"/>
              <w:rPr>
                <w:rFonts w:ascii="宋体" w:hAnsi="宋体" w:cs="宋体"/>
                <w:szCs w:val="21"/>
              </w:rPr>
            </w:pPr>
            <w:r>
              <w:rPr>
                <w:rFonts w:ascii="宋体" w:hAnsi="宋体" w:cs="宋体" w:hint="eastAsia"/>
                <w:szCs w:val="21"/>
              </w:rPr>
              <w:t>√</w:t>
            </w:r>
          </w:p>
        </w:tc>
      </w:tr>
      <w:tr w:rsidR="003D6A63" w14:paraId="798A7727" w14:textId="77777777">
        <w:trPr>
          <w:trHeight w:val="374"/>
        </w:trPr>
        <w:tc>
          <w:tcPr>
            <w:tcW w:w="251" w:type="pct"/>
            <w:tcBorders>
              <w:tl2br w:val="nil"/>
              <w:tr2bl w:val="nil"/>
            </w:tcBorders>
            <w:vAlign w:val="center"/>
          </w:tcPr>
          <w:p w14:paraId="07577271"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40CE1ECF" w14:textId="77777777" w:rsidR="003D6A63" w:rsidRDefault="00000000">
            <w:pPr>
              <w:adjustRightInd w:val="0"/>
              <w:snapToGrid w:val="0"/>
              <w:jc w:val="left"/>
            </w:pPr>
            <w:r>
              <w:t>在爆炸环境范围内应采取消除或控制设备线路产生火花、电弧、高温的措施。</w:t>
            </w:r>
          </w:p>
        </w:tc>
        <w:tc>
          <w:tcPr>
            <w:tcW w:w="1078" w:type="pct"/>
            <w:tcBorders>
              <w:tl2br w:val="nil"/>
              <w:tr2bl w:val="nil"/>
            </w:tcBorders>
            <w:vAlign w:val="center"/>
          </w:tcPr>
          <w:p w14:paraId="3E80C929" w14:textId="77777777" w:rsidR="003D6A63" w:rsidRDefault="00000000">
            <w:pPr>
              <w:adjustRightInd w:val="0"/>
              <w:snapToGrid w:val="0"/>
              <w:jc w:val="center"/>
            </w:pPr>
            <w:r>
              <w:t>GB50058-2014</w:t>
            </w:r>
          </w:p>
          <w:p w14:paraId="6DB1FB30" w14:textId="77777777" w:rsidR="003D6A63" w:rsidRDefault="00000000">
            <w:pPr>
              <w:adjustRightInd w:val="0"/>
              <w:snapToGrid w:val="0"/>
              <w:jc w:val="center"/>
              <w:rPr>
                <w:color w:val="000000"/>
                <w:kern w:val="0"/>
                <w:szCs w:val="21"/>
              </w:rPr>
            </w:pPr>
            <w:r>
              <w:t>3.1.3.4</w:t>
            </w:r>
          </w:p>
        </w:tc>
        <w:tc>
          <w:tcPr>
            <w:tcW w:w="988" w:type="pct"/>
            <w:tcBorders>
              <w:tl2br w:val="nil"/>
              <w:tr2bl w:val="nil"/>
            </w:tcBorders>
            <w:vAlign w:val="center"/>
          </w:tcPr>
          <w:p w14:paraId="5FFE63B6" w14:textId="77777777" w:rsidR="003D6A63" w:rsidRDefault="00000000">
            <w:pPr>
              <w:adjustRightInd w:val="0"/>
              <w:snapToGrid w:val="0"/>
              <w:jc w:val="left"/>
              <w:rPr>
                <w:rFonts w:ascii="宋体" w:hAnsi="宋体" w:cs="宋体"/>
                <w:kern w:val="0"/>
                <w:szCs w:val="21"/>
              </w:rPr>
            </w:pPr>
            <w:r>
              <w:rPr>
                <w:rFonts w:cs="宋体" w:hint="eastAsia"/>
                <w:kern w:val="0"/>
                <w:szCs w:val="21"/>
                <w:lang w:bidi="en-US"/>
              </w:rPr>
              <w:t>王</w:t>
            </w:r>
            <w:r>
              <w:rPr>
                <w:rFonts w:cs="宋体" w:hint="eastAsia"/>
                <w:kern w:val="0"/>
                <w:szCs w:val="21"/>
                <w:lang w:bidi="en-US"/>
              </w:rPr>
              <w:t>73-X3</w:t>
            </w:r>
            <w:r>
              <w:rPr>
                <w:rFonts w:cs="宋体" w:hint="eastAsia"/>
                <w:kern w:val="0"/>
                <w:szCs w:val="21"/>
                <w:lang w:bidi="en-US"/>
              </w:rPr>
              <w:t>井场西北侧配电箱电缆出入口未封堵。</w:t>
            </w:r>
          </w:p>
        </w:tc>
        <w:tc>
          <w:tcPr>
            <w:tcW w:w="355" w:type="pct"/>
            <w:tcBorders>
              <w:tl2br w:val="nil"/>
              <w:tr2bl w:val="nil"/>
            </w:tcBorders>
            <w:vAlign w:val="center"/>
          </w:tcPr>
          <w:p w14:paraId="3D441FF3" w14:textId="77777777" w:rsidR="003D6A63" w:rsidRDefault="00000000">
            <w:pPr>
              <w:adjustRightInd w:val="0"/>
              <w:snapToGrid w:val="0"/>
              <w:jc w:val="center"/>
              <w:rPr>
                <w:rFonts w:ascii="宋体" w:hAnsi="宋体" w:cs="宋体"/>
                <w:szCs w:val="21"/>
              </w:rPr>
            </w:pPr>
            <w:r>
              <w:rPr>
                <w:rFonts w:ascii="宋体" w:hAnsi="宋体" w:cs="宋体" w:hint="eastAsia"/>
                <w:b/>
                <w:bCs/>
                <w:szCs w:val="21"/>
              </w:rPr>
              <w:t>×</w:t>
            </w:r>
          </w:p>
        </w:tc>
      </w:tr>
      <w:tr w:rsidR="003D6A63" w14:paraId="31A1510B" w14:textId="77777777">
        <w:trPr>
          <w:trHeight w:val="374"/>
        </w:trPr>
        <w:tc>
          <w:tcPr>
            <w:tcW w:w="251" w:type="pct"/>
            <w:tcBorders>
              <w:tl2br w:val="nil"/>
              <w:tr2bl w:val="nil"/>
            </w:tcBorders>
            <w:vAlign w:val="center"/>
          </w:tcPr>
          <w:p w14:paraId="500A171E"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2E25AECB" w14:textId="77777777" w:rsidR="003D6A63" w:rsidRDefault="00000000">
            <w:pPr>
              <w:adjustRightInd w:val="0"/>
              <w:snapToGrid w:val="0"/>
              <w:jc w:val="left"/>
              <w:rPr>
                <w:szCs w:val="21"/>
              </w:rPr>
            </w:pPr>
            <w:r>
              <w:rPr>
                <w:szCs w:val="21"/>
              </w:rPr>
              <w:t>自喷油井、机械采油井（包括丛式井）、计量站、集油阀组间等电力负荷宜为三级。</w:t>
            </w:r>
          </w:p>
        </w:tc>
        <w:tc>
          <w:tcPr>
            <w:tcW w:w="1078" w:type="pct"/>
            <w:tcBorders>
              <w:tl2br w:val="nil"/>
              <w:tr2bl w:val="nil"/>
            </w:tcBorders>
            <w:vAlign w:val="center"/>
          </w:tcPr>
          <w:p w14:paraId="76AF73DD" w14:textId="77777777" w:rsidR="003D6A63" w:rsidRDefault="00000000">
            <w:pPr>
              <w:adjustRightInd w:val="0"/>
              <w:snapToGrid w:val="0"/>
              <w:jc w:val="center"/>
              <w:rPr>
                <w:szCs w:val="21"/>
              </w:rPr>
            </w:pPr>
            <w:r>
              <w:rPr>
                <w:szCs w:val="21"/>
              </w:rPr>
              <w:t>GB50350-2015</w:t>
            </w:r>
          </w:p>
          <w:p w14:paraId="43FCE87C" w14:textId="77777777" w:rsidR="003D6A63" w:rsidRDefault="00000000">
            <w:pPr>
              <w:adjustRightInd w:val="0"/>
              <w:snapToGrid w:val="0"/>
              <w:jc w:val="center"/>
              <w:rPr>
                <w:szCs w:val="21"/>
              </w:rPr>
            </w:pPr>
            <w:r>
              <w:rPr>
                <w:szCs w:val="21"/>
              </w:rPr>
              <w:t>11.1.1</w:t>
            </w:r>
          </w:p>
        </w:tc>
        <w:tc>
          <w:tcPr>
            <w:tcW w:w="988" w:type="pct"/>
            <w:tcBorders>
              <w:tl2br w:val="nil"/>
              <w:tr2bl w:val="nil"/>
            </w:tcBorders>
            <w:vAlign w:val="center"/>
          </w:tcPr>
          <w:p w14:paraId="586FB8FC" w14:textId="77777777" w:rsidR="003D6A63" w:rsidRDefault="00000000">
            <w:pPr>
              <w:adjustRightInd w:val="0"/>
              <w:snapToGrid w:val="0"/>
              <w:jc w:val="left"/>
              <w:rPr>
                <w:rFonts w:ascii="宋体" w:hAnsi="宋体" w:cs="宋体"/>
                <w:kern w:val="0"/>
                <w:szCs w:val="21"/>
              </w:rPr>
            </w:pPr>
            <w:r>
              <w:rPr>
                <w:rFonts w:ascii="宋体" w:hAnsi="宋体" w:cs="宋体" w:hint="eastAsia"/>
                <w:kern w:val="0"/>
                <w:szCs w:val="21"/>
              </w:rPr>
              <w:t>井场电力负荷为三级。</w:t>
            </w:r>
          </w:p>
        </w:tc>
        <w:tc>
          <w:tcPr>
            <w:tcW w:w="355" w:type="pct"/>
            <w:tcBorders>
              <w:tl2br w:val="nil"/>
              <w:tr2bl w:val="nil"/>
            </w:tcBorders>
            <w:vAlign w:val="center"/>
          </w:tcPr>
          <w:p w14:paraId="51187084" w14:textId="77777777" w:rsidR="003D6A63" w:rsidRDefault="00000000">
            <w:pPr>
              <w:adjustRightInd w:val="0"/>
              <w:snapToGrid w:val="0"/>
              <w:jc w:val="center"/>
              <w:rPr>
                <w:rFonts w:ascii="宋体" w:hAnsi="宋体" w:cs="宋体"/>
                <w:szCs w:val="21"/>
              </w:rPr>
            </w:pPr>
            <w:r>
              <w:rPr>
                <w:rFonts w:ascii="宋体" w:hAnsi="宋体" w:cs="宋体" w:hint="eastAsia"/>
                <w:szCs w:val="21"/>
              </w:rPr>
              <w:t>√</w:t>
            </w:r>
          </w:p>
        </w:tc>
      </w:tr>
      <w:tr w:rsidR="003D6A63" w14:paraId="2E4CC6D4" w14:textId="77777777">
        <w:trPr>
          <w:trHeight w:val="374"/>
        </w:trPr>
        <w:tc>
          <w:tcPr>
            <w:tcW w:w="251" w:type="pct"/>
            <w:tcBorders>
              <w:tl2br w:val="nil"/>
              <w:tr2bl w:val="nil"/>
            </w:tcBorders>
            <w:vAlign w:val="center"/>
          </w:tcPr>
          <w:p w14:paraId="14AEEBB7"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1595815B" w14:textId="77777777" w:rsidR="003D6A63" w:rsidRDefault="00000000">
            <w:pPr>
              <w:adjustRightInd w:val="0"/>
              <w:snapToGrid w:val="0"/>
              <w:jc w:val="left"/>
              <w:rPr>
                <w:szCs w:val="21"/>
              </w:rPr>
            </w:pPr>
            <w:r>
              <w:rPr>
                <w:szCs w:val="21"/>
              </w:rPr>
              <w:t>柱上式变压器台底部距地面高度，不应小于</w:t>
            </w:r>
            <w:r>
              <w:rPr>
                <w:szCs w:val="21"/>
              </w:rPr>
              <w:t>2.5m</w:t>
            </w:r>
            <w:r>
              <w:rPr>
                <w:szCs w:val="21"/>
              </w:rPr>
              <w:t>。</w:t>
            </w:r>
          </w:p>
        </w:tc>
        <w:tc>
          <w:tcPr>
            <w:tcW w:w="1078" w:type="pct"/>
            <w:tcBorders>
              <w:tl2br w:val="nil"/>
              <w:tr2bl w:val="nil"/>
            </w:tcBorders>
            <w:vAlign w:val="center"/>
          </w:tcPr>
          <w:p w14:paraId="23904A8A" w14:textId="77777777" w:rsidR="003D6A63" w:rsidRDefault="00000000">
            <w:pPr>
              <w:adjustRightInd w:val="0"/>
              <w:snapToGrid w:val="0"/>
              <w:jc w:val="center"/>
              <w:rPr>
                <w:szCs w:val="21"/>
              </w:rPr>
            </w:pPr>
            <w:r>
              <w:rPr>
                <w:szCs w:val="21"/>
              </w:rPr>
              <w:t>DL/T 5220-2021</w:t>
            </w:r>
          </w:p>
          <w:p w14:paraId="718858BC" w14:textId="77777777" w:rsidR="003D6A63" w:rsidRDefault="00000000">
            <w:pPr>
              <w:adjustRightInd w:val="0"/>
              <w:snapToGrid w:val="0"/>
              <w:jc w:val="center"/>
              <w:rPr>
                <w:szCs w:val="21"/>
              </w:rPr>
            </w:pPr>
            <w:r>
              <w:rPr>
                <w:szCs w:val="21"/>
              </w:rPr>
              <w:t>12.1.4</w:t>
            </w:r>
          </w:p>
        </w:tc>
        <w:tc>
          <w:tcPr>
            <w:tcW w:w="988" w:type="pct"/>
            <w:tcBorders>
              <w:tl2br w:val="nil"/>
              <w:tr2bl w:val="nil"/>
            </w:tcBorders>
            <w:vAlign w:val="center"/>
          </w:tcPr>
          <w:p w14:paraId="16C124E0" w14:textId="77777777" w:rsidR="003D6A63" w:rsidRDefault="00000000">
            <w:pPr>
              <w:adjustRightInd w:val="0"/>
              <w:snapToGrid w:val="0"/>
              <w:jc w:val="left"/>
              <w:rPr>
                <w:rFonts w:ascii="宋体" w:hAnsi="宋体" w:cs="宋体"/>
                <w:kern w:val="0"/>
                <w:szCs w:val="21"/>
              </w:rPr>
            </w:pPr>
            <w:r>
              <w:rPr>
                <w:rFonts w:ascii="宋体" w:hAnsi="宋体" w:cs="宋体" w:hint="eastAsia"/>
                <w:kern w:val="0"/>
                <w:szCs w:val="21"/>
              </w:rPr>
              <w:t>井场杆上式变压器高度符合要求。</w:t>
            </w:r>
          </w:p>
        </w:tc>
        <w:tc>
          <w:tcPr>
            <w:tcW w:w="355" w:type="pct"/>
            <w:tcBorders>
              <w:tl2br w:val="nil"/>
              <w:tr2bl w:val="nil"/>
            </w:tcBorders>
            <w:vAlign w:val="center"/>
          </w:tcPr>
          <w:p w14:paraId="0AB07387" w14:textId="77777777" w:rsidR="003D6A63" w:rsidRDefault="00000000">
            <w:pPr>
              <w:adjustRightInd w:val="0"/>
              <w:snapToGrid w:val="0"/>
              <w:jc w:val="center"/>
              <w:rPr>
                <w:rFonts w:ascii="宋体" w:hAnsi="宋体" w:cs="宋体"/>
                <w:szCs w:val="21"/>
              </w:rPr>
            </w:pPr>
            <w:r>
              <w:rPr>
                <w:rFonts w:ascii="宋体" w:hAnsi="宋体" w:cs="宋体" w:hint="eastAsia"/>
                <w:szCs w:val="21"/>
              </w:rPr>
              <w:t>√</w:t>
            </w:r>
          </w:p>
        </w:tc>
      </w:tr>
      <w:tr w:rsidR="003D6A63" w14:paraId="7970F955" w14:textId="77777777">
        <w:trPr>
          <w:trHeight w:val="374"/>
        </w:trPr>
        <w:tc>
          <w:tcPr>
            <w:tcW w:w="251" w:type="pct"/>
            <w:tcBorders>
              <w:tl2br w:val="nil"/>
              <w:tr2bl w:val="nil"/>
            </w:tcBorders>
            <w:vAlign w:val="center"/>
          </w:tcPr>
          <w:p w14:paraId="5274831D"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5AD6D00B" w14:textId="77777777" w:rsidR="003D6A63" w:rsidRDefault="00000000">
            <w:pPr>
              <w:adjustRightInd w:val="0"/>
              <w:snapToGrid w:val="0"/>
              <w:jc w:val="left"/>
              <w:rPr>
                <w:szCs w:val="21"/>
              </w:rPr>
            </w:pPr>
            <w:r>
              <w:rPr>
                <w:szCs w:val="21"/>
              </w:rPr>
              <w:t>采油井场变压器宜采用柱上安装或其他安装方式，变压器的平均负荷率不应低于</w:t>
            </w:r>
            <w:r>
              <w:rPr>
                <w:szCs w:val="21"/>
              </w:rPr>
              <w:t>30%</w:t>
            </w:r>
            <w:r>
              <w:rPr>
                <w:szCs w:val="21"/>
              </w:rPr>
              <w:t>。</w:t>
            </w:r>
          </w:p>
        </w:tc>
        <w:tc>
          <w:tcPr>
            <w:tcW w:w="1078" w:type="pct"/>
            <w:tcBorders>
              <w:tl2br w:val="nil"/>
              <w:tr2bl w:val="nil"/>
            </w:tcBorders>
            <w:vAlign w:val="center"/>
          </w:tcPr>
          <w:p w14:paraId="7DF80E09" w14:textId="77777777" w:rsidR="003D6A63" w:rsidRDefault="00000000">
            <w:pPr>
              <w:adjustRightInd w:val="0"/>
              <w:snapToGrid w:val="0"/>
              <w:jc w:val="center"/>
              <w:rPr>
                <w:szCs w:val="21"/>
              </w:rPr>
            </w:pPr>
            <w:r>
              <w:rPr>
                <w:szCs w:val="21"/>
              </w:rPr>
              <w:t>GB50350-2015</w:t>
            </w:r>
          </w:p>
          <w:p w14:paraId="303F5985" w14:textId="77777777" w:rsidR="003D6A63" w:rsidRDefault="00000000">
            <w:pPr>
              <w:adjustRightInd w:val="0"/>
              <w:snapToGrid w:val="0"/>
              <w:jc w:val="center"/>
              <w:rPr>
                <w:szCs w:val="21"/>
              </w:rPr>
            </w:pPr>
            <w:r>
              <w:rPr>
                <w:szCs w:val="21"/>
              </w:rPr>
              <w:t>11.1.4</w:t>
            </w:r>
          </w:p>
        </w:tc>
        <w:tc>
          <w:tcPr>
            <w:tcW w:w="988" w:type="pct"/>
            <w:tcBorders>
              <w:tl2br w:val="nil"/>
              <w:tr2bl w:val="nil"/>
            </w:tcBorders>
            <w:vAlign w:val="center"/>
          </w:tcPr>
          <w:p w14:paraId="095A0CAD" w14:textId="77777777" w:rsidR="003D6A63" w:rsidRDefault="00000000">
            <w:pPr>
              <w:adjustRightInd w:val="0"/>
              <w:snapToGrid w:val="0"/>
              <w:jc w:val="left"/>
              <w:rPr>
                <w:rFonts w:ascii="宋体" w:hAnsi="宋体" w:cs="宋体"/>
                <w:kern w:val="0"/>
                <w:szCs w:val="21"/>
              </w:rPr>
            </w:pPr>
            <w:r>
              <w:rPr>
                <w:rFonts w:ascii="宋体" w:hAnsi="宋体" w:cs="宋体" w:hint="eastAsia"/>
                <w:kern w:val="0"/>
                <w:szCs w:val="21"/>
              </w:rPr>
              <w:t>变压器负荷率符合要求。</w:t>
            </w:r>
          </w:p>
        </w:tc>
        <w:tc>
          <w:tcPr>
            <w:tcW w:w="355" w:type="pct"/>
            <w:tcBorders>
              <w:tl2br w:val="nil"/>
              <w:tr2bl w:val="nil"/>
            </w:tcBorders>
            <w:vAlign w:val="center"/>
          </w:tcPr>
          <w:p w14:paraId="5EA4F5A7" w14:textId="77777777" w:rsidR="003D6A63" w:rsidRDefault="00000000">
            <w:pPr>
              <w:adjustRightInd w:val="0"/>
              <w:snapToGrid w:val="0"/>
              <w:jc w:val="center"/>
              <w:rPr>
                <w:rFonts w:ascii="宋体" w:hAnsi="宋体" w:cs="宋体"/>
                <w:szCs w:val="21"/>
              </w:rPr>
            </w:pPr>
            <w:r>
              <w:rPr>
                <w:rFonts w:ascii="宋体" w:hAnsi="宋体" w:cs="宋体" w:hint="eastAsia"/>
                <w:szCs w:val="21"/>
              </w:rPr>
              <w:t>√</w:t>
            </w:r>
          </w:p>
        </w:tc>
      </w:tr>
      <w:tr w:rsidR="003D6A63" w14:paraId="597043C4" w14:textId="77777777">
        <w:trPr>
          <w:trHeight w:val="374"/>
        </w:trPr>
        <w:tc>
          <w:tcPr>
            <w:tcW w:w="251" w:type="pct"/>
            <w:tcBorders>
              <w:tl2br w:val="nil"/>
              <w:tr2bl w:val="nil"/>
            </w:tcBorders>
            <w:vAlign w:val="center"/>
          </w:tcPr>
          <w:p w14:paraId="7E1A20C5"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4B681F2D" w14:textId="77777777" w:rsidR="003D6A63" w:rsidRDefault="00000000">
            <w:pPr>
              <w:adjustRightInd w:val="0"/>
              <w:snapToGrid w:val="0"/>
              <w:jc w:val="left"/>
              <w:rPr>
                <w:color w:val="FF0000"/>
                <w:szCs w:val="21"/>
              </w:rPr>
            </w:pPr>
            <w:r>
              <w:rPr>
                <w:color w:val="000000" w:themeColor="text1"/>
                <w:szCs w:val="21"/>
              </w:rPr>
              <w:t>电气设备的接地应完好、可靠。</w:t>
            </w:r>
          </w:p>
        </w:tc>
        <w:tc>
          <w:tcPr>
            <w:tcW w:w="1078" w:type="pct"/>
            <w:tcBorders>
              <w:tl2br w:val="nil"/>
              <w:tr2bl w:val="nil"/>
            </w:tcBorders>
            <w:vAlign w:val="center"/>
          </w:tcPr>
          <w:p w14:paraId="7480D3B1" w14:textId="77777777" w:rsidR="003D6A63" w:rsidRDefault="00000000">
            <w:pPr>
              <w:adjustRightInd w:val="0"/>
              <w:snapToGrid w:val="0"/>
              <w:jc w:val="center"/>
              <w:rPr>
                <w:color w:val="000000" w:themeColor="text1"/>
                <w:szCs w:val="21"/>
              </w:rPr>
            </w:pPr>
            <w:r>
              <w:rPr>
                <w:color w:val="000000" w:themeColor="text1"/>
                <w:szCs w:val="21"/>
              </w:rPr>
              <w:t>SY/T6320-20</w:t>
            </w:r>
            <w:r>
              <w:rPr>
                <w:rFonts w:hint="eastAsia"/>
                <w:color w:val="000000" w:themeColor="text1"/>
                <w:szCs w:val="21"/>
              </w:rPr>
              <w:t>22</w:t>
            </w:r>
          </w:p>
          <w:p w14:paraId="0D461F0C" w14:textId="77777777" w:rsidR="003D6A63" w:rsidRDefault="00000000">
            <w:pPr>
              <w:adjustRightInd w:val="0"/>
              <w:snapToGrid w:val="0"/>
              <w:jc w:val="center"/>
              <w:rPr>
                <w:color w:val="FF0000"/>
                <w:szCs w:val="21"/>
              </w:rPr>
            </w:pPr>
            <w:r>
              <w:rPr>
                <w:rFonts w:hint="eastAsia"/>
                <w:color w:val="000000" w:themeColor="text1"/>
                <w:szCs w:val="21"/>
              </w:rPr>
              <w:t>10</w:t>
            </w:r>
            <w:r>
              <w:rPr>
                <w:color w:val="000000" w:themeColor="text1"/>
                <w:szCs w:val="21"/>
              </w:rPr>
              <w:t>.</w:t>
            </w:r>
            <w:r>
              <w:rPr>
                <w:rFonts w:hint="eastAsia"/>
                <w:color w:val="000000" w:themeColor="text1"/>
                <w:szCs w:val="21"/>
              </w:rPr>
              <w:t>8</w:t>
            </w:r>
          </w:p>
        </w:tc>
        <w:tc>
          <w:tcPr>
            <w:tcW w:w="988" w:type="pct"/>
            <w:tcBorders>
              <w:tl2br w:val="nil"/>
              <w:tr2bl w:val="nil"/>
            </w:tcBorders>
            <w:vAlign w:val="center"/>
          </w:tcPr>
          <w:p w14:paraId="5621B8A5" w14:textId="77777777" w:rsidR="003D6A63" w:rsidRDefault="00000000">
            <w:pPr>
              <w:adjustRightInd w:val="0"/>
              <w:snapToGrid w:val="0"/>
              <w:jc w:val="left"/>
              <w:rPr>
                <w:rFonts w:ascii="宋体" w:hAnsi="宋体" w:cs="宋体"/>
                <w:kern w:val="0"/>
                <w:szCs w:val="21"/>
              </w:rPr>
            </w:pPr>
            <w:r>
              <w:rPr>
                <w:rFonts w:ascii="宋体" w:hAnsi="宋体" w:cs="宋体" w:hint="eastAsia"/>
                <w:kern w:val="0"/>
                <w:szCs w:val="21"/>
              </w:rPr>
              <w:t>井场电气设备接地完好可靠。</w:t>
            </w:r>
          </w:p>
        </w:tc>
        <w:tc>
          <w:tcPr>
            <w:tcW w:w="355" w:type="pct"/>
            <w:tcBorders>
              <w:tl2br w:val="nil"/>
              <w:tr2bl w:val="nil"/>
            </w:tcBorders>
            <w:vAlign w:val="center"/>
          </w:tcPr>
          <w:p w14:paraId="66B56F00" w14:textId="77777777" w:rsidR="003D6A63" w:rsidRDefault="00000000">
            <w:pPr>
              <w:adjustRightInd w:val="0"/>
              <w:snapToGrid w:val="0"/>
              <w:jc w:val="center"/>
              <w:rPr>
                <w:rFonts w:ascii="宋体" w:hAnsi="宋体" w:cs="宋体"/>
                <w:szCs w:val="21"/>
              </w:rPr>
            </w:pPr>
            <w:r>
              <w:rPr>
                <w:rFonts w:ascii="宋体" w:hAnsi="宋体" w:cs="宋体" w:hint="eastAsia"/>
                <w:szCs w:val="21"/>
              </w:rPr>
              <w:t>√</w:t>
            </w:r>
          </w:p>
        </w:tc>
      </w:tr>
      <w:tr w:rsidR="003D6A63" w14:paraId="4AB6C881" w14:textId="77777777">
        <w:trPr>
          <w:trHeight w:val="374"/>
        </w:trPr>
        <w:tc>
          <w:tcPr>
            <w:tcW w:w="251" w:type="pct"/>
            <w:tcBorders>
              <w:tl2br w:val="nil"/>
              <w:tr2bl w:val="nil"/>
            </w:tcBorders>
            <w:vAlign w:val="center"/>
          </w:tcPr>
          <w:p w14:paraId="42E49E34" w14:textId="77777777" w:rsidR="003D6A63" w:rsidRDefault="00000000">
            <w:pPr>
              <w:adjustRightInd w:val="0"/>
              <w:snapToGrid w:val="0"/>
              <w:jc w:val="center"/>
              <w:rPr>
                <w:rFonts w:ascii="宋体" w:hAnsi="宋体" w:cs="宋体"/>
                <w:b/>
                <w:bCs/>
                <w:szCs w:val="21"/>
              </w:rPr>
            </w:pPr>
            <w:r>
              <w:rPr>
                <w:rFonts w:ascii="宋体" w:hAnsi="宋体" w:cs="宋体" w:hint="eastAsia"/>
                <w:b/>
                <w:bCs/>
                <w:szCs w:val="21"/>
              </w:rPr>
              <w:t>四</w:t>
            </w:r>
          </w:p>
        </w:tc>
        <w:tc>
          <w:tcPr>
            <w:tcW w:w="2326" w:type="pct"/>
            <w:tcBorders>
              <w:tl2br w:val="nil"/>
              <w:tr2bl w:val="nil"/>
            </w:tcBorders>
            <w:vAlign w:val="center"/>
          </w:tcPr>
          <w:p w14:paraId="57960F39" w14:textId="77777777" w:rsidR="003D6A63" w:rsidRDefault="00000000">
            <w:pPr>
              <w:adjustRightInd w:val="0"/>
              <w:snapToGrid w:val="0"/>
              <w:jc w:val="center"/>
              <w:rPr>
                <w:rFonts w:ascii="宋体" w:hAnsi="宋体" w:cs="宋体"/>
                <w:b/>
                <w:bCs/>
                <w:szCs w:val="21"/>
              </w:rPr>
            </w:pPr>
            <w:r>
              <w:rPr>
                <w:rFonts w:ascii="宋体" w:hAnsi="宋体" w:cs="宋体" w:hint="eastAsia"/>
                <w:b/>
                <w:bCs/>
                <w:szCs w:val="21"/>
              </w:rPr>
              <w:t>防雷防静电设施</w:t>
            </w:r>
          </w:p>
        </w:tc>
        <w:tc>
          <w:tcPr>
            <w:tcW w:w="1078" w:type="pct"/>
            <w:tcBorders>
              <w:tl2br w:val="nil"/>
              <w:tr2bl w:val="nil"/>
            </w:tcBorders>
            <w:vAlign w:val="center"/>
          </w:tcPr>
          <w:p w14:paraId="32D2F1D9" w14:textId="77777777" w:rsidR="003D6A63" w:rsidRDefault="003D6A63">
            <w:pPr>
              <w:adjustRightInd w:val="0"/>
              <w:snapToGrid w:val="0"/>
              <w:jc w:val="center"/>
              <w:rPr>
                <w:rFonts w:ascii="宋体" w:hAnsi="宋体" w:cs="宋体"/>
                <w:szCs w:val="21"/>
              </w:rPr>
            </w:pPr>
          </w:p>
        </w:tc>
        <w:tc>
          <w:tcPr>
            <w:tcW w:w="988" w:type="pct"/>
            <w:tcBorders>
              <w:tl2br w:val="nil"/>
              <w:tr2bl w:val="nil"/>
            </w:tcBorders>
            <w:vAlign w:val="center"/>
          </w:tcPr>
          <w:p w14:paraId="6194DA23" w14:textId="77777777" w:rsidR="003D6A63" w:rsidRDefault="003D6A63">
            <w:pPr>
              <w:adjustRightInd w:val="0"/>
              <w:snapToGrid w:val="0"/>
              <w:jc w:val="center"/>
              <w:rPr>
                <w:rFonts w:ascii="宋体" w:hAnsi="宋体" w:cs="宋体"/>
                <w:kern w:val="0"/>
                <w:szCs w:val="21"/>
              </w:rPr>
            </w:pPr>
          </w:p>
        </w:tc>
        <w:tc>
          <w:tcPr>
            <w:tcW w:w="355" w:type="pct"/>
            <w:tcBorders>
              <w:tl2br w:val="nil"/>
              <w:tr2bl w:val="nil"/>
            </w:tcBorders>
            <w:vAlign w:val="center"/>
          </w:tcPr>
          <w:p w14:paraId="2681556C" w14:textId="77777777" w:rsidR="003D6A63" w:rsidRDefault="003D6A63">
            <w:pPr>
              <w:adjustRightInd w:val="0"/>
              <w:snapToGrid w:val="0"/>
              <w:jc w:val="center"/>
              <w:rPr>
                <w:rFonts w:ascii="宋体" w:hAnsi="宋体" w:cs="宋体"/>
                <w:szCs w:val="21"/>
              </w:rPr>
            </w:pPr>
          </w:p>
        </w:tc>
      </w:tr>
      <w:tr w:rsidR="003D6A63" w14:paraId="263EA06B" w14:textId="77777777">
        <w:trPr>
          <w:trHeight w:val="374"/>
        </w:trPr>
        <w:tc>
          <w:tcPr>
            <w:tcW w:w="251" w:type="pct"/>
            <w:tcBorders>
              <w:tl2br w:val="nil"/>
              <w:tr2bl w:val="nil"/>
            </w:tcBorders>
            <w:vAlign w:val="center"/>
          </w:tcPr>
          <w:p w14:paraId="6136E683"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12360DC7" w14:textId="77777777" w:rsidR="003D6A63" w:rsidRDefault="00000000">
            <w:pPr>
              <w:autoSpaceDE w:val="0"/>
              <w:autoSpaceDN w:val="0"/>
              <w:adjustRightInd w:val="0"/>
              <w:snapToGrid w:val="0"/>
              <w:jc w:val="left"/>
              <w:rPr>
                <w:kern w:val="0"/>
                <w:szCs w:val="21"/>
              </w:rPr>
            </w:pPr>
            <w:r>
              <w:rPr>
                <w:kern w:val="0"/>
                <w:szCs w:val="21"/>
              </w:rPr>
              <w:t>对爆炸火灾危险场所内可能产生静电危险的设备和管道均应采取防静电措施。</w:t>
            </w:r>
          </w:p>
        </w:tc>
        <w:tc>
          <w:tcPr>
            <w:tcW w:w="1078" w:type="pct"/>
            <w:tcBorders>
              <w:tl2br w:val="nil"/>
              <w:tr2bl w:val="nil"/>
            </w:tcBorders>
            <w:vAlign w:val="center"/>
          </w:tcPr>
          <w:p w14:paraId="3EBB4B22" w14:textId="77777777" w:rsidR="003D6A63" w:rsidRDefault="00000000">
            <w:pPr>
              <w:adjustRightInd w:val="0"/>
              <w:snapToGrid w:val="0"/>
              <w:jc w:val="center"/>
              <w:rPr>
                <w:szCs w:val="21"/>
              </w:rPr>
            </w:pPr>
            <w:r>
              <w:rPr>
                <w:szCs w:val="21"/>
              </w:rPr>
              <w:t>GB50183-2004</w:t>
            </w:r>
          </w:p>
          <w:p w14:paraId="323E27E7" w14:textId="77777777" w:rsidR="003D6A63" w:rsidRDefault="00000000">
            <w:pPr>
              <w:adjustRightInd w:val="0"/>
              <w:snapToGrid w:val="0"/>
              <w:jc w:val="center"/>
              <w:rPr>
                <w:szCs w:val="21"/>
              </w:rPr>
            </w:pPr>
            <w:r>
              <w:rPr>
                <w:szCs w:val="21"/>
              </w:rPr>
              <w:t>9.3.1</w:t>
            </w:r>
          </w:p>
        </w:tc>
        <w:tc>
          <w:tcPr>
            <w:tcW w:w="988" w:type="pct"/>
            <w:tcBorders>
              <w:tl2br w:val="nil"/>
              <w:tr2bl w:val="nil"/>
            </w:tcBorders>
            <w:vAlign w:val="center"/>
          </w:tcPr>
          <w:p w14:paraId="158D8683" w14:textId="77777777" w:rsidR="003D6A63" w:rsidRDefault="00000000">
            <w:pPr>
              <w:adjustRightInd w:val="0"/>
              <w:snapToGrid w:val="0"/>
              <w:jc w:val="left"/>
              <w:rPr>
                <w:rFonts w:ascii="宋体" w:hAnsi="宋体" w:cs="宋体"/>
                <w:kern w:val="0"/>
                <w:szCs w:val="21"/>
              </w:rPr>
            </w:pPr>
            <w:r>
              <w:rPr>
                <w:rFonts w:ascii="宋体" w:hAnsi="宋体" w:cs="宋体" w:hint="eastAsia"/>
                <w:kern w:val="0"/>
                <w:szCs w:val="21"/>
              </w:rPr>
              <w:t>井场设备均采取防静电措施。</w:t>
            </w:r>
          </w:p>
        </w:tc>
        <w:tc>
          <w:tcPr>
            <w:tcW w:w="355" w:type="pct"/>
            <w:tcBorders>
              <w:tl2br w:val="nil"/>
              <w:tr2bl w:val="nil"/>
            </w:tcBorders>
            <w:vAlign w:val="center"/>
          </w:tcPr>
          <w:p w14:paraId="716E0EE7" w14:textId="77777777" w:rsidR="003D6A63" w:rsidRDefault="00000000">
            <w:pPr>
              <w:adjustRightInd w:val="0"/>
              <w:snapToGrid w:val="0"/>
              <w:jc w:val="center"/>
              <w:rPr>
                <w:rFonts w:ascii="宋体" w:hAnsi="宋体" w:cs="宋体"/>
                <w:szCs w:val="21"/>
              </w:rPr>
            </w:pPr>
            <w:r>
              <w:rPr>
                <w:rFonts w:ascii="宋体" w:hAnsi="宋体" w:cs="宋体" w:hint="eastAsia"/>
                <w:szCs w:val="21"/>
              </w:rPr>
              <w:t>√</w:t>
            </w:r>
          </w:p>
        </w:tc>
      </w:tr>
      <w:tr w:rsidR="003D6A63" w14:paraId="7A749EC7" w14:textId="77777777">
        <w:trPr>
          <w:trHeight w:val="374"/>
        </w:trPr>
        <w:tc>
          <w:tcPr>
            <w:tcW w:w="251" w:type="pct"/>
            <w:tcBorders>
              <w:tl2br w:val="nil"/>
              <w:tr2bl w:val="nil"/>
            </w:tcBorders>
            <w:vAlign w:val="center"/>
          </w:tcPr>
          <w:p w14:paraId="4B9CDCF2"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5BD512F8" w14:textId="77777777" w:rsidR="003D6A63" w:rsidRDefault="00000000">
            <w:pPr>
              <w:adjustRightInd w:val="0"/>
              <w:snapToGrid w:val="0"/>
              <w:jc w:val="left"/>
              <w:rPr>
                <w:color w:val="000000" w:themeColor="text1"/>
                <w:kern w:val="0"/>
                <w:szCs w:val="21"/>
              </w:rPr>
            </w:pPr>
            <w:r>
              <w:rPr>
                <w:rFonts w:hint="eastAsia"/>
                <w:color w:val="000000" w:themeColor="text1"/>
                <w:kern w:val="0"/>
                <w:szCs w:val="21"/>
              </w:rPr>
              <w:t>静电接地的连接应符合下列要求：</w:t>
            </w:r>
          </w:p>
          <w:p w14:paraId="184592E1" w14:textId="77777777" w:rsidR="003D6A63" w:rsidRDefault="00000000">
            <w:pPr>
              <w:adjustRightInd w:val="0"/>
              <w:snapToGrid w:val="0"/>
              <w:jc w:val="left"/>
              <w:rPr>
                <w:color w:val="000000" w:themeColor="text1"/>
                <w:kern w:val="0"/>
                <w:szCs w:val="21"/>
              </w:rPr>
            </w:pPr>
            <w:r>
              <w:rPr>
                <w:rFonts w:hint="eastAsia"/>
                <w:color w:val="000000" w:themeColor="text1"/>
                <w:kern w:val="0"/>
                <w:szCs w:val="21"/>
              </w:rPr>
              <w:t>1</w:t>
            </w:r>
            <w:r>
              <w:rPr>
                <w:rFonts w:hint="eastAsia"/>
                <w:color w:val="000000" w:themeColor="text1"/>
                <w:kern w:val="0"/>
                <w:szCs w:val="21"/>
              </w:rPr>
              <w:t>）当采用搭接焊接时，搭接长度不应小于扁钢宽度的</w:t>
            </w:r>
            <w:r>
              <w:rPr>
                <w:rFonts w:hint="eastAsia"/>
                <w:color w:val="000000" w:themeColor="text1"/>
                <w:kern w:val="0"/>
                <w:szCs w:val="21"/>
              </w:rPr>
              <w:t>2</w:t>
            </w:r>
            <w:r>
              <w:rPr>
                <w:rFonts w:hint="eastAsia"/>
                <w:color w:val="000000" w:themeColor="text1"/>
                <w:kern w:val="0"/>
                <w:szCs w:val="21"/>
              </w:rPr>
              <w:t>倍或圆钢直径的</w:t>
            </w:r>
            <w:r>
              <w:rPr>
                <w:rFonts w:hint="eastAsia"/>
                <w:color w:val="000000" w:themeColor="text1"/>
                <w:kern w:val="0"/>
                <w:szCs w:val="21"/>
              </w:rPr>
              <w:t>6</w:t>
            </w:r>
            <w:r>
              <w:rPr>
                <w:rFonts w:hint="eastAsia"/>
                <w:color w:val="000000" w:themeColor="text1"/>
                <w:kern w:val="0"/>
                <w:szCs w:val="21"/>
              </w:rPr>
              <w:t>倍；</w:t>
            </w:r>
          </w:p>
          <w:p w14:paraId="402092F6" w14:textId="77777777" w:rsidR="003D6A63" w:rsidRDefault="00000000">
            <w:pPr>
              <w:adjustRightInd w:val="0"/>
              <w:snapToGrid w:val="0"/>
              <w:jc w:val="left"/>
              <w:rPr>
                <w:color w:val="000000" w:themeColor="text1"/>
                <w:kern w:val="0"/>
                <w:szCs w:val="21"/>
              </w:rPr>
            </w:pPr>
            <w:r>
              <w:rPr>
                <w:rFonts w:hint="eastAsia"/>
                <w:color w:val="000000" w:themeColor="text1"/>
                <w:kern w:val="0"/>
                <w:szCs w:val="21"/>
              </w:rPr>
              <w:t>2</w:t>
            </w:r>
            <w:r>
              <w:rPr>
                <w:rFonts w:hint="eastAsia"/>
                <w:color w:val="000000" w:themeColor="text1"/>
                <w:kern w:val="0"/>
                <w:szCs w:val="21"/>
              </w:rPr>
              <w:t>）当采用螺栓连接时，金属接触面应去锈、除油污、并加防松螺栓帽或防松垫片；</w:t>
            </w:r>
            <w:r>
              <w:rPr>
                <w:rFonts w:hint="eastAsia"/>
                <w:color w:val="000000" w:themeColor="text1"/>
                <w:kern w:val="0"/>
                <w:szCs w:val="21"/>
              </w:rPr>
              <w:t>3</w:t>
            </w:r>
            <w:r>
              <w:rPr>
                <w:rFonts w:hint="eastAsia"/>
                <w:color w:val="000000" w:themeColor="text1"/>
                <w:kern w:val="0"/>
                <w:szCs w:val="21"/>
              </w:rPr>
              <w:t>）当采用电瓶夹头、鳄式夹钳等器具连接时，相关连接部位应去锈、除油污。</w:t>
            </w:r>
          </w:p>
        </w:tc>
        <w:tc>
          <w:tcPr>
            <w:tcW w:w="1078" w:type="pct"/>
            <w:tcBorders>
              <w:tl2br w:val="nil"/>
              <w:tr2bl w:val="nil"/>
            </w:tcBorders>
            <w:vAlign w:val="center"/>
          </w:tcPr>
          <w:p w14:paraId="3CB2BD4F" w14:textId="77777777" w:rsidR="003D6A63" w:rsidRDefault="00000000">
            <w:pPr>
              <w:adjustRightInd w:val="0"/>
              <w:snapToGrid w:val="0"/>
              <w:jc w:val="center"/>
              <w:rPr>
                <w:szCs w:val="21"/>
              </w:rPr>
            </w:pPr>
            <w:r>
              <w:rPr>
                <w:rFonts w:hint="eastAsia"/>
                <w:szCs w:val="21"/>
              </w:rPr>
              <w:t>SY/T0060-2017</w:t>
            </w:r>
          </w:p>
          <w:p w14:paraId="301566A7" w14:textId="77777777" w:rsidR="003D6A63" w:rsidRDefault="00000000">
            <w:pPr>
              <w:adjustRightInd w:val="0"/>
              <w:snapToGrid w:val="0"/>
              <w:jc w:val="center"/>
              <w:rPr>
                <w:szCs w:val="21"/>
              </w:rPr>
            </w:pPr>
            <w:r>
              <w:rPr>
                <w:rFonts w:hint="eastAsia"/>
                <w:szCs w:val="21"/>
              </w:rPr>
              <w:t>4.2.5</w:t>
            </w:r>
          </w:p>
        </w:tc>
        <w:tc>
          <w:tcPr>
            <w:tcW w:w="988" w:type="pct"/>
            <w:tcBorders>
              <w:tl2br w:val="nil"/>
              <w:tr2bl w:val="nil"/>
            </w:tcBorders>
            <w:vAlign w:val="center"/>
          </w:tcPr>
          <w:p w14:paraId="400FDE2C" w14:textId="77777777" w:rsidR="003D6A63" w:rsidRDefault="00000000">
            <w:pPr>
              <w:adjustRightInd w:val="0"/>
              <w:snapToGrid w:val="0"/>
              <w:jc w:val="left"/>
              <w:rPr>
                <w:rFonts w:ascii="宋体" w:hAnsi="宋体" w:cs="宋体"/>
                <w:kern w:val="0"/>
                <w:szCs w:val="21"/>
              </w:rPr>
            </w:pPr>
            <w:r>
              <w:rPr>
                <w:rFonts w:ascii="宋体" w:hAnsi="宋体" w:cs="宋体" w:hint="eastAsia"/>
                <w:kern w:val="0"/>
                <w:szCs w:val="21"/>
              </w:rPr>
              <w:t>井场防静电接地符合要求。</w:t>
            </w:r>
          </w:p>
        </w:tc>
        <w:tc>
          <w:tcPr>
            <w:tcW w:w="355" w:type="pct"/>
            <w:tcBorders>
              <w:tl2br w:val="nil"/>
              <w:tr2bl w:val="nil"/>
            </w:tcBorders>
            <w:vAlign w:val="center"/>
          </w:tcPr>
          <w:p w14:paraId="3BCB1F18" w14:textId="77777777" w:rsidR="003D6A63" w:rsidRDefault="00000000">
            <w:pPr>
              <w:adjustRightInd w:val="0"/>
              <w:snapToGrid w:val="0"/>
              <w:jc w:val="center"/>
              <w:rPr>
                <w:rFonts w:ascii="宋体" w:hAnsi="宋体" w:cs="宋体"/>
                <w:szCs w:val="21"/>
              </w:rPr>
            </w:pPr>
            <w:r>
              <w:rPr>
                <w:rFonts w:ascii="宋体" w:hAnsi="宋体" w:cs="宋体" w:hint="eastAsia"/>
                <w:szCs w:val="21"/>
              </w:rPr>
              <w:t>√</w:t>
            </w:r>
          </w:p>
        </w:tc>
      </w:tr>
      <w:tr w:rsidR="003D6A63" w14:paraId="7D3246EC" w14:textId="77777777">
        <w:trPr>
          <w:trHeight w:val="374"/>
        </w:trPr>
        <w:tc>
          <w:tcPr>
            <w:tcW w:w="251" w:type="pct"/>
            <w:tcBorders>
              <w:tl2br w:val="nil"/>
              <w:tr2bl w:val="nil"/>
            </w:tcBorders>
            <w:vAlign w:val="center"/>
          </w:tcPr>
          <w:p w14:paraId="66FC27EF" w14:textId="77777777" w:rsidR="003D6A63" w:rsidRDefault="00000000">
            <w:pPr>
              <w:adjustRightInd w:val="0"/>
              <w:snapToGrid w:val="0"/>
              <w:jc w:val="center"/>
              <w:rPr>
                <w:b/>
                <w:bCs/>
                <w:szCs w:val="21"/>
              </w:rPr>
            </w:pPr>
            <w:r>
              <w:rPr>
                <w:rFonts w:hint="eastAsia"/>
                <w:b/>
                <w:bCs/>
                <w:szCs w:val="21"/>
              </w:rPr>
              <w:t>五</w:t>
            </w:r>
          </w:p>
        </w:tc>
        <w:tc>
          <w:tcPr>
            <w:tcW w:w="2326" w:type="pct"/>
            <w:tcBorders>
              <w:tl2br w:val="nil"/>
              <w:tr2bl w:val="nil"/>
            </w:tcBorders>
            <w:vAlign w:val="center"/>
          </w:tcPr>
          <w:p w14:paraId="7294EE89" w14:textId="77777777" w:rsidR="003D6A63" w:rsidRDefault="00000000">
            <w:pPr>
              <w:adjustRightInd w:val="0"/>
              <w:snapToGrid w:val="0"/>
              <w:jc w:val="center"/>
              <w:rPr>
                <w:rFonts w:ascii="宋体" w:hAnsi="宋体" w:cs="宋体"/>
                <w:b/>
                <w:bCs/>
                <w:szCs w:val="21"/>
              </w:rPr>
            </w:pPr>
            <w:r>
              <w:rPr>
                <w:rFonts w:ascii="宋体" w:hAnsi="宋体" w:cs="宋体" w:hint="eastAsia"/>
                <w:b/>
                <w:bCs/>
                <w:szCs w:val="21"/>
              </w:rPr>
              <w:t>消防设施</w:t>
            </w:r>
          </w:p>
        </w:tc>
        <w:tc>
          <w:tcPr>
            <w:tcW w:w="1078" w:type="pct"/>
            <w:tcBorders>
              <w:tl2br w:val="nil"/>
              <w:tr2bl w:val="nil"/>
            </w:tcBorders>
            <w:vAlign w:val="center"/>
          </w:tcPr>
          <w:p w14:paraId="5690017E" w14:textId="77777777" w:rsidR="003D6A63" w:rsidRDefault="003D6A63">
            <w:pPr>
              <w:adjustRightInd w:val="0"/>
              <w:snapToGrid w:val="0"/>
              <w:jc w:val="center"/>
              <w:rPr>
                <w:rFonts w:ascii="宋体" w:hAnsi="宋体" w:cs="宋体"/>
                <w:szCs w:val="21"/>
              </w:rPr>
            </w:pPr>
          </w:p>
        </w:tc>
        <w:tc>
          <w:tcPr>
            <w:tcW w:w="988" w:type="pct"/>
            <w:tcBorders>
              <w:tl2br w:val="nil"/>
              <w:tr2bl w:val="nil"/>
            </w:tcBorders>
            <w:vAlign w:val="center"/>
          </w:tcPr>
          <w:p w14:paraId="6D962533" w14:textId="77777777" w:rsidR="003D6A63" w:rsidRDefault="003D6A63">
            <w:pPr>
              <w:adjustRightInd w:val="0"/>
              <w:snapToGrid w:val="0"/>
              <w:jc w:val="center"/>
              <w:rPr>
                <w:rFonts w:ascii="宋体" w:hAnsi="宋体" w:cs="宋体"/>
                <w:kern w:val="0"/>
                <w:szCs w:val="21"/>
              </w:rPr>
            </w:pPr>
          </w:p>
        </w:tc>
        <w:tc>
          <w:tcPr>
            <w:tcW w:w="355" w:type="pct"/>
            <w:tcBorders>
              <w:tl2br w:val="nil"/>
              <w:tr2bl w:val="nil"/>
            </w:tcBorders>
            <w:vAlign w:val="center"/>
          </w:tcPr>
          <w:p w14:paraId="341DFAFB" w14:textId="77777777" w:rsidR="003D6A63" w:rsidRDefault="003D6A63">
            <w:pPr>
              <w:adjustRightInd w:val="0"/>
              <w:snapToGrid w:val="0"/>
              <w:jc w:val="center"/>
              <w:rPr>
                <w:rFonts w:ascii="宋体" w:hAnsi="宋体" w:cs="宋体"/>
                <w:szCs w:val="21"/>
              </w:rPr>
            </w:pPr>
          </w:p>
        </w:tc>
      </w:tr>
      <w:tr w:rsidR="003D6A63" w14:paraId="77AEA0F0" w14:textId="77777777">
        <w:trPr>
          <w:trHeight w:val="374"/>
        </w:trPr>
        <w:tc>
          <w:tcPr>
            <w:tcW w:w="251" w:type="pct"/>
            <w:tcBorders>
              <w:tl2br w:val="nil"/>
              <w:tr2bl w:val="nil"/>
            </w:tcBorders>
            <w:vAlign w:val="center"/>
          </w:tcPr>
          <w:p w14:paraId="0CD7C07A"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4BFFBBCC" w14:textId="77777777" w:rsidR="003D6A63" w:rsidRDefault="00000000">
            <w:pPr>
              <w:adjustRightInd w:val="0"/>
              <w:snapToGrid w:val="0"/>
              <w:jc w:val="left"/>
              <w:rPr>
                <w:szCs w:val="21"/>
              </w:rPr>
            </w:pPr>
            <w:r>
              <w:rPr>
                <w:szCs w:val="21"/>
              </w:rPr>
              <w:t>灭火器应设置稳固，其铭牌必须朝外。手提式灭火器宜设置在灭火器箱内或挂钩、托架上，其顶部离地面高度不应大于</w:t>
            </w:r>
            <w:r>
              <w:rPr>
                <w:szCs w:val="21"/>
              </w:rPr>
              <w:t>1.50m</w:t>
            </w:r>
            <w:r>
              <w:rPr>
                <w:szCs w:val="21"/>
              </w:rPr>
              <w:t>；底部离地面高度不宜小于</w:t>
            </w:r>
            <w:r>
              <w:rPr>
                <w:szCs w:val="21"/>
              </w:rPr>
              <w:t>0.08m</w:t>
            </w:r>
            <w:r>
              <w:rPr>
                <w:szCs w:val="21"/>
              </w:rPr>
              <w:t>。灭火器箱不得上锁。</w:t>
            </w:r>
          </w:p>
        </w:tc>
        <w:tc>
          <w:tcPr>
            <w:tcW w:w="1078" w:type="pct"/>
            <w:tcBorders>
              <w:tl2br w:val="nil"/>
              <w:tr2bl w:val="nil"/>
            </w:tcBorders>
            <w:vAlign w:val="center"/>
          </w:tcPr>
          <w:p w14:paraId="2CD452C8" w14:textId="77777777" w:rsidR="003D6A63" w:rsidRDefault="00000000">
            <w:pPr>
              <w:adjustRightInd w:val="0"/>
              <w:snapToGrid w:val="0"/>
              <w:jc w:val="center"/>
              <w:rPr>
                <w:szCs w:val="21"/>
              </w:rPr>
            </w:pPr>
            <w:r>
              <w:rPr>
                <w:szCs w:val="21"/>
              </w:rPr>
              <w:t>GB50140-2005</w:t>
            </w:r>
          </w:p>
          <w:p w14:paraId="68789C0B" w14:textId="77777777" w:rsidR="003D6A63" w:rsidRDefault="00000000">
            <w:pPr>
              <w:adjustRightInd w:val="0"/>
              <w:snapToGrid w:val="0"/>
              <w:jc w:val="center"/>
              <w:rPr>
                <w:szCs w:val="21"/>
              </w:rPr>
            </w:pPr>
            <w:r>
              <w:rPr>
                <w:szCs w:val="21"/>
              </w:rPr>
              <w:t>5.1.3</w:t>
            </w:r>
          </w:p>
        </w:tc>
        <w:tc>
          <w:tcPr>
            <w:tcW w:w="988" w:type="pct"/>
            <w:tcBorders>
              <w:tl2br w:val="nil"/>
              <w:tr2bl w:val="nil"/>
            </w:tcBorders>
            <w:vAlign w:val="center"/>
          </w:tcPr>
          <w:p w14:paraId="76074695" w14:textId="77777777" w:rsidR="003D6A63" w:rsidRDefault="00000000">
            <w:pPr>
              <w:adjustRightInd w:val="0"/>
              <w:snapToGrid w:val="0"/>
              <w:jc w:val="left"/>
              <w:rPr>
                <w:rFonts w:ascii="宋体" w:hAnsi="宋体" w:cs="宋体"/>
                <w:kern w:val="0"/>
                <w:szCs w:val="21"/>
              </w:rPr>
            </w:pPr>
            <w:r>
              <w:rPr>
                <w:rFonts w:ascii="宋体" w:hAnsi="宋体" w:cs="宋体" w:hint="eastAsia"/>
                <w:kern w:val="0"/>
                <w:szCs w:val="21"/>
              </w:rPr>
              <w:t>滨603-X13井场高架罐灭火器露天放置于水泥板上，未采取固定措施。</w:t>
            </w:r>
          </w:p>
        </w:tc>
        <w:tc>
          <w:tcPr>
            <w:tcW w:w="355" w:type="pct"/>
            <w:tcBorders>
              <w:tl2br w:val="nil"/>
              <w:tr2bl w:val="nil"/>
            </w:tcBorders>
            <w:vAlign w:val="center"/>
          </w:tcPr>
          <w:p w14:paraId="102BB43F" w14:textId="77777777" w:rsidR="003D6A63" w:rsidRDefault="00000000">
            <w:pPr>
              <w:adjustRightInd w:val="0"/>
              <w:snapToGrid w:val="0"/>
              <w:jc w:val="center"/>
              <w:rPr>
                <w:rFonts w:ascii="宋体" w:hAnsi="宋体" w:cs="宋体"/>
                <w:szCs w:val="21"/>
              </w:rPr>
            </w:pPr>
            <w:r>
              <w:rPr>
                <w:rFonts w:ascii="宋体" w:hAnsi="宋体" w:cs="宋体" w:hint="eastAsia"/>
                <w:b/>
                <w:bCs/>
                <w:szCs w:val="21"/>
              </w:rPr>
              <w:t>×</w:t>
            </w:r>
          </w:p>
        </w:tc>
      </w:tr>
      <w:tr w:rsidR="003D6A63" w14:paraId="303AD7FA" w14:textId="77777777">
        <w:trPr>
          <w:trHeight w:val="374"/>
        </w:trPr>
        <w:tc>
          <w:tcPr>
            <w:tcW w:w="251" w:type="pct"/>
            <w:tcBorders>
              <w:tl2br w:val="nil"/>
              <w:tr2bl w:val="nil"/>
            </w:tcBorders>
            <w:vAlign w:val="center"/>
          </w:tcPr>
          <w:p w14:paraId="0160FF0B"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0124F32F" w14:textId="77777777" w:rsidR="003D6A63" w:rsidRDefault="00000000">
            <w:pPr>
              <w:adjustRightInd w:val="0"/>
              <w:snapToGrid w:val="0"/>
              <w:jc w:val="left"/>
            </w:pPr>
            <w:r>
              <w:t>灭火器的配置类型应与配置场所的火灾种类和危险等级相适应</w:t>
            </w:r>
            <w:r>
              <w:rPr>
                <w:rFonts w:hint="eastAsia"/>
              </w:rPr>
              <w:t>，</w:t>
            </w:r>
            <w:r>
              <w:t>并应符合下列规定</w:t>
            </w:r>
            <w:r>
              <w:rPr>
                <w:rFonts w:hint="eastAsia"/>
              </w:rPr>
              <w:t>：</w:t>
            </w:r>
          </w:p>
          <w:p w14:paraId="01920FAC" w14:textId="77777777" w:rsidR="003D6A63" w:rsidRDefault="00000000">
            <w:pPr>
              <w:adjustRightInd w:val="0"/>
              <w:snapToGrid w:val="0"/>
              <w:jc w:val="left"/>
            </w:pPr>
            <w:r>
              <w:rPr>
                <w:rFonts w:hint="eastAsia"/>
              </w:rPr>
              <w:t>1 A</w:t>
            </w:r>
            <w:r>
              <w:rPr>
                <w:rFonts w:hint="eastAsia"/>
              </w:rPr>
              <w:t>类火灾场所应选择同时适用于</w:t>
            </w:r>
            <w:r>
              <w:rPr>
                <w:rFonts w:hint="eastAsia"/>
              </w:rPr>
              <w:t>A</w:t>
            </w:r>
            <w:r>
              <w:rPr>
                <w:rFonts w:hint="eastAsia"/>
              </w:rPr>
              <w:t>类</w:t>
            </w:r>
            <w:r>
              <w:rPr>
                <w:rFonts w:hint="eastAsia"/>
              </w:rPr>
              <w:t>.E</w:t>
            </w:r>
            <w:r>
              <w:rPr>
                <w:rFonts w:hint="eastAsia"/>
              </w:rPr>
              <w:t>类火灾的灭火器。</w:t>
            </w:r>
          </w:p>
          <w:p w14:paraId="5B6FDDEF" w14:textId="77777777" w:rsidR="003D6A63" w:rsidRDefault="00000000">
            <w:pPr>
              <w:adjustRightInd w:val="0"/>
              <w:snapToGrid w:val="0"/>
              <w:jc w:val="left"/>
            </w:pPr>
            <w:r>
              <w:rPr>
                <w:rFonts w:hint="eastAsia"/>
              </w:rPr>
              <w:t>2 B</w:t>
            </w:r>
            <w:r>
              <w:rPr>
                <w:rFonts w:hint="eastAsia"/>
              </w:rPr>
              <w:t>类火灾场所应选择适用于</w:t>
            </w:r>
            <w:r>
              <w:rPr>
                <w:rFonts w:hint="eastAsia"/>
              </w:rPr>
              <w:t>B</w:t>
            </w:r>
            <w:r>
              <w:rPr>
                <w:rFonts w:hint="eastAsia"/>
              </w:rPr>
              <w:t>类火灾的灭火器。</w:t>
            </w:r>
            <w:r>
              <w:rPr>
                <w:rFonts w:hint="eastAsia"/>
              </w:rPr>
              <w:t>B</w:t>
            </w:r>
            <w:r>
              <w:rPr>
                <w:rFonts w:hint="eastAsia"/>
              </w:rPr>
              <w:t>类火灾场所存在水溶性可燃液体（极性溶剂）且选择水基型灭火器时，应选用抗溶性的灭火器。</w:t>
            </w:r>
          </w:p>
          <w:p w14:paraId="6DA1FDF9" w14:textId="77777777" w:rsidR="003D6A63" w:rsidRDefault="00000000">
            <w:pPr>
              <w:adjustRightInd w:val="0"/>
              <w:snapToGrid w:val="0"/>
              <w:jc w:val="left"/>
            </w:pPr>
            <w:r>
              <w:rPr>
                <w:rFonts w:hint="eastAsia"/>
              </w:rPr>
              <w:t>3 C</w:t>
            </w:r>
            <w:r>
              <w:rPr>
                <w:rFonts w:hint="eastAsia"/>
              </w:rPr>
              <w:t>类火灾场所应选择适用于</w:t>
            </w:r>
            <w:r>
              <w:rPr>
                <w:rFonts w:hint="eastAsia"/>
              </w:rPr>
              <w:t>C</w:t>
            </w:r>
            <w:r>
              <w:rPr>
                <w:rFonts w:hint="eastAsia"/>
              </w:rPr>
              <w:t>类火灾的灭火器。</w:t>
            </w:r>
          </w:p>
          <w:p w14:paraId="7A992128" w14:textId="77777777" w:rsidR="003D6A63" w:rsidRDefault="00000000">
            <w:pPr>
              <w:adjustRightInd w:val="0"/>
              <w:snapToGrid w:val="0"/>
              <w:jc w:val="left"/>
            </w:pPr>
            <w:r>
              <w:rPr>
                <w:rFonts w:hint="eastAsia"/>
              </w:rPr>
              <w:t>4 D</w:t>
            </w:r>
            <w:r>
              <w:rPr>
                <w:rFonts w:hint="eastAsia"/>
              </w:rPr>
              <w:t>类火灾场所应根据金属的种类</w:t>
            </w:r>
            <w:r>
              <w:rPr>
                <w:rFonts w:hint="eastAsia"/>
              </w:rPr>
              <w:t>.</w:t>
            </w:r>
            <w:r>
              <w:rPr>
                <w:rFonts w:hint="eastAsia"/>
              </w:rPr>
              <w:t>物态及其特性选择适用于特定金属的专用灭火器。</w:t>
            </w:r>
          </w:p>
          <w:p w14:paraId="5F99E45B" w14:textId="77777777" w:rsidR="003D6A63" w:rsidRDefault="00000000">
            <w:pPr>
              <w:adjustRightInd w:val="0"/>
              <w:snapToGrid w:val="0"/>
              <w:jc w:val="left"/>
            </w:pPr>
            <w:r>
              <w:rPr>
                <w:rFonts w:hint="eastAsia"/>
              </w:rPr>
              <w:t>5 E</w:t>
            </w:r>
            <w:r>
              <w:rPr>
                <w:rFonts w:hint="eastAsia"/>
              </w:rPr>
              <w:t>类火灾场所应选择适用于</w:t>
            </w:r>
            <w:r>
              <w:rPr>
                <w:rFonts w:hint="eastAsia"/>
              </w:rPr>
              <w:t>E</w:t>
            </w:r>
            <w:r>
              <w:rPr>
                <w:rFonts w:hint="eastAsia"/>
              </w:rPr>
              <w:t>类火灾的灭火器。带电设备电压超过</w:t>
            </w:r>
            <w:r>
              <w:rPr>
                <w:rFonts w:hint="eastAsia"/>
              </w:rPr>
              <w:t>1kV</w:t>
            </w:r>
            <w:r>
              <w:rPr>
                <w:rFonts w:hint="eastAsia"/>
              </w:rPr>
              <w:t>且灭火时不能断电的场所不应使用灭火器带电扑救。</w:t>
            </w:r>
          </w:p>
          <w:p w14:paraId="2DDA5565" w14:textId="77777777" w:rsidR="003D6A63" w:rsidRDefault="00000000">
            <w:pPr>
              <w:adjustRightInd w:val="0"/>
              <w:snapToGrid w:val="0"/>
              <w:jc w:val="left"/>
            </w:pPr>
            <w:r>
              <w:rPr>
                <w:rFonts w:hint="eastAsia"/>
              </w:rPr>
              <w:t>6 F</w:t>
            </w:r>
            <w:r>
              <w:rPr>
                <w:rFonts w:hint="eastAsia"/>
              </w:rPr>
              <w:t>类火灾场所应选择适用于</w:t>
            </w:r>
            <w:r>
              <w:rPr>
                <w:rFonts w:hint="eastAsia"/>
              </w:rPr>
              <w:t>E</w:t>
            </w:r>
            <w:r>
              <w:rPr>
                <w:rFonts w:hint="eastAsia"/>
              </w:rPr>
              <w:t>类、</w:t>
            </w:r>
            <w:r>
              <w:rPr>
                <w:rFonts w:hint="eastAsia"/>
              </w:rPr>
              <w:t>F</w:t>
            </w:r>
            <w:r>
              <w:rPr>
                <w:rFonts w:hint="eastAsia"/>
              </w:rPr>
              <w:t>类火灾的灭火器。</w:t>
            </w:r>
          </w:p>
          <w:p w14:paraId="2C0AD178" w14:textId="77777777" w:rsidR="003D6A63" w:rsidRDefault="00000000">
            <w:pPr>
              <w:adjustRightInd w:val="0"/>
              <w:snapToGrid w:val="0"/>
              <w:jc w:val="left"/>
            </w:pPr>
            <w:r>
              <w:rPr>
                <w:rFonts w:hint="eastAsia"/>
              </w:rPr>
              <w:t xml:space="preserve">7 </w:t>
            </w:r>
            <w:r>
              <w:rPr>
                <w:rFonts w:hint="eastAsia"/>
              </w:rPr>
              <w:t>当配置场所存在多种火灾时，应选用能同时适用扑救该场所所有种类火灾的灭火器。</w:t>
            </w:r>
          </w:p>
        </w:tc>
        <w:tc>
          <w:tcPr>
            <w:tcW w:w="1078" w:type="pct"/>
            <w:tcBorders>
              <w:tl2br w:val="nil"/>
              <w:tr2bl w:val="nil"/>
            </w:tcBorders>
            <w:vAlign w:val="center"/>
          </w:tcPr>
          <w:p w14:paraId="3612B0E7" w14:textId="77777777" w:rsidR="003D6A63" w:rsidRDefault="00000000">
            <w:pPr>
              <w:adjustRightInd w:val="0"/>
              <w:snapToGrid w:val="0"/>
              <w:jc w:val="center"/>
              <w:rPr>
                <w:szCs w:val="21"/>
              </w:rPr>
            </w:pPr>
            <w:r>
              <w:rPr>
                <w:rFonts w:hint="eastAsia"/>
                <w:szCs w:val="21"/>
              </w:rPr>
              <w:t>GB55036-2022</w:t>
            </w:r>
          </w:p>
          <w:p w14:paraId="06194C43" w14:textId="77777777" w:rsidR="003D6A63" w:rsidRDefault="00000000">
            <w:pPr>
              <w:adjustRightInd w:val="0"/>
              <w:snapToGrid w:val="0"/>
              <w:jc w:val="center"/>
            </w:pPr>
            <w:r>
              <w:rPr>
                <w:rFonts w:hint="eastAsia"/>
                <w:szCs w:val="21"/>
              </w:rPr>
              <w:t>10.0.1</w:t>
            </w:r>
          </w:p>
        </w:tc>
        <w:tc>
          <w:tcPr>
            <w:tcW w:w="988" w:type="pct"/>
            <w:tcBorders>
              <w:tl2br w:val="nil"/>
              <w:tr2bl w:val="nil"/>
            </w:tcBorders>
            <w:vAlign w:val="center"/>
          </w:tcPr>
          <w:p w14:paraId="138F5E9D" w14:textId="77777777" w:rsidR="003D6A63" w:rsidRDefault="00000000">
            <w:pPr>
              <w:adjustRightInd w:val="0"/>
              <w:snapToGrid w:val="0"/>
              <w:jc w:val="left"/>
              <w:rPr>
                <w:rFonts w:ascii="宋体" w:hAnsi="宋体" w:cs="宋体"/>
                <w:kern w:val="0"/>
                <w:szCs w:val="21"/>
              </w:rPr>
            </w:pPr>
            <w:r>
              <w:rPr>
                <w:rFonts w:ascii="宋体" w:hAnsi="宋体" w:cs="宋体" w:hint="eastAsia"/>
                <w:kern w:val="0"/>
                <w:szCs w:val="21"/>
              </w:rPr>
              <w:t>井场灭火器选用干粉灭火器。</w:t>
            </w:r>
          </w:p>
        </w:tc>
        <w:tc>
          <w:tcPr>
            <w:tcW w:w="355" w:type="pct"/>
            <w:tcBorders>
              <w:tl2br w:val="nil"/>
              <w:tr2bl w:val="nil"/>
            </w:tcBorders>
            <w:vAlign w:val="center"/>
          </w:tcPr>
          <w:p w14:paraId="7E2D7051" w14:textId="77777777" w:rsidR="003D6A63" w:rsidRDefault="00000000">
            <w:pPr>
              <w:adjustRightInd w:val="0"/>
              <w:snapToGrid w:val="0"/>
              <w:jc w:val="center"/>
              <w:rPr>
                <w:rFonts w:ascii="宋体" w:hAnsi="宋体" w:cs="宋体"/>
                <w:szCs w:val="21"/>
              </w:rPr>
            </w:pPr>
            <w:r>
              <w:rPr>
                <w:rFonts w:ascii="宋体" w:hAnsi="宋体" w:cs="宋体" w:hint="eastAsia"/>
                <w:szCs w:val="21"/>
              </w:rPr>
              <w:t>√</w:t>
            </w:r>
          </w:p>
        </w:tc>
      </w:tr>
      <w:tr w:rsidR="003D6A63" w14:paraId="0C342650" w14:textId="77777777">
        <w:trPr>
          <w:trHeight w:val="374"/>
        </w:trPr>
        <w:tc>
          <w:tcPr>
            <w:tcW w:w="251" w:type="pct"/>
            <w:tcBorders>
              <w:tl2br w:val="nil"/>
              <w:tr2bl w:val="nil"/>
            </w:tcBorders>
            <w:vAlign w:val="center"/>
          </w:tcPr>
          <w:p w14:paraId="5C7C51BC"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285870D1" w14:textId="77777777" w:rsidR="003D6A63" w:rsidRDefault="00000000">
            <w:pPr>
              <w:adjustRightInd w:val="0"/>
              <w:snapToGrid w:val="0"/>
              <w:jc w:val="left"/>
              <w:rPr>
                <w:bCs/>
                <w:color w:val="FF0000"/>
                <w:szCs w:val="21"/>
              </w:rPr>
            </w:pPr>
            <w:r>
              <w:rPr>
                <w:bCs/>
                <w:color w:val="000000" w:themeColor="text1"/>
                <w:szCs w:val="21"/>
              </w:rPr>
              <w:t>一个计算单元内配置的灭火器数量</w:t>
            </w:r>
            <w:r>
              <w:rPr>
                <w:rFonts w:hint="eastAsia"/>
                <w:bCs/>
                <w:color w:val="000000" w:themeColor="text1"/>
                <w:szCs w:val="21"/>
              </w:rPr>
              <w:t>应经计算确定且</w:t>
            </w:r>
            <w:r>
              <w:rPr>
                <w:bCs/>
                <w:color w:val="000000" w:themeColor="text1"/>
                <w:szCs w:val="21"/>
              </w:rPr>
              <w:t>不</w:t>
            </w:r>
            <w:r>
              <w:rPr>
                <w:rFonts w:hint="eastAsia"/>
                <w:bCs/>
                <w:color w:val="000000" w:themeColor="text1"/>
                <w:szCs w:val="21"/>
              </w:rPr>
              <w:t>应</w:t>
            </w:r>
            <w:r>
              <w:rPr>
                <w:bCs/>
                <w:color w:val="000000" w:themeColor="text1"/>
                <w:szCs w:val="21"/>
              </w:rPr>
              <w:t>少于</w:t>
            </w:r>
            <w:r>
              <w:rPr>
                <w:bCs/>
                <w:color w:val="000000" w:themeColor="text1"/>
                <w:szCs w:val="21"/>
              </w:rPr>
              <w:t>2</w:t>
            </w:r>
            <w:r>
              <w:rPr>
                <w:bCs/>
                <w:color w:val="000000" w:themeColor="text1"/>
                <w:szCs w:val="21"/>
              </w:rPr>
              <w:t>具。</w:t>
            </w:r>
          </w:p>
        </w:tc>
        <w:tc>
          <w:tcPr>
            <w:tcW w:w="1078" w:type="pct"/>
            <w:tcBorders>
              <w:tl2br w:val="nil"/>
              <w:tr2bl w:val="nil"/>
            </w:tcBorders>
            <w:vAlign w:val="center"/>
          </w:tcPr>
          <w:p w14:paraId="63ECBB65" w14:textId="77777777" w:rsidR="003D6A63" w:rsidRDefault="00000000">
            <w:pPr>
              <w:adjustRightInd w:val="0"/>
              <w:snapToGrid w:val="0"/>
              <w:jc w:val="center"/>
              <w:rPr>
                <w:szCs w:val="21"/>
              </w:rPr>
            </w:pPr>
            <w:r>
              <w:rPr>
                <w:rFonts w:hint="eastAsia"/>
                <w:szCs w:val="21"/>
              </w:rPr>
              <w:t>GB55036-2022</w:t>
            </w:r>
          </w:p>
          <w:p w14:paraId="0BDDF7BF" w14:textId="77777777" w:rsidR="003D6A63" w:rsidRDefault="00000000">
            <w:pPr>
              <w:adjustRightInd w:val="0"/>
              <w:snapToGrid w:val="0"/>
              <w:jc w:val="center"/>
              <w:rPr>
                <w:szCs w:val="21"/>
              </w:rPr>
            </w:pPr>
            <w:r>
              <w:rPr>
                <w:rFonts w:hint="eastAsia"/>
                <w:szCs w:val="21"/>
              </w:rPr>
              <w:t>10.0.3.2</w:t>
            </w:r>
          </w:p>
        </w:tc>
        <w:tc>
          <w:tcPr>
            <w:tcW w:w="988" w:type="pct"/>
            <w:tcBorders>
              <w:tl2br w:val="nil"/>
              <w:tr2bl w:val="nil"/>
            </w:tcBorders>
            <w:vAlign w:val="center"/>
          </w:tcPr>
          <w:p w14:paraId="5D761CFF" w14:textId="77777777" w:rsidR="003D6A63" w:rsidRDefault="00000000">
            <w:pPr>
              <w:adjustRightInd w:val="0"/>
              <w:snapToGrid w:val="0"/>
              <w:jc w:val="left"/>
              <w:rPr>
                <w:rFonts w:ascii="宋体" w:hAnsi="宋体" w:cs="宋体"/>
                <w:kern w:val="0"/>
                <w:szCs w:val="21"/>
              </w:rPr>
            </w:pPr>
            <w:r>
              <w:rPr>
                <w:rFonts w:ascii="宋体" w:hAnsi="宋体" w:cs="宋体" w:hint="eastAsia"/>
                <w:kern w:val="0"/>
                <w:szCs w:val="21"/>
              </w:rPr>
              <w:t>单元内灭火器配置符合要求。</w:t>
            </w:r>
          </w:p>
        </w:tc>
        <w:tc>
          <w:tcPr>
            <w:tcW w:w="355" w:type="pct"/>
            <w:tcBorders>
              <w:tl2br w:val="nil"/>
              <w:tr2bl w:val="nil"/>
            </w:tcBorders>
            <w:vAlign w:val="center"/>
          </w:tcPr>
          <w:p w14:paraId="17434ED6" w14:textId="77777777" w:rsidR="003D6A63" w:rsidRDefault="00000000">
            <w:pPr>
              <w:adjustRightInd w:val="0"/>
              <w:snapToGrid w:val="0"/>
              <w:jc w:val="center"/>
              <w:rPr>
                <w:rFonts w:ascii="宋体" w:hAnsi="宋体" w:cs="宋体"/>
                <w:szCs w:val="21"/>
              </w:rPr>
            </w:pPr>
            <w:r>
              <w:rPr>
                <w:rFonts w:ascii="宋体" w:hAnsi="宋体" w:cs="宋体" w:hint="eastAsia"/>
                <w:szCs w:val="21"/>
              </w:rPr>
              <w:t>√</w:t>
            </w:r>
          </w:p>
        </w:tc>
      </w:tr>
      <w:tr w:rsidR="003D6A63" w14:paraId="67ACA99E" w14:textId="77777777">
        <w:trPr>
          <w:trHeight w:val="374"/>
        </w:trPr>
        <w:tc>
          <w:tcPr>
            <w:tcW w:w="251" w:type="pct"/>
            <w:tcBorders>
              <w:tl2br w:val="nil"/>
              <w:tr2bl w:val="nil"/>
            </w:tcBorders>
            <w:vAlign w:val="center"/>
          </w:tcPr>
          <w:p w14:paraId="47AE71E0"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0A537BAA" w14:textId="77777777" w:rsidR="003D6A63" w:rsidRDefault="00000000">
            <w:pPr>
              <w:adjustRightInd w:val="0"/>
              <w:snapToGrid w:val="0"/>
              <w:jc w:val="left"/>
              <w:rPr>
                <w:bCs/>
                <w:color w:val="FF0000"/>
                <w:szCs w:val="21"/>
              </w:rPr>
            </w:pPr>
            <w:r>
              <w:rPr>
                <w:color w:val="000000" w:themeColor="text1"/>
                <w:szCs w:val="21"/>
              </w:rPr>
              <w:t>灭火器应设置在</w:t>
            </w:r>
            <w:r>
              <w:rPr>
                <w:rFonts w:hint="eastAsia"/>
                <w:color w:val="000000" w:themeColor="text1"/>
                <w:szCs w:val="21"/>
              </w:rPr>
              <w:t>位置</w:t>
            </w:r>
            <w:r>
              <w:rPr>
                <w:color w:val="000000" w:themeColor="text1"/>
                <w:szCs w:val="21"/>
              </w:rPr>
              <w:t>明显和便于取用的地点，且不</w:t>
            </w:r>
            <w:r>
              <w:rPr>
                <w:rFonts w:hint="eastAsia"/>
                <w:color w:val="000000" w:themeColor="text1"/>
                <w:szCs w:val="21"/>
              </w:rPr>
              <w:t>应</w:t>
            </w:r>
            <w:r>
              <w:rPr>
                <w:color w:val="000000" w:themeColor="text1"/>
                <w:szCs w:val="21"/>
              </w:rPr>
              <w:t>影响</w:t>
            </w:r>
            <w:r>
              <w:rPr>
                <w:rFonts w:hint="eastAsia"/>
                <w:color w:val="000000" w:themeColor="text1"/>
                <w:szCs w:val="21"/>
              </w:rPr>
              <w:t>人员</w:t>
            </w:r>
            <w:r>
              <w:rPr>
                <w:color w:val="000000" w:themeColor="text1"/>
                <w:szCs w:val="21"/>
              </w:rPr>
              <w:t>安全疏散。</w:t>
            </w:r>
            <w:r>
              <w:rPr>
                <w:rFonts w:hint="eastAsia"/>
                <w:color w:val="000000" w:themeColor="text1"/>
                <w:szCs w:val="21"/>
              </w:rPr>
              <w:t>当确需设置在有视线障碍的设置点时，应设置指示灭火器位置的醒目标志。</w:t>
            </w:r>
          </w:p>
        </w:tc>
        <w:tc>
          <w:tcPr>
            <w:tcW w:w="1078" w:type="pct"/>
            <w:tcBorders>
              <w:tl2br w:val="nil"/>
              <w:tr2bl w:val="nil"/>
            </w:tcBorders>
            <w:vAlign w:val="center"/>
          </w:tcPr>
          <w:p w14:paraId="3FBBE1B4" w14:textId="77777777" w:rsidR="003D6A63" w:rsidRDefault="00000000">
            <w:pPr>
              <w:adjustRightInd w:val="0"/>
              <w:snapToGrid w:val="0"/>
              <w:jc w:val="center"/>
              <w:rPr>
                <w:szCs w:val="21"/>
              </w:rPr>
            </w:pPr>
            <w:r>
              <w:rPr>
                <w:rFonts w:hint="eastAsia"/>
                <w:szCs w:val="21"/>
              </w:rPr>
              <w:t>GB55036-2022</w:t>
            </w:r>
          </w:p>
          <w:p w14:paraId="25CE9208" w14:textId="77777777" w:rsidR="003D6A63" w:rsidRDefault="00000000">
            <w:pPr>
              <w:adjustRightInd w:val="0"/>
              <w:snapToGrid w:val="0"/>
              <w:jc w:val="center"/>
              <w:rPr>
                <w:szCs w:val="21"/>
              </w:rPr>
            </w:pPr>
            <w:r>
              <w:rPr>
                <w:rFonts w:hint="eastAsia"/>
                <w:szCs w:val="21"/>
              </w:rPr>
              <w:t>10.0.4</w:t>
            </w:r>
          </w:p>
        </w:tc>
        <w:tc>
          <w:tcPr>
            <w:tcW w:w="988" w:type="pct"/>
            <w:tcBorders>
              <w:tl2br w:val="nil"/>
              <w:tr2bl w:val="nil"/>
            </w:tcBorders>
            <w:vAlign w:val="center"/>
          </w:tcPr>
          <w:p w14:paraId="00C4F601" w14:textId="77777777" w:rsidR="003D6A63" w:rsidRDefault="00000000">
            <w:pPr>
              <w:adjustRightInd w:val="0"/>
              <w:snapToGrid w:val="0"/>
              <w:jc w:val="left"/>
              <w:rPr>
                <w:rFonts w:ascii="宋体" w:hAnsi="宋体" w:cs="宋体"/>
                <w:kern w:val="0"/>
                <w:szCs w:val="21"/>
              </w:rPr>
            </w:pPr>
            <w:r>
              <w:rPr>
                <w:rFonts w:ascii="宋体" w:hAnsi="宋体" w:cs="宋体" w:hint="eastAsia"/>
                <w:kern w:val="0"/>
                <w:szCs w:val="21"/>
              </w:rPr>
              <w:t>灭火器设置位置符合要求。</w:t>
            </w:r>
          </w:p>
        </w:tc>
        <w:tc>
          <w:tcPr>
            <w:tcW w:w="355" w:type="pct"/>
            <w:tcBorders>
              <w:tl2br w:val="nil"/>
              <w:tr2bl w:val="nil"/>
            </w:tcBorders>
            <w:vAlign w:val="center"/>
          </w:tcPr>
          <w:p w14:paraId="1F1E4794" w14:textId="77777777" w:rsidR="003D6A63" w:rsidRDefault="00000000">
            <w:pPr>
              <w:adjustRightInd w:val="0"/>
              <w:snapToGrid w:val="0"/>
              <w:jc w:val="center"/>
              <w:rPr>
                <w:rFonts w:ascii="宋体" w:hAnsi="宋体" w:cs="宋体"/>
                <w:szCs w:val="21"/>
              </w:rPr>
            </w:pPr>
            <w:r>
              <w:rPr>
                <w:rFonts w:ascii="宋体" w:hAnsi="宋体" w:cs="宋体" w:hint="eastAsia"/>
                <w:szCs w:val="21"/>
              </w:rPr>
              <w:t>√</w:t>
            </w:r>
          </w:p>
        </w:tc>
      </w:tr>
      <w:tr w:rsidR="003D6A63" w14:paraId="5F412558" w14:textId="77777777">
        <w:trPr>
          <w:trHeight w:val="374"/>
        </w:trPr>
        <w:tc>
          <w:tcPr>
            <w:tcW w:w="251" w:type="pct"/>
            <w:tcBorders>
              <w:tl2br w:val="nil"/>
              <w:tr2bl w:val="nil"/>
            </w:tcBorders>
            <w:vAlign w:val="center"/>
          </w:tcPr>
          <w:p w14:paraId="65F40839" w14:textId="77777777" w:rsidR="003D6A63" w:rsidRDefault="003D6A63">
            <w:pPr>
              <w:numPr>
                <w:ilvl w:val="0"/>
                <w:numId w:val="15"/>
              </w:numPr>
              <w:adjustRightInd w:val="0"/>
              <w:snapToGrid w:val="0"/>
              <w:ind w:left="0" w:firstLine="0"/>
              <w:jc w:val="center"/>
              <w:rPr>
                <w:szCs w:val="21"/>
              </w:rPr>
            </w:pPr>
          </w:p>
        </w:tc>
        <w:tc>
          <w:tcPr>
            <w:tcW w:w="2326" w:type="pct"/>
            <w:tcBorders>
              <w:tl2br w:val="nil"/>
              <w:tr2bl w:val="nil"/>
            </w:tcBorders>
            <w:vAlign w:val="center"/>
          </w:tcPr>
          <w:p w14:paraId="5DEC5191" w14:textId="77777777" w:rsidR="003D6A63" w:rsidRDefault="00000000">
            <w:pPr>
              <w:adjustRightInd w:val="0"/>
              <w:snapToGrid w:val="0"/>
              <w:jc w:val="left"/>
              <w:rPr>
                <w:color w:val="000000" w:themeColor="text1"/>
                <w:szCs w:val="21"/>
              </w:rPr>
            </w:pPr>
            <w:r>
              <w:rPr>
                <w:color w:val="000000" w:themeColor="text1"/>
                <w:szCs w:val="21"/>
              </w:rPr>
              <w:t>灭火器不应设置在可能超出其使用温度范围的场所﹐并应采取与设置场所环境条件相适应的防护措施。</w:t>
            </w:r>
          </w:p>
        </w:tc>
        <w:tc>
          <w:tcPr>
            <w:tcW w:w="1078" w:type="pct"/>
            <w:tcBorders>
              <w:tl2br w:val="nil"/>
              <w:tr2bl w:val="nil"/>
            </w:tcBorders>
            <w:vAlign w:val="center"/>
          </w:tcPr>
          <w:p w14:paraId="4E01FFDE" w14:textId="77777777" w:rsidR="003D6A63" w:rsidRDefault="00000000">
            <w:pPr>
              <w:adjustRightInd w:val="0"/>
              <w:snapToGrid w:val="0"/>
              <w:jc w:val="center"/>
              <w:rPr>
                <w:szCs w:val="21"/>
              </w:rPr>
            </w:pPr>
            <w:r>
              <w:rPr>
                <w:rFonts w:hint="eastAsia"/>
                <w:szCs w:val="21"/>
              </w:rPr>
              <w:t>GB55036-2022</w:t>
            </w:r>
          </w:p>
          <w:p w14:paraId="3DC1B978" w14:textId="77777777" w:rsidR="003D6A63" w:rsidRDefault="00000000">
            <w:pPr>
              <w:adjustRightInd w:val="0"/>
              <w:snapToGrid w:val="0"/>
              <w:jc w:val="center"/>
              <w:rPr>
                <w:szCs w:val="21"/>
              </w:rPr>
            </w:pPr>
            <w:r>
              <w:rPr>
                <w:rFonts w:hint="eastAsia"/>
                <w:szCs w:val="21"/>
              </w:rPr>
              <w:t>10.0.5</w:t>
            </w:r>
          </w:p>
        </w:tc>
        <w:tc>
          <w:tcPr>
            <w:tcW w:w="988" w:type="pct"/>
            <w:tcBorders>
              <w:tl2br w:val="nil"/>
              <w:tr2bl w:val="nil"/>
            </w:tcBorders>
            <w:vAlign w:val="center"/>
          </w:tcPr>
          <w:p w14:paraId="4BF517EB" w14:textId="77777777" w:rsidR="003D6A63" w:rsidRDefault="00000000">
            <w:pPr>
              <w:adjustRightInd w:val="0"/>
              <w:snapToGrid w:val="0"/>
              <w:jc w:val="left"/>
              <w:rPr>
                <w:rFonts w:ascii="宋体" w:hAnsi="宋体" w:cs="宋体"/>
                <w:kern w:val="0"/>
                <w:szCs w:val="21"/>
              </w:rPr>
            </w:pPr>
            <w:r>
              <w:rPr>
                <w:rFonts w:hint="eastAsia"/>
                <w:szCs w:val="21"/>
                <w:lang w:bidi="en-US"/>
              </w:rPr>
              <w:t>滨</w:t>
            </w:r>
            <w:r>
              <w:rPr>
                <w:rFonts w:hint="eastAsia"/>
                <w:szCs w:val="21"/>
                <w:lang w:bidi="en-US"/>
              </w:rPr>
              <w:t>603-X13</w:t>
            </w:r>
            <w:r>
              <w:rPr>
                <w:rFonts w:hint="eastAsia"/>
                <w:szCs w:val="21"/>
                <w:lang w:bidi="en-US"/>
              </w:rPr>
              <w:t>井场高架油罐旁灭火器未采取防潮、防晒措施。</w:t>
            </w:r>
          </w:p>
        </w:tc>
        <w:tc>
          <w:tcPr>
            <w:tcW w:w="355" w:type="pct"/>
            <w:tcBorders>
              <w:tl2br w:val="nil"/>
              <w:tr2bl w:val="nil"/>
            </w:tcBorders>
            <w:vAlign w:val="center"/>
          </w:tcPr>
          <w:p w14:paraId="14A37EB8" w14:textId="77777777" w:rsidR="003D6A63" w:rsidRDefault="00000000">
            <w:pPr>
              <w:adjustRightInd w:val="0"/>
              <w:snapToGrid w:val="0"/>
              <w:jc w:val="center"/>
              <w:rPr>
                <w:rFonts w:ascii="宋体" w:hAnsi="宋体" w:cs="宋体"/>
                <w:szCs w:val="21"/>
              </w:rPr>
            </w:pPr>
            <w:r>
              <w:rPr>
                <w:rFonts w:ascii="宋体" w:hAnsi="宋体" w:cs="宋体" w:hint="eastAsia"/>
                <w:b/>
                <w:bCs/>
                <w:szCs w:val="21"/>
              </w:rPr>
              <w:t>×</w:t>
            </w:r>
          </w:p>
        </w:tc>
      </w:tr>
    </w:tbl>
    <w:p w14:paraId="61428C44" w14:textId="77777777" w:rsidR="003D6A63" w:rsidRDefault="00000000">
      <w:pPr>
        <w:pStyle w:val="nlw3"/>
        <w:spacing w:after="0" w:line="360" w:lineRule="auto"/>
        <w:rPr>
          <w:sz w:val="24"/>
          <w:szCs w:val="24"/>
        </w:rPr>
      </w:pPr>
      <w:r>
        <w:rPr>
          <w:rFonts w:hint="eastAsia"/>
          <w:sz w:val="24"/>
          <w:szCs w:val="24"/>
        </w:rPr>
        <w:t xml:space="preserve">5.1.2  </w:t>
      </w:r>
      <w:r>
        <w:rPr>
          <w:rFonts w:hint="eastAsia"/>
          <w:sz w:val="24"/>
          <w:szCs w:val="24"/>
        </w:rPr>
        <w:t>单元小结</w:t>
      </w:r>
    </w:p>
    <w:p w14:paraId="510BEABD" w14:textId="77777777" w:rsidR="003D6A63" w:rsidRDefault="00000000">
      <w:pPr>
        <w:adjustRightInd w:val="0"/>
        <w:snapToGrid w:val="0"/>
        <w:spacing w:line="360" w:lineRule="auto"/>
        <w:ind w:firstLineChars="200" w:firstLine="480"/>
        <w:rPr>
          <w:sz w:val="24"/>
        </w:rPr>
      </w:pPr>
      <w:r>
        <w:rPr>
          <w:rFonts w:hint="eastAsia"/>
          <w:sz w:val="24"/>
        </w:rPr>
        <w:t>本次对采油井场平面布置及井场设备设施对照标准进行了</w:t>
      </w:r>
      <w:r>
        <w:rPr>
          <w:rFonts w:hint="eastAsia"/>
          <w:sz w:val="24"/>
        </w:rPr>
        <w:t>22</w:t>
      </w:r>
      <w:r>
        <w:rPr>
          <w:rFonts w:hint="eastAsia"/>
          <w:sz w:val="24"/>
        </w:rPr>
        <w:t>项检查，其中</w:t>
      </w:r>
      <w:r>
        <w:rPr>
          <w:rFonts w:hint="eastAsia"/>
          <w:sz w:val="24"/>
        </w:rPr>
        <w:t>15</w:t>
      </w:r>
      <w:r>
        <w:rPr>
          <w:rFonts w:hint="eastAsia"/>
          <w:sz w:val="24"/>
        </w:rPr>
        <w:t>项符合要求，</w:t>
      </w:r>
      <w:r>
        <w:rPr>
          <w:rFonts w:hint="eastAsia"/>
          <w:sz w:val="24"/>
        </w:rPr>
        <w:t>6</w:t>
      </w:r>
      <w:r>
        <w:rPr>
          <w:rFonts w:hint="eastAsia"/>
          <w:sz w:val="24"/>
        </w:rPr>
        <w:t>项不符合要求，</w:t>
      </w:r>
      <w:r>
        <w:rPr>
          <w:rFonts w:hint="eastAsia"/>
          <w:sz w:val="24"/>
        </w:rPr>
        <w:t>1</w:t>
      </w:r>
      <w:r>
        <w:rPr>
          <w:rFonts w:hint="eastAsia"/>
          <w:sz w:val="24"/>
        </w:rPr>
        <w:t>项风险可接受。不符合项如下：</w:t>
      </w:r>
    </w:p>
    <w:p w14:paraId="51392CED"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）王</w:t>
      </w:r>
      <w:r>
        <w:rPr>
          <w:rFonts w:hint="eastAsia"/>
          <w:sz w:val="24"/>
        </w:rPr>
        <w:t>73-X3</w:t>
      </w:r>
      <w:r>
        <w:rPr>
          <w:rFonts w:hint="eastAsia"/>
          <w:sz w:val="24"/>
        </w:rPr>
        <w:t>油井井口油污抽油机皮带旋转部位未设置防护罩；</w:t>
      </w:r>
    </w:p>
    <w:p w14:paraId="197D58E4"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）王</w:t>
      </w:r>
      <w:r>
        <w:rPr>
          <w:rFonts w:hint="eastAsia"/>
          <w:sz w:val="24"/>
        </w:rPr>
        <w:t>73-X3</w:t>
      </w:r>
      <w:r>
        <w:rPr>
          <w:rFonts w:hint="eastAsia"/>
          <w:sz w:val="24"/>
        </w:rPr>
        <w:t>油井井口有油污，王</w:t>
      </w:r>
      <w:r>
        <w:rPr>
          <w:rFonts w:hint="eastAsia"/>
          <w:sz w:val="24"/>
        </w:rPr>
        <w:t>73-</w:t>
      </w:r>
      <w:r>
        <w:rPr>
          <w:rFonts w:hint="eastAsia"/>
          <w:sz w:val="24"/>
        </w:rPr>
        <w:t>平</w:t>
      </w:r>
      <w:r>
        <w:rPr>
          <w:rFonts w:hint="eastAsia"/>
          <w:sz w:val="24"/>
        </w:rPr>
        <w:t>6</w:t>
      </w:r>
      <w:r>
        <w:rPr>
          <w:rFonts w:hint="eastAsia"/>
          <w:sz w:val="24"/>
        </w:rPr>
        <w:t>油井井口有油污；</w:t>
      </w:r>
    </w:p>
    <w:p w14:paraId="78C7DFAB"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3</w:t>
      </w:r>
      <w:r>
        <w:rPr>
          <w:rFonts w:hint="eastAsia"/>
          <w:sz w:val="24"/>
        </w:rPr>
        <w:t>）</w:t>
      </w:r>
      <w:r>
        <w:rPr>
          <w:rFonts w:hint="eastAsia"/>
          <w:sz w:val="24"/>
        </w:rPr>
        <w:t>B603-X13</w:t>
      </w:r>
      <w:r>
        <w:rPr>
          <w:rFonts w:hint="eastAsia"/>
          <w:sz w:val="24"/>
        </w:rPr>
        <w:t>井场高架罐警示标识褪色，王</w:t>
      </w:r>
      <w:r>
        <w:rPr>
          <w:rFonts w:hint="eastAsia"/>
          <w:sz w:val="24"/>
        </w:rPr>
        <w:t>73-X3</w:t>
      </w:r>
      <w:r>
        <w:rPr>
          <w:rFonts w:hint="eastAsia"/>
          <w:sz w:val="24"/>
        </w:rPr>
        <w:t>井场警示标识褪色，</w:t>
      </w:r>
      <w:r>
        <w:rPr>
          <w:rFonts w:hint="eastAsia"/>
          <w:sz w:val="24"/>
        </w:rPr>
        <w:t>G20-X1</w:t>
      </w:r>
      <w:r>
        <w:rPr>
          <w:rFonts w:hint="eastAsia"/>
          <w:sz w:val="24"/>
        </w:rPr>
        <w:t>井场警示标识褪色，王</w:t>
      </w:r>
      <w:r>
        <w:rPr>
          <w:rFonts w:hint="eastAsia"/>
          <w:sz w:val="24"/>
        </w:rPr>
        <w:t>73-</w:t>
      </w:r>
      <w:r>
        <w:rPr>
          <w:rFonts w:hint="eastAsia"/>
          <w:sz w:val="24"/>
        </w:rPr>
        <w:t>平</w:t>
      </w:r>
      <w:r>
        <w:rPr>
          <w:rFonts w:hint="eastAsia"/>
          <w:sz w:val="24"/>
        </w:rPr>
        <w:t>6</w:t>
      </w:r>
      <w:r>
        <w:rPr>
          <w:rFonts w:hint="eastAsia"/>
          <w:sz w:val="24"/>
        </w:rPr>
        <w:t>井场高架罐警示标识褪色；</w:t>
      </w:r>
    </w:p>
    <w:p w14:paraId="26DC8FD8"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4</w:t>
      </w:r>
      <w:r>
        <w:rPr>
          <w:rFonts w:hint="eastAsia"/>
          <w:sz w:val="24"/>
        </w:rPr>
        <w:t>）王</w:t>
      </w:r>
      <w:r>
        <w:rPr>
          <w:rFonts w:hint="eastAsia"/>
          <w:sz w:val="24"/>
        </w:rPr>
        <w:t>73-X3</w:t>
      </w:r>
      <w:r>
        <w:rPr>
          <w:rFonts w:hint="eastAsia"/>
          <w:sz w:val="24"/>
        </w:rPr>
        <w:t>井场西北侧配电箱电缆出入口未封堵；</w:t>
      </w:r>
    </w:p>
    <w:p w14:paraId="76871A85"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5</w:t>
      </w:r>
      <w:r>
        <w:rPr>
          <w:rFonts w:hint="eastAsia"/>
          <w:sz w:val="24"/>
        </w:rPr>
        <w:t>）滨</w:t>
      </w:r>
      <w:r>
        <w:rPr>
          <w:rFonts w:hint="eastAsia"/>
          <w:sz w:val="24"/>
        </w:rPr>
        <w:t>603-X13</w:t>
      </w:r>
      <w:r>
        <w:rPr>
          <w:rFonts w:hint="eastAsia"/>
          <w:sz w:val="24"/>
        </w:rPr>
        <w:t>井场高架罐灭火器放置于水泥板上，未采取固定措施</w:t>
      </w:r>
      <w:r>
        <w:rPr>
          <w:sz w:val="24"/>
        </w:rPr>
        <w:t>；</w:t>
      </w:r>
    </w:p>
    <w:p w14:paraId="38116457"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6</w:t>
      </w:r>
      <w:r>
        <w:rPr>
          <w:rFonts w:hint="eastAsia"/>
          <w:sz w:val="24"/>
        </w:rPr>
        <w:t>）滨</w:t>
      </w:r>
      <w:r>
        <w:rPr>
          <w:rFonts w:hint="eastAsia"/>
          <w:sz w:val="24"/>
        </w:rPr>
        <w:t>603-X13</w:t>
      </w:r>
      <w:r>
        <w:rPr>
          <w:rFonts w:hint="eastAsia"/>
          <w:sz w:val="24"/>
        </w:rPr>
        <w:t>井场高架油罐旁灭火器未采取防潮、防晒措施</w:t>
      </w:r>
      <w:r>
        <w:rPr>
          <w:sz w:val="24"/>
        </w:rPr>
        <w:t>。</w:t>
      </w:r>
    </w:p>
    <w:p w14:paraId="0E43398C" w14:textId="77777777" w:rsidR="003D6A63" w:rsidRDefault="00000000">
      <w:pPr>
        <w:pStyle w:val="nlw2"/>
        <w:spacing w:beforeLines="0" w:before="0" w:afterLines="0" w:after="0" w:line="360" w:lineRule="auto"/>
        <w:rPr>
          <w:rFonts w:ascii="Times New Roman" w:hAnsi="Times New Roman"/>
        </w:rPr>
      </w:pPr>
      <w:bookmarkStart w:id="99" w:name="_Toc23744"/>
      <w:r>
        <w:rPr>
          <w:rFonts w:ascii="Times New Roman" w:hAnsi="Times New Roman" w:hint="eastAsia"/>
        </w:rPr>
        <w:t xml:space="preserve">5.2  </w:t>
      </w:r>
      <w:r>
        <w:rPr>
          <w:rFonts w:ascii="Times New Roman" w:hAnsi="Times New Roman" w:hint="eastAsia"/>
        </w:rPr>
        <w:t>注入系统</w:t>
      </w:r>
      <w:bookmarkEnd w:id="99"/>
    </w:p>
    <w:p w14:paraId="44035E77" w14:textId="77777777" w:rsidR="003D6A63" w:rsidRDefault="00000000">
      <w:pPr>
        <w:adjustRightInd w:val="0"/>
        <w:snapToGrid w:val="0"/>
        <w:spacing w:line="360" w:lineRule="auto"/>
        <w:ind w:firstLineChars="200" w:firstLine="480"/>
        <w:rPr>
          <w:kern w:val="0"/>
          <w:sz w:val="24"/>
        </w:rPr>
      </w:pPr>
      <w:r>
        <w:rPr>
          <w:rFonts w:hint="eastAsia"/>
          <w:kern w:val="0"/>
          <w:sz w:val="24"/>
          <w:lang w:val="zh-CN"/>
        </w:rPr>
        <w:t>中胜公司</w:t>
      </w:r>
      <w:r>
        <w:rPr>
          <w:kern w:val="0"/>
          <w:sz w:val="24"/>
          <w:lang w:val="zh-CN"/>
        </w:rPr>
        <w:t>注入系统主要包括注水</w:t>
      </w:r>
      <w:r>
        <w:rPr>
          <w:rFonts w:hint="eastAsia"/>
          <w:kern w:val="0"/>
          <w:sz w:val="24"/>
        </w:rPr>
        <w:t>井口、注水阀组等</w:t>
      </w:r>
      <w:r>
        <w:rPr>
          <w:kern w:val="0"/>
          <w:sz w:val="24"/>
          <w:lang w:val="zh-CN"/>
        </w:rPr>
        <w:t>。目前有注水站</w:t>
      </w:r>
      <w:r>
        <w:rPr>
          <w:rFonts w:hint="eastAsia"/>
          <w:kern w:val="0"/>
          <w:sz w:val="24"/>
        </w:rPr>
        <w:t>3</w:t>
      </w:r>
      <w:r>
        <w:rPr>
          <w:kern w:val="0"/>
          <w:sz w:val="24"/>
          <w:lang w:val="zh-CN"/>
        </w:rPr>
        <w:t>座，注水井</w:t>
      </w:r>
      <w:r>
        <w:rPr>
          <w:rFonts w:hint="eastAsia"/>
          <w:kern w:val="0"/>
          <w:sz w:val="24"/>
        </w:rPr>
        <w:t>52</w:t>
      </w:r>
      <w:r>
        <w:rPr>
          <w:kern w:val="0"/>
          <w:sz w:val="24"/>
          <w:lang w:val="zh-CN"/>
        </w:rPr>
        <w:t>口</w:t>
      </w:r>
      <w:r>
        <w:rPr>
          <w:rFonts w:hint="eastAsia"/>
          <w:kern w:val="0"/>
          <w:sz w:val="24"/>
        </w:rPr>
        <w:t>。</w:t>
      </w:r>
    </w:p>
    <w:p w14:paraId="504BD452" w14:textId="77777777" w:rsidR="003D6A63" w:rsidRDefault="00000000">
      <w:pPr>
        <w:pStyle w:val="nlw3"/>
        <w:spacing w:beforeLines="0" w:before="0" w:after="0" w:line="360" w:lineRule="auto"/>
        <w:rPr>
          <w:sz w:val="24"/>
          <w:szCs w:val="24"/>
        </w:rPr>
      </w:pPr>
      <w:r>
        <w:rPr>
          <w:rFonts w:hint="eastAsia"/>
          <w:sz w:val="24"/>
          <w:szCs w:val="24"/>
        </w:rPr>
        <w:t xml:space="preserve">5.2.1  </w:t>
      </w:r>
      <w:r>
        <w:rPr>
          <w:rFonts w:hint="eastAsia"/>
          <w:sz w:val="24"/>
          <w:szCs w:val="24"/>
        </w:rPr>
        <w:t>安全检查表分析</w:t>
      </w:r>
    </w:p>
    <w:p w14:paraId="081D2682" w14:textId="77777777" w:rsidR="003D6A63" w:rsidRDefault="00000000">
      <w:pPr>
        <w:pStyle w:val="nlw1"/>
        <w:spacing w:line="360" w:lineRule="auto"/>
        <w:ind w:firstLine="480"/>
        <w:rPr>
          <w:rFonts w:ascii="Times New Roman" w:hAnsi="Times New Roman"/>
          <w:sz w:val="24"/>
          <w:szCs w:val="24"/>
        </w:rPr>
      </w:pPr>
      <w:r>
        <w:rPr>
          <w:rFonts w:ascii="Times New Roman" w:hAnsi="Times New Roman"/>
          <w:sz w:val="24"/>
          <w:szCs w:val="24"/>
        </w:rPr>
        <w:t>根据《油田注水工程设计规范》（</w:t>
      </w:r>
      <w:r>
        <w:rPr>
          <w:rFonts w:ascii="Times New Roman" w:hAnsi="Times New Roman"/>
          <w:sz w:val="24"/>
          <w:szCs w:val="24"/>
        </w:rPr>
        <w:t>GB50391-2014</w:t>
      </w:r>
      <w:r>
        <w:rPr>
          <w:rFonts w:ascii="Times New Roman" w:hAnsi="Times New Roman"/>
          <w:sz w:val="24"/>
          <w:szCs w:val="24"/>
        </w:rPr>
        <w:t>）、《石油天然气工程设计防火规范》（</w:t>
      </w:r>
      <w:r>
        <w:rPr>
          <w:rFonts w:ascii="Times New Roman" w:hAnsi="Times New Roman"/>
          <w:sz w:val="24"/>
          <w:szCs w:val="24"/>
        </w:rPr>
        <w:t>GB50183-2004</w:t>
      </w:r>
      <w:r>
        <w:rPr>
          <w:rFonts w:ascii="Times New Roman" w:hAnsi="Times New Roman"/>
          <w:sz w:val="24"/>
          <w:szCs w:val="24"/>
        </w:rPr>
        <w:t>）等标准、规范的要求编制</w:t>
      </w:r>
      <w:r>
        <w:rPr>
          <w:rFonts w:ascii="Times New Roman" w:hAnsi="Times New Roman"/>
          <w:sz w:val="24"/>
          <w:szCs w:val="24"/>
        </w:rPr>
        <w:t>“</w:t>
      </w:r>
      <w:r>
        <w:rPr>
          <w:rFonts w:ascii="Times New Roman" w:hAnsi="Times New Roman"/>
          <w:sz w:val="24"/>
          <w:szCs w:val="24"/>
        </w:rPr>
        <w:t>注入系统安全检查表</w:t>
      </w:r>
      <w:r>
        <w:rPr>
          <w:rFonts w:ascii="Times New Roman" w:hAnsi="Times New Roman"/>
          <w:sz w:val="24"/>
          <w:szCs w:val="24"/>
        </w:rPr>
        <w:t>”</w:t>
      </w:r>
      <w:r>
        <w:rPr>
          <w:rFonts w:ascii="Times New Roman" w:hAnsi="Times New Roman"/>
          <w:sz w:val="24"/>
          <w:szCs w:val="24"/>
        </w:rPr>
        <w:t>。</w:t>
      </w:r>
    </w:p>
    <w:p w14:paraId="615AFF19" w14:textId="77777777" w:rsidR="003D6A63" w:rsidRDefault="00000000">
      <w:pPr>
        <w:pStyle w:val="nlw1"/>
        <w:spacing w:line="360" w:lineRule="auto"/>
        <w:ind w:firstLine="480"/>
        <w:rPr>
          <w:rFonts w:ascii="Times New Roman" w:hAnsi="Times New Roman"/>
          <w:sz w:val="24"/>
          <w:szCs w:val="24"/>
          <w:lang w:val="en-US"/>
        </w:rPr>
      </w:pPr>
      <w:r>
        <w:rPr>
          <w:rFonts w:ascii="Times New Roman" w:hAnsi="Times New Roman"/>
          <w:sz w:val="24"/>
          <w:szCs w:val="24"/>
        </w:rPr>
        <w:t>项目组对</w:t>
      </w:r>
      <w:r>
        <w:rPr>
          <w:rFonts w:ascii="Times New Roman" w:hAnsi="Times New Roman" w:hint="eastAsia"/>
          <w:sz w:val="24"/>
          <w:szCs w:val="24"/>
        </w:rPr>
        <w:t>中胜公司</w:t>
      </w:r>
      <w:r>
        <w:rPr>
          <w:rFonts w:ascii="Times New Roman" w:hAnsi="Times New Roman" w:hint="eastAsia"/>
          <w:sz w:val="24"/>
          <w:szCs w:val="24"/>
          <w:lang w:val="en-US"/>
        </w:rPr>
        <w:t>滨</w:t>
      </w:r>
      <w:r>
        <w:rPr>
          <w:rFonts w:ascii="Times New Roman" w:hAnsi="Times New Roman" w:hint="eastAsia"/>
          <w:sz w:val="24"/>
          <w:szCs w:val="24"/>
          <w:lang w:val="en-US"/>
        </w:rPr>
        <w:t>603-3</w:t>
      </w:r>
      <w:r>
        <w:rPr>
          <w:rFonts w:ascii="Times New Roman" w:hAnsi="Times New Roman" w:hint="eastAsia"/>
          <w:sz w:val="24"/>
          <w:szCs w:val="24"/>
          <w:lang w:val="en-US"/>
        </w:rPr>
        <w:t>注水站</w:t>
      </w:r>
      <w:r>
        <w:rPr>
          <w:rFonts w:ascii="Times New Roman" w:hAnsi="Times New Roman"/>
          <w:sz w:val="24"/>
          <w:szCs w:val="24"/>
        </w:rPr>
        <w:t>、</w:t>
      </w:r>
      <w:r>
        <w:rPr>
          <w:rFonts w:ascii="Times New Roman" w:hAnsi="Times New Roman" w:hint="eastAsia"/>
          <w:sz w:val="24"/>
          <w:szCs w:val="24"/>
          <w:lang w:val="en-US"/>
        </w:rPr>
        <w:t>注水井林</w:t>
      </w:r>
      <w:r>
        <w:rPr>
          <w:rFonts w:ascii="Times New Roman" w:hAnsi="Times New Roman" w:hint="eastAsia"/>
          <w:sz w:val="24"/>
          <w:szCs w:val="24"/>
          <w:lang w:val="en-US"/>
        </w:rPr>
        <w:t>102-</w:t>
      </w:r>
      <w:r>
        <w:rPr>
          <w:rFonts w:ascii="Times New Roman" w:hAnsi="Times New Roman" w:hint="eastAsia"/>
          <w:sz w:val="24"/>
          <w:szCs w:val="24"/>
          <w:lang w:val="en-US"/>
        </w:rPr>
        <w:t>斜</w:t>
      </w:r>
      <w:r>
        <w:rPr>
          <w:rFonts w:ascii="Times New Roman" w:hAnsi="Times New Roman" w:hint="eastAsia"/>
          <w:sz w:val="24"/>
          <w:szCs w:val="24"/>
          <w:lang w:val="en-US"/>
        </w:rPr>
        <w:t>53</w:t>
      </w:r>
      <w:r>
        <w:rPr>
          <w:rFonts w:ascii="Times New Roman" w:hAnsi="Times New Roman" w:hint="eastAsia"/>
          <w:sz w:val="24"/>
          <w:szCs w:val="24"/>
          <w:lang w:val="en-US"/>
        </w:rPr>
        <w:t>、滨</w:t>
      </w:r>
      <w:r>
        <w:rPr>
          <w:rFonts w:ascii="Times New Roman" w:hAnsi="Times New Roman" w:hint="eastAsia"/>
          <w:sz w:val="24"/>
          <w:szCs w:val="24"/>
          <w:lang w:val="en-US"/>
        </w:rPr>
        <w:t>603-X13</w:t>
      </w:r>
      <w:r>
        <w:rPr>
          <w:rFonts w:ascii="Times New Roman" w:hAnsi="Times New Roman" w:hint="eastAsia"/>
          <w:sz w:val="24"/>
          <w:szCs w:val="24"/>
          <w:lang w:val="en-US"/>
        </w:rPr>
        <w:t>、王</w:t>
      </w:r>
      <w:r>
        <w:rPr>
          <w:rFonts w:ascii="Times New Roman" w:hAnsi="Times New Roman" w:hint="eastAsia"/>
          <w:sz w:val="24"/>
          <w:szCs w:val="24"/>
          <w:lang w:val="en-US"/>
        </w:rPr>
        <w:t>73-</w:t>
      </w:r>
      <w:r>
        <w:rPr>
          <w:rFonts w:ascii="Times New Roman" w:hAnsi="Times New Roman" w:hint="eastAsia"/>
          <w:sz w:val="24"/>
          <w:szCs w:val="24"/>
          <w:lang w:val="en-US"/>
        </w:rPr>
        <w:t>斜</w:t>
      </w:r>
      <w:r>
        <w:rPr>
          <w:rFonts w:ascii="Times New Roman" w:hAnsi="Times New Roman" w:hint="eastAsia"/>
          <w:sz w:val="24"/>
          <w:szCs w:val="24"/>
          <w:lang w:val="en-US"/>
        </w:rPr>
        <w:t>1</w:t>
      </w:r>
      <w:r>
        <w:rPr>
          <w:rFonts w:ascii="Times New Roman" w:hAnsi="Times New Roman"/>
          <w:sz w:val="24"/>
          <w:szCs w:val="24"/>
        </w:rPr>
        <w:t>等水井现场进行了检查。检查内容包括：</w:t>
      </w:r>
      <w:r>
        <w:rPr>
          <w:rFonts w:ascii="Times New Roman" w:hAnsi="Times New Roman" w:hint="eastAsia"/>
          <w:sz w:val="24"/>
          <w:szCs w:val="24"/>
          <w:lang w:val="en-US"/>
        </w:rPr>
        <w:t>注水站、注水井场及注水井、供配电</w:t>
      </w:r>
      <w:r>
        <w:rPr>
          <w:rFonts w:ascii="Times New Roman" w:hAnsi="Times New Roman"/>
          <w:sz w:val="24"/>
          <w:szCs w:val="24"/>
        </w:rPr>
        <w:t>等</w:t>
      </w:r>
      <w:r>
        <w:rPr>
          <w:rFonts w:ascii="Times New Roman" w:hAnsi="Times New Roman" w:hint="eastAsia"/>
          <w:sz w:val="24"/>
          <w:szCs w:val="24"/>
        </w:rPr>
        <w:t>，</w:t>
      </w:r>
      <w:r>
        <w:rPr>
          <w:rFonts w:ascii="Times New Roman" w:hAnsi="Times New Roman"/>
          <w:sz w:val="24"/>
          <w:szCs w:val="24"/>
        </w:rPr>
        <w:t>检查内容和检查情况见</w:t>
      </w:r>
      <w:r>
        <w:rPr>
          <w:rFonts w:ascii="Times New Roman" w:hAnsi="Times New Roman" w:hint="eastAsia"/>
          <w:sz w:val="24"/>
          <w:szCs w:val="24"/>
          <w:lang w:val="en-US"/>
        </w:rPr>
        <w:t>表</w:t>
      </w:r>
      <w:r>
        <w:rPr>
          <w:rFonts w:ascii="Times New Roman" w:hAnsi="Times New Roman" w:hint="eastAsia"/>
          <w:sz w:val="24"/>
          <w:szCs w:val="24"/>
          <w:lang w:val="en-US"/>
        </w:rPr>
        <w:t>5.2-1</w:t>
      </w:r>
      <w:r>
        <w:rPr>
          <w:rFonts w:ascii="Times New Roman" w:hAnsi="Times New Roman" w:hint="eastAsia"/>
          <w:sz w:val="24"/>
          <w:szCs w:val="24"/>
          <w:lang w:val="en-US"/>
        </w:rPr>
        <w:t>。</w:t>
      </w:r>
    </w:p>
    <w:p w14:paraId="7AF952EC" w14:textId="77777777" w:rsidR="003D6A63" w:rsidRDefault="00000000">
      <w:pPr>
        <w:adjustRightInd w:val="0"/>
        <w:snapToGrid w:val="0"/>
        <w:spacing w:line="360" w:lineRule="auto"/>
        <w:jc w:val="center"/>
        <w:rPr>
          <w:rFonts w:eastAsia="黑体"/>
          <w:szCs w:val="20"/>
        </w:rPr>
      </w:pPr>
      <w:r>
        <w:rPr>
          <w:rFonts w:eastAsia="黑体" w:hint="eastAsia"/>
          <w:szCs w:val="20"/>
        </w:rPr>
        <w:t>表</w:t>
      </w:r>
      <w:r>
        <w:rPr>
          <w:rFonts w:eastAsia="黑体" w:hint="eastAsia"/>
          <w:szCs w:val="20"/>
        </w:rPr>
        <w:t xml:space="preserve">5.2-1 </w:t>
      </w:r>
      <w:r>
        <w:rPr>
          <w:rFonts w:eastAsia="黑体" w:hint="eastAsia"/>
          <w:szCs w:val="20"/>
        </w:rPr>
        <w:t>注入系统安全检查表</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08"/>
        <w:gridCol w:w="4411"/>
        <w:gridCol w:w="1702"/>
        <w:gridCol w:w="1960"/>
        <w:gridCol w:w="700"/>
      </w:tblGrid>
      <w:tr w:rsidR="003D6A63" w14:paraId="00F8E915" w14:textId="77777777">
        <w:trPr>
          <w:tblHeader/>
          <w:jc w:val="center"/>
        </w:trPr>
        <w:tc>
          <w:tcPr>
            <w:tcW w:w="273" w:type="pct"/>
            <w:tcBorders>
              <w:tl2br w:val="nil"/>
              <w:tr2bl w:val="nil"/>
            </w:tcBorders>
            <w:vAlign w:val="center"/>
          </w:tcPr>
          <w:p w14:paraId="49EF16B4" w14:textId="77777777" w:rsidR="003D6A63" w:rsidRDefault="00000000">
            <w:pPr>
              <w:adjustRightInd w:val="0"/>
              <w:snapToGrid w:val="0"/>
              <w:jc w:val="center"/>
              <w:rPr>
                <w:b/>
                <w:bCs/>
                <w:szCs w:val="21"/>
              </w:rPr>
            </w:pPr>
            <w:r>
              <w:rPr>
                <w:b/>
                <w:bCs/>
                <w:szCs w:val="21"/>
              </w:rPr>
              <w:t>序号</w:t>
            </w:r>
          </w:p>
        </w:tc>
        <w:tc>
          <w:tcPr>
            <w:tcW w:w="2375" w:type="pct"/>
            <w:tcBorders>
              <w:tl2br w:val="nil"/>
              <w:tr2bl w:val="nil"/>
            </w:tcBorders>
            <w:vAlign w:val="center"/>
          </w:tcPr>
          <w:p w14:paraId="7446D1AD" w14:textId="77777777" w:rsidR="003D6A63" w:rsidRDefault="00000000">
            <w:pPr>
              <w:adjustRightInd w:val="0"/>
              <w:snapToGrid w:val="0"/>
              <w:jc w:val="center"/>
              <w:rPr>
                <w:b/>
                <w:bCs/>
                <w:szCs w:val="21"/>
              </w:rPr>
            </w:pPr>
            <w:r>
              <w:rPr>
                <w:b/>
                <w:bCs/>
                <w:szCs w:val="21"/>
              </w:rPr>
              <w:t>检查内容</w:t>
            </w:r>
          </w:p>
        </w:tc>
        <w:tc>
          <w:tcPr>
            <w:tcW w:w="917" w:type="pct"/>
            <w:tcBorders>
              <w:tl2br w:val="nil"/>
              <w:tr2bl w:val="nil"/>
            </w:tcBorders>
            <w:vAlign w:val="center"/>
          </w:tcPr>
          <w:p w14:paraId="5BE6D554" w14:textId="77777777" w:rsidR="003D6A63" w:rsidRDefault="00000000">
            <w:pPr>
              <w:adjustRightInd w:val="0"/>
              <w:snapToGrid w:val="0"/>
              <w:jc w:val="center"/>
              <w:rPr>
                <w:b/>
                <w:bCs/>
                <w:szCs w:val="21"/>
              </w:rPr>
            </w:pPr>
            <w:r>
              <w:rPr>
                <w:b/>
                <w:bCs/>
                <w:szCs w:val="21"/>
              </w:rPr>
              <w:t>检查依据</w:t>
            </w:r>
          </w:p>
        </w:tc>
        <w:tc>
          <w:tcPr>
            <w:tcW w:w="1056" w:type="pct"/>
            <w:tcBorders>
              <w:tl2br w:val="nil"/>
              <w:tr2bl w:val="nil"/>
            </w:tcBorders>
            <w:vAlign w:val="center"/>
          </w:tcPr>
          <w:p w14:paraId="4192DE8B" w14:textId="77777777" w:rsidR="003D6A63" w:rsidRDefault="00000000">
            <w:pPr>
              <w:adjustRightInd w:val="0"/>
              <w:snapToGrid w:val="0"/>
              <w:jc w:val="center"/>
              <w:rPr>
                <w:b/>
                <w:bCs/>
                <w:szCs w:val="21"/>
              </w:rPr>
            </w:pPr>
            <w:r>
              <w:rPr>
                <w:b/>
                <w:bCs/>
                <w:szCs w:val="21"/>
              </w:rPr>
              <w:t>实际情况</w:t>
            </w:r>
          </w:p>
        </w:tc>
        <w:tc>
          <w:tcPr>
            <w:tcW w:w="377" w:type="pct"/>
            <w:tcBorders>
              <w:tl2br w:val="nil"/>
              <w:tr2bl w:val="nil"/>
            </w:tcBorders>
            <w:vAlign w:val="center"/>
          </w:tcPr>
          <w:p w14:paraId="3A704AF8" w14:textId="77777777" w:rsidR="003D6A63" w:rsidRDefault="00000000">
            <w:pPr>
              <w:adjustRightInd w:val="0"/>
              <w:snapToGrid w:val="0"/>
              <w:jc w:val="center"/>
              <w:rPr>
                <w:b/>
                <w:bCs/>
                <w:szCs w:val="21"/>
              </w:rPr>
            </w:pPr>
            <w:r>
              <w:rPr>
                <w:b/>
                <w:bCs/>
                <w:szCs w:val="21"/>
              </w:rPr>
              <w:t>检查结果</w:t>
            </w:r>
          </w:p>
        </w:tc>
      </w:tr>
      <w:tr w:rsidR="003D6A63" w14:paraId="651E7B91" w14:textId="77777777">
        <w:trPr>
          <w:jc w:val="center"/>
        </w:trPr>
        <w:tc>
          <w:tcPr>
            <w:tcW w:w="273" w:type="pct"/>
            <w:tcBorders>
              <w:tl2br w:val="nil"/>
              <w:tr2bl w:val="nil"/>
            </w:tcBorders>
            <w:vAlign w:val="center"/>
          </w:tcPr>
          <w:p w14:paraId="68128E10" w14:textId="77777777" w:rsidR="003D6A63" w:rsidRDefault="003D6A63">
            <w:pPr>
              <w:numPr>
                <w:ilvl w:val="0"/>
                <w:numId w:val="17"/>
              </w:numPr>
              <w:adjustRightInd w:val="0"/>
              <w:snapToGrid w:val="0"/>
              <w:ind w:left="0" w:firstLine="0"/>
              <w:jc w:val="center"/>
              <w:rPr>
                <w:szCs w:val="21"/>
              </w:rPr>
            </w:pPr>
          </w:p>
        </w:tc>
        <w:tc>
          <w:tcPr>
            <w:tcW w:w="2375" w:type="pct"/>
            <w:tcBorders>
              <w:tl2br w:val="nil"/>
              <w:tr2bl w:val="nil"/>
            </w:tcBorders>
            <w:vAlign w:val="center"/>
          </w:tcPr>
          <w:p w14:paraId="2AE0E7F0" w14:textId="77777777" w:rsidR="003D6A63" w:rsidRDefault="00000000">
            <w:pPr>
              <w:adjustRightInd w:val="0"/>
              <w:snapToGrid w:val="0"/>
              <w:rPr>
                <w:szCs w:val="21"/>
              </w:rPr>
            </w:pPr>
            <w:r>
              <w:rPr>
                <w:szCs w:val="21"/>
              </w:rPr>
              <w:t>注水管道敷设应符合下列规定：</w:t>
            </w:r>
          </w:p>
          <w:p w14:paraId="112EA540" w14:textId="77777777" w:rsidR="003D6A63" w:rsidRDefault="00000000">
            <w:pPr>
              <w:adjustRightInd w:val="0"/>
              <w:snapToGrid w:val="0"/>
              <w:rPr>
                <w:szCs w:val="21"/>
              </w:rPr>
            </w:pPr>
            <w:r>
              <w:rPr>
                <w:szCs w:val="21"/>
              </w:rPr>
              <w:t>1</w:t>
            </w:r>
            <w:r>
              <w:rPr>
                <w:rFonts w:hint="eastAsia"/>
                <w:szCs w:val="21"/>
              </w:rPr>
              <w:t xml:space="preserve"> </w:t>
            </w:r>
            <w:r>
              <w:rPr>
                <w:szCs w:val="21"/>
              </w:rPr>
              <w:t>注水管道宜埋地敷设，通过低洼地时，敷设</w:t>
            </w:r>
            <w:r>
              <w:rPr>
                <w:szCs w:val="21"/>
              </w:rPr>
              <w:lastRenderedPageBreak/>
              <w:t>方式应通过技术经济对比确定。</w:t>
            </w:r>
          </w:p>
          <w:p w14:paraId="45865188" w14:textId="77777777" w:rsidR="003D6A63" w:rsidRDefault="00000000">
            <w:pPr>
              <w:adjustRightInd w:val="0"/>
              <w:snapToGrid w:val="0"/>
              <w:rPr>
                <w:szCs w:val="21"/>
              </w:rPr>
            </w:pPr>
            <w:r>
              <w:rPr>
                <w:szCs w:val="21"/>
              </w:rPr>
              <w:t>2</w:t>
            </w:r>
            <w:r>
              <w:rPr>
                <w:rFonts w:hint="eastAsia"/>
                <w:szCs w:val="21"/>
              </w:rPr>
              <w:t xml:space="preserve"> </w:t>
            </w:r>
            <w:r>
              <w:rPr>
                <w:szCs w:val="21"/>
              </w:rPr>
              <w:t>地上敷设的注水管道应根据当地气象条件，确定是否需要采取保温防冻措施。</w:t>
            </w:r>
          </w:p>
          <w:p w14:paraId="4CF29A9C" w14:textId="77777777" w:rsidR="003D6A63" w:rsidRDefault="00000000">
            <w:pPr>
              <w:adjustRightInd w:val="0"/>
              <w:snapToGrid w:val="0"/>
              <w:rPr>
                <w:szCs w:val="21"/>
              </w:rPr>
            </w:pPr>
            <w:r>
              <w:rPr>
                <w:szCs w:val="21"/>
              </w:rPr>
              <w:t>3</w:t>
            </w:r>
            <w:r>
              <w:rPr>
                <w:rFonts w:hint="eastAsia"/>
                <w:szCs w:val="21"/>
              </w:rPr>
              <w:t xml:space="preserve"> </w:t>
            </w:r>
            <w:r>
              <w:rPr>
                <w:szCs w:val="21"/>
              </w:rPr>
              <w:t>站外注水管道严禁从建筑物基础下方通过。</w:t>
            </w:r>
          </w:p>
          <w:p w14:paraId="12222219" w14:textId="77777777" w:rsidR="003D6A63" w:rsidRDefault="00000000">
            <w:pPr>
              <w:adjustRightInd w:val="0"/>
              <w:snapToGrid w:val="0"/>
              <w:rPr>
                <w:szCs w:val="21"/>
              </w:rPr>
            </w:pPr>
            <w:r>
              <w:rPr>
                <w:szCs w:val="21"/>
              </w:rPr>
              <w:t>4</w:t>
            </w:r>
            <w:r>
              <w:rPr>
                <w:rFonts w:hint="eastAsia"/>
                <w:szCs w:val="21"/>
              </w:rPr>
              <w:t xml:space="preserve"> </w:t>
            </w:r>
            <w:r>
              <w:rPr>
                <w:szCs w:val="21"/>
              </w:rPr>
              <w:t>注水管道与建筑物净距离不应小于</w:t>
            </w:r>
            <w:r>
              <w:rPr>
                <w:szCs w:val="21"/>
              </w:rPr>
              <w:t>5m</w:t>
            </w:r>
            <w:r>
              <w:rPr>
                <w:szCs w:val="21"/>
              </w:rPr>
              <w:t>，当情况特殊小于</w:t>
            </w:r>
            <w:r>
              <w:rPr>
                <w:szCs w:val="21"/>
              </w:rPr>
              <w:t>5m</w:t>
            </w:r>
            <w:r>
              <w:rPr>
                <w:szCs w:val="21"/>
              </w:rPr>
              <w:t>时，注水管道应采取增强保护措施。</w:t>
            </w:r>
          </w:p>
          <w:p w14:paraId="4282E13D" w14:textId="77777777" w:rsidR="003D6A63" w:rsidRDefault="00000000">
            <w:pPr>
              <w:adjustRightInd w:val="0"/>
              <w:snapToGrid w:val="0"/>
              <w:rPr>
                <w:szCs w:val="21"/>
              </w:rPr>
            </w:pPr>
            <w:r>
              <w:rPr>
                <w:szCs w:val="21"/>
              </w:rPr>
              <w:t>5</w:t>
            </w:r>
            <w:r>
              <w:rPr>
                <w:rFonts w:hint="eastAsia"/>
                <w:szCs w:val="21"/>
              </w:rPr>
              <w:t xml:space="preserve"> </w:t>
            </w:r>
            <w:r>
              <w:rPr>
                <w:szCs w:val="21"/>
              </w:rPr>
              <w:t>注水管道可沿油田专用公路路肩敷设。</w:t>
            </w:r>
          </w:p>
        </w:tc>
        <w:tc>
          <w:tcPr>
            <w:tcW w:w="917" w:type="pct"/>
            <w:tcBorders>
              <w:tl2br w:val="nil"/>
              <w:tr2bl w:val="nil"/>
            </w:tcBorders>
            <w:vAlign w:val="center"/>
          </w:tcPr>
          <w:p w14:paraId="3207B7EE" w14:textId="77777777" w:rsidR="003D6A63" w:rsidRDefault="00000000">
            <w:pPr>
              <w:adjustRightInd w:val="0"/>
              <w:snapToGrid w:val="0"/>
              <w:jc w:val="center"/>
              <w:rPr>
                <w:szCs w:val="21"/>
              </w:rPr>
            </w:pPr>
            <w:r>
              <w:rPr>
                <w:szCs w:val="21"/>
              </w:rPr>
              <w:lastRenderedPageBreak/>
              <w:t>GB50391-2014</w:t>
            </w:r>
          </w:p>
          <w:p w14:paraId="6D27E5F9" w14:textId="77777777" w:rsidR="003D6A63" w:rsidRDefault="00000000">
            <w:pPr>
              <w:adjustRightInd w:val="0"/>
              <w:snapToGrid w:val="0"/>
              <w:jc w:val="center"/>
              <w:rPr>
                <w:szCs w:val="21"/>
              </w:rPr>
            </w:pPr>
            <w:r>
              <w:rPr>
                <w:szCs w:val="21"/>
              </w:rPr>
              <w:t>5.2.1</w:t>
            </w:r>
          </w:p>
        </w:tc>
        <w:tc>
          <w:tcPr>
            <w:tcW w:w="1056" w:type="pct"/>
            <w:tcBorders>
              <w:tl2br w:val="nil"/>
              <w:tr2bl w:val="nil"/>
            </w:tcBorders>
            <w:vAlign w:val="center"/>
          </w:tcPr>
          <w:p w14:paraId="2EAE6A5C" w14:textId="77777777" w:rsidR="003D6A63" w:rsidRDefault="00000000">
            <w:pPr>
              <w:adjustRightInd w:val="0"/>
              <w:snapToGrid w:val="0"/>
              <w:rPr>
                <w:szCs w:val="21"/>
              </w:rPr>
            </w:pPr>
            <w:r>
              <w:rPr>
                <w:rFonts w:hint="eastAsia"/>
                <w:szCs w:val="21"/>
              </w:rPr>
              <w:t>注水管道埋地敷设。</w:t>
            </w:r>
          </w:p>
        </w:tc>
        <w:tc>
          <w:tcPr>
            <w:tcW w:w="377" w:type="pct"/>
            <w:tcBorders>
              <w:tl2br w:val="nil"/>
              <w:tr2bl w:val="nil"/>
            </w:tcBorders>
            <w:vAlign w:val="center"/>
          </w:tcPr>
          <w:p w14:paraId="74330A49" w14:textId="77777777" w:rsidR="003D6A63" w:rsidRDefault="00000000">
            <w:pPr>
              <w:adjustRightInd w:val="0"/>
              <w:snapToGrid w:val="0"/>
              <w:jc w:val="center"/>
              <w:rPr>
                <w:szCs w:val="21"/>
              </w:rPr>
            </w:pPr>
            <w:r>
              <w:rPr>
                <w:rFonts w:hint="eastAsia"/>
                <w:szCs w:val="21"/>
              </w:rPr>
              <w:t>√</w:t>
            </w:r>
          </w:p>
        </w:tc>
      </w:tr>
      <w:tr w:rsidR="003D6A63" w14:paraId="6E7714A6" w14:textId="77777777">
        <w:trPr>
          <w:jc w:val="center"/>
        </w:trPr>
        <w:tc>
          <w:tcPr>
            <w:tcW w:w="273" w:type="pct"/>
            <w:tcBorders>
              <w:tl2br w:val="nil"/>
              <w:tr2bl w:val="nil"/>
            </w:tcBorders>
            <w:vAlign w:val="center"/>
          </w:tcPr>
          <w:p w14:paraId="5D775CFD" w14:textId="77777777" w:rsidR="003D6A63" w:rsidRDefault="003D6A63">
            <w:pPr>
              <w:numPr>
                <w:ilvl w:val="0"/>
                <w:numId w:val="17"/>
              </w:numPr>
              <w:adjustRightInd w:val="0"/>
              <w:snapToGrid w:val="0"/>
              <w:ind w:left="0" w:firstLine="0"/>
              <w:jc w:val="center"/>
              <w:rPr>
                <w:szCs w:val="21"/>
              </w:rPr>
            </w:pPr>
          </w:p>
        </w:tc>
        <w:tc>
          <w:tcPr>
            <w:tcW w:w="2375" w:type="pct"/>
            <w:tcBorders>
              <w:tl2br w:val="nil"/>
              <w:tr2bl w:val="nil"/>
            </w:tcBorders>
            <w:vAlign w:val="center"/>
          </w:tcPr>
          <w:p w14:paraId="473744A7" w14:textId="77777777" w:rsidR="003D6A63" w:rsidRDefault="00000000">
            <w:pPr>
              <w:adjustRightInd w:val="0"/>
              <w:snapToGrid w:val="0"/>
              <w:rPr>
                <w:color w:val="000000"/>
                <w:kern w:val="0"/>
                <w:szCs w:val="21"/>
              </w:rPr>
            </w:pPr>
            <w:r>
              <w:rPr>
                <w:bCs/>
                <w:color w:val="000000"/>
                <w:szCs w:val="21"/>
              </w:rPr>
              <w:t>钢质注水干管、支干管在管道起点、折点、终点，以及每隔</w:t>
            </w:r>
            <w:r>
              <w:rPr>
                <w:bCs/>
                <w:color w:val="000000"/>
                <w:szCs w:val="21"/>
              </w:rPr>
              <w:t>0.5km</w:t>
            </w:r>
            <w:r>
              <w:rPr>
                <w:bCs/>
                <w:color w:val="000000"/>
                <w:szCs w:val="21"/>
              </w:rPr>
              <w:t>处宜设管道标志桩。</w:t>
            </w:r>
          </w:p>
        </w:tc>
        <w:tc>
          <w:tcPr>
            <w:tcW w:w="917" w:type="pct"/>
            <w:tcBorders>
              <w:tl2br w:val="nil"/>
              <w:tr2bl w:val="nil"/>
            </w:tcBorders>
            <w:vAlign w:val="center"/>
          </w:tcPr>
          <w:p w14:paraId="2E51A657" w14:textId="77777777" w:rsidR="003D6A63" w:rsidRDefault="00000000">
            <w:pPr>
              <w:adjustRightInd w:val="0"/>
              <w:snapToGrid w:val="0"/>
              <w:jc w:val="center"/>
              <w:rPr>
                <w:bCs/>
                <w:color w:val="000000"/>
                <w:szCs w:val="21"/>
              </w:rPr>
            </w:pPr>
            <w:r>
              <w:rPr>
                <w:bCs/>
                <w:color w:val="000000"/>
                <w:szCs w:val="21"/>
              </w:rPr>
              <w:t>GB50391-2014</w:t>
            </w:r>
          </w:p>
          <w:p w14:paraId="0D67321F" w14:textId="77777777" w:rsidR="003D6A63" w:rsidRDefault="00000000">
            <w:pPr>
              <w:adjustRightInd w:val="0"/>
              <w:snapToGrid w:val="0"/>
              <w:jc w:val="center"/>
              <w:rPr>
                <w:bCs/>
                <w:color w:val="000000"/>
                <w:szCs w:val="21"/>
              </w:rPr>
            </w:pPr>
            <w:r>
              <w:rPr>
                <w:bCs/>
                <w:color w:val="000000"/>
                <w:szCs w:val="21"/>
              </w:rPr>
              <w:t>5.2.4</w:t>
            </w:r>
          </w:p>
        </w:tc>
        <w:tc>
          <w:tcPr>
            <w:tcW w:w="1056" w:type="pct"/>
            <w:tcBorders>
              <w:tl2br w:val="nil"/>
              <w:tr2bl w:val="nil"/>
            </w:tcBorders>
            <w:vAlign w:val="center"/>
          </w:tcPr>
          <w:p w14:paraId="4AFA92EC" w14:textId="77777777" w:rsidR="003D6A63" w:rsidRDefault="00000000">
            <w:pPr>
              <w:adjustRightInd w:val="0"/>
              <w:snapToGrid w:val="0"/>
              <w:rPr>
                <w:szCs w:val="21"/>
              </w:rPr>
            </w:pPr>
            <w:r>
              <w:rPr>
                <w:rFonts w:hint="eastAsia"/>
                <w:szCs w:val="21"/>
              </w:rPr>
              <w:t>注水管道设置有管道标志桩。</w:t>
            </w:r>
          </w:p>
        </w:tc>
        <w:tc>
          <w:tcPr>
            <w:tcW w:w="377" w:type="pct"/>
            <w:tcBorders>
              <w:tl2br w:val="nil"/>
              <w:tr2bl w:val="nil"/>
            </w:tcBorders>
            <w:vAlign w:val="center"/>
          </w:tcPr>
          <w:p w14:paraId="09E34267" w14:textId="77777777" w:rsidR="003D6A63" w:rsidRDefault="00000000">
            <w:pPr>
              <w:adjustRightInd w:val="0"/>
              <w:snapToGrid w:val="0"/>
              <w:jc w:val="center"/>
              <w:rPr>
                <w:szCs w:val="21"/>
              </w:rPr>
            </w:pPr>
            <w:r>
              <w:rPr>
                <w:rFonts w:hint="eastAsia"/>
                <w:szCs w:val="21"/>
              </w:rPr>
              <w:t>√</w:t>
            </w:r>
          </w:p>
        </w:tc>
      </w:tr>
      <w:tr w:rsidR="003D6A63" w14:paraId="0A63E9A7" w14:textId="77777777">
        <w:trPr>
          <w:jc w:val="center"/>
        </w:trPr>
        <w:tc>
          <w:tcPr>
            <w:tcW w:w="273" w:type="pct"/>
            <w:tcBorders>
              <w:tl2br w:val="nil"/>
              <w:tr2bl w:val="nil"/>
            </w:tcBorders>
            <w:vAlign w:val="center"/>
          </w:tcPr>
          <w:p w14:paraId="69601D16" w14:textId="77777777" w:rsidR="003D6A63" w:rsidRDefault="003D6A63">
            <w:pPr>
              <w:numPr>
                <w:ilvl w:val="0"/>
                <w:numId w:val="17"/>
              </w:numPr>
              <w:adjustRightInd w:val="0"/>
              <w:snapToGrid w:val="0"/>
              <w:ind w:left="0" w:firstLine="0"/>
              <w:jc w:val="center"/>
              <w:rPr>
                <w:szCs w:val="21"/>
              </w:rPr>
            </w:pPr>
          </w:p>
        </w:tc>
        <w:tc>
          <w:tcPr>
            <w:tcW w:w="2375" w:type="pct"/>
            <w:tcBorders>
              <w:tl2br w:val="nil"/>
              <w:tr2bl w:val="nil"/>
            </w:tcBorders>
            <w:vAlign w:val="center"/>
          </w:tcPr>
          <w:p w14:paraId="2748CDB4" w14:textId="77777777" w:rsidR="003D6A63" w:rsidRDefault="00000000">
            <w:pPr>
              <w:adjustRightInd w:val="0"/>
              <w:snapToGrid w:val="0"/>
              <w:rPr>
                <w:szCs w:val="21"/>
              </w:rPr>
            </w:pPr>
            <w:r>
              <w:rPr>
                <w:szCs w:val="21"/>
              </w:rPr>
              <w:t>配水间应满足注水井流量及调节的要求。</w:t>
            </w:r>
          </w:p>
        </w:tc>
        <w:tc>
          <w:tcPr>
            <w:tcW w:w="917" w:type="pct"/>
            <w:tcBorders>
              <w:tl2br w:val="nil"/>
              <w:tr2bl w:val="nil"/>
            </w:tcBorders>
            <w:vAlign w:val="center"/>
          </w:tcPr>
          <w:p w14:paraId="2F083DC5" w14:textId="77777777" w:rsidR="003D6A63" w:rsidRDefault="00000000">
            <w:pPr>
              <w:autoSpaceDE w:val="0"/>
              <w:autoSpaceDN w:val="0"/>
              <w:adjustRightInd w:val="0"/>
              <w:snapToGrid w:val="0"/>
              <w:jc w:val="center"/>
              <w:rPr>
                <w:color w:val="000000"/>
                <w:kern w:val="0"/>
                <w:szCs w:val="21"/>
              </w:rPr>
            </w:pPr>
            <w:r>
              <w:rPr>
                <w:color w:val="000000"/>
                <w:kern w:val="0"/>
                <w:szCs w:val="21"/>
              </w:rPr>
              <w:t>GB50391-2014</w:t>
            </w:r>
          </w:p>
          <w:p w14:paraId="6A367E10" w14:textId="77777777" w:rsidR="003D6A63" w:rsidRDefault="00000000">
            <w:pPr>
              <w:adjustRightInd w:val="0"/>
              <w:snapToGrid w:val="0"/>
              <w:jc w:val="center"/>
              <w:rPr>
                <w:szCs w:val="21"/>
              </w:rPr>
            </w:pPr>
            <w:r>
              <w:rPr>
                <w:szCs w:val="21"/>
              </w:rPr>
              <w:t>6.1.1</w:t>
            </w:r>
          </w:p>
        </w:tc>
        <w:tc>
          <w:tcPr>
            <w:tcW w:w="1056" w:type="pct"/>
            <w:tcBorders>
              <w:tl2br w:val="nil"/>
              <w:tr2bl w:val="nil"/>
            </w:tcBorders>
            <w:vAlign w:val="center"/>
          </w:tcPr>
          <w:p w14:paraId="478F214D" w14:textId="77777777" w:rsidR="003D6A63" w:rsidRDefault="00000000">
            <w:pPr>
              <w:adjustRightInd w:val="0"/>
              <w:snapToGrid w:val="0"/>
              <w:rPr>
                <w:szCs w:val="21"/>
              </w:rPr>
            </w:pPr>
            <w:r>
              <w:rPr>
                <w:rFonts w:hint="eastAsia"/>
                <w:szCs w:val="21"/>
              </w:rPr>
              <w:t>配水间满足要求。</w:t>
            </w:r>
          </w:p>
        </w:tc>
        <w:tc>
          <w:tcPr>
            <w:tcW w:w="377" w:type="pct"/>
            <w:tcBorders>
              <w:tl2br w:val="nil"/>
              <w:tr2bl w:val="nil"/>
            </w:tcBorders>
            <w:vAlign w:val="center"/>
          </w:tcPr>
          <w:p w14:paraId="58FD599E" w14:textId="77777777" w:rsidR="003D6A63" w:rsidRDefault="00000000">
            <w:pPr>
              <w:adjustRightInd w:val="0"/>
              <w:snapToGrid w:val="0"/>
              <w:jc w:val="center"/>
              <w:rPr>
                <w:szCs w:val="21"/>
              </w:rPr>
            </w:pPr>
            <w:r>
              <w:rPr>
                <w:rFonts w:hint="eastAsia"/>
                <w:szCs w:val="21"/>
              </w:rPr>
              <w:t>√</w:t>
            </w:r>
          </w:p>
        </w:tc>
      </w:tr>
      <w:tr w:rsidR="003D6A63" w14:paraId="57B40F8F" w14:textId="77777777">
        <w:trPr>
          <w:jc w:val="center"/>
        </w:trPr>
        <w:tc>
          <w:tcPr>
            <w:tcW w:w="273" w:type="pct"/>
            <w:tcBorders>
              <w:tl2br w:val="nil"/>
              <w:tr2bl w:val="nil"/>
            </w:tcBorders>
            <w:vAlign w:val="center"/>
          </w:tcPr>
          <w:p w14:paraId="36076AAF" w14:textId="77777777" w:rsidR="003D6A63" w:rsidRDefault="003D6A63">
            <w:pPr>
              <w:numPr>
                <w:ilvl w:val="0"/>
                <w:numId w:val="17"/>
              </w:numPr>
              <w:adjustRightInd w:val="0"/>
              <w:snapToGrid w:val="0"/>
              <w:ind w:left="0" w:firstLine="0"/>
              <w:jc w:val="center"/>
              <w:rPr>
                <w:szCs w:val="21"/>
              </w:rPr>
            </w:pPr>
          </w:p>
        </w:tc>
        <w:tc>
          <w:tcPr>
            <w:tcW w:w="2375" w:type="pct"/>
            <w:tcBorders>
              <w:tl2br w:val="nil"/>
              <w:tr2bl w:val="nil"/>
            </w:tcBorders>
            <w:vAlign w:val="center"/>
          </w:tcPr>
          <w:p w14:paraId="55948C32" w14:textId="77777777" w:rsidR="003D6A63" w:rsidRDefault="00000000">
            <w:pPr>
              <w:adjustRightInd w:val="0"/>
              <w:snapToGrid w:val="0"/>
              <w:rPr>
                <w:szCs w:val="21"/>
              </w:rPr>
            </w:pPr>
            <w:r>
              <w:rPr>
                <w:szCs w:val="21"/>
              </w:rPr>
              <w:t>配水间的布置应符合下列规定：</w:t>
            </w:r>
          </w:p>
          <w:p w14:paraId="3ED34516" w14:textId="77777777" w:rsidR="003D6A63" w:rsidRDefault="00000000">
            <w:pPr>
              <w:adjustRightInd w:val="0"/>
              <w:snapToGrid w:val="0"/>
              <w:rPr>
                <w:szCs w:val="21"/>
              </w:rPr>
            </w:pPr>
            <w:r>
              <w:rPr>
                <w:szCs w:val="21"/>
              </w:rPr>
              <w:t>1</w:t>
            </w:r>
            <w:r>
              <w:rPr>
                <w:szCs w:val="21"/>
              </w:rPr>
              <w:t>多井配水间宜与油计量间合建。</w:t>
            </w:r>
          </w:p>
          <w:p w14:paraId="4A0E3E8C" w14:textId="77777777" w:rsidR="003D6A63" w:rsidRDefault="00000000">
            <w:pPr>
              <w:adjustRightInd w:val="0"/>
              <w:snapToGrid w:val="0"/>
              <w:rPr>
                <w:szCs w:val="21"/>
              </w:rPr>
            </w:pPr>
            <w:r>
              <w:rPr>
                <w:szCs w:val="21"/>
              </w:rPr>
              <w:t>2</w:t>
            </w:r>
            <w:r>
              <w:rPr>
                <w:szCs w:val="21"/>
              </w:rPr>
              <w:t>配水设施设于室内时，室内人行操作通道应满足阀门操作、巡检和维护的要求。配水间采用砖混房间时，室内人行操作通道净宽不应小于</w:t>
            </w:r>
            <w:r>
              <w:rPr>
                <w:szCs w:val="21"/>
              </w:rPr>
              <w:t>0.8m</w:t>
            </w:r>
            <w:r>
              <w:rPr>
                <w:szCs w:val="21"/>
              </w:rPr>
              <w:t>；配水间采用橇装形式时，室内人行操作通道净宽不应小于</w:t>
            </w:r>
            <w:r>
              <w:rPr>
                <w:szCs w:val="21"/>
              </w:rPr>
              <w:t>0.5m</w:t>
            </w:r>
            <w:r>
              <w:rPr>
                <w:szCs w:val="21"/>
              </w:rPr>
              <w:t>。</w:t>
            </w:r>
          </w:p>
        </w:tc>
        <w:tc>
          <w:tcPr>
            <w:tcW w:w="917" w:type="pct"/>
            <w:tcBorders>
              <w:tl2br w:val="nil"/>
              <w:tr2bl w:val="nil"/>
            </w:tcBorders>
            <w:vAlign w:val="center"/>
          </w:tcPr>
          <w:p w14:paraId="1F826DBC" w14:textId="77777777" w:rsidR="003D6A63" w:rsidRDefault="00000000">
            <w:pPr>
              <w:autoSpaceDE w:val="0"/>
              <w:autoSpaceDN w:val="0"/>
              <w:adjustRightInd w:val="0"/>
              <w:snapToGrid w:val="0"/>
              <w:jc w:val="center"/>
              <w:rPr>
                <w:color w:val="000000"/>
                <w:kern w:val="0"/>
                <w:szCs w:val="21"/>
              </w:rPr>
            </w:pPr>
            <w:r>
              <w:rPr>
                <w:color w:val="000000"/>
                <w:kern w:val="0"/>
                <w:szCs w:val="21"/>
              </w:rPr>
              <w:t>GB50391-2014</w:t>
            </w:r>
          </w:p>
          <w:p w14:paraId="69B875D9" w14:textId="77777777" w:rsidR="003D6A63" w:rsidRDefault="00000000">
            <w:pPr>
              <w:adjustRightInd w:val="0"/>
              <w:snapToGrid w:val="0"/>
              <w:jc w:val="center"/>
              <w:rPr>
                <w:szCs w:val="21"/>
              </w:rPr>
            </w:pPr>
            <w:r>
              <w:rPr>
                <w:szCs w:val="21"/>
              </w:rPr>
              <w:t>6.1.2</w:t>
            </w:r>
          </w:p>
        </w:tc>
        <w:tc>
          <w:tcPr>
            <w:tcW w:w="1056" w:type="pct"/>
            <w:tcBorders>
              <w:tl2br w:val="nil"/>
              <w:tr2bl w:val="nil"/>
            </w:tcBorders>
            <w:vAlign w:val="center"/>
          </w:tcPr>
          <w:p w14:paraId="648DFAA5" w14:textId="77777777" w:rsidR="003D6A63" w:rsidRDefault="00000000">
            <w:pPr>
              <w:adjustRightInd w:val="0"/>
              <w:snapToGrid w:val="0"/>
              <w:rPr>
                <w:szCs w:val="21"/>
              </w:rPr>
            </w:pPr>
            <w:r>
              <w:rPr>
                <w:szCs w:val="21"/>
              </w:rPr>
              <w:t>配水间与计量间</w:t>
            </w:r>
            <w:r>
              <w:rPr>
                <w:rFonts w:hint="eastAsia"/>
                <w:szCs w:val="21"/>
              </w:rPr>
              <w:t>合建，配水间内配水设施布置满足操作、巡检和维护要求。</w:t>
            </w:r>
          </w:p>
        </w:tc>
        <w:tc>
          <w:tcPr>
            <w:tcW w:w="377" w:type="pct"/>
            <w:tcBorders>
              <w:tl2br w:val="nil"/>
              <w:tr2bl w:val="nil"/>
            </w:tcBorders>
            <w:vAlign w:val="center"/>
          </w:tcPr>
          <w:p w14:paraId="35D56C9A" w14:textId="77777777" w:rsidR="003D6A63" w:rsidRDefault="00000000">
            <w:pPr>
              <w:adjustRightInd w:val="0"/>
              <w:snapToGrid w:val="0"/>
              <w:jc w:val="center"/>
              <w:rPr>
                <w:szCs w:val="21"/>
              </w:rPr>
            </w:pPr>
            <w:r>
              <w:rPr>
                <w:rFonts w:hint="eastAsia"/>
                <w:szCs w:val="21"/>
              </w:rPr>
              <w:t>√</w:t>
            </w:r>
          </w:p>
        </w:tc>
      </w:tr>
      <w:tr w:rsidR="003D6A63" w14:paraId="1AAE36D0" w14:textId="77777777">
        <w:trPr>
          <w:jc w:val="center"/>
        </w:trPr>
        <w:tc>
          <w:tcPr>
            <w:tcW w:w="273" w:type="pct"/>
            <w:tcBorders>
              <w:tl2br w:val="nil"/>
              <w:tr2bl w:val="nil"/>
            </w:tcBorders>
            <w:vAlign w:val="center"/>
          </w:tcPr>
          <w:p w14:paraId="31C5C2F5" w14:textId="77777777" w:rsidR="003D6A63" w:rsidRDefault="003D6A63">
            <w:pPr>
              <w:numPr>
                <w:ilvl w:val="0"/>
                <w:numId w:val="17"/>
              </w:numPr>
              <w:adjustRightInd w:val="0"/>
              <w:snapToGrid w:val="0"/>
              <w:ind w:left="0" w:firstLine="0"/>
              <w:jc w:val="center"/>
              <w:rPr>
                <w:szCs w:val="21"/>
              </w:rPr>
            </w:pPr>
          </w:p>
        </w:tc>
        <w:tc>
          <w:tcPr>
            <w:tcW w:w="2375" w:type="pct"/>
            <w:tcBorders>
              <w:tl2br w:val="nil"/>
              <w:tr2bl w:val="nil"/>
            </w:tcBorders>
            <w:vAlign w:val="center"/>
          </w:tcPr>
          <w:p w14:paraId="0AD4FAF6" w14:textId="77777777" w:rsidR="003D6A63" w:rsidRDefault="00000000">
            <w:pPr>
              <w:adjustRightInd w:val="0"/>
              <w:snapToGrid w:val="0"/>
              <w:rPr>
                <w:szCs w:val="21"/>
              </w:rPr>
            </w:pPr>
            <w:r>
              <w:rPr>
                <w:szCs w:val="21"/>
              </w:rPr>
              <w:t>注水井口应设有截断阀</w:t>
            </w:r>
            <w:r>
              <w:rPr>
                <w:rFonts w:hint="eastAsia"/>
                <w:szCs w:val="21"/>
              </w:rPr>
              <w:t>、</w:t>
            </w:r>
            <w:r>
              <w:rPr>
                <w:szCs w:val="21"/>
              </w:rPr>
              <w:t>油压表、套压表</w:t>
            </w:r>
            <w:r>
              <w:rPr>
                <w:rFonts w:hint="eastAsia"/>
                <w:szCs w:val="21"/>
              </w:rPr>
              <w:t>，</w:t>
            </w:r>
            <w:r>
              <w:rPr>
                <w:szCs w:val="21"/>
              </w:rPr>
              <w:t>宜设有来水止回阀。注入</w:t>
            </w:r>
            <w:r>
              <w:rPr>
                <w:rFonts w:hint="eastAsia"/>
                <w:szCs w:val="21"/>
              </w:rPr>
              <w:t>井</w:t>
            </w:r>
            <w:r>
              <w:rPr>
                <w:szCs w:val="21"/>
              </w:rPr>
              <w:t>口还应设取样阀。</w:t>
            </w:r>
          </w:p>
        </w:tc>
        <w:tc>
          <w:tcPr>
            <w:tcW w:w="917" w:type="pct"/>
            <w:tcBorders>
              <w:tl2br w:val="nil"/>
              <w:tr2bl w:val="nil"/>
            </w:tcBorders>
            <w:vAlign w:val="center"/>
          </w:tcPr>
          <w:p w14:paraId="27AC6D8F" w14:textId="77777777" w:rsidR="003D6A63" w:rsidRDefault="00000000">
            <w:pPr>
              <w:autoSpaceDE w:val="0"/>
              <w:autoSpaceDN w:val="0"/>
              <w:adjustRightInd w:val="0"/>
              <w:snapToGrid w:val="0"/>
              <w:jc w:val="center"/>
              <w:rPr>
                <w:color w:val="000000"/>
                <w:kern w:val="0"/>
                <w:szCs w:val="21"/>
              </w:rPr>
            </w:pPr>
            <w:r>
              <w:rPr>
                <w:color w:val="000000"/>
                <w:kern w:val="0"/>
                <w:szCs w:val="21"/>
              </w:rPr>
              <w:t>GB50391-2014</w:t>
            </w:r>
          </w:p>
          <w:p w14:paraId="1CF3D7A6" w14:textId="77777777" w:rsidR="003D6A63" w:rsidRDefault="00000000">
            <w:pPr>
              <w:adjustRightInd w:val="0"/>
              <w:snapToGrid w:val="0"/>
              <w:jc w:val="center"/>
              <w:rPr>
                <w:szCs w:val="21"/>
              </w:rPr>
            </w:pPr>
            <w:r>
              <w:rPr>
                <w:szCs w:val="21"/>
              </w:rPr>
              <w:t>6.2.2</w:t>
            </w:r>
          </w:p>
        </w:tc>
        <w:tc>
          <w:tcPr>
            <w:tcW w:w="1056" w:type="pct"/>
            <w:tcBorders>
              <w:tl2br w:val="nil"/>
              <w:tr2bl w:val="nil"/>
            </w:tcBorders>
            <w:vAlign w:val="center"/>
          </w:tcPr>
          <w:p w14:paraId="51A4C6D5" w14:textId="77777777" w:rsidR="003D6A63" w:rsidRDefault="00000000">
            <w:pPr>
              <w:adjustRightInd w:val="0"/>
              <w:snapToGrid w:val="0"/>
              <w:rPr>
                <w:szCs w:val="21"/>
              </w:rPr>
            </w:pPr>
            <w:r>
              <w:rPr>
                <w:rFonts w:hint="eastAsia"/>
                <w:szCs w:val="21"/>
              </w:rPr>
              <w:t>注水井口设置有截断阀、油压表、套压表及取样阀。</w:t>
            </w:r>
          </w:p>
        </w:tc>
        <w:tc>
          <w:tcPr>
            <w:tcW w:w="377" w:type="pct"/>
            <w:tcBorders>
              <w:tl2br w:val="nil"/>
              <w:tr2bl w:val="nil"/>
            </w:tcBorders>
            <w:vAlign w:val="center"/>
          </w:tcPr>
          <w:p w14:paraId="396CB6D1" w14:textId="77777777" w:rsidR="003D6A63" w:rsidRDefault="00000000">
            <w:pPr>
              <w:adjustRightInd w:val="0"/>
              <w:snapToGrid w:val="0"/>
              <w:jc w:val="center"/>
              <w:rPr>
                <w:szCs w:val="21"/>
              </w:rPr>
            </w:pPr>
            <w:r>
              <w:rPr>
                <w:rFonts w:hint="eastAsia"/>
                <w:szCs w:val="21"/>
              </w:rPr>
              <w:t>√</w:t>
            </w:r>
          </w:p>
        </w:tc>
      </w:tr>
      <w:tr w:rsidR="003D6A63" w14:paraId="6A84B0CF" w14:textId="77777777">
        <w:trPr>
          <w:jc w:val="center"/>
        </w:trPr>
        <w:tc>
          <w:tcPr>
            <w:tcW w:w="273" w:type="pct"/>
            <w:tcBorders>
              <w:tl2br w:val="nil"/>
              <w:tr2bl w:val="nil"/>
            </w:tcBorders>
            <w:vAlign w:val="center"/>
          </w:tcPr>
          <w:p w14:paraId="28797699" w14:textId="77777777" w:rsidR="003D6A63" w:rsidRDefault="003D6A63">
            <w:pPr>
              <w:numPr>
                <w:ilvl w:val="0"/>
                <w:numId w:val="17"/>
              </w:numPr>
              <w:adjustRightInd w:val="0"/>
              <w:snapToGrid w:val="0"/>
              <w:ind w:left="0" w:firstLine="0"/>
              <w:jc w:val="center"/>
              <w:rPr>
                <w:szCs w:val="21"/>
              </w:rPr>
            </w:pPr>
          </w:p>
        </w:tc>
        <w:tc>
          <w:tcPr>
            <w:tcW w:w="2375" w:type="pct"/>
            <w:tcBorders>
              <w:tl2br w:val="nil"/>
              <w:tr2bl w:val="nil"/>
            </w:tcBorders>
            <w:vAlign w:val="center"/>
          </w:tcPr>
          <w:p w14:paraId="56C7856D" w14:textId="77777777" w:rsidR="003D6A63" w:rsidRDefault="00000000">
            <w:pPr>
              <w:adjustRightInd w:val="0"/>
              <w:snapToGrid w:val="0"/>
              <w:rPr>
                <w:szCs w:val="21"/>
              </w:rPr>
            </w:pPr>
            <w:r>
              <w:rPr>
                <w:szCs w:val="21"/>
              </w:rPr>
              <w:t>注水井口宜露天设置，注水井场的标高和面积应能满足生产管理和井下作业的需要。</w:t>
            </w:r>
          </w:p>
        </w:tc>
        <w:tc>
          <w:tcPr>
            <w:tcW w:w="917" w:type="pct"/>
            <w:tcBorders>
              <w:tl2br w:val="nil"/>
              <w:tr2bl w:val="nil"/>
            </w:tcBorders>
            <w:vAlign w:val="center"/>
          </w:tcPr>
          <w:p w14:paraId="3F568921" w14:textId="77777777" w:rsidR="003D6A63" w:rsidRDefault="00000000">
            <w:pPr>
              <w:autoSpaceDE w:val="0"/>
              <w:autoSpaceDN w:val="0"/>
              <w:adjustRightInd w:val="0"/>
              <w:snapToGrid w:val="0"/>
              <w:jc w:val="center"/>
              <w:rPr>
                <w:color w:val="000000"/>
                <w:kern w:val="0"/>
                <w:szCs w:val="21"/>
              </w:rPr>
            </w:pPr>
            <w:r>
              <w:rPr>
                <w:color w:val="000000"/>
                <w:kern w:val="0"/>
                <w:szCs w:val="21"/>
              </w:rPr>
              <w:t>GB50391-2014</w:t>
            </w:r>
          </w:p>
          <w:p w14:paraId="75D78B5B" w14:textId="77777777" w:rsidR="003D6A63" w:rsidRDefault="00000000">
            <w:pPr>
              <w:adjustRightInd w:val="0"/>
              <w:snapToGrid w:val="0"/>
              <w:jc w:val="center"/>
              <w:rPr>
                <w:szCs w:val="21"/>
              </w:rPr>
            </w:pPr>
            <w:r>
              <w:rPr>
                <w:szCs w:val="21"/>
              </w:rPr>
              <w:t>6.2.4</w:t>
            </w:r>
          </w:p>
        </w:tc>
        <w:tc>
          <w:tcPr>
            <w:tcW w:w="1056" w:type="pct"/>
            <w:tcBorders>
              <w:tl2br w:val="nil"/>
              <w:tr2bl w:val="nil"/>
            </w:tcBorders>
            <w:vAlign w:val="center"/>
          </w:tcPr>
          <w:p w14:paraId="690A1020" w14:textId="77777777" w:rsidR="003D6A63" w:rsidRDefault="00000000">
            <w:pPr>
              <w:adjustRightInd w:val="0"/>
              <w:snapToGrid w:val="0"/>
              <w:rPr>
                <w:szCs w:val="21"/>
              </w:rPr>
            </w:pPr>
            <w:r>
              <w:rPr>
                <w:rFonts w:hint="eastAsia"/>
                <w:szCs w:val="21"/>
              </w:rPr>
              <w:t>注水井口露天布置，井场标高和面积符合要求。</w:t>
            </w:r>
          </w:p>
        </w:tc>
        <w:tc>
          <w:tcPr>
            <w:tcW w:w="377" w:type="pct"/>
            <w:tcBorders>
              <w:tl2br w:val="nil"/>
              <w:tr2bl w:val="nil"/>
            </w:tcBorders>
            <w:vAlign w:val="center"/>
          </w:tcPr>
          <w:p w14:paraId="42199562" w14:textId="77777777" w:rsidR="003D6A63" w:rsidRDefault="00000000">
            <w:pPr>
              <w:adjustRightInd w:val="0"/>
              <w:snapToGrid w:val="0"/>
              <w:jc w:val="center"/>
              <w:rPr>
                <w:szCs w:val="21"/>
              </w:rPr>
            </w:pPr>
            <w:r>
              <w:rPr>
                <w:rFonts w:hint="eastAsia"/>
                <w:szCs w:val="21"/>
              </w:rPr>
              <w:t>√</w:t>
            </w:r>
          </w:p>
        </w:tc>
      </w:tr>
      <w:tr w:rsidR="003D6A63" w14:paraId="2EEDF4A9" w14:textId="77777777">
        <w:trPr>
          <w:jc w:val="center"/>
        </w:trPr>
        <w:tc>
          <w:tcPr>
            <w:tcW w:w="273" w:type="pct"/>
            <w:tcBorders>
              <w:tl2br w:val="nil"/>
              <w:tr2bl w:val="nil"/>
            </w:tcBorders>
            <w:vAlign w:val="center"/>
          </w:tcPr>
          <w:p w14:paraId="7F7FD7BA" w14:textId="77777777" w:rsidR="003D6A63" w:rsidRDefault="003D6A63">
            <w:pPr>
              <w:numPr>
                <w:ilvl w:val="0"/>
                <w:numId w:val="17"/>
              </w:numPr>
              <w:adjustRightInd w:val="0"/>
              <w:snapToGrid w:val="0"/>
              <w:ind w:left="0" w:firstLine="0"/>
              <w:jc w:val="center"/>
              <w:rPr>
                <w:szCs w:val="21"/>
              </w:rPr>
            </w:pPr>
          </w:p>
        </w:tc>
        <w:tc>
          <w:tcPr>
            <w:tcW w:w="2375" w:type="pct"/>
            <w:tcBorders>
              <w:tl2br w:val="nil"/>
              <w:tr2bl w:val="nil"/>
            </w:tcBorders>
            <w:vAlign w:val="center"/>
          </w:tcPr>
          <w:p w14:paraId="6683F54D" w14:textId="77777777" w:rsidR="003D6A63" w:rsidRDefault="00000000">
            <w:pPr>
              <w:adjustRightInd w:val="0"/>
              <w:snapToGrid w:val="0"/>
              <w:rPr>
                <w:szCs w:val="21"/>
              </w:rPr>
            </w:pPr>
            <w:r>
              <w:rPr>
                <w:szCs w:val="21"/>
              </w:rPr>
              <w:t>处于</w:t>
            </w:r>
            <w:r>
              <w:rPr>
                <w:rFonts w:hint="eastAsia"/>
                <w:szCs w:val="21"/>
              </w:rPr>
              <w:t>人口</w:t>
            </w:r>
            <w:r>
              <w:rPr>
                <w:szCs w:val="21"/>
              </w:rPr>
              <w:t>稠密区的注水井口应采取防止人员靠近的防护措施。</w:t>
            </w:r>
          </w:p>
        </w:tc>
        <w:tc>
          <w:tcPr>
            <w:tcW w:w="917" w:type="pct"/>
            <w:tcBorders>
              <w:tl2br w:val="nil"/>
              <w:tr2bl w:val="nil"/>
            </w:tcBorders>
            <w:vAlign w:val="center"/>
          </w:tcPr>
          <w:p w14:paraId="6F667931" w14:textId="77777777" w:rsidR="003D6A63" w:rsidRDefault="00000000">
            <w:pPr>
              <w:autoSpaceDE w:val="0"/>
              <w:autoSpaceDN w:val="0"/>
              <w:adjustRightInd w:val="0"/>
              <w:snapToGrid w:val="0"/>
              <w:jc w:val="center"/>
              <w:rPr>
                <w:color w:val="000000"/>
                <w:kern w:val="0"/>
                <w:szCs w:val="21"/>
              </w:rPr>
            </w:pPr>
            <w:r>
              <w:rPr>
                <w:color w:val="000000"/>
                <w:kern w:val="0"/>
                <w:szCs w:val="21"/>
              </w:rPr>
              <w:t>GB50391-2014</w:t>
            </w:r>
          </w:p>
          <w:p w14:paraId="49442E0F" w14:textId="77777777" w:rsidR="003D6A63" w:rsidRDefault="00000000">
            <w:pPr>
              <w:adjustRightInd w:val="0"/>
              <w:snapToGrid w:val="0"/>
              <w:jc w:val="center"/>
              <w:rPr>
                <w:szCs w:val="21"/>
              </w:rPr>
            </w:pPr>
            <w:r>
              <w:rPr>
                <w:szCs w:val="21"/>
              </w:rPr>
              <w:t>6.2.5</w:t>
            </w:r>
          </w:p>
        </w:tc>
        <w:tc>
          <w:tcPr>
            <w:tcW w:w="1056" w:type="pct"/>
            <w:tcBorders>
              <w:tl2br w:val="nil"/>
              <w:tr2bl w:val="nil"/>
            </w:tcBorders>
            <w:vAlign w:val="center"/>
          </w:tcPr>
          <w:p w14:paraId="57A7C698" w14:textId="77777777" w:rsidR="003D6A63" w:rsidRDefault="00000000">
            <w:pPr>
              <w:adjustRightInd w:val="0"/>
              <w:snapToGrid w:val="0"/>
              <w:rPr>
                <w:szCs w:val="21"/>
              </w:rPr>
            </w:pPr>
            <w:r>
              <w:rPr>
                <w:rFonts w:hint="eastAsia"/>
                <w:szCs w:val="21"/>
              </w:rPr>
              <w:t>注水井布置于设置有围栏的井场内</w:t>
            </w:r>
            <w:r>
              <w:rPr>
                <w:szCs w:val="21"/>
              </w:rPr>
              <w:t>。</w:t>
            </w:r>
          </w:p>
        </w:tc>
        <w:tc>
          <w:tcPr>
            <w:tcW w:w="377" w:type="pct"/>
            <w:tcBorders>
              <w:tl2br w:val="nil"/>
              <w:tr2bl w:val="nil"/>
            </w:tcBorders>
            <w:vAlign w:val="center"/>
          </w:tcPr>
          <w:p w14:paraId="5A7AAA8E" w14:textId="77777777" w:rsidR="003D6A63" w:rsidRDefault="00000000">
            <w:pPr>
              <w:adjustRightInd w:val="0"/>
              <w:snapToGrid w:val="0"/>
              <w:jc w:val="center"/>
              <w:rPr>
                <w:szCs w:val="21"/>
              </w:rPr>
            </w:pPr>
            <w:r>
              <w:rPr>
                <w:rFonts w:hint="eastAsia"/>
                <w:szCs w:val="21"/>
              </w:rPr>
              <w:t>√</w:t>
            </w:r>
          </w:p>
        </w:tc>
      </w:tr>
      <w:tr w:rsidR="003D6A63" w14:paraId="3EDB8BE7" w14:textId="77777777">
        <w:trPr>
          <w:jc w:val="center"/>
        </w:trPr>
        <w:tc>
          <w:tcPr>
            <w:tcW w:w="273" w:type="pct"/>
            <w:tcBorders>
              <w:tl2br w:val="nil"/>
              <w:tr2bl w:val="nil"/>
            </w:tcBorders>
            <w:vAlign w:val="center"/>
          </w:tcPr>
          <w:p w14:paraId="79CFC085" w14:textId="77777777" w:rsidR="003D6A63" w:rsidRDefault="003D6A63">
            <w:pPr>
              <w:numPr>
                <w:ilvl w:val="0"/>
                <w:numId w:val="17"/>
              </w:numPr>
              <w:adjustRightInd w:val="0"/>
              <w:snapToGrid w:val="0"/>
              <w:ind w:left="0" w:firstLine="0"/>
              <w:jc w:val="center"/>
              <w:rPr>
                <w:szCs w:val="21"/>
              </w:rPr>
            </w:pPr>
          </w:p>
        </w:tc>
        <w:tc>
          <w:tcPr>
            <w:tcW w:w="2375" w:type="pct"/>
            <w:tcBorders>
              <w:tl2br w:val="nil"/>
              <w:tr2bl w:val="nil"/>
            </w:tcBorders>
            <w:vAlign w:val="center"/>
          </w:tcPr>
          <w:p w14:paraId="3219B94F" w14:textId="77777777" w:rsidR="003D6A63" w:rsidRDefault="00000000">
            <w:pPr>
              <w:adjustRightInd w:val="0"/>
              <w:snapToGrid w:val="0"/>
              <w:rPr>
                <w:b/>
                <w:bCs/>
                <w:szCs w:val="21"/>
              </w:rPr>
            </w:pPr>
            <w:r>
              <w:rPr>
                <w:szCs w:val="21"/>
              </w:rPr>
              <w:t>落地式配电箱的底部应抬高，高出地面的高度室内不应低于</w:t>
            </w:r>
            <w:r>
              <w:rPr>
                <w:szCs w:val="21"/>
              </w:rPr>
              <w:t>50mm</w:t>
            </w:r>
            <w:r>
              <w:rPr>
                <w:szCs w:val="21"/>
              </w:rPr>
              <w:t>，室外不应低于</w:t>
            </w:r>
            <w:r>
              <w:rPr>
                <w:szCs w:val="21"/>
              </w:rPr>
              <w:t>200mm</w:t>
            </w:r>
            <w:r>
              <w:rPr>
                <w:szCs w:val="21"/>
              </w:rPr>
              <w:t>；其底座周围应采取封闭措施，并应能防止鼠、蛇类等小动物进入箱内</w:t>
            </w:r>
            <w:r>
              <w:rPr>
                <w:rFonts w:hint="eastAsia"/>
                <w:szCs w:val="21"/>
              </w:rPr>
              <w:t>。</w:t>
            </w:r>
          </w:p>
        </w:tc>
        <w:tc>
          <w:tcPr>
            <w:tcW w:w="917" w:type="pct"/>
            <w:tcBorders>
              <w:tl2br w:val="nil"/>
              <w:tr2bl w:val="nil"/>
            </w:tcBorders>
            <w:vAlign w:val="center"/>
          </w:tcPr>
          <w:p w14:paraId="1FE6E371" w14:textId="77777777" w:rsidR="003D6A63" w:rsidRDefault="00000000">
            <w:pPr>
              <w:adjustRightInd w:val="0"/>
              <w:snapToGrid w:val="0"/>
              <w:jc w:val="center"/>
              <w:rPr>
                <w:szCs w:val="21"/>
              </w:rPr>
            </w:pPr>
            <w:r>
              <w:rPr>
                <w:szCs w:val="21"/>
              </w:rPr>
              <w:t>GB50054</w:t>
            </w:r>
            <w:r>
              <w:rPr>
                <w:rFonts w:hint="eastAsia"/>
                <w:szCs w:val="21"/>
              </w:rPr>
              <w:t>-2011</w:t>
            </w:r>
          </w:p>
          <w:p w14:paraId="77B0346C" w14:textId="77777777" w:rsidR="003D6A63" w:rsidRDefault="00000000">
            <w:pPr>
              <w:adjustRightInd w:val="0"/>
              <w:snapToGrid w:val="0"/>
              <w:jc w:val="center"/>
              <w:rPr>
                <w:szCs w:val="21"/>
              </w:rPr>
            </w:pPr>
            <w:r>
              <w:rPr>
                <w:szCs w:val="21"/>
              </w:rPr>
              <w:t>4.2.1</w:t>
            </w:r>
          </w:p>
        </w:tc>
        <w:tc>
          <w:tcPr>
            <w:tcW w:w="1056" w:type="pct"/>
            <w:tcBorders>
              <w:tl2br w:val="nil"/>
              <w:tr2bl w:val="nil"/>
            </w:tcBorders>
            <w:vAlign w:val="center"/>
          </w:tcPr>
          <w:p w14:paraId="3DD8134A" w14:textId="77777777" w:rsidR="003D6A63" w:rsidRDefault="00000000">
            <w:pPr>
              <w:adjustRightInd w:val="0"/>
              <w:snapToGrid w:val="0"/>
              <w:rPr>
                <w:szCs w:val="21"/>
              </w:rPr>
            </w:pPr>
            <w:r>
              <w:rPr>
                <w:rFonts w:hint="eastAsia"/>
                <w:szCs w:val="21"/>
              </w:rPr>
              <w:t>配电箱底部高度符合要求。</w:t>
            </w:r>
          </w:p>
        </w:tc>
        <w:tc>
          <w:tcPr>
            <w:tcW w:w="377" w:type="pct"/>
            <w:tcBorders>
              <w:tl2br w:val="nil"/>
              <w:tr2bl w:val="nil"/>
            </w:tcBorders>
            <w:vAlign w:val="center"/>
          </w:tcPr>
          <w:p w14:paraId="2568C1B2" w14:textId="77777777" w:rsidR="003D6A63" w:rsidRDefault="00000000">
            <w:pPr>
              <w:adjustRightInd w:val="0"/>
              <w:snapToGrid w:val="0"/>
              <w:jc w:val="center"/>
              <w:rPr>
                <w:szCs w:val="21"/>
              </w:rPr>
            </w:pPr>
            <w:r>
              <w:rPr>
                <w:rFonts w:hint="eastAsia"/>
                <w:szCs w:val="21"/>
              </w:rPr>
              <w:t>√</w:t>
            </w:r>
          </w:p>
        </w:tc>
      </w:tr>
      <w:tr w:rsidR="003D6A63" w14:paraId="56A27F14" w14:textId="77777777">
        <w:trPr>
          <w:jc w:val="center"/>
        </w:trPr>
        <w:tc>
          <w:tcPr>
            <w:tcW w:w="273" w:type="pct"/>
            <w:tcBorders>
              <w:tl2br w:val="nil"/>
              <w:tr2bl w:val="nil"/>
            </w:tcBorders>
            <w:vAlign w:val="center"/>
          </w:tcPr>
          <w:p w14:paraId="0792E647" w14:textId="77777777" w:rsidR="003D6A63" w:rsidRDefault="003D6A63">
            <w:pPr>
              <w:numPr>
                <w:ilvl w:val="0"/>
                <w:numId w:val="17"/>
              </w:numPr>
              <w:adjustRightInd w:val="0"/>
              <w:snapToGrid w:val="0"/>
              <w:ind w:left="0" w:firstLine="0"/>
              <w:jc w:val="center"/>
              <w:rPr>
                <w:szCs w:val="21"/>
              </w:rPr>
            </w:pPr>
          </w:p>
        </w:tc>
        <w:tc>
          <w:tcPr>
            <w:tcW w:w="2375" w:type="pct"/>
            <w:tcBorders>
              <w:tl2br w:val="nil"/>
              <w:tr2bl w:val="nil"/>
            </w:tcBorders>
            <w:vAlign w:val="center"/>
          </w:tcPr>
          <w:p w14:paraId="2998DE9A" w14:textId="77777777" w:rsidR="003D6A63" w:rsidRDefault="00000000">
            <w:pPr>
              <w:adjustRightInd w:val="0"/>
              <w:snapToGrid w:val="0"/>
              <w:rPr>
                <w:color w:val="000000" w:themeColor="text1"/>
                <w:szCs w:val="21"/>
              </w:rPr>
            </w:pPr>
            <w:r>
              <w:rPr>
                <w:color w:val="000000" w:themeColor="text1"/>
                <w:szCs w:val="21"/>
              </w:rPr>
              <w:t>导体选择及线路敷设应符合安全规定，线路应无老化、破损和裸露现象。</w:t>
            </w:r>
          </w:p>
        </w:tc>
        <w:tc>
          <w:tcPr>
            <w:tcW w:w="917" w:type="pct"/>
            <w:tcBorders>
              <w:tl2br w:val="nil"/>
              <w:tr2bl w:val="nil"/>
            </w:tcBorders>
            <w:vAlign w:val="center"/>
          </w:tcPr>
          <w:p w14:paraId="68A0853F" w14:textId="77777777" w:rsidR="003D6A63" w:rsidRDefault="00000000">
            <w:pPr>
              <w:adjustRightInd w:val="0"/>
              <w:snapToGrid w:val="0"/>
              <w:jc w:val="center"/>
              <w:rPr>
                <w:color w:val="000000" w:themeColor="text1"/>
                <w:szCs w:val="21"/>
              </w:rPr>
            </w:pPr>
            <w:r>
              <w:rPr>
                <w:color w:val="000000" w:themeColor="text1"/>
                <w:szCs w:val="21"/>
              </w:rPr>
              <w:t>SY/T6320-20</w:t>
            </w:r>
            <w:r>
              <w:rPr>
                <w:rFonts w:hint="eastAsia"/>
                <w:color w:val="000000" w:themeColor="text1"/>
                <w:szCs w:val="21"/>
              </w:rPr>
              <w:t>22</w:t>
            </w:r>
          </w:p>
          <w:p w14:paraId="7124B0C7" w14:textId="77777777" w:rsidR="003D6A63" w:rsidRDefault="00000000">
            <w:pPr>
              <w:adjustRightInd w:val="0"/>
              <w:snapToGrid w:val="0"/>
              <w:jc w:val="center"/>
              <w:rPr>
                <w:color w:val="000000" w:themeColor="text1"/>
                <w:szCs w:val="21"/>
              </w:rPr>
            </w:pPr>
            <w:r>
              <w:rPr>
                <w:rFonts w:hint="eastAsia"/>
                <w:color w:val="000000" w:themeColor="text1"/>
                <w:szCs w:val="21"/>
              </w:rPr>
              <w:t>10</w:t>
            </w:r>
            <w:r>
              <w:rPr>
                <w:color w:val="000000" w:themeColor="text1"/>
                <w:szCs w:val="21"/>
              </w:rPr>
              <w:t>.</w:t>
            </w:r>
            <w:r>
              <w:rPr>
                <w:rFonts w:hint="eastAsia"/>
                <w:color w:val="000000" w:themeColor="text1"/>
                <w:szCs w:val="21"/>
              </w:rPr>
              <w:t>4</w:t>
            </w:r>
          </w:p>
        </w:tc>
        <w:tc>
          <w:tcPr>
            <w:tcW w:w="1056" w:type="pct"/>
            <w:tcBorders>
              <w:tl2br w:val="nil"/>
              <w:tr2bl w:val="nil"/>
            </w:tcBorders>
            <w:vAlign w:val="center"/>
          </w:tcPr>
          <w:p w14:paraId="279EBBE7" w14:textId="77777777" w:rsidR="003D6A63" w:rsidRDefault="00000000">
            <w:pPr>
              <w:adjustRightInd w:val="0"/>
              <w:snapToGrid w:val="0"/>
              <w:rPr>
                <w:szCs w:val="21"/>
              </w:rPr>
            </w:pPr>
            <w:r>
              <w:rPr>
                <w:rFonts w:hint="eastAsia"/>
                <w:szCs w:val="21"/>
              </w:rPr>
              <w:t>配电线路符合要求。</w:t>
            </w:r>
          </w:p>
        </w:tc>
        <w:tc>
          <w:tcPr>
            <w:tcW w:w="377" w:type="pct"/>
            <w:tcBorders>
              <w:tl2br w:val="nil"/>
              <w:tr2bl w:val="nil"/>
            </w:tcBorders>
            <w:vAlign w:val="center"/>
          </w:tcPr>
          <w:p w14:paraId="0F9B5F44" w14:textId="77777777" w:rsidR="003D6A63" w:rsidRDefault="00000000">
            <w:pPr>
              <w:adjustRightInd w:val="0"/>
              <w:snapToGrid w:val="0"/>
              <w:jc w:val="center"/>
              <w:rPr>
                <w:szCs w:val="21"/>
              </w:rPr>
            </w:pPr>
            <w:r>
              <w:rPr>
                <w:rFonts w:hint="eastAsia"/>
                <w:szCs w:val="21"/>
              </w:rPr>
              <w:t>√</w:t>
            </w:r>
          </w:p>
        </w:tc>
      </w:tr>
      <w:tr w:rsidR="003D6A63" w14:paraId="10A250A7" w14:textId="77777777">
        <w:trPr>
          <w:jc w:val="center"/>
        </w:trPr>
        <w:tc>
          <w:tcPr>
            <w:tcW w:w="273" w:type="pct"/>
            <w:tcBorders>
              <w:tl2br w:val="nil"/>
              <w:tr2bl w:val="nil"/>
            </w:tcBorders>
            <w:vAlign w:val="center"/>
          </w:tcPr>
          <w:p w14:paraId="32F21821" w14:textId="77777777" w:rsidR="003D6A63" w:rsidRDefault="003D6A63">
            <w:pPr>
              <w:numPr>
                <w:ilvl w:val="0"/>
                <w:numId w:val="17"/>
              </w:numPr>
              <w:adjustRightInd w:val="0"/>
              <w:snapToGrid w:val="0"/>
              <w:ind w:left="0" w:firstLine="0"/>
              <w:jc w:val="center"/>
              <w:rPr>
                <w:szCs w:val="21"/>
              </w:rPr>
            </w:pPr>
          </w:p>
        </w:tc>
        <w:tc>
          <w:tcPr>
            <w:tcW w:w="2375" w:type="pct"/>
            <w:tcBorders>
              <w:tl2br w:val="nil"/>
              <w:tr2bl w:val="nil"/>
            </w:tcBorders>
            <w:vAlign w:val="center"/>
          </w:tcPr>
          <w:p w14:paraId="0C94791E" w14:textId="77777777" w:rsidR="003D6A63" w:rsidRDefault="00000000">
            <w:pPr>
              <w:adjustRightInd w:val="0"/>
              <w:snapToGrid w:val="0"/>
              <w:rPr>
                <w:color w:val="FF0000"/>
                <w:szCs w:val="21"/>
              </w:rPr>
            </w:pPr>
            <w:r>
              <w:rPr>
                <w:color w:val="000000" w:themeColor="text1"/>
                <w:szCs w:val="21"/>
              </w:rPr>
              <w:t>电气设备的接地应完好、可靠。</w:t>
            </w:r>
          </w:p>
        </w:tc>
        <w:tc>
          <w:tcPr>
            <w:tcW w:w="917" w:type="pct"/>
            <w:tcBorders>
              <w:tl2br w:val="nil"/>
              <w:tr2bl w:val="nil"/>
            </w:tcBorders>
            <w:vAlign w:val="center"/>
          </w:tcPr>
          <w:p w14:paraId="36F7202F" w14:textId="77777777" w:rsidR="003D6A63" w:rsidRDefault="00000000">
            <w:pPr>
              <w:adjustRightInd w:val="0"/>
              <w:snapToGrid w:val="0"/>
              <w:jc w:val="center"/>
              <w:rPr>
                <w:color w:val="000000" w:themeColor="text1"/>
                <w:szCs w:val="21"/>
              </w:rPr>
            </w:pPr>
            <w:r>
              <w:rPr>
                <w:color w:val="000000" w:themeColor="text1"/>
                <w:szCs w:val="21"/>
              </w:rPr>
              <w:t>SY/T6320-20</w:t>
            </w:r>
            <w:r>
              <w:rPr>
                <w:rFonts w:hint="eastAsia"/>
                <w:color w:val="000000" w:themeColor="text1"/>
                <w:szCs w:val="21"/>
              </w:rPr>
              <w:t>22</w:t>
            </w:r>
          </w:p>
          <w:p w14:paraId="419A6BF6" w14:textId="77777777" w:rsidR="003D6A63" w:rsidRDefault="00000000">
            <w:pPr>
              <w:adjustRightInd w:val="0"/>
              <w:snapToGrid w:val="0"/>
              <w:jc w:val="center"/>
              <w:rPr>
                <w:color w:val="FF0000"/>
                <w:szCs w:val="21"/>
              </w:rPr>
            </w:pPr>
            <w:r>
              <w:rPr>
                <w:rFonts w:hint="eastAsia"/>
                <w:color w:val="000000" w:themeColor="text1"/>
                <w:szCs w:val="21"/>
              </w:rPr>
              <w:t>10</w:t>
            </w:r>
            <w:r>
              <w:rPr>
                <w:color w:val="000000" w:themeColor="text1"/>
                <w:szCs w:val="21"/>
              </w:rPr>
              <w:t>.</w:t>
            </w:r>
            <w:r>
              <w:rPr>
                <w:rFonts w:hint="eastAsia"/>
                <w:color w:val="000000" w:themeColor="text1"/>
                <w:szCs w:val="21"/>
              </w:rPr>
              <w:t>8</w:t>
            </w:r>
          </w:p>
        </w:tc>
        <w:tc>
          <w:tcPr>
            <w:tcW w:w="1056" w:type="pct"/>
            <w:tcBorders>
              <w:tl2br w:val="nil"/>
              <w:tr2bl w:val="nil"/>
            </w:tcBorders>
            <w:vAlign w:val="center"/>
          </w:tcPr>
          <w:p w14:paraId="5C2CA1BE" w14:textId="77777777" w:rsidR="003D6A63" w:rsidRDefault="00000000">
            <w:pPr>
              <w:adjustRightInd w:val="0"/>
              <w:snapToGrid w:val="0"/>
              <w:rPr>
                <w:szCs w:val="21"/>
              </w:rPr>
            </w:pPr>
            <w:r>
              <w:rPr>
                <w:color w:val="000000" w:themeColor="text1"/>
                <w:szCs w:val="21"/>
              </w:rPr>
              <w:t>电气设备的接地完好可靠。</w:t>
            </w:r>
          </w:p>
        </w:tc>
        <w:tc>
          <w:tcPr>
            <w:tcW w:w="377" w:type="pct"/>
            <w:tcBorders>
              <w:tl2br w:val="nil"/>
              <w:tr2bl w:val="nil"/>
            </w:tcBorders>
            <w:vAlign w:val="center"/>
          </w:tcPr>
          <w:p w14:paraId="3745ED03" w14:textId="77777777" w:rsidR="003D6A63" w:rsidRDefault="00000000">
            <w:pPr>
              <w:adjustRightInd w:val="0"/>
              <w:snapToGrid w:val="0"/>
              <w:jc w:val="center"/>
              <w:rPr>
                <w:szCs w:val="21"/>
              </w:rPr>
            </w:pPr>
            <w:r>
              <w:rPr>
                <w:szCs w:val="21"/>
              </w:rPr>
              <w:t>√</w:t>
            </w:r>
          </w:p>
        </w:tc>
      </w:tr>
      <w:tr w:rsidR="003D6A63" w14:paraId="245325D8" w14:textId="77777777">
        <w:trPr>
          <w:jc w:val="center"/>
        </w:trPr>
        <w:tc>
          <w:tcPr>
            <w:tcW w:w="273" w:type="pct"/>
            <w:tcBorders>
              <w:tl2br w:val="nil"/>
              <w:tr2bl w:val="nil"/>
            </w:tcBorders>
            <w:vAlign w:val="center"/>
          </w:tcPr>
          <w:p w14:paraId="3DFCD1DD" w14:textId="77777777" w:rsidR="003D6A63" w:rsidRDefault="003D6A63">
            <w:pPr>
              <w:numPr>
                <w:ilvl w:val="0"/>
                <w:numId w:val="17"/>
              </w:numPr>
              <w:adjustRightInd w:val="0"/>
              <w:snapToGrid w:val="0"/>
              <w:ind w:left="0" w:firstLine="0"/>
              <w:jc w:val="center"/>
              <w:rPr>
                <w:szCs w:val="21"/>
              </w:rPr>
            </w:pPr>
          </w:p>
        </w:tc>
        <w:tc>
          <w:tcPr>
            <w:tcW w:w="2375" w:type="pct"/>
            <w:tcBorders>
              <w:tl2br w:val="nil"/>
              <w:tr2bl w:val="nil"/>
            </w:tcBorders>
            <w:vAlign w:val="center"/>
          </w:tcPr>
          <w:p w14:paraId="270BD1CB" w14:textId="77777777" w:rsidR="003D6A63" w:rsidRDefault="00000000">
            <w:pPr>
              <w:adjustRightInd w:val="0"/>
              <w:snapToGrid w:val="0"/>
              <w:rPr>
                <w:color w:val="FF0000"/>
                <w:szCs w:val="21"/>
              </w:rPr>
            </w:pPr>
            <w:r>
              <w:rPr>
                <w:color w:val="000000" w:themeColor="text1"/>
                <w:szCs w:val="21"/>
              </w:rPr>
              <w:t>户外变压器底座高度在</w:t>
            </w:r>
            <w:r>
              <w:rPr>
                <w:color w:val="000000" w:themeColor="text1"/>
                <w:szCs w:val="21"/>
              </w:rPr>
              <w:t>2.5m</w:t>
            </w:r>
            <w:r>
              <w:rPr>
                <w:color w:val="000000" w:themeColor="text1"/>
                <w:szCs w:val="21"/>
              </w:rPr>
              <w:t>以下的应有围栏，有变压器室的应上锁，并有安全标志。</w:t>
            </w:r>
          </w:p>
        </w:tc>
        <w:tc>
          <w:tcPr>
            <w:tcW w:w="917" w:type="pct"/>
            <w:tcBorders>
              <w:tl2br w:val="nil"/>
              <w:tr2bl w:val="nil"/>
            </w:tcBorders>
            <w:vAlign w:val="center"/>
          </w:tcPr>
          <w:p w14:paraId="0B7C2FAB" w14:textId="77777777" w:rsidR="003D6A63" w:rsidRDefault="00000000">
            <w:pPr>
              <w:adjustRightInd w:val="0"/>
              <w:snapToGrid w:val="0"/>
              <w:jc w:val="center"/>
              <w:rPr>
                <w:color w:val="000000" w:themeColor="text1"/>
                <w:szCs w:val="21"/>
              </w:rPr>
            </w:pPr>
            <w:r>
              <w:rPr>
                <w:color w:val="000000" w:themeColor="text1"/>
                <w:szCs w:val="21"/>
              </w:rPr>
              <w:t>SY/T6320-20</w:t>
            </w:r>
            <w:r>
              <w:rPr>
                <w:rFonts w:hint="eastAsia"/>
                <w:color w:val="000000" w:themeColor="text1"/>
                <w:szCs w:val="21"/>
              </w:rPr>
              <w:t>22</w:t>
            </w:r>
          </w:p>
          <w:p w14:paraId="363D5B35" w14:textId="77777777" w:rsidR="003D6A63" w:rsidRDefault="00000000">
            <w:pPr>
              <w:adjustRightInd w:val="0"/>
              <w:snapToGrid w:val="0"/>
              <w:jc w:val="center"/>
              <w:rPr>
                <w:color w:val="FF0000"/>
                <w:szCs w:val="21"/>
              </w:rPr>
            </w:pPr>
            <w:r>
              <w:rPr>
                <w:rFonts w:hint="eastAsia"/>
                <w:color w:val="000000" w:themeColor="text1"/>
                <w:szCs w:val="21"/>
              </w:rPr>
              <w:t>10</w:t>
            </w:r>
            <w:r>
              <w:rPr>
                <w:color w:val="000000" w:themeColor="text1"/>
                <w:szCs w:val="21"/>
              </w:rPr>
              <w:t>.</w:t>
            </w:r>
            <w:r>
              <w:rPr>
                <w:rFonts w:hint="eastAsia"/>
                <w:color w:val="000000" w:themeColor="text1"/>
                <w:szCs w:val="21"/>
              </w:rPr>
              <w:t>10</w:t>
            </w:r>
          </w:p>
        </w:tc>
        <w:tc>
          <w:tcPr>
            <w:tcW w:w="1056" w:type="pct"/>
            <w:tcBorders>
              <w:tl2br w:val="nil"/>
              <w:tr2bl w:val="nil"/>
            </w:tcBorders>
            <w:vAlign w:val="center"/>
          </w:tcPr>
          <w:p w14:paraId="6AE0E0E9" w14:textId="77777777" w:rsidR="003D6A63" w:rsidRDefault="00000000">
            <w:pPr>
              <w:adjustRightInd w:val="0"/>
              <w:snapToGrid w:val="0"/>
              <w:rPr>
                <w:szCs w:val="21"/>
              </w:rPr>
            </w:pPr>
            <w:r>
              <w:rPr>
                <w:rFonts w:hint="eastAsia"/>
                <w:szCs w:val="21"/>
              </w:rPr>
              <w:t>户外变压器高度符合要求。</w:t>
            </w:r>
          </w:p>
        </w:tc>
        <w:tc>
          <w:tcPr>
            <w:tcW w:w="377" w:type="pct"/>
            <w:tcBorders>
              <w:tl2br w:val="nil"/>
              <w:tr2bl w:val="nil"/>
            </w:tcBorders>
            <w:vAlign w:val="center"/>
          </w:tcPr>
          <w:p w14:paraId="5021309F" w14:textId="77777777" w:rsidR="003D6A63" w:rsidRDefault="00000000">
            <w:pPr>
              <w:adjustRightInd w:val="0"/>
              <w:snapToGrid w:val="0"/>
              <w:jc w:val="center"/>
              <w:rPr>
                <w:szCs w:val="21"/>
              </w:rPr>
            </w:pPr>
            <w:r>
              <w:rPr>
                <w:rFonts w:hint="eastAsia"/>
                <w:szCs w:val="21"/>
              </w:rPr>
              <w:t>√</w:t>
            </w:r>
          </w:p>
        </w:tc>
      </w:tr>
      <w:tr w:rsidR="003D6A63" w14:paraId="32A08596" w14:textId="77777777">
        <w:trPr>
          <w:jc w:val="center"/>
        </w:trPr>
        <w:tc>
          <w:tcPr>
            <w:tcW w:w="273" w:type="pct"/>
            <w:tcBorders>
              <w:tl2br w:val="nil"/>
              <w:tr2bl w:val="nil"/>
            </w:tcBorders>
            <w:vAlign w:val="center"/>
          </w:tcPr>
          <w:p w14:paraId="24DFA065" w14:textId="77777777" w:rsidR="003D6A63" w:rsidRDefault="003D6A63">
            <w:pPr>
              <w:numPr>
                <w:ilvl w:val="0"/>
                <w:numId w:val="17"/>
              </w:numPr>
              <w:adjustRightInd w:val="0"/>
              <w:snapToGrid w:val="0"/>
              <w:ind w:left="0" w:firstLine="0"/>
              <w:jc w:val="center"/>
              <w:rPr>
                <w:szCs w:val="21"/>
              </w:rPr>
            </w:pPr>
          </w:p>
        </w:tc>
        <w:tc>
          <w:tcPr>
            <w:tcW w:w="2375" w:type="pct"/>
            <w:tcBorders>
              <w:tl2br w:val="nil"/>
              <w:tr2bl w:val="nil"/>
            </w:tcBorders>
            <w:vAlign w:val="center"/>
          </w:tcPr>
          <w:p w14:paraId="3218FCC3" w14:textId="77777777" w:rsidR="003D6A63" w:rsidRDefault="00000000">
            <w:pPr>
              <w:adjustRightInd w:val="0"/>
              <w:snapToGrid w:val="0"/>
              <w:rPr>
                <w:szCs w:val="21"/>
              </w:rPr>
            </w:pPr>
            <w:r>
              <w:rPr>
                <w:szCs w:val="21"/>
              </w:rPr>
              <w:t>电力系统、装置或设备的下列部分应接地：电机、变压器和高压电器等的底座和外壳；配电、控制和保护用的屏（柜、箱）等的金属框架；电力电缆接线盒、终端盒的外壳</w:t>
            </w:r>
            <w:r>
              <w:rPr>
                <w:rFonts w:hint="eastAsia"/>
                <w:szCs w:val="21"/>
              </w:rPr>
              <w:t>；</w:t>
            </w:r>
            <w:r>
              <w:rPr>
                <w:szCs w:val="21"/>
              </w:rPr>
              <w:t>电力电缆的金属护套或屏蔽层</w:t>
            </w:r>
            <w:r>
              <w:rPr>
                <w:rFonts w:hint="eastAsia"/>
                <w:szCs w:val="21"/>
              </w:rPr>
              <w:t>；</w:t>
            </w:r>
            <w:r>
              <w:rPr>
                <w:szCs w:val="21"/>
              </w:rPr>
              <w:t>穿线的钢管和电缆桥架等。</w:t>
            </w:r>
          </w:p>
        </w:tc>
        <w:tc>
          <w:tcPr>
            <w:tcW w:w="917" w:type="pct"/>
            <w:tcBorders>
              <w:tl2br w:val="nil"/>
              <w:tr2bl w:val="nil"/>
            </w:tcBorders>
            <w:vAlign w:val="center"/>
          </w:tcPr>
          <w:p w14:paraId="03A595EB" w14:textId="77777777" w:rsidR="003D6A63" w:rsidRDefault="00000000">
            <w:pPr>
              <w:adjustRightInd w:val="0"/>
              <w:snapToGrid w:val="0"/>
              <w:jc w:val="center"/>
              <w:rPr>
                <w:szCs w:val="21"/>
              </w:rPr>
            </w:pPr>
            <w:r>
              <w:rPr>
                <w:szCs w:val="21"/>
              </w:rPr>
              <w:t>GB/T50065</w:t>
            </w:r>
            <w:r>
              <w:rPr>
                <w:rFonts w:hint="eastAsia"/>
                <w:szCs w:val="21"/>
              </w:rPr>
              <w:t>-2011</w:t>
            </w:r>
          </w:p>
          <w:p w14:paraId="0274FA05" w14:textId="77777777" w:rsidR="003D6A63" w:rsidRDefault="00000000">
            <w:pPr>
              <w:adjustRightInd w:val="0"/>
              <w:snapToGrid w:val="0"/>
              <w:jc w:val="center"/>
              <w:rPr>
                <w:szCs w:val="21"/>
              </w:rPr>
            </w:pPr>
            <w:r>
              <w:rPr>
                <w:szCs w:val="21"/>
              </w:rPr>
              <w:t>3.2.1</w:t>
            </w:r>
          </w:p>
        </w:tc>
        <w:tc>
          <w:tcPr>
            <w:tcW w:w="1056" w:type="pct"/>
            <w:tcBorders>
              <w:tl2br w:val="nil"/>
              <w:tr2bl w:val="nil"/>
            </w:tcBorders>
            <w:vAlign w:val="center"/>
          </w:tcPr>
          <w:p w14:paraId="5CA83448" w14:textId="77777777" w:rsidR="003D6A63" w:rsidRDefault="00000000">
            <w:pPr>
              <w:adjustRightInd w:val="0"/>
              <w:snapToGrid w:val="0"/>
              <w:rPr>
                <w:szCs w:val="21"/>
              </w:rPr>
            </w:pPr>
            <w:r>
              <w:rPr>
                <w:rFonts w:hint="eastAsia"/>
                <w:szCs w:val="21"/>
              </w:rPr>
              <w:t>电力系统、注水设备设施接地符合要求。</w:t>
            </w:r>
          </w:p>
        </w:tc>
        <w:tc>
          <w:tcPr>
            <w:tcW w:w="377" w:type="pct"/>
            <w:tcBorders>
              <w:tl2br w:val="nil"/>
              <w:tr2bl w:val="nil"/>
            </w:tcBorders>
            <w:vAlign w:val="center"/>
          </w:tcPr>
          <w:p w14:paraId="3BEA9D47" w14:textId="77777777" w:rsidR="003D6A63" w:rsidRDefault="00000000">
            <w:pPr>
              <w:adjustRightInd w:val="0"/>
              <w:snapToGrid w:val="0"/>
              <w:jc w:val="center"/>
              <w:rPr>
                <w:szCs w:val="21"/>
              </w:rPr>
            </w:pPr>
            <w:r>
              <w:rPr>
                <w:rFonts w:hint="eastAsia"/>
                <w:szCs w:val="21"/>
              </w:rPr>
              <w:t>√</w:t>
            </w:r>
          </w:p>
        </w:tc>
      </w:tr>
      <w:tr w:rsidR="003D6A63" w14:paraId="32CBC1C6" w14:textId="77777777">
        <w:trPr>
          <w:jc w:val="center"/>
        </w:trPr>
        <w:tc>
          <w:tcPr>
            <w:tcW w:w="273" w:type="pct"/>
            <w:tcBorders>
              <w:tl2br w:val="nil"/>
              <w:tr2bl w:val="nil"/>
            </w:tcBorders>
            <w:vAlign w:val="center"/>
          </w:tcPr>
          <w:p w14:paraId="53318855" w14:textId="77777777" w:rsidR="003D6A63" w:rsidRDefault="003D6A63">
            <w:pPr>
              <w:numPr>
                <w:ilvl w:val="0"/>
                <w:numId w:val="17"/>
              </w:numPr>
              <w:adjustRightInd w:val="0"/>
              <w:snapToGrid w:val="0"/>
              <w:ind w:left="0" w:firstLine="0"/>
              <w:jc w:val="center"/>
              <w:rPr>
                <w:szCs w:val="21"/>
              </w:rPr>
            </w:pPr>
          </w:p>
        </w:tc>
        <w:tc>
          <w:tcPr>
            <w:tcW w:w="2375" w:type="pct"/>
            <w:tcBorders>
              <w:tl2br w:val="nil"/>
              <w:tr2bl w:val="nil"/>
            </w:tcBorders>
            <w:vAlign w:val="center"/>
          </w:tcPr>
          <w:p w14:paraId="2E48119A" w14:textId="77777777" w:rsidR="003D6A63" w:rsidRDefault="00000000">
            <w:pPr>
              <w:adjustRightInd w:val="0"/>
              <w:snapToGrid w:val="0"/>
              <w:rPr>
                <w:szCs w:val="21"/>
              </w:rPr>
            </w:pPr>
            <w:r>
              <w:rPr>
                <w:szCs w:val="21"/>
              </w:rPr>
              <w:t>落地式配电箱的底部应抬高，高出地面的高度室内不应低于</w:t>
            </w:r>
            <w:r>
              <w:rPr>
                <w:szCs w:val="21"/>
              </w:rPr>
              <w:t>50mm</w:t>
            </w:r>
            <w:r>
              <w:rPr>
                <w:szCs w:val="21"/>
              </w:rPr>
              <w:t>，室外不应低于</w:t>
            </w:r>
            <w:r>
              <w:rPr>
                <w:szCs w:val="21"/>
              </w:rPr>
              <w:t>200mm</w:t>
            </w:r>
            <w:r>
              <w:rPr>
                <w:szCs w:val="21"/>
              </w:rPr>
              <w:t>；其底座周围应采取封闭措施，并应能防止鼠、蛇类等小动物进入箱内。</w:t>
            </w:r>
          </w:p>
        </w:tc>
        <w:tc>
          <w:tcPr>
            <w:tcW w:w="917" w:type="pct"/>
            <w:tcBorders>
              <w:tl2br w:val="nil"/>
              <w:tr2bl w:val="nil"/>
            </w:tcBorders>
            <w:vAlign w:val="center"/>
          </w:tcPr>
          <w:p w14:paraId="1DD809EE" w14:textId="77777777" w:rsidR="003D6A63" w:rsidRDefault="00000000">
            <w:pPr>
              <w:adjustRightInd w:val="0"/>
              <w:snapToGrid w:val="0"/>
              <w:jc w:val="center"/>
              <w:rPr>
                <w:szCs w:val="21"/>
              </w:rPr>
            </w:pPr>
            <w:r>
              <w:rPr>
                <w:szCs w:val="21"/>
              </w:rPr>
              <w:t>GB50054-2011</w:t>
            </w:r>
          </w:p>
          <w:p w14:paraId="04019FCB" w14:textId="77777777" w:rsidR="003D6A63" w:rsidRDefault="00000000">
            <w:pPr>
              <w:adjustRightInd w:val="0"/>
              <w:snapToGrid w:val="0"/>
              <w:jc w:val="center"/>
              <w:rPr>
                <w:szCs w:val="21"/>
              </w:rPr>
            </w:pPr>
            <w:r>
              <w:rPr>
                <w:szCs w:val="21"/>
              </w:rPr>
              <w:t>4.2.1</w:t>
            </w:r>
          </w:p>
        </w:tc>
        <w:tc>
          <w:tcPr>
            <w:tcW w:w="1056" w:type="pct"/>
            <w:tcBorders>
              <w:tl2br w:val="nil"/>
              <w:tr2bl w:val="nil"/>
            </w:tcBorders>
            <w:vAlign w:val="center"/>
          </w:tcPr>
          <w:p w14:paraId="4D5BE84A" w14:textId="77777777" w:rsidR="003D6A63" w:rsidRDefault="00000000">
            <w:pPr>
              <w:adjustRightInd w:val="0"/>
              <w:snapToGrid w:val="0"/>
              <w:rPr>
                <w:szCs w:val="21"/>
              </w:rPr>
            </w:pPr>
            <w:r>
              <w:rPr>
                <w:rFonts w:hint="eastAsia"/>
                <w:szCs w:val="21"/>
                <w:lang w:bidi="en-US"/>
              </w:rPr>
              <w:t>滨</w:t>
            </w:r>
            <w:r>
              <w:rPr>
                <w:rFonts w:hint="eastAsia"/>
                <w:szCs w:val="21"/>
                <w:lang w:bidi="en-US"/>
              </w:rPr>
              <w:t>603-X12</w:t>
            </w:r>
            <w:r>
              <w:rPr>
                <w:rFonts w:hint="eastAsia"/>
                <w:szCs w:val="21"/>
                <w:lang w:bidi="en-US"/>
              </w:rPr>
              <w:t>井场配电箱底部未封堵。</w:t>
            </w:r>
          </w:p>
        </w:tc>
        <w:tc>
          <w:tcPr>
            <w:tcW w:w="377" w:type="pct"/>
            <w:tcBorders>
              <w:tl2br w:val="nil"/>
              <w:tr2bl w:val="nil"/>
            </w:tcBorders>
            <w:vAlign w:val="center"/>
          </w:tcPr>
          <w:p w14:paraId="59EB4BE7" w14:textId="77777777" w:rsidR="003D6A63" w:rsidRDefault="00000000">
            <w:pPr>
              <w:adjustRightInd w:val="0"/>
              <w:snapToGrid w:val="0"/>
              <w:jc w:val="center"/>
              <w:rPr>
                <w:b/>
                <w:bCs/>
                <w:szCs w:val="21"/>
              </w:rPr>
            </w:pPr>
            <w:r>
              <w:rPr>
                <w:rFonts w:hint="eastAsia"/>
                <w:b/>
                <w:bCs/>
                <w:szCs w:val="21"/>
              </w:rPr>
              <w:t>×</w:t>
            </w:r>
          </w:p>
        </w:tc>
      </w:tr>
      <w:tr w:rsidR="003D6A63" w14:paraId="6F0C5503" w14:textId="77777777">
        <w:trPr>
          <w:jc w:val="center"/>
        </w:trPr>
        <w:tc>
          <w:tcPr>
            <w:tcW w:w="273" w:type="pct"/>
            <w:tcBorders>
              <w:tl2br w:val="nil"/>
              <w:tr2bl w:val="nil"/>
            </w:tcBorders>
            <w:vAlign w:val="center"/>
          </w:tcPr>
          <w:p w14:paraId="4DD58F23" w14:textId="77777777" w:rsidR="003D6A63" w:rsidRDefault="003D6A63">
            <w:pPr>
              <w:numPr>
                <w:ilvl w:val="0"/>
                <w:numId w:val="17"/>
              </w:numPr>
              <w:adjustRightInd w:val="0"/>
              <w:snapToGrid w:val="0"/>
              <w:ind w:left="0" w:firstLine="0"/>
              <w:jc w:val="center"/>
              <w:rPr>
                <w:szCs w:val="21"/>
              </w:rPr>
            </w:pPr>
          </w:p>
        </w:tc>
        <w:tc>
          <w:tcPr>
            <w:tcW w:w="2375" w:type="pct"/>
            <w:tcBorders>
              <w:tl2br w:val="nil"/>
              <w:tr2bl w:val="nil"/>
            </w:tcBorders>
            <w:vAlign w:val="center"/>
          </w:tcPr>
          <w:p w14:paraId="14E11320" w14:textId="77777777" w:rsidR="003D6A63" w:rsidRDefault="00000000">
            <w:pPr>
              <w:adjustRightInd w:val="0"/>
              <w:snapToGrid w:val="0"/>
              <w:rPr>
                <w:szCs w:val="21"/>
              </w:rPr>
            </w:pPr>
            <w:r>
              <w:rPr>
                <w:rFonts w:hint="eastAsia"/>
                <w:szCs w:val="21"/>
                <w:lang w:bidi="en-US"/>
              </w:rPr>
              <w:t>压力表的检定和维护应当符合国家计量部门</w:t>
            </w:r>
            <w:r>
              <w:rPr>
                <w:rFonts w:hint="eastAsia"/>
                <w:szCs w:val="21"/>
                <w:lang w:bidi="en-US"/>
              </w:rPr>
              <w:lastRenderedPageBreak/>
              <w:t>的有关规定，压力表安装前应当进行检定，在刻度盘上应当划出指示工作压力的红线，注明下次检定日期。压力表检定后应加铅封。</w:t>
            </w:r>
          </w:p>
        </w:tc>
        <w:tc>
          <w:tcPr>
            <w:tcW w:w="917" w:type="pct"/>
            <w:tcBorders>
              <w:tl2br w:val="nil"/>
              <w:tr2bl w:val="nil"/>
            </w:tcBorders>
            <w:vAlign w:val="center"/>
          </w:tcPr>
          <w:p w14:paraId="19A76B33" w14:textId="77777777" w:rsidR="003D6A63" w:rsidRDefault="00000000">
            <w:pPr>
              <w:adjustRightInd w:val="0"/>
              <w:snapToGrid w:val="0"/>
              <w:jc w:val="center"/>
              <w:rPr>
                <w:szCs w:val="21"/>
                <w:lang w:bidi="en-US"/>
              </w:rPr>
            </w:pPr>
            <w:r>
              <w:rPr>
                <w:rFonts w:hint="eastAsia"/>
                <w:szCs w:val="21"/>
                <w:lang w:bidi="en-US"/>
              </w:rPr>
              <w:lastRenderedPageBreak/>
              <w:t>TSG21-2016</w:t>
            </w:r>
          </w:p>
          <w:p w14:paraId="46C83C53" w14:textId="77777777" w:rsidR="003D6A63" w:rsidRDefault="00000000">
            <w:pPr>
              <w:adjustRightInd w:val="0"/>
              <w:snapToGrid w:val="0"/>
              <w:jc w:val="center"/>
              <w:rPr>
                <w:szCs w:val="21"/>
              </w:rPr>
            </w:pPr>
            <w:r>
              <w:rPr>
                <w:rFonts w:hint="eastAsia"/>
                <w:szCs w:val="21"/>
                <w:lang w:bidi="en-US"/>
              </w:rPr>
              <w:t>9.2.1.2</w:t>
            </w:r>
          </w:p>
        </w:tc>
        <w:tc>
          <w:tcPr>
            <w:tcW w:w="1056" w:type="pct"/>
            <w:tcBorders>
              <w:tl2br w:val="nil"/>
              <w:tr2bl w:val="nil"/>
            </w:tcBorders>
            <w:vAlign w:val="center"/>
          </w:tcPr>
          <w:p w14:paraId="0ABF09DB" w14:textId="77777777" w:rsidR="003D6A63" w:rsidRDefault="00000000">
            <w:pPr>
              <w:adjustRightInd w:val="0"/>
              <w:snapToGrid w:val="0"/>
              <w:rPr>
                <w:szCs w:val="21"/>
              </w:rPr>
            </w:pPr>
            <w:r>
              <w:rPr>
                <w:rFonts w:hint="eastAsia"/>
                <w:szCs w:val="21"/>
                <w:lang w:bidi="en-US"/>
              </w:rPr>
              <w:t>B603-X12</w:t>
            </w:r>
            <w:r>
              <w:rPr>
                <w:rFonts w:hint="eastAsia"/>
                <w:szCs w:val="21"/>
                <w:lang w:bidi="en-US"/>
              </w:rPr>
              <w:t>、</w:t>
            </w:r>
            <w:r>
              <w:rPr>
                <w:rFonts w:hint="eastAsia"/>
                <w:szCs w:val="21"/>
                <w:lang w:bidi="en-US"/>
              </w:rPr>
              <w:t>G20-X5</w:t>
            </w:r>
            <w:r>
              <w:rPr>
                <w:rFonts w:hint="eastAsia"/>
                <w:szCs w:val="21"/>
                <w:lang w:bidi="en-US"/>
              </w:rPr>
              <w:lastRenderedPageBreak/>
              <w:t>水井压力表未设置上下限标识。</w:t>
            </w:r>
          </w:p>
        </w:tc>
        <w:tc>
          <w:tcPr>
            <w:tcW w:w="377" w:type="pct"/>
            <w:tcBorders>
              <w:tl2br w:val="nil"/>
              <w:tr2bl w:val="nil"/>
            </w:tcBorders>
            <w:vAlign w:val="center"/>
          </w:tcPr>
          <w:p w14:paraId="5DE9D7E5" w14:textId="77777777" w:rsidR="003D6A63" w:rsidRDefault="00000000">
            <w:pPr>
              <w:adjustRightInd w:val="0"/>
              <w:snapToGrid w:val="0"/>
              <w:jc w:val="center"/>
              <w:rPr>
                <w:b/>
                <w:bCs/>
                <w:szCs w:val="21"/>
              </w:rPr>
            </w:pPr>
            <w:r>
              <w:rPr>
                <w:rFonts w:hint="eastAsia"/>
                <w:b/>
                <w:bCs/>
                <w:szCs w:val="21"/>
              </w:rPr>
              <w:lastRenderedPageBreak/>
              <w:t>×</w:t>
            </w:r>
          </w:p>
        </w:tc>
      </w:tr>
    </w:tbl>
    <w:p w14:paraId="472658B6" w14:textId="77777777" w:rsidR="003D6A63" w:rsidRDefault="00000000">
      <w:pPr>
        <w:pStyle w:val="nlw3"/>
        <w:spacing w:after="0" w:line="360" w:lineRule="auto"/>
        <w:rPr>
          <w:sz w:val="24"/>
          <w:szCs w:val="24"/>
        </w:rPr>
      </w:pPr>
      <w:r>
        <w:rPr>
          <w:rFonts w:hint="eastAsia"/>
          <w:sz w:val="24"/>
          <w:szCs w:val="24"/>
        </w:rPr>
        <w:t xml:space="preserve">5.2.2  </w:t>
      </w:r>
      <w:r>
        <w:rPr>
          <w:rFonts w:hint="eastAsia"/>
          <w:sz w:val="24"/>
          <w:szCs w:val="24"/>
        </w:rPr>
        <w:t>单元小结</w:t>
      </w:r>
    </w:p>
    <w:p w14:paraId="25262B71" w14:textId="77777777" w:rsidR="003D6A63" w:rsidRDefault="00000000">
      <w:pPr>
        <w:spacing w:line="360" w:lineRule="auto"/>
        <w:ind w:firstLineChars="200" w:firstLine="480"/>
        <w:rPr>
          <w:sz w:val="24"/>
        </w:rPr>
      </w:pPr>
      <w:r>
        <w:rPr>
          <w:rFonts w:hint="eastAsia"/>
          <w:sz w:val="24"/>
        </w:rPr>
        <w:t>本次对注入系统对照标准进行了</w:t>
      </w:r>
      <w:r>
        <w:rPr>
          <w:rFonts w:hint="eastAsia"/>
          <w:sz w:val="24"/>
        </w:rPr>
        <w:t>14</w:t>
      </w:r>
      <w:r>
        <w:rPr>
          <w:rFonts w:hint="eastAsia"/>
          <w:sz w:val="24"/>
        </w:rPr>
        <w:t>项检查，其中</w:t>
      </w:r>
      <w:r>
        <w:rPr>
          <w:rFonts w:hint="eastAsia"/>
          <w:sz w:val="24"/>
        </w:rPr>
        <w:t>12</w:t>
      </w:r>
      <w:r>
        <w:rPr>
          <w:rFonts w:hint="eastAsia"/>
          <w:sz w:val="24"/>
        </w:rPr>
        <w:t>项符合要求，</w:t>
      </w:r>
      <w:r>
        <w:rPr>
          <w:rFonts w:hint="eastAsia"/>
          <w:sz w:val="24"/>
        </w:rPr>
        <w:t>2</w:t>
      </w:r>
      <w:r>
        <w:rPr>
          <w:rFonts w:hint="eastAsia"/>
          <w:sz w:val="24"/>
        </w:rPr>
        <w:t>项不符合要求。不符合项如下：</w:t>
      </w:r>
    </w:p>
    <w:p w14:paraId="445D420D" w14:textId="77777777" w:rsidR="003D6A63" w:rsidRDefault="00000000">
      <w:pPr>
        <w:spacing w:line="360" w:lineRule="auto"/>
        <w:ind w:firstLineChars="100" w:firstLine="240"/>
        <w:rPr>
          <w:sz w:val="24"/>
        </w:rPr>
      </w:pPr>
      <w:r>
        <w:rPr>
          <w:rFonts w:hint="eastAsia"/>
          <w:sz w:val="24"/>
        </w:rPr>
        <w:t>（</w:t>
      </w:r>
      <w:r>
        <w:rPr>
          <w:rFonts w:hint="eastAsia"/>
          <w:sz w:val="24"/>
        </w:rPr>
        <w:t>1</w:t>
      </w:r>
      <w:r>
        <w:rPr>
          <w:rFonts w:hint="eastAsia"/>
          <w:sz w:val="24"/>
        </w:rPr>
        <w:t>）</w:t>
      </w:r>
      <w:r>
        <w:rPr>
          <w:rFonts w:hint="eastAsia"/>
          <w:sz w:val="24"/>
        </w:rPr>
        <w:t>B603-X12</w:t>
      </w:r>
      <w:r>
        <w:rPr>
          <w:rFonts w:hint="eastAsia"/>
          <w:sz w:val="24"/>
        </w:rPr>
        <w:t>、</w:t>
      </w:r>
      <w:r>
        <w:rPr>
          <w:rFonts w:hint="eastAsia"/>
          <w:sz w:val="24"/>
        </w:rPr>
        <w:t>G20-X5</w:t>
      </w:r>
      <w:r>
        <w:rPr>
          <w:rFonts w:hint="eastAsia"/>
          <w:sz w:val="24"/>
        </w:rPr>
        <w:t>水井压力表未设置上下限标识。</w:t>
      </w:r>
    </w:p>
    <w:p w14:paraId="48BBC8CF" w14:textId="77777777" w:rsidR="003D6A63" w:rsidRDefault="00000000">
      <w:pPr>
        <w:pStyle w:val="affffd"/>
        <w:spacing w:line="360" w:lineRule="auto"/>
        <w:ind w:firstLineChars="100" w:firstLine="240"/>
        <w:rPr>
          <w:color w:val="auto"/>
          <w:sz w:val="24"/>
          <w:szCs w:val="24"/>
        </w:rPr>
      </w:pPr>
      <w:r>
        <w:rPr>
          <w:rFonts w:hint="eastAsia"/>
          <w:color w:val="auto"/>
          <w:sz w:val="24"/>
          <w:szCs w:val="24"/>
        </w:rPr>
        <w:t>（</w:t>
      </w:r>
      <w:r>
        <w:rPr>
          <w:rFonts w:hint="eastAsia"/>
          <w:color w:val="auto"/>
          <w:sz w:val="24"/>
          <w:szCs w:val="24"/>
        </w:rPr>
        <w:t>2</w:t>
      </w:r>
      <w:r>
        <w:rPr>
          <w:rFonts w:hint="eastAsia"/>
          <w:color w:val="auto"/>
          <w:sz w:val="24"/>
          <w:szCs w:val="24"/>
        </w:rPr>
        <w:t>）滨</w:t>
      </w:r>
      <w:r>
        <w:rPr>
          <w:rFonts w:hint="eastAsia"/>
          <w:color w:val="auto"/>
          <w:sz w:val="24"/>
          <w:szCs w:val="24"/>
        </w:rPr>
        <w:t>603-X12</w:t>
      </w:r>
      <w:r>
        <w:rPr>
          <w:rFonts w:hint="eastAsia"/>
          <w:color w:val="auto"/>
          <w:sz w:val="24"/>
          <w:szCs w:val="24"/>
        </w:rPr>
        <w:t>注水井旁配电箱底部未封堵。</w:t>
      </w:r>
    </w:p>
    <w:p w14:paraId="6713901A" w14:textId="77777777" w:rsidR="003D6A63" w:rsidRDefault="00000000">
      <w:pPr>
        <w:pStyle w:val="nlw2"/>
        <w:spacing w:beforeLines="0" w:before="0" w:afterLines="0" w:after="0" w:line="360" w:lineRule="auto"/>
        <w:rPr>
          <w:rFonts w:ascii="Times New Roman" w:hAnsi="Times New Roman"/>
        </w:rPr>
      </w:pPr>
      <w:bookmarkStart w:id="100" w:name="_Toc26909"/>
      <w:r>
        <w:rPr>
          <w:rFonts w:ascii="Times New Roman" w:hAnsi="Times New Roman" w:hint="eastAsia"/>
        </w:rPr>
        <w:t xml:space="preserve">5.3  </w:t>
      </w:r>
      <w:r>
        <w:rPr>
          <w:rFonts w:ascii="Times New Roman" w:hAnsi="Times New Roman" w:hint="eastAsia"/>
        </w:rPr>
        <w:t>油气集输系统单元</w:t>
      </w:r>
      <w:bookmarkEnd w:id="100"/>
    </w:p>
    <w:p w14:paraId="748C2CA7" w14:textId="77777777" w:rsidR="003D6A63" w:rsidRDefault="00000000">
      <w:pPr>
        <w:pStyle w:val="nlw1"/>
        <w:spacing w:line="360" w:lineRule="auto"/>
        <w:ind w:firstLine="480"/>
        <w:rPr>
          <w:rFonts w:ascii="Times New Roman" w:hAnsi="Times New Roman"/>
          <w:sz w:val="24"/>
          <w:szCs w:val="24"/>
          <w:lang w:val="en-US"/>
        </w:rPr>
      </w:pPr>
      <w:r>
        <w:rPr>
          <w:rFonts w:ascii="Times New Roman" w:hAnsi="Times New Roman" w:hint="eastAsia"/>
          <w:sz w:val="24"/>
          <w:szCs w:val="24"/>
          <w:lang w:val="en-US"/>
        </w:rPr>
        <w:t>中胜公司油气集输系统主要包括计量站、油气处理设备设施、单井拉油、集油管线等。</w:t>
      </w:r>
    </w:p>
    <w:p w14:paraId="409A027F" w14:textId="77777777" w:rsidR="003D6A63" w:rsidRDefault="00000000">
      <w:pPr>
        <w:pStyle w:val="nlw3"/>
        <w:spacing w:beforeLines="0" w:before="0" w:after="0" w:line="360" w:lineRule="auto"/>
        <w:rPr>
          <w:sz w:val="24"/>
          <w:szCs w:val="24"/>
        </w:rPr>
      </w:pPr>
      <w:r>
        <w:rPr>
          <w:rFonts w:hint="eastAsia"/>
          <w:sz w:val="24"/>
          <w:szCs w:val="24"/>
        </w:rPr>
        <w:t xml:space="preserve">5.3.1  </w:t>
      </w:r>
      <w:r>
        <w:rPr>
          <w:rFonts w:hint="eastAsia"/>
          <w:sz w:val="24"/>
          <w:szCs w:val="24"/>
        </w:rPr>
        <w:t>安全检查表法评价</w:t>
      </w:r>
    </w:p>
    <w:p w14:paraId="6F5E977A" w14:textId="77777777" w:rsidR="003D6A63" w:rsidRDefault="00000000">
      <w:pPr>
        <w:adjustRightInd w:val="0"/>
        <w:snapToGrid w:val="0"/>
        <w:spacing w:line="360" w:lineRule="auto"/>
        <w:ind w:firstLineChars="200" w:firstLine="480"/>
        <w:rPr>
          <w:sz w:val="24"/>
        </w:rPr>
      </w:pPr>
      <w:r>
        <w:rPr>
          <w:rFonts w:hint="eastAsia"/>
          <w:sz w:val="24"/>
        </w:rPr>
        <w:t>根据《石油天然气工程设计防火规范》（</w:t>
      </w:r>
      <w:r>
        <w:rPr>
          <w:rFonts w:hint="eastAsia"/>
          <w:sz w:val="24"/>
        </w:rPr>
        <w:t>GB50183-2004</w:t>
      </w:r>
      <w:r>
        <w:rPr>
          <w:rFonts w:hint="eastAsia"/>
          <w:sz w:val="24"/>
        </w:rPr>
        <w:t>）、《油田油气集输设计规范》（</w:t>
      </w:r>
      <w:r>
        <w:rPr>
          <w:rFonts w:hint="eastAsia"/>
          <w:sz w:val="24"/>
        </w:rPr>
        <w:t>GB50350-2015</w:t>
      </w:r>
      <w:r>
        <w:rPr>
          <w:rFonts w:hint="eastAsia"/>
          <w:sz w:val="24"/>
        </w:rPr>
        <w:t>）、《石油工业用加热炉安全规程》（</w:t>
      </w:r>
      <w:r>
        <w:rPr>
          <w:rFonts w:hint="eastAsia"/>
          <w:sz w:val="24"/>
        </w:rPr>
        <w:t>SY0031-2012</w:t>
      </w:r>
      <w:r>
        <w:rPr>
          <w:rFonts w:hint="eastAsia"/>
          <w:sz w:val="24"/>
        </w:rPr>
        <w:t>）、《油（气）田容器、管道和装卸设施接地装置安全规范》（</w:t>
      </w:r>
      <w:r>
        <w:rPr>
          <w:rFonts w:hint="eastAsia"/>
          <w:sz w:val="24"/>
        </w:rPr>
        <w:t>SY/T 5984-2020</w:t>
      </w:r>
      <w:r>
        <w:rPr>
          <w:rFonts w:hint="eastAsia"/>
          <w:sz w:val="24"/>
        </w:rPr>
        <w:t>）等标准，编制“油气集输系统安全检查表”。</w:t>
      </w:r>
    </w:p>
    <w:p w14:paraId="1AE61F41" w14:textId="77777777" w:rsidR="003D6A63" w:rsidRDefault="00000000">
      <w:pPr>
        <w:adjustRightInd w:val="0"/>
        <w:snapToGrid w:val="0"/>
        <w:spacing w:line="360" w:lineRule="auto"/>
        <w:ind w:firstLineChars="200" w:firstLine="480"/>
        <w:rPr>
          <w:sz w:val="24"/>
        </w:rPr>
      </w:pPr>
      <w:r>
        <w:rPr>
          <w:rFonts w:hint="eastAsia"/>
          <w:sz w:val="24"/>
        </w:rPr>
        <w:t>评价项目组于</w:t>
      </w:r>
      <w:r>
        <w:rPr>
          <w:rFonts w:hint="eastAsia"/>
          <w:sz w:val="24"/>
        </w:rPr>
        <w:t>2023</w:t>
      </w:r>
      <w:r>
        <w:rPr>
          <w:rFonts w:hint="eastAsia"/>
          <w:sz w:val="24"/>
        </w:rPr>
        <w:t>年</w:t>
      </w:r>
      <w:r>
        <w:rPr>
          <w:rFonts w:hint="eastAsia"/>
          <w:sz w:val="24"/>
        </w:rPr>
        <w:t>2</w:t>
      </w:r>
      <w:r>
        <w:rPr>
          <w:rFonts w:hint="eastAsia"/>
          <w:sz w:val="24"/>
        </w:rPr>
        <w:t>月</w:t>
      </w:r>
      <w:r>
        <w:rPr>
          <w:rFonts w:hint="eastAsia"/>
          <w:sz w:val="24"/>
        </w:rPr>
        <w:t>24</w:t>
      </w:r>
      <w:r>
        <w:rPr>
          <w:rFonts w:hint="eastAsia"/>
          <w:sz w:val="24"/>
        </w:rPr>
        <w:t>日至</w:t>
      </w:r>
      <w:r>
        <w:rPr>
          <w:rFonts w:hint="eastAsia"/>
          <w:sz w:val="24"/>
        </w:rPr>
        <w:t>2</w:t>
      </w:r>
      <w:r>
        <w:rPr>
          <w:rFonts w:hint="eastAsia"/>
          <w:sz w:val="24"/>
        </w:rPr>
        <w:t>月</w:t>
      </w:r>
      <w:r>
        <w:rPr>
          <w:rFonts w:hint="eastAsia"/>
          <w:sz w:val="24"/>
        </w:rPr>
        <w:t>26</w:t>
      </w:r>
      <w:r>
        <w:rPr>
          <w:rFonts w:hint="eastAsia"/>
          <w:sz w:val="24"/>
        </w:rPr>
        <w:t>日，对中胜公司滨南开发区（林东</w:t>
      </w:r>
      <w:r>
        <w:rPr>
          <w:rFonts w:hint="eastAsia"/>
          <w:sz w:val="24"/>
        </w:rPr>
        <w:t>11</w:t>
      </w:r>
      <w:r>
        <w:rPr>
          <w:rFonts w:hint="eastAsia"/>
          <w:sz w:val="24"/>
        </w:rPr>
        <w:t>号站、林东</w:t>
      </w:r>
      <w:r>
        <w:rPr>
          <w:rFonts w:hint="eastAsia"/>
          <w:sz w:val="24"/>
        </w:rPr>
        <w:t>15</w:t>
      </w:r>
      <w:r>
        <w:rPr>
          <w:rFonts w:hint="eastAsia"/>
          <w:sz w:val="24"/>
        </w:rPr>
        <w:t>号站）、城中开发区（河</w:t>
      </w:r>
      <w:r>
        <w:rPr>
          <w:rFonts w:hint="eastAsia"/>
          <w:sz w:val="24"/>
        </w:rPr>
        <w:t>55</w:t>
      </w:r>
      <w:r>
        <w:rPr>
          <w:rFonts w:hint="eastAsia"/>
          <w:sz w:val="24"/>
        </w:rPr>
        <w:t>站、河</w:t>
      </w:r>
      <w:r>
        <w:rPr>
          <w:rFonts w:hint="eastAsia"/>
          <w:sz w:val="24"/>
        </w:rPr>
        <w:t>67-8</w:t>
      </w:r>
      <w:r>
        <w:rPr>
          <w:rFonts w:hint="eastAsia"/>
          <w:sz w:val="24"/>
        </w:rPr>
        <w:t>站）进行了现场检查。检查内容包括：计量站区域布置、平面布置、工艺及生产设备设施管理、电气设施管理、消防设施管理、安全标识、生产作业等。检查内容和检查情况见表</w:t>
      </w:r>
      <w:r>
        <w:rPr>
          <w:rFonts w:hint="eastAsia"/>
          <w:sz w:val="24"/>
        </w:rPr>
        <w:t>5.3-1</w:t>
      </w:r>
      <w:r>
        <w:rPr>
          <w:rFonts w:hint="eastAsia"/>
          <w:sz w:val="24"/>
        </w:rPr>
        <w:t>。</w:t>
      </w:r>
    </w:p>
    <w:p w14:paraId="0949C4E0" w14:textId="77777777" w:rsidR="003D6A63" w:rsidRDefault="00000000">
      <w:pPr>
        <w:adjustRightInd w:val="0"/>
        <w:snapToGrid w:val="0"/>
        <w:spacing w:line="360" w:lineRule="auto"/>
        <w:jc w:val="center"/>
        <w:rPr>
          <w:rFonts w:eastAsia="黑体"/>
          <w:szCs w:val="20"/>
        </w:rPr>
      </w:pPr>
      <w:r>
        <w:rPr>
          <w:rFonts w:eastAsia="黑体" w:hint="eastAsia"/>
          <w:szCs w:val="20"/>
        </w:rPr>
        <w:t>表</w:t>
      </w:r>
      <w:r>
        <w:rPr>
          <w:rFonts w:eastAsia="黑体" w:hint="eastAsia"/>
          <w:szCs w:val="20"/>
        </w:rPr>
        <w:t>5.3-1</w:t>
      </w:r>
      <w:r>
        <w:rPr>
          <w:rFonts w:eastAsia="黑体" w:hint="eastAsia"/>
          <w:szCs w:val="20"/>
        </w:rPr>
        <w:t>集输系统安全检查表</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19"/>
        <w:gridCol w:w="4296"/>
        <w:gridCol w:w="1788"/>
        <w:gridCol w:w="1827"/>
        <w:gridCol w:w="752"/>
      </w:tblGrid>
      <w:tr w:rsidR="003D6A63" w14:paraId="0FBFC14C" w14:textId="77777777">
        <w:trPr>
          <w:trHeight w:val="340"/>
          <w:tblHeader/>
          <w:jc w:val="center"/>
        </w:trPr>
        <w:tc>
          <w:tcPr>
            <w:tcW w:w="333" w:type="pct"/>
            <w:tcBorders>
              <w:tl2br w:val="nil"/>
              <w:tr2bl w:val="nil"/>
            </w:tcBorders>
            <w:vAlign w:val="center"/>
          </w:tcPr>
          <w:p w14:paraId="6E128B0E" w14:textId="77777777" w:rsidR="003D6A63" w:rsidRDefault="00000000">
            <w:pPr>
              <w:adjustRightInd w:val="0"/>
              <w:snapToGrid w:val="0"/>
              <w:jc w:val="center"/>
              <w:rPr>
                <w:b/>
                <w:bCs/>
                <w:szCs w:val="21"/>
              </w:rPr>
            </w:pPr>
            <w:r>
              <w:rPr>
                <w:b/>
                <w:bCs/>
                <w:szCs w:val="21"/>
              </w:rPr>
              <w:t>序号</w:t>
            </w:r>
          </w:p>
        </w:tc>
        <w:tc>
          <w:tcPr>
            <w:tcW w:w="2313" w:type="pct"/>
            <w:tcBorders>
              <w:tl2br w:val="nil"/>
              <w:tr2bl w:val="nil"/>
            </w:tcBorders>
            <w:vAlign w:val="center"/>
          </w:tcPr>
          <w:p w14:paraId="586D9571" w14:textId="77777777" w:rsidR="003D6A63" w:rsidRDefault="00000000">
            <w:pPr>
              <w:adjustRightInd w:val="0"/>
              <w:snapToGrid w:val="0"/>
              <w:jc w:val="center"/>
              <w:rPr>
                <w:b/>
                <w:bCs/>
                <w:szCs w:val="21"/>
              </w:rPr>
            </w:pPr>
            <w:r>
              <w:rPr>
                <w:b/>
                <w:bCs/>
                <w:szCs w:val="21"/>
              </w:rPr>
              <w:t>检查内容</w:t>
            </w:r>
          </w:p>
        </w:tc>
        <w:tc>
          <w:tcPr>
            <w:tcW w:w="963" w:type="pct"/>
            <w:tcBorders>
              <w:tl2br w:val="nil"/>
              <w:tr2bl w:val="nil"/>
            </w:tcBorders>
            <w:vAlign w:val="center"/>
          </w:tcPr>
          <w:p w14:paraId="7F0AE58A" w14:textId="77777777" w:rsidR="003D6A63" w:rsidRDefault="00000000">
            <w:pPr>
              <w:adjustRightInd w:val="0"/>
              <w:snapToGrid w:val="0"/>
              <w:jc w:val="center"/>
              <w:rPr>
                <w:b/>
                <w:bCs/>
                <w:szCs w:val="21"/>
              </w:rPr>
            </w:pPr>
            <w:r>
              <w:rPr>
                <w:b/>
                <w:bCs/>
                <w:szCs w:val="21"/>
              </w:rPr>
              <w:t>检查依据</w:t>
            </w:r>
          </w:p>
        </w:tc>
        <w:tc>
          <w:tcPr>
            <w:tcW w:w="984" w:type="pct"/>
            <w:tcBorders>
              <w:tl2br w:val="nil"/>
              <w:tr2bl w:val="nil"/>
            </w:tcBorders>
            <w:vAlign w:val="center"/>
          </w:tcPr>
          <w:p w14:paraId="6014E900" w14:textId="77777777" w:rsidR="003D6A63" w:rsidRDefault="00000000">
            <w:pPr>
              <w:adjustRightInd w:val="0"/>
              <w:snapToGrid w:val="0"/>
              <w:jc w:val="center"/>
              <w:rPr>
                <w:b/>
                <w:bCs/>
                <w:szCs w:val="21"/>
              </w:rPr>
            </w:pPr>
            <w:r>
              <w:rPr>
                <w:b/>
                <w:bCs/>
                <w:szCs w:val="21"/>
              </w:rPr>
              <w:t>实际情况</w:t>
            </w:r>
          </w:p>
        </w:tc>
        <w:tc>
          <w:tcPr>
            <w:tcW w:w="405" w:type="pct"/>
            <w:tcBorders>
              <w:tl2br w:val="nil"/>
              <w:tr2bl w:val="nil"/>
            </w:tcBorders>
            <w:vAlign w:val="center"/>
          </w:tcPr>
          <w:p w14:paraId="1D3B873C" w14:textId="77777777" w:rsidR="003D6A63" w:rsidRDefault="00000000">
            <w:pPr>
              <w:adjustRightInd w:val="0"/>
              <w:snapToGrid w:val="0"/>
              <w:jc w:val="center"/>
              <w:rPr>
                <w:b/>
                <w:bCs/>
                <w:szCs w:val="21"/>
              </w:rPr>
            </w:pPr>
            <w:r>
              <w:rPr>
                <w:b/>
                <w:bCs/>
                <w:szCs w:val="21"/>
              </w:rPr>
              <w:t>检查结果</w:t>
            </w:r>
          </w:p>
        </w:tc>
      </w:tr>
      <w:tr w:rsidR="003D6A63" w14:paraId="3B97FF52" w14:textId="77777777">
        <w:trPr>
          <w:trHeight w:val="340"/>
          <w:jc w:val="center"/>
        </w:trPr>
        <w:tc>
          <w:tcPr>
            <w:tcW w:w="333" w:type="pct"/>
            <w:tcBorders>
              <w:tl2br w:val="nil"/>
              <w:tr2bl w:val="nil"/>
            </w:tcBorders>
            <w:vAlign w:val="center"/>
          </w:tcPr>
          <w:p w14:paraId="4A673270" w14:textId="77777777" w:rsidR="003D6A63" w:rsidRDefault="00000000">
            <w:pPr>
              <w:adjustRightInd w:val="0"/>
              <w:snapToGrid w:val="0"/>
              <w:jc w:val="center"/>
              <w:rPr>
                <w:b/>
                <w:bCs/>
                <w:szCs w:val="21"/>
              </w:rPr>
            </w:pPr>
            <w:r>
              <w:rPr>
                <w:rFonts w:hint="eastAsia"/>
                <w:b/>
                <w:bCs/>
                <w:szCs w:val="21"/>
              </w:rPr>
              <w:t>一</w:t>
            </w:r>
          </w:p>
        </w:tc>
        <w:tc>
          <w:tcPr>
            <w:tcW w:w="2313" w:type="pct"/>
            <w:tcBorders>
              <w:tl2br w:val="nil"/>
              <w:tr2bl w:val="nil"/>
            </w:tcBorders>
            <w:vAlign w:val="center"/>
          </w:tcPr>
          <w:p w14:paraId="7406C482" w14:textId="77777777" w:rsidR="003D6A63" w:rsidRDefault="00000000">
            <w:pPr>
              <w:adjustRightInd w:val="0"/>
              <w:snapToGrid w:val="0"/>
              <w:jc w:val="center"/>
              <w:rPr>
                <w:b/>
                <w:bCs/>
                <w:szCs w:val="21"/>
              </w:rPr>
            </w:pPr>
            <w:r>
              <w:rPr>
                <w:rFonts w:hint="eastAsia"/>
                <w:b/>
                <w:bCs/>
                <w:szCs w:val="21"/>
              </w:rPr>
              <w:t>计量站</w:t>
            </w:r>
            <w:r>
              <w:rPr>
                <w:b/>
                <w:bCs/>
                <w:szCs w:val="21"/>
              </w:rPr>
              <w:t>站场布置</w:t>
            </w:r>
          </w:p>
        </w:tc>
        <w:tc>
          <w:tcPr>
            <w:tcW w:w="963" w:type="pct"/>
            <w:tcBorders>
              <w:tl2br w:val="nil"/>
              <w:tr2bl w:val="nil"/>
            </w:tcBorders>
            <w:vAlign w:val="center"/>
          </w:tcPr>
          <w:p w14:paraId="42AD968E" w14:textId="77777777" w:rsidR="003D6A63" w:rsidRDefault="003D6A63">
            <w:pPr>
              <w:adjustRightInd w:val="0"/>
              <w:snapToGrid w:val="0"/>
              <w:jc w:val="center"/>
              <w:rPr>
                <w:color w:val="000000"/>
                <w:szCs w:val="21"/>
              </w:rPr>
            </w:pPr>
          </w:p>
        </w:tc>
        <w:tc>
          <w:tcPr>
            <w:tcW w:w="984" w:type="pct"/>
            <w:tcBorders>
              <w:tl2br w:val="nil"/>
              <w:tr2bl w:val="nil"/>
            </w:tcBorders>
            <w:vAlign w:val="center"/>
          </w:tcPr>
          <w:p w14:paraId="18758BA6" w14:textId="77777777" w:rsidR="003D6A63" w:rsidRDefault="003D6A63">
            <w:pPr>
              <w:adjustRightInd w:val="0"/>
              <w:snapToGrid w:val="0"/>
              <w:jc w:val="left"/>
              <w:rPr>
                <w:szCs w:val="21"/>
              </w:rPr>
            </w:pPr>
          </w:p>
        </w:tc>
        <w:tc>
          <w:tcPr>
            <w:tcW w:w="405" w:type="pct"/>
            <w:tcBorders>
              <w:tl2br w:val="nil"/>
              <w:tr2bl w:val="nil"/>
            </w:tcBorders>
            <w:vAlign w:val="center"/>
          </w:tcPr>
          <w:p w14:paraId="707B0C69" w14:textId="77777777" w:rsidR="003D6A63" w:rsidRDefault="003D6A63">
            <w:pPr>
              <w:adjustRightInd w:val="0"/>
              <w:snapToGrid w:val="0"/>
              <w:jc w:val="center"/>
              <w:rPr>
                <w:szCs w:val="21"/>
              </w:rPr>
            </w:pPr>
          </w:p>
        </w:tc>
      </w:tr>
      <w:tr w:rsidR="003D6A63" w14:paraId="2A5B17D3" w14:textId="77777777">
        <w:trPr>
          <w:trHeight w:val="340"/>
          <w:jc w:val="center"/>
        </w:trPr>
        <w:tc>
          <w:tcPr>
            <w:tcW w:w="333" w:type="pct"/>
            <w:tcBorders>
              <w:tl2br w:val="nil"/>
              <w:tr2bl w:val="nil"/>
            </w:tcBorders>
            <w:vAlign w:val="center"/>
          </w:tcPr>
          <w:p w14:paraId="512ACB46"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71C51824" w14:textId="77777777" w:rsidR="003D6A63" w:rsidRDefault="00000000">
            <w:pPr>
              <w:adjustRightInd w:val="0"/>
              <w:snapToGrid w:val="0"/>
              <w:rPr>
                <w:szCs w:val="21"/>
              </w:rPr>
            </w:pPr>
            <w:r>
              <w:rPr>
                <w:rFonts w:hint="eastAsia"/>
                <w:szCs w:val="21"/>
              </w:rPr>
              <w:t>五级油气站场的油气处理设备、厂房距</w:t>
            </w:r>
            <w:r>
              <w:rPr>
                <w:rFonts w:hint="eastAsia"/>
                <w:szCs w:val="21"/>
              </w:rPr>
              <w:t>100</w:t>
            </w:r>
            <w:r>
              <w:rPr>
                <w:rFonts w:hint="eastAsia"/>
                <w:szCs w:val="21"/>
              </w:rPr>
              <w:t>人以上的居住区、村镇、公共福利设施，</w:t>
            </w:r>
            <w:r>
              <w:rPr>
                <w:rFonts w:hint="eastAsia"/>
                <w:szCs w:val="21"/>
              </w:rPr>
              <w:t>100</w:t>
            </w:r>
            <w:r>
              <w:rPr>
                <w:rFonts w:hint="eastAsia"/>
                <w:szCs w:val="21"/>
              </w:rPr>
              <w:t>人以下的散居房屋防火间距不应小于</w:t>
            </w:r>
            <w:r>
              <w:rPr>
                <w:rFonts w:hint="eastAsia"/>
                <w:szCs w:val="21"/>
              </w:rPr>
              <w:t>22.5m</w:t>
            </w:r>
            <w:r>
              <w:rPr>
                <w:rFonts w:hint="eastAsia"/>
                <w:szCs w:val="21"/>
              </w:rPr>
              <w:t>。</w:t>
            </w:r>
          </w:p>
        </w:tc>
        <w:tc>
          <w:tcPr>
            <w:tcW w:w="963" w:type="pct"/>
            <w:tcBorders>
              <w:tl2br w:val="nil"/>
              <w:tr2bl w:val="nil"/>
            </w:tcBorders>
            <w:vAlign w:val="center"/>
          </w:tcPr>
          <w:p w14:paraId="313C0382" w14:textId="77777777" w:rsidR="003D6A63" w:rsidRDefault="00000000">
            <w:pPr>
              <w:adjustRightInd w:val="0"/>
              <w:snapToGrid w:val="0"/>
              <w:jc w:val="center"/>
              <w:rPr>
                <w:color w:val="000000"/>
                <w:szCs w:val="21"/>
              </w:rPr>
            </w:pPr>
            <w:r>
              <w:rPr>
                <w:color w:val="000000"/>
                <w:szCs w:val="21"/>
              </w:rPr>
              <w:t>GB50183-2004</w:t>
            </w:r>
          </w:p>
          <w:p w14:paraId="665F5164" w14:textId="77777777" w:rsidR="003D6A63" w:rsidRDefault="00000000">
            <w:pPr>
              <w:adjustRightInd w:val="0"/>
              <w:snapToGrid w:val="0"/>
              <w:jc w:val="center"/>
              <w:rPr>
                <w:color w:val="000000"/>
                <w:szCs w:val="21"/>
              </w:rPr>
            </w:pPr>
            <w:r>
              <w:rPr>
                <w:rFonts w:hint="eastAsia"/>
                <w:color w:val="000000"/>
                <w:szCs w:val="21"/>
              </w:rPr>
              <w:t>4.0.4</w:t>
            </w:r>
          </w:p>
        </w:tc>
        <w:tc>
          <w:tcPr>
            <w:tcW w:w="984" w:type="pct"/>
            <w:tcBorders>
              <w:tl2br w:val="nil"/>
              <w:tr2bl w:val="nil"/>
            </w:tcBorders>
            <w:vAlign w:val="center"/>
          </w:tcPr>
          <w:p w14:paraId="71C247E3" w14:textId="77777777" w:rsidR="003D6A63" w:rsidRDefault="00000000">
            <w:pPr>
              <w:adjustRightInd w:val="0"/>
              <w:snapToGrid w:val="0"/>
              <w:rPr>
                <w:szCs w:val="21"/>
              </w:rPr>
            </w:pPr>
            <w:r>
              <w:rPr>
                <w:rFonts w:hint="eastAsia"/>
                <w:szCs w:val="21"/>
              </w:rPr>
              <w:t>河</w:t>
            </w:r>
            <w:r>
              <w:rPr>
                <w:rFonts w:hint="eastAsia"/>
                <w:szCs w:val="21"/>
              </w:rPr>
              <w:t>55</w:t>
            </w:r>
            <w:r>
              <w:rPr>
                <w:rFonts w:hint="eastAsia"/>
                <w:szCs w:val="21"/>
              </w:rPr>
              <w:t>站计量间距北侧居民楼间距不足</w:t>
            </w:r>
            <w:r>
              <w:rPr>
                <w:rFonts w:hint="eastAsia"/>
                <w:szCs w:val="21"/>
              </w:rPr>
              <w:t>20m</w:t>
            </w:r>
            <w:r>
              <w:rPr>
                <w:rFonts w:hint="eastAsia"/>
                <w:szCs w:val="21"/>
              </w:rPr>
              <w:t>，经与中胜公司沟通，该站场建设时，站场外无居民区，后随着城市规划，居民楼建设于河</w:t>
            </w:r>
            <w:r>
              <w:rPr>
                <w:rFonts w:hint="eastAsia"/>
                <w:szCs w:val="21"/>
              </w:rPr>
              <w:t>55</w:t>
            </w:r>
            <w:r>
              <w:rPr>
                <w:rFonts w:hint="eastAsia"/>
                <w:szCs w:val="21"/>
              </w:rPr>
              <w:t>站外，且中胜公司计划于年内该计量间进行打倒。目前</w:t>
            </w:r>
            <w:r>
              <w:rPr>
                <w:rFonts w:hint="eastAsia"/>
                <w:szCs w:val="21"/>
              </w:rPr>
              <w:lastRenderedPageBreak/>
              <w:t>该站场设置有实体围墙，可有效防止站内火灾蔓延至站外。</w:t>
            </w:r>
          </w:p>
        </w:tc>
        <w:tc>
          <w:tcPr>
            <w:tcW w:w="405" w:type="pct"/>
            <w:tcBorders>
              <w:tl2br w:val="nil"/>
              <w:tr2bl w:val="nil"/>
            </w:tcBorders>
            <w:vAlign w:val="center"/>
          </w:tcPr>
          <w:p w14:paraId="454CB225" w14:textId="77777777" w:rsidR="003D6A63" w:rsidRDefault="00000000">
            <w:pPr>
              <w:adjustRightInd w:val="0"/>
              <w:snapToGrid w:val="0"/>
              <w:jc w:val="center"/>
              <w:rPr>
                <w:szCs w:val="21"/>
              </w:rPr>
            </w:pPr>
            <w:r>
              <w:rPr>
                <w:rFonts w:hint="eastAsia"/>
                <w:szCs w:val="21"/>
              </w:rPr>
              <w:lastRenderedPageBreak/>
              <w:t>风险可接受</w:t>
            </w:r>
          </w:p>
        </w:tc>
      </w:tr>
      <w:tr w:rsidR="003D6A63" w14:paraId="6BC88820" w14:textId="77777777">
        <w:trPr>
          <w:trHeight w:val="340"/>
          <w:jc w:val="center"/>
        </w:trPr>
        <w:tc>
          <w:tcPr>
            <w:tcW w:w="333" w:type="pct"/>
            <w:tcBorders>
              <w:tl2br w:val="nil"/>
              <w:tr2bl w:val="nil"/>
            </w:tcBorders>
            <w:vAlign w:val="center"/>
          </w:tcPr>
          <w:p w14:paraId="03ADC017"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3BAEDBF1" w14:textId="77777777" w:rsidR="003D6A63" w:rsidRDefault="00000000">
            <w:pPr>
              <w:adjustRightInd w:val="0"/>
              <w:snapToGrid w:val="0"/>
              <w:rPr>
                <w:szCs w:val="21"/>
              </w:rPr>
            </w:pPr>
            <w:r>
              <w:rPr>
                <w:szCs w:val="21"/>
              </w:rPr>
              <w:t>计量仪表间、配水间、值班室与生产设施的防火间距应符合以下规定：</w:t>
            </w:r>
          </w:p>
          <w:p w14:paraId="3E387F1F" w14:textId="77777777" w:rsidR="003D6A63" w:rsidRDefault="00000000">
            <w:pPr>
              <w:adjustRightInd w:val="0"/>
              <w:snapToGrid w:val="0"/>
              <w:rPr>
                <w:szCs w:val="21"/>
              </w:rPr>
            </w:pPr>
            <w:r>
              <w:rPr>
                <w:szCs w:val="21"/>
              </w:rPr>
              <w:t>a</w:t>
            </w:r>
            <w:r>
              <w:rPr>
                <w:szCs w:val="21"/>
              </w:rPr>
              <w:t>）与油气井的防火间距不小于</w:t>
            </w:r>
            <w:r>
              <w:rPr>
                <w:szCs w:val="21"/>
              </w:rPr>
              <w:t>9m</w:t>
            </w:r>
            <w:r>
              <w:rPr>
                <w:szCs w:val="21"/>
              </w:rPr>
              <w:t>；</w:t>
            </w:r>
          </w:p>
          <w:p w14:paraId="1871A88C" w14:textId="77777777" w:rsidR="003D6A63" w:rsidRDefault="00000000">
            <w:pPr>
              <w:adjustRightInd w:val="0"/>
              <w:snapToGrid w:val="0"/>
              <w:rPr>
                <w:szCs w:val="21"/>
              </w:rPr>
            </w:pPr>
            <w:r>
              <w:rPr>
                <w:szCs w:val="21"/>
              </w:rPr>
              <w:t>b</w:t>
            </w:r>
            <w:r>
              <w:rPr>
                <w:szCs w:val="21"/>
              </w:rPr>
              <w:t>）与水套炉的防火间距不小于</w:t>
            </w:r>
            <w:r>
              <w:rPr>
                <w:szCs w:val="21"/>
              </w:rPr>
              <w:t>10m</w:t>
            </w:r>
            <w:r>
              <w:rPr>
                <w:szCs w:val="21"/>
              </w:rPr>
              <w:t>；</w:t>
            </w:r>
          </w:p>
          <w:p w14:paraId="5B5BC5FE" w14:textId="77777777" w:rsidR="003D6A63" w:rsidRDefault="00000000">
            <w:pPr>
              <w:adjustRightInd w:val="0"/>
              <w:snapToGrid w:val="0"/>
              <w:rPr>
                <w:szCs w:val="21"/>
              </w:rPr>
            </w:pPr>
            <w:r>
              <w:rPr>
                <w:szCs w:val="21"/>
              </w:rPr>
              <w:t>c</w:t>
            </w:r>
            <w:r>
              <w:rPr>
                <w:szCs w:val="21"/>
              </w:rPr>
              <w:t>）与露天油气密闭设备和阀组的防火间距不小于</w:t>
            </w:r>
            <w:r>
              <w:rPr>
                <w:szCs w:val="21"/>
              </w:rPr>
              <w:t>5m</w:t>
            </w:r>
            <w:r>
              <w:rPr>
                <w:szCs w:val="21"/>
              </w:rPr>
              <w:t>；</w:t>
            </w:r>
          </w:p>
          <w:p w14:paraId="6AC797E2" w14:textId="77777777" w:rsidR="003D6A63" w:rsidRDefault="00000000">
            <w:pPr>
              <w:adjustRightInd w:val="0"/>
              <w:snapToGrid w:val="0"/>
              <w:rPr>
                <w:szCs w:val="21"/>
              </w:rPr>
            </w:pPr>
            <w:r>
              <w:rPr>
                <w:szCs w:val="21"/>
              </w:rPr>
              <w:t>d</w:t>
            </w:r>
            <w:r>
              <w:rPr>
                <w:szCs w:val="21"/>
              </w:rPr>
              <w:t>）与大于</w:t>
            </w:r>
            <w:r>
              <w:rPr>
                <w:szCs w:val="21"/>
              </w:rPr>
              <w:t>30m</w:t>
            </w:r>
            <w:r>
              <w:rPr>
                <w:bCs/>
                <w:szCs w:val="21"/>
                <w:vertAlign w:val="superscript"/>
              </w:rPr>
              <w:t>3</w:t>
            </w:r>
            <w:r>
              <w:rPr>
                <w:szCs w:val="21"/>
              </w:rPr>
              <w:t>的污油回收罐、卸油池的防火间距不小于</w:t>
            </w:r>
            <w:r>
              <w:rPr>
                <w:szCs w:val="21"/>
              </w:rPr>
              <w:t>15m</w:t>
            </w:r>
            <w:r>
              <w:rPr>
                <w:szCs w:val="21"/>
              </w:rPr>
              <w:t>；</w:t>
            </w:r>
          </w:p>
          <w:p w14:paraId="061AA78D" w14:textId="77777777" w:rsidR="003D6A63" w:rsidRDefault="00000000">
            <w:pPr>
              <w:adjustRightInd w:val="0"/>
              <w:snapToGrid w:val="0"/>
            </w:pPr>
            <w:r>
              <w:rPr>
                <w:szCs w:val="21"/>
              </w:rPr>
              <w:t>e</w:t>
            </w:r>
            <w:r>
              <w:rPr>
                <w:szCs w:val="21"/>
              </w:rPr>
              <w:t>）与小于</w:t>
            </w:r>
            <w:r>
              <w:rPr>
                <w:szCs w:val="21"/>
              </w:rPr>
              <w:t>30m</w:t>
            </w:r>
            <w:r>
              <w:rPr>
                <w:bCs/>
                <w:szCs w:val="21"/>
                <w:vertAlign w:val="superscript"/>
              </w:rPr>
              <w:t>3</w:t>
            </w:r>
            <w:r>
              <w:rPr>
                <w:szCs w:val="21"/>
              </w:rPr>
              <w:t>的污油回收罐、卸油池的防火间距不小于</w:t>
            </w:r>
            <w:r>
              <w:rPr>
                <w:szCs w:val="21"/>
              </w:rPr>
              <w:t>10m</w:t>
            </w:r>
            <w:r>
              <w:rPr>
                <w:rFonts w:hint="eastAsia"/>
                <w:szCs w:val="21"/>
              </w:rPr>
              <w:t>。</w:t>
            </w:r>
          </w:p>
        </w:tc>
        <w:tc>
          <w:tcPr>
            <w:tcW w:w="963" w:type="pct"/>
            <w:tcBorders>
              <w:tl2br w:val="nil"/>
              <w:tr2bl w:val="nil"/>
            </w:tcBorders>
            <w:vAlign w:val="center"/>
          </w:tcPr>
          <w:p w14:paraId="479A75CF" w14:textId="77777777" w:rsidR="003D6A63" w:rsidRDefault="00000000">
            <w:pPr>
              <w:adjustRightInd w:val="0"/>
              <w:snapToGrid w:val="0"/>
              <w:jc w:val="center"/>
              <w:rPr>
                <w:color w:val="000000"/>
                <w:szCs w:val="21"/>
              </w:rPr>
            </w:pPr>
            <w:r>
              <w:rPr>
                <w:color w:val="000000"/>
                <w:szCs w:val="21"/>
              </w:rPr>
              <w:t>GB50183-2004</w:t>
            </w:r>
          </w:p>
          <w:p w14:paraId="0BA658C6" w14:textId="77777777" w:rsidR="003D6A63" w:rsidRDefault="00000000">
            <w:pPr>
              <w:adjustRightInd w:val="0"/>
              <w:snapToGrid w:val="0"/>
              <w:jc w:val="center"/>
            </w:pPr>
            <w:r>
              <w:rPr>
                <w:color w:val="000000"/>
                <w:szCs w:val="21"/>
              </w:rPr>
              <w:t>5.2.3</w:t>
            </w:r>
          </w:p>
        </w:tc>
        <w:tc>
          <w:tcPr>
            <w:tcW w:w="984" w:type="pct"/>
            <w:tcBorders>
              <w:tl2br w:val="nil"/>
              <w:tr2bl w:val="nil"/>
            </w:tcBorders>
            <w:vAlign w:val="center"/>
          </w:tcPr>
          <w:p w14:paraId="07A85DDA" w14:textId="77777777" w:rsidR="003D6A63" w:rsidRDefault="00000000">
            <w:pPr>
              <w:adjustRightInd w:val="0"/>
              <w:snapToGrid w:val="0"/>
              <w:rPr>
                <w:szCs w:val="21"/>
              </w:rPr>
            </w:pPr>
            <w:r>
              <w:rPr>
                <w:szCs w:val="21"/>
              </w:rPr>
              <w:t>计量仪表间、配水间生产设施的防火间距符合</w:t>
            </w:r>
            <w:r>
              <w:rPr>
                <w:rFonts w:hint="eastAsia"/>
                <w:szCs w:val="21"/>
              </w:rPr>
              <w:t>要求。</w:t>
            </w:r>
          </w:p>
        </w:tc>
        <w:tc>
          <w:tcPr>
            <w:tcW w:w="405" w:type="pct"/>
            <w:tcBorders>
              <w:tl2br w:val="nil"/>
              <w:tr2bl w:val="nil"/>
            </w:tcBorders>
            <w:vAlign w:val="center"/>
          </w:tcPr>
          <w:p w14:paraId="61253754" w14:textId="77777777" w:rsidR="003D6A63" w:rsidRDefault="00000000">
            <w:pPr>
              <w:adjustRightInd w:val="0"/>
              <w:snapToGrid w:val="0"/>
              <w:jc w:val="center"/>
              <w:rPr>
                <w:szCs w:val="21"/>
              </w:rPr>
            </w:pPr>
            <w:r>
              <w:rPr>
                <w:rFonts w:hint="eastAsia"/>
                <w:szCs w:val="21"/>
              </w:rPr>
              <w:t>√</w:t>
            </w:r>
          </w:p>
        </w:tc>
      </w:tr>
      <w:tr w:rsidR="003D6A63" w14:paraId="4852B2B5" w14:textId="77777777">
        <w:trPr>
          <w:trHeight w:val="340"/>
          <w:jc w:val="center"/>
        </w:trPr>
        <w:tc>
          <w:tcPr>
            <w:tcW w:w="333" w:type="pct"/>
            <w:tcBorders>
              <w:tl2br w:val="nil"/>
              <w:tr2bl w:val="nil"/>
            </w:tcBorders>
            <w:vAlign w:val="center"/>
          </w:tcPr>
          <w:p w14:paraId="071B2213"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36F6DC7D" w14:textId="77777777" w:rsidR="003D6A63" w:rsidRDefault="00000000">
            <w:pPr>
              <w:adjustRightInd w:val="0"/>
              <w:snapToGrid w:val="0"/>
              <w:rPr>
                <w:szCs w:val="21"/>
              </w:rPr>
            </w:pPr>
            <w:r>
              <w:rPr>
                <w:szCs w:val="21"/>
              </w:rPr>
              <w:t>油品的汽车装卸站应符合下列要求</w:t>
            </w:r>
            <w:r>
              <w:rPr>
                <w:rFonts w:hint="eastAsia"/>
                <w:szCs w:val="21"/>
              </w:rPr>
              <w:t>：</w:t>
            </w:r>
          </w:p>
          <w:p w14:paraId="377579FB" w14:textId="77777777" w:rsidR="003D6A63" w:rsidRDefault="00000000">
            <w:pPr>
              <w:adjustRightInd w:val="0"/>
              <w:snapToGrid w:val="0"/>
              <w:rPr>
                <w:szCs w:val="21"/>
              </w:rPr>
            </w:pPr>
            <w:r>
              <w:rPr>
                <w:rFonts w:hint="eastAsia"/>
                <w:szCs w:val="21"/>
              </w:rPr>
              <w:t>1</w:t>
            </w:r>
            <w:r>
              <w:rPr>
                <w:szCs w:val="21"/>
              </w:rPr>
              <w:t>装卸站的进出口宜分开设置</w:t>
            </w:r>
            <w:r>
              <w:rPr>
                <w:rFonts w:hint="eastAsia"/>
                <w:szCs w:val="21"/>
              </w:rPr>
              <w:t>，</w:t>
            </w:r>
            <w:r>
              <w:rPr>
                <w:szCs w:val="21"/>
              </w:rPr>
              <w:t>当进</w:t>
            </w:r>
            <w:r>
              <w:rPr>
                <w:szCs w:val="21"/>
              </w:rPr>
              <w:t xml:space="preserve"> </w:t>
            </w:r>
            <w:r>
              <w:rPr>
                <w:szCs w:val="21"/>
              </w:rPr>
              <w:t>出口合用时，站内应设回车场</w:t>
            </w:r>
            <w:r>
              <w:rPr>
                <w:rFonts w:hint="eastAsia"/>
                <w:szCs w:val="21"/>
              </w:rPr>
              <w:t>；</w:t>
            </w:r>
          </w:p>
          <w:p w14:paraId="30D57278" w14:textId="77777777" w:rsidR="003D6A63" w:rsidRDefault="00000000">
            <w:pPr>
              <w:adjustRightInd w:val="0"/>
              <w:snapToGrid w:val="0"/>
              <w:rPr>
                <w:szCs w:val="21"/>
              </w:rPr>
            </w:pPr>
            <w:r>
              <w:rPr>
                <w:rFonts w:hint="eastAsia"/>
                <w:szCs w:val="21"/>
              </w:rPr>
              <w:t>2</w:t>
            </w:r>
            <w:r>
              <w:rPr>
                <w:szCs w:val="21"/>
              </w:rPr>
              <w:t>装卸车场宜采用现浇混凝土地面</w:t>
            </w:r>
            <w:r>
              <w:rPr>
                <w:rFonts w:hint="eastAsia"/>
                <w:szCs w:val="21"/>
              </w:rPr>
              <w:t>；</w:t>
            </w:r>
          </w:p>
          <w:p w14:paraId="079528BC" w14:textId="77777777" w:rsidR="003D6A63" w:rsidRDefault="00000000">
            <w:pPr>
              <w:adjustRightInd w:val="0"/>
              <w:snapToGrid w:val="0"/>
              <w:rPr>
                <w:szCs w:val="21"/>
              </w:rPr>
            </w:pPr>
            <w:r>
              <w:rPr>
                <w:rFonts w:hint="eastAsia"/>
                <w:szCs w:val="21"/>
              </w:rPr>
              <w:t>3</w:t>
            </w:r>
            <w:r>
              <w:rPr>
                <w:szCs w:val="21"/>
              </w:rPr>
              <w:t>装卸车鹤管之间的距离不应小于</w:t>
            </w:r>
            <w:r>
              <w:rPr>
                <w:rFonts w:hint="eastAsia"/>
                <w:szCs w:val="21"/>
              </w:rPr>
              <w:t>4m</w:t>
            </w:r>
            <w:r>
              <w:rPr>
                <w:rFonts w:hint="eastAsia"/>
                <w:szCs w:val="21"/>
              </w:rPr>
              <w:t>，</w:t>
            </w:r>
            <w:r>
              <w:rPr>
                <w:szCs w:val="21"/>
              </w:rPr>
              <w:t>装卸车鹤管与缓冲罐之间的距离</w:t>
            </w:r>
            <w:r>
              <w:rPr>
                <w:szCs w:val="21"/>
              </w:rPr>
              <w:t xml:space="preserve"> </w:t>
            </w:r>
            <w:r>
              <w:rPr>
                <w:szCs w:val="21"/>
              </w:rPr>
              <w:t>不应小于</w:t>
            </w:r>
            <w:r>
              <w:rPr>
                <w:rFonts w:hint="eastAsia"/>
                <w:szCs w:val="21"/>
              </w:rPr>
              <w:t>5m</w:t>
            </w:r>
            <w:r>
              <w:rPr>
                <w:rFonts w:hint="eastAsia"/>
                <w:szCs w:val="21"/>
              </w:rPr>
              <w:t>；</w:t>
            </w:r>
          </w:p>
          <w:p w14:paraId="00485E30" w14:textId="77777777" w:rsidR="003D6A63" w:rsidRDefault="00000000">
            <w:pPr>
              <w:adjustRightInd w:val="0"/>
              <w:snapToGrid w:val="0"/>
              <w:rPr>
                <w:szCs w:val="21"/>
              </w:rPr>
            </w:pPr>
            <w:r>
              <w:rPr>
                <w:rFonts w:hint="eastAsia"/>
                <w:szCs w:val="21"/>
              </w:rPr>
              <w:t>4</w:t>
            </w:r>
            <w:r>
              <w:rPr>
                <w:szCs w:val="21"/>
              </w:rPr>
              <w:t>甲</w:t>
            </w:r>
            <w:r>
              <w:rPr>
                <w:rFonts w:hint="eastAsia"/>
                <w:szCs w:val="21"/>
                <w:vertAlign w:val="subscript"/>
              </w:rPr>
              <w:t>B</w:t>
            </w:r>
            <w:r>
              <w:rPr>
                <w:rFonts w:hint="eastAsia"/>
                <w:szCs w:val="21"/>
              </w:rPr>
              <w:t>、</w:t>
            </w:r>
            <w:r>
              <w:rPr>
                <w:szCs w:val="21"/>
              </w:rPr>
              <w:t>乙类液体的装卸车</w:t>
            </w:r>
            <w:r>
              <w:rPr>
                <w:rFonts w:hint="eastAsia"/>
                <w:szCs w:val="21"/>
              </w:rPr>
              <w:t>，</w:t>
            </w:r>
            <w:r>
              <w:rPr>
                <w:szCs w:val="21"/>
              </w:rPr>
              <w:t>严禁采用明沟</w:t>
            </w:r>
            <w:r>
              <w:rPr>
                <w:rFonts w:hint="eastAsia"/>
                <w:szCs w:val="21"/>
              </w:rPr>
              <w:t>（</w:t>
            </w:r>
            <w:r>
              <w:rPr>
                <w:szCs w:val="21"/>
              </w:rPr>
              <w:t>槽</w:t>
            </w:r>
            <w:r>
              <w:rPr>
                <w:rFonts w:hint="eastAsia"/>
                <w:szCs w:val="21"/>
              </w:rPr>
              <w:t>）</w:t>
            </w:r>
            <w:r>
              <w:rPr>
                <w:szCs w:val="21"/>
              </w:rPr>
              <w:t>卸车系统</w:t>
            </w:r>
            <w:r>
              <w:rPr>
                <w:rFonts w:hint="eastAsia"/>
                <w:szCs w:val="21"/>
              </w:rPr>
              <w:t>；</w:t>
            </w:r>
          </w:p>
          <w:p w14:paraId="7351F927" w14:textId="77777777" w:rsidR="003D6A63" w:rsidRDefault="00000000">
            <w:pPr>
              <w:adjustRightInd w:val="0"/>
              <w:snapToGrid w:val="0"/>
              <w:rPr>
                <w:szCs w:val="21"/>
              </w:rPr>
            </w:pPr>
            <w:r>
              <w:rPr>
                <w:rFonts w:hint="eastAsia"/>
                <w:szCs w:val="21"/>
              </w:rPr>
              <w:t>5</w:t>
            </w:r>
            <w:r>
              <w:rPr>
                <w:szCs w:val="21"/>
              </w:rPr>
              <w:t>在距装卸鹤管</w:t>
            </w:r>
            <w:r>
              <w:rPr>
                <w:rFonts w:hint="eastAsia"/>
                <w:szCs w:val="21"/>
              </w:rPr>
              <w:t>10m</w:t>
            </w:r>
            <w:r>
              <w:rPr>
                <w:szCs w:val="21"/>
              </w:rPr>
              <w:t>以外的装卸管道上</w:t>
            </w:r>
            <w:r>
              <w:rPr>
                <w:rFonts w:hint="eastAsia"/>
                <w:szCs w:val="21"/>
              </w:rPr>
              <w:t>，</w:t>
            </w:r>
            <w:r>
              <w:rPr>
                <w:szCs w:val="21"/>
              </w:rPr>
              <w:t>应设便于操作的紧急切断阀</w:t>
            </w:r>
            <w:r>
              <w:rPr>
                <w:rFonts w:hint="eastAsia"/>
                <w:szCs w:val="21"/>
              </w:rPr>
              <w:t>；</w:t>
            </w:r>
          </w:p>
          <w:p w14:paraId="2AD04355" w14:textId="77777777" w:rsidR="003D6A63" w:rsidRDefault="00000000">
            <w:pPr>
              <w:adjustRightInd w:val="0"/>
              <w:snapToGrid w:val="0"/>
              <w:rPr>
                <w:szCs w:val="21"/>
              </w:rPr>
            </w:pPr>
            <w:r>
              <w:rPr>
                <w:rFonts w:hint="eastAsia"/>
                <w:szCs w:val="21"/>
              </w:rPr>
              <w:t>6</w:t>
            </w:r>
            <w:r>
              <w:rPr>
                <w:szCs w:val="21"/>
              </w:rPr>
              <w:t>甲</w:t>
            </w:r>
            <w:r>
              <w:rPr>
                <w:szCs w:val="21"/>
                <w:vertAlign w:val="subscript"/>
              </w:rPr>
              <w:t>B</w:t>
            </w:r>
            <w:r>
              <w:rPr>
                <w:szCs w:val="21"/>
              </w:rPr>
              <w:t>、乙类液体</w:t>
            </w:r>
            <w:r>
              <w:rPr>
                <w:rFonts w:hint="eastAsia"/>
                <w:szCs w:val="21"/>
              </w:rPr>
              <w:t>装卸鹤管（</w:t>
            </w:r>
            <w:r>
              <w:rPr>
                <w:szCs w:val="21"/>
              </w:rPr>
              <w:t>受油口</w:t>
            </w:r>
            <w:r>
              <w:rPr>
                <w:rFonts w:hint="eastAsia"/>
                <w:szCs w:val="21"/>
              </w:rPr>
              <w:t>）</w:t>
            </w:r>
            <w:r>
              <w:rPr>
                <w:szCs w:val="21"/>
              </w:rPr>
              <w:t>与相邻生产设施的防火间距应符合表</w:t>
            </w:r>
            <w:r>
              <w:rPr>
                <w:rFonts w:hint="eastAsia"/>
                <w:szCs w:val="21"/>
              </w:rPr>
              <w:t>6.7.3</w:t>
            </w:r>
            <w:r>
              <w:rPr>
                <w:szCs w:val="21"/>
              </w:rPr>
              <w:t>的规定</w:t>
            </w:r>
            <w:r>
              <w:rPr>
                <w:rFonts w:hint="eastAsia"/>
                <w:szCs w:val="21"/>
              </w:rPr>
              <w:t>。</w:t>
            </w:r>
          </w:p>
        </w:tc>
        <w:tc>
          <w:tcPr>
            <w:tcW w:w="963" w:type="pct"/>
            <w:tcBorders>
              <w:tl2br w:val="nil"/>
              <w:tr2bl w:val="nil"/>
            </w:tcBorders>
            <w:vAlign w:val="center"/>
          </w:tcPr>
          <w:p w14:paraId="12B3E6FA" w14:textId="77777777" w:rsidR="003D6A63" w:rsidRDefault="00000000">
            <w:pPr>
              <w:adjustRightInd w:val="0"/>
              <w:snapToGrid w:val="0"/>
              <w:jc w:val="center"/>
              <w:rPr>
                <w:szCs w:val="21"/>
              </w:rPr>
            </w:pPr>
            <w:r>
              <w:rPr>
                <w:rFonts w:hint="eastAsia"/>
                <w:szCs w:val="21"/>
              </w:rPr>
              <w:t>GB50183-2004</w:t>
            </w:r>
          </w:p>
          <w:p w14:paraId="1AB0C928" w14:textId="77777777" w:rsidR="003D6A63" w:rsidRDefault="00000000">
            <w:pPr>
              <w:adjustRightInd w:val="0"/>
              <w:snapToGrid w:val="0"/>
              <w:jc w:val="center"/>
              <w:rPr>
                <w:color w:val="000000"/>
                <w:szCs w:val="21"/>
              </w:rPr>
            </w:pPr>
            <w:r>
              <w:rPr>
                <w:rFonts w:hint="eastAsia"/>
                <w:szCs w:val="21"/>
              </w:rPr>
              <w:t>6.7.3</w:t>
            </w:r>
          </w:p>
        </w:tc>
        <w:tc>
          <w:tcPr>
            <w:tcW w:w="984" w:type="pct"/>
            <w:tcBorders>
              <w:tl2br w:val="nil"/>
              <w:tr2bl w:val="nil"/>
            </w:tcBorders>
            <w:vAlign w:val="center"/>
          </w:tcPr>
          <w:p w14:paraId="0B21D030" w14:textId="77777777" w:rsidR="003D6A63" w:rsidRDefault="00000000">
            <w:pPr>
              <w:adjustRightInd w:val="0"/>
              <w:snapToGrid w:val="0"/>
              <w:rPr>
                <w:szCs w:val="21"/>
              </w:rPr>
            </w:pPr>
            <w:r>
              <w:rPr>
                <w:rFonts w:hint="eastAsia"/>
                <w:szCs w:val="21"/>
              </w:rPr>
              <w:t>装车鹤管与周边设备设施的间距符合要求。</w:t>
            </w:r>
          </w:p>
        </w:tc>
        <w:tc>
          <w:tcPr>
            <w:tcW w:w="405" w:type="pct"/>
            <w:tcBorders>
              <w:tl2br w:val="nil"/>
              <w:tr2bl w:val="nil"/>
            </w:tcBorders>
            <w:vAlign w:val="center"/>
          </w:tcPr>
          <w:p w14:paraId="2B3C6DF2" w14:textId="77777777" w:rsidR="003D6A63" w:rsidRDefault="00000000">
            <w:pPr>
              <w:adjustRightInd w:val="0"/>
              <w:snapToGrid w:val="0"/>
              <w:jc w:val="center"/>
              <w:rPr>
                <w:szCs w:val="21"/>
              </w:rPr>
            </w:pPr>
            <w:r>
              <w:rPr>
                <w:rFonts w:hint="eastAsia"/>
                <w:szCs w:val="21"/>
              </w:rPr>
              <w:t>√</w:t>
            </w:r>
          </w:p>
        </w:tc>
      </w:tr>
      <w:tr w:rsidR="003D6A63" w14:paraId="384828C1" w14:textId="77777777">
        <w:trPr>
          <w:trHeight w:val="340"/>
          <w:jc w:val="center"/>
        </w:trPr>
        <w:tc>
          <w:tcPr>
            <w:tcW w:w="333" w:type="pct"/>
            <w:tcBorders>
              <w:tl2br w:val="nil"/>
              <w:tr2bl w:val="nil"/>
            </w:tcBorders>
            <w:vAlign w:val="center"/>
          </w:tcPr>
          <w:p w14:paraId="279EA2C5" w14:textId="77777777" w:rsidR="003D6A63" w:rsidRDefault="00000000">
            <w:pPr>
              <w:adjustRightInd w:val="0"/>
              <w:snapToGrid w:val="0"/>
              <w:jc w:val="center"/>
              <w:rPr>
                <w:b/>
                <w:bCs/>
                <w:szCs w:val="21"/>
              </w:rPr>
            </w:pPr>
            <w:r>
              <w:rPr>
                <w:b/>
                <w:bCs/>
                <w:szCs w:val="21"/>
              </w:rPr>
              <w:t>二</w:t>
            </w:r>
          </w:p>
        </w:tc>
        <w:tc>
          <w:tcPr>
            <w:tcW w:w="2313" w:type="pct"/>
            <w:tcBorders>
              <w:tl2br w:val="nil"/>
              <w:tr2bl w:val="nil"/>
            </w:tcBorders>
            <w:vAlign w:val="center"/>
          </w:tcPr>
          <w:p w14:paraId="0BD73151" w14:textId="77777777" w:rsidR="003D6A63" w:rsidRDefault="00000000">
            <w:pPr>
              <w:adjustRightInd w:val="0"/>
              <w:snapToGrid w:val="0"/>
              <w:jc w:val="center"/>
              <w:rPr>
                <w:b/>
                <w:bCs/>
                <w:szCs w:val="21"/>
              </w:rPr>
            </w:pPr>
            <w:r>
              <w:rPr>
                <w:rFonts w:hint="eastAsia"/>
                <w:b/>
                <w:bCs/>
                <w:szCs w:val="21"/>
              </w:rPr>
              <w:t>集油管线</w:t>
            </w:r>
          </w:p>
        </w:tc>
        <w:tc>
          <w:tcPr>
            <w:tcW w:w="963" w:type="pct"/>
            <w:tcBorders>
              <w:tl2br w:val="nil"/>
              <w:tr2bl w:val="nil"/>
            </w:tcBorders>
            <w:vAlign w:val="center"/>
          </w:tcPr>
          <w:p w14:paraId="598BAA6B" w14:textId="77777777" w:rsidR="003D6A63" w:rsidRDefault="003D6A63">
            <w:pPr>
              <w:adjustRightInd w:val="0"/>
              <w:snapToGrid w:val="0"/>
              <w:jc w:val="center"/>
              <w:rPr>
                <w:szCs w:val="21"/>
              </w:rPr>
            </w:pPr>
          </w:p>
        </w:tc>
        <w:tc>
          <w:tcPr>
            <w:tcW w:w="984" w:type="pct"/>
            <w:tcBorders>
              <w:tl2br w:val="nil"/>
              <w:tr2bl w:val="nil"/>
            </w:tcBorders>
            <w:vAlign w:val="center"/>
          </w:tcPr>
          <w:p w14:paraId="5E15BB56" w14:textId="77777777" w:rsidR="003D6A63" w:rsidRDefault="003D6A63">
            <w:pPr>
              <w:adjustRightInd w:val="0"/>
              <w:snapToGrid w:val="0"/>
              <w:jc w:val="center"/>
              <w:rPr>
                <w:szCs w:val="21"/>
              </w:rPr>
            </w:pPr>
          </w:p>
        </w:tc>
        <w:tc>
          <w:tcPr>
            <w:tcW w:w="405" w:type="pct"/>
            <w:tcBorders>
              <w:tl2br w:val="nil"/>
              <w:tr2bl w:val="nil"/>
            </w:tcBorders>
            <w:vAlign w:val="center"/>
          </w:tcPr>
          <w:p w14:paraId="02C0C4BD" w14:textId="77777777" w:rsidR="003D6A63" w:rsidRDefault="003D6A63">
            <w:pPr>
              <w:adjustRightInd w:val="0"/>
              <w:snapToGrid w:val="0"/>
              <w:jc w:val="center"/>
              <w:rPr>
                <w:szCs w:val="21"/>
              </w:rPr>
            </w:pPr>
          </w:p>
        </w:tc>
      </w:tr>
      <w:tr w:rsidR="003D6A63" w14:paraId="2C50DF5C" w14:textId="77777777">
        <w:trPr>
          <w:trHeight w:val="340"/>
          <w:jc w:val="center"/>
        </w:trPr>
        <w:tc>
          <w:tcPr>
            <w:tcW w:w="333" w:type="pct"/>
            <w:tcBorders>
              <w:tl2br w:val="nil"/>
              <w:tr2bl w:val="nil"/>
            </w:tcBorders>
            <w:vAlign w:val="center"/>
          </w:tcPr>
          <w:p w14:paraId="43504065"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tcPr>
          <w:p w14:paraId="78C329B8" w14:textId="77777777" w:rsidR="003D6A63" w:rsidRDefault="00000000">
            <w:pPr>
              <w:adjustRightInd w:val="0"/>
              <w:snapToGrid w:val="0"/>
              <w:rPr>
                <w:szCs w:val="21"/>
              </w:rPr>
            </w:pPr>
            <w:r>
              <w:rPr>
                <w:szCs w:val="21"/>
              </w:rPr>
              <w:t>油气集输管道根据工艺要求和敷设环境温度条件，应采取经济合理的保温或隔热措施。</w:t>
            </w:r>
          </w:p>
        </w:tc>
        <w:tc>
          <w:tcPr>
            <w:tcW w:w="963" w:type="pct"/>
            <w:tcBorders>
              <w:tl2br w:val="nil"/>
              <w:tr2bl w:val="nil"/>
            </w:tcBorders>
            <w:vAlign w:val="center"/>
          </w:tcPr>
          <w:p w14:paraId="72247F89" w14:textId="77777777" w:rsidR="003D6A63" w:rsidRDefault="00000000">
            <w:pPr>
              <w:adjustRightInd w:val="0"/>
              <w:snapToGrid w:val="0"/>
              <w:jc w:val="center"/>
              <w:rPr>
                <w:szCs w:val="21"/>
              </w:rPr>
            </w:pPr>
            <w:r>
              <w:rPr>
                <w:szCs w:val="21"/>
              </w:rPr>
              <w:t>GB50350-2015</w:t>
            </w:r>
          </w:p>
          <w:p w14:paraId="7D3DA92C" w14:textId="77777777" w:rsidR="003D6A63" w:rsidRDefault="00000000">
            <w:pPr>
              <w:adjustRightInd w:val="0"/>
              <w:snapToGrid w:val="0"/>
              <w:jc w:val="center"/>
              <w:rPr>
                <w:szCs w:val="21"/>
              </w:rPr>
            </w:pPr>
            <w:r>
              <w:rPr>
                <w:szCs w:val="21"/>
              </w:rPr>
              <w:t>8.5.5</w:t>
            </w:r>
          </w:p>
        </w:tc>
        <w:tc>
          <w:tcPr>
            <w:tcW w:w="984" w:type="pct"/>
            <w:tcBorders>
              <w:tl2br w:val="nil"/>
              <w:tr2bl w:val="nil"/>
            </w:tcBorders>
            <w:vAlign w:val="center"/>
          </w:tcPr>
          <w:p w14:paraId="418FE74F" w14:textId="77777777" w:rsidR="003D6A63" w:rsidRDefault="00000000">
            <w:pPr>
              <w:adjustRightInd w:val="0"/>
              <w:snapToGrid w:val="0"/>
              <w:rPr>
                <w:szCs w:val="21"/>
              </w:rPr>
            </w:pPr>
            <w:r>
              <w:rPr>
                <w:rFonts w:hint="eastAsia"/>
                <w:szCs w:val="21"/>
              </w:rPr>
              <w:t>油气集输管道埋地敷设。</w:t>
            </w:r>
          </w:p>
        </w:tc>
        <w:tc>
          <w:tcPr>
            <w:tcW w:w="405" w:type="pct"/>
            <w:tcBorders>
              <w:tl2br w:val="nil"/>
              <w:tr2bl w:val="nil"/>
            </w:tcBorders>
            <w:vAlign w:val="center"/>
          </w:tcPr>
          <w:p w14:paraId="48A991F2" w14:textId="77777777" w:rsidR="003D6A63" w:rsidRDefault="00000000">
            <w:pPr>
              <w:adjustRightInd w:val="0"/>
              <w:snapToGrid w:val="0"/>
              <w:jc w:val="center"/>
              <w:rPr>
                <w:szCs w:val="21"/>
              </w:rPr>
            </w:pPr>
            <w:r>
              <w:rPr>
                <w:rFonts w:hint="eastAsia"/>
                <w:szCs w:val="21"/>
              </w:rPr>
              <w:t>√</w:t>
            </w:r>
          </w:p>
        </w:tc>
      </w:tr>
      <w:tr w:rsidR="003D6A63" w14:paraId="7FD0FA47" w14:textId="77777777">
        <w:trPr>
          <w:trHeight w:val="340"/>
          <w:jc w:val="center"/>
        </w:trPr>
        <w:tc>
          <w:tcPr>
            <w:tcW w:w="333" w:type="pct"/>
            <w:tcBorders>
              <w:tl2br w:val="nil"/>
              <w:tr2bl w:val="nil"/>
            </w:tcBorders>
            <w:vAlign w:val="center"/>
          </w:tcPr>
          <w:p w14:paraId="35959C39"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4796FB57" w14:textId="77777777" w:rsidR="003D6A63" w:rsidRDefault="00000000">
            <w:pPr>
              <w:autoSpaceDE w:val="0"/>
              <w:autoSpaceDN w:val="0"/>
              <w:adjustRightInd w:val="0"/>
              <w:snapToGrid w:val="0"/>
              <w:jc w:val="left"/>
              <w:rPr>
                <w:color w:val="000000"/>
                <w:kern w:val="0"/>
                <w:szCs w:val="21"/>
              </w:rPr>
            </w:pPr>
            <w:r>
              <w:rPr>
                <w:color w:val="000000"/>
                <w:kern w:val="0"/>
                <w:szCs w:val="21"/>
              </w:rPr>
              <w:t>集输管道与架空输电线路平行敷设时，安全距离应符合下列要求：</w:t>
            </w:r>
          </w:p>
          <w:p w14:paraId="06352122" w14:textId="77777777" w:rsidR="003D6A63" w:rsidRDefault="00000000">
            <w:pPr>
              <w:adjustRightInd w:val="0"/>
              <w:snapToGrid w:val="0"/>
              <w:jc w:val="left"/>
              <w:rPr>
                <w:szCs w:val="21"/>
              </w:rPr>
            </w:pPr>
            <w:r>
              <w:rPr>
                <w:color w:val="000000"/>
                <w:kern w:val="0"/>
                <w:szCs w:val="21"/>
              </w:rPr>
              <w:fldChar w:fldCharType="begin"/>
            </w:r>
            <w:r>
              <w:rPr>
                <w:color w:val="000000"/>
                <w:kern w:val="0"/>
                <w:szCs w:val="21"/>
              </w:rPr>
              <w:instrText xml:space="preserve"> INCLUDEPICTURE "C:\\Users\\acer\\AppData\\Roaming\\Tencent\\Users\\94500732\\QQ\\WinTemp\\RichOle\\}Z6NVN]R}$UE4(U~OA9MC0Z.png" \* MERGEFORMATINET </w:instrText>
            </w:r>
            <w:r>
              <w:rPr>
                <w:color w:val="000000"/>
                <w:kern w:val="0"/>
                <w:szCs w:val="21"/>
              </w:rPr>
              <w:fldChar w:fldCharType="separate"/>
            </w:r>
            <w:r>
              <w:rPr>
                <w:noProof/>
                <w:color w:val="000000"/>
                <w:kern w:val="0"/>
                <w:szCs w:val="21"/>
              </w:rPr>
              <w:drawing>
                <wp:inline distT="0" distB="0" distL="114300" distR="114300" wp14:anchorId="5F55427D" wp14:editId="64E4A6C6">
                  <wp:extent cx="2176780" cy="587375"/>
                  <wp:effectExtent l="0" t="0" r="7620" b="9525"/>
                  <wp:docPr id="33" name="图片 33" descr="}Z6NVN]R}$UE4(U~OA9MC0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Z6NVN]R}$UE4(U~OA9MC0Z"/>
                          <pic:cNvPicPr>
                            <a:picLocks noChangeAspect="1"/>
                          </pic:cNvPicPr>
                        </pic:nvPicPr>
                        <pic:blipFill>
                          <a:blip r:embed="rId21"/>
                          <a:stretch>
                            <a:fillRect/>
                          </a:stretch>
                        </pic:blipFill>
                        <pic:spPr>
                          <a:xfrm>
                            <a:off x="0" y="0"/>
                            <a:ext cx="2176780" cy="587375"/>
                          </a:xfrm>
                          <a:prstGeom prst="rect">
                            <a:avLst/>
                          </a:prstGeom>
                          <a:noFill/>
                          <a:ln>
                            <a:noFill/>
                          </a:ln>
                        </pic:spPr>
                      </pic:pic>
                    </a:graphicData>
                  </a:graphic>
                </wp:inline>
              </w:drawing>
            </w:r>
            <w:r>
              <w:rPr>
                <w:color w:val="000000"/>
                <w:kern w:val="0"/>
                <w:szCs w:val="21"/>
              </w:rPr>
              <w:fldChar w:fldCharType="end"/>
            </w:r>
          </w:p>
        </w:tc>
        <w:tc>
          <w:tcPr>
            <w:tcW w:w="963" w:type="pct"/>
            <w:tcBorders>
              <w:tl2br w:val="nil"/>
              <w:tr2bl w:val="nil"/>
            </w:tcBorders>
            <w:vAlign w:val="center"/>
          </w:tcPr>
          <w:p w14:paraId="3F44D7BD" w14:textId="77777777" w:rsidR="003D6A63" w:rsidRDefault="00000000">
            <w:pPr>
              <w:adjustRightInd w:val="0"/>
              <w:snapToGrid w:val="0"/>
              <w:jc w:val="center"/>
              <w:rPr>
                <w:color w:val="000000"/>
                <w:szCs w:val="21"/>
              </w:rPr>
            </w:pPr>
            <w:r>
              <w:rPr>
                <w:color w:val="000000"/>
                <w:szCs w:val="21"/>
              </w:rPr>
              <w:t>GB50183-2004</w:t>
            </w:r>
          </w:p>
          <w:p w14:paraId="4F1544F3" w14:textId="77777777" w:rsidR="003D6A63" w:rsidRDefault="00000000">
            <w:pPr>
              <w:adjustRightInd w:val="0"/>
              <w:snapToGrid w:val="0"/>
              <w:jc w:val="center"/>
              <w:rPr>
                <w:szCs w:val="21"/>
              </w:rPr>
            </w:pPr>
            <w:r>
              <w:rPr>
                <w:color w:val="000000"/>
                <w:szCs w:val="21"/>
              </w:rPr>
              <w:t>7.1.5</w:t>
            </w:r>
          </w:p>
        </w:tc>
        <w:tc>
          <w:tcPr>
            <w:tcW w:w="984" w:type="pct"/>
            <w:tcBorders>
              <w:tl2br w:val="nil"/>
              <w:tr2bl w:val="nil"/>
            </w:tcBorders>
            <w:vAlign w:val="center"/>
          </w:tcPr>
          <w:p w14:paraId="7E030F91" w14:textId="77777777" w:rsidR="003D6A63" w:rsidRDefault="00000000">
            <w:pPr>
              <w:adjustRightInd w:val="0"/>
              <w:snapToGrid w:val="0"/>
              <w:rPr>
                <w:szCs w:val="21"/>
              </w:rPr>
            </w:pPr>
            <w:r>
              <w:rPr>
                <w:rFonts w:hint="eastAsia"/>
                <w:szCs w:val="21"/>
              </w:rPr>
              <w:t>部分管道与</w:t>
            </w:r>
            <w:r>
              <w:rPr>
                <w:rFonts w:hint="eastAsia"/>
                <w:szCs w:val="21"/>
              </w:rPr>
              <w:t>6kV</w:t>
            </w:r>
            <w:r>
              <w:rPr>
                <w:rFonts w:hint="eastAsia"/>
                <w:szCs w:val="21"/>
              </w:rPr>
              <w:t>架空线路平行敷设，管道与架空线路的间距＞</w:t>
            </w:r>
            <w:r>
              <w:rPr>
                <w:rFonts w:hint="eastAsia"/>
                <w:szCs w:val="21"/>
              </w:rPr>
              <w:t>2m</w:t>
            </w:r>
            <w:r>
              <w:rPr>
                <w:rFonts w:hint="eastAsia"/>
                <w:szCs w:val="21"/>
              </w:rPr>
              <w:t>。</w:t>
            </w:r>
          </w:p>
        </w:tc>
        <w:tc>
          <w:tcPr>
            <w:tcW w:w="405" w:type="pct"/>
            <w:tcBorders>
              <w:tl2br w:val="nil"/>
              <w:tr2bl w:val="nil"/>
            </w:tcBorders>
            <w:vAlign w:val="center"/>
          </w:tcPr>
          <w:p w14:paraId="56792017" w14:textId="77777777" w:rsidR="003D6A63" w:rsidRDefault="00000000">
            <w:pPr>
              <w:adjustRightInd w:val="0"/>
              <w:snapToGrid w:val="0"/>
              <w:jc w:val="center"/>
              <w:rPr>
                <w:szCs w:val="21"/>
              </w:rPr>
            </w:pPr>
            <w:r>
              <w:rPr>
                <w:rFonts w:hint="eastAsia"/>
                <w:szCs w:val="21"/>
              </w:rPr>
              <w:t>√</w:t>
            </w:r>
          </w:p>
        </w:tc>
      </w:tr>
      <w:tr w:rsidR="003D6A63" w14:paraId="088CE8C2" w14:textId="77777777">
        <w:trPr>
          <w:trHeight w:val="340"/>
          <w:jc w:val="center"/>
        </w:trPr>
        <w:tc>
          <w:tcPr>
            <w:tcW w:w="333" w:type="pct"/>
            <w:tcBorders>
              <w:tl2br w:val="nil"/>
              <w:tr2bl w:val="nil"/>
            </w:tcBorders>
            <w:vAlign w:val="center"/>
          </w:tcPr>
          <w:p w14:paraId="0F1E7387"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1E42ADBB" w14:textId="77777777" w:rsidR="003D6A63" w:rsidRDefault="00000000">
            <w:pPr>
              <w:autoSpaceDE w:val="0"/>
              <w:autoSpaceDN w:val="0"/>
              <w:adjustRightInd w:val="0"/>
              <w:snapToGrid w:val="0"/>
              <w:jc w:val="left"/>
              <w:rPr>
                <w:szCs w:val="21"/>
              </w:rPr>
            </w:pPr>
            <w:r>
              <w:rPr>
                <w:color w:val="000000"/>
                <w:szCs w:val="21"/>
              </w:rPr>
              <w:t>集输管道与居民区、村镇、公共福利设施、工矿企业等的距离不宜小于</w:t>
            </w:r>
            <w:r>
              <w:rPr>
                <w:color w:val="000000"/>
                <w:szCs w:val="21"/>
              </w:rPr>
              <w:t>10m</w:t>
            </w:r>
            <w:r>
              <w:rPr>
                <w:color w:val="000000"/>
                <w:szCs w:val="21"/>
              </w:rPr>
              <w:t>。当管道局部管段不能满足上述距离要求时，可降低设计系数，提高局部管道的设计强度，将距离缩短到</w:t>
            </w:r>
            <w:r>
              <w:rPr>
                <w:color w:val="000000"/>
                <w:szCs w:val="21"/>
              </w:rPr>
              <w:t>5m</w:t>
            </w:r>
            <w:r>
              <w:rPr>
                <w:color w:val="000000"/>
                <w:szCs w:val="21"/>
              </w:rPr>
              <w:t>。</w:t>
            </w:r>
          </w:p>
        </w:tc>
        <w:tc>
          <w:tcPr>
            <w:tcW w:w="963" w:type="pct"/>
            <w:tcBorders>
              <w:tl2br w:val="nil"/>
              <w:tr2bl w:val="nil"/>
            </w:tcBorders>
            <w:vAlign w:val="center"/>
          </w:tcPr>
          <w:p w14:paraId="7F0F8E6F" w14:textId="77777777" w:rsidR="003D6A63" w:rsidRDefault="00000000">
            <w:pPr>
              <w:adjustRightInd w:val="0"/>
              <w:snapToGrid w:val="0"/>
              <w:jc w:val="center"/>
              <w:rPr>
                <w:color w:val="000000"/>
                <w:szCs w:val="21"/>
              </w:rPr>
            </w:pPr>
            <w:r>
              <w:rPr>
                <w:color w:val="000000"/>
                <w:szCs w:val="21"/>
              </w:rPr>
              <w:t>GB50183-2004</w:t>
            </w:r>
          </w:p>
          <w:p w14:paraId="12D83EAC" w14:textId="77777777" w:rsidR="003D6A63" w:rsidRDefault="00000000">
            <w:pPr>
              <w:adjustRightInd w:val="0"/>
              <w:snapToGrid w:val="0"/>
              <w:jc w:val="center"/>
              <w:rPr>
                <w:szCs w:val="21"/>
              </w:rPr>
            </w:pPr>
            <w:r>
              <w:rPr>
                <w:color w:val="000000"/>
                <w:szCs w:val="21"/>
              </w:rPr>
              <w:t>7.2.1</w:t>
            </w:r>
          </w:p>
        </w:tc>
        <w:tc>
          <w:tcPr>
            <w:tcW w:w="984" w:type="pct"/>
            <w:tcBorders>
              <w:tl2br w:val="nil"/>
              <w:tr2bl w:val="nil"/>
            </w:tcBorders>
            <w:vAlign w:val="center"/>
          </w:tcPr>
          <w:p w14:paraId="0CE91A30" w14:textId="77777777" w:rsidR="003D6A63" w:rsidRDefault="00000000">
            <w:pPr>
              <w:adjustRightInd w:val="0"/>
              <w:snapToGrid w:val="0"/>
              <w:rPr>
                <w:szCs w:val="21"/>
              </w:rPr>
            </w:pPr>
            <w:r>
              <w:rPr>
                <w:rFonts w:hint="eastAsia"/>
                <w:szCs w:val="21"/>
              </w:rPr>
              <w:t>集输管道与周边设施的间距大于</w:t>
            </w:r>
            <w:r>
              <w:rPr>
                <w:rFonts w:hint="eastAsia"/>
                <w:szCs w:val="21"/>
              </w:rPr>
              <w:t>5m</w:t>
            </w:r>
            <w:r>
              <w:rPr>
                <w:rFonts w:hint="eastAsia"/>
                <w:szCs w:val="21"/>
              </w:rPr>
              <w:t>。</w:t>
            </w:r>
          </w:p>
        </w:tc>
        <w:tc>
          <w:tcPr>
            <w:tcW w:w="405" w:type="pct"/>
            <w:tcBorders>
              <w:tl2br w:val="nil"/>
              <w:tr2bl w:val="nil"/>
            </w:tcBorders>
            <w:vAlign w:val="center"/>
          </w:tcPr>
          <w:p w14:paraId="659E64C6" w14:textId="77777777" w:rsidR="003D6A63" w:rsidRDefault="00000000">
            <w:pPr>
              <w:adjustRightInd w:val="0"/>
              <w:snapToGrid w:val="0"/>
              <w:jc w:val="center"/>
              <w:rPr>
                <w:szCs w:val="21"/>
              </w:rPr>
            </w:pPr>
            <w:r>
              <w:rPr>
                <w:rFonts w:hint="eastAsia"/>
                <w:szCs w:val="21"/>
              </w:rPr>
              <w:t>√</w:t>
            </w:r>
          </w:p>
        </w:tc>
      </w:tr>
      <w:tr w:rsidR="003D6A63" w14:paraId="56E1EA9F" w14:textId="77777777">
        <w:trPr>
          <w:trHeight w:val="340"/>
          <w:jc w:val="center"/>
        </w:trPr>
        <w:tc>
          <w:tcPr>
            <w:tcW w:w="333" w:type="pct"/>
            <w:tcBorders>
              <w:tl2br w:val="nil"/>
              <w:tr2bl w:val="nil"/>
            </w:tcBorders>
            <w:vAlign w:val="center"/>
          </w:tcPr>
          <w:p w14:paraId="20CA1260"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032FB3B0" w14:textId="77777777" w:rsidR="003D6A63" w:rsidRDefault="00000000">
            <w:pPr>
              <w:adjustRightInd w:val="0"/>
              <w:snapToGrid w:val="0"/>
              <w:jc w:val="left"/>
              <w:rPr>
                <w:szCs w:val="21"/>
              </w:rPr>
            </w:pPr>
            <w:r>
              <w:rPr>
                <w:szCs w:val="21"/>
              </w:rPr>
              <w:t>埋地输油管道同地面建（构）筑物的最小间距应符合下列规定：</w:t>
            </w:r>
            <w:r>
              <w:rPr>
                <w:szCs w:val="21"/>
              </w:rPr>
              <w:t xml:space="preserve">1 </w:t>
            </w:r>
            <w:r>
              <w:rPr>
                <w:szCs w:val="21"/>
              </w:rPr>
              <w:t>原油、成品油管道与城镇居民点或重要公共建筑的距离不应小于</w:t>
            </w:r>
            <w:r>
              <w:rPr>
                <w:szCs w:val="21"/>
              </w:rPr>
              <w:t>5m</w:t>
            </w:r>
            <w:r>
              <w:rPr>
                <w:szCs w:val="21"/>
              </w:rPr>
              <w:t>。</w:t>
            </w:r>
            <w:r>
              <w:rPr>
                <w:szCs w:val="21"/>
              </w:rPr>
              <w:t xml:space="preserve">2 </w:t>
            </w:r>
            <w:r>
              <w:rPr>
                <w:szCs w:val="21"/>
              </w:rPr>
              <w:t>原油、成品油管道临近飞机场、海（河）港码头、大中型水库和水工建（构）筑物敷设时，间距不宜小于</w:t>
            </w:r>
            <w:r>
              <w:rPr>
                <w:szCs w:val="21"/>
              </w:rPr>
              <w:t>20m</w:t>
            </w:r>
            <w:r>
              <w:rPr>
                <w:szCs w:val="21"/>
              </w:rPr>
              <w:t>。</w:t>
            </w:r>
            <w:r>
              <w:rPr>
                <w:szCs w:val="21"/>
              </w:rPr>
              <w:t xml:space="preserve">3 </w:t>
            </w:r>
            <w:r>
              <w:rPr>
                <w:szCs w:val="21"/>
              </w:rPr>
              <w:t>输油管道与铁路并行敷设时，管道应敷设在铁路用地范围边线</w:t>
            </w:r>
            <w:r>
              <w:rPr>
                <w:szCs w:val="21"/>
              </w:rPr>
              <w:t>3m</w:t>
            </w:r>
            <w:r>
              <w:rPr>
                <w:szCs w:val="21"/>
              </w:rPr>
              <w:t>以外，且原油、成品油管道距铁路线不应小于</w:t>
            </w:r>
            <w:r>
              <w:rPr>
                <w:szCs w:val="21"/>
              </w:rPr>
              <w:t>25m</w:t>
            </w:r>
            <w:r>
              <w:rPr>
                <w:szCs w:val="21"/>
              </w:rPr>
              <w:t>、液化石油气管道距铁路线不</w:t>
            </w:r>
            <w:r>
              <w:rPr>
                <w:szCs w:val="21"/>
              </w:rPr>
              <w:lastRenderedPageBreak/>
              <w:t>应小于</w:t>
            </w:r>
            <w:r>
              <w:rPr>
                <w:szCs w:val="21"/>
              </w:rPr>
              <w:t>50m</w:t>
            </w:r>
            <w:r>
              <w:rPr>
                <w:szCs w:val="21"/>
              </w:rPr>
              <w:t>。</w:t>
            </w:r>
            <w:r>
              <w:rPr>
                <w:szCs w:val="21"/>
              </w:rPr>
              <w:t xml:space="preserve">4 </w:t>
            </w:r>
            <w:r>
              <w:rPr>
                <w:szCs w:val="21"/>
              </w:rPr>
              <w:t>输油管道与公路并行敷设时，管道应敷设在公路用地范围边线以外，距用地边线不应小于</w:t>
            </w:r>
            <w:r>
              <w:rPr>
                <w:szCs w:val="21"/>
              </w:rPr>
              <w:t>3m</w:t>
            </w:r>
            <w:r>
              <w:rPr>
                <w:szCs w:val="21"/>
              </w:rPr>
              <w:t>。</w:t>
            </w:r>
          </w:p>
        </w:tc>
        <w:tc>
          <w:tcPr>
            <w:tcW w:w="963" w:type="pct"/>
            <w:tcBorders>
              <w:tl2br w:val="nil"/>
              <w:tr2bl w:val="nil"/>
            </w:tcBorders>
            <w:vAlign w:val="center"/>
          </w:tcPr>
          <w:p w14:paraId="580D0D00" w14:textId="77777777" w:rsidR="003D6A63" w:rsidRDefault="00000000">
            <w:pPr>
              <w:adjustRightInd w:val="0"/>
              <w:snapToGrid w:val="0"/>
              <w:jc w:val="center"/>
              <w:rPr>
                <w:szCs w:val="21"/>
              </w:rPr>
            </w:pPr>
            <w:r>
              <w:rPr>
                <w:szCs w:val="21"/>
              </w:rPr>
              <w:lastRenderedPageBreak/>
              <w:t>GB50253-2014</w:t>
            </w:r>
          </w:p>
          <w:p w14:paraId="07B89D56" w14:textId="77777777" w:rsidR="003D6A63" w:rsidRDefault="00000000">
            <w:pPr>
              <w:adjustRightInd w:val="0"/>
              <w:snapToGrid w:val="0"/>
              <w:jc w:val="center"/>
              <w:rPr>
                <w:szCs w:val="21"/>
              </w:rPr>
            </w:pPr>
            <w:r>
              <w:rPr>
                <w:szCs w:val="21"/>
              </w:rPr>
              <w:t>4.1.6</w:t>
            </w:r>
          </w:p>
        </w:tc>
        <w:tc>
          <w:tcPr>
            <w:tcW w:w="984" w:type="pct"/>
            <w:tcBorders>
              <w:tl2br w:val="nil"/>
              <w:tr2bl w:val="nil"/>
            </w:tcBorders>
            <w:vAlign w:val="center"/>
          </w:tcPr>
          <w:p w14:paraId="507898AD" w14:textId="77777777" w:rsidR="003D6A63" w:rsidRDefault="00000000">
            <w:pPr>
              <w:adjustRightInd w:val="0"/>
              <w:snapToGrid w:val="0"/>
              <w:rPr>
                <w:szCs w:val="21"/>
              </w:rPr>
            </w:pPr>
            <w:r>
              <w:rPr>
                <w:rFonts w:hint="eastAsia"/>
                <w:szCs w:val="21"/>
              </w:rPr>
              <w:t>原油管道与</w:t>
            </w:r>
            <w:r>
              <w:rPr>
                <w:szCs w:val="21"/>
              </w:rPr>
              <w:t>城镇居民点</w:t>
            </w:r>
            <w:r>
              <w:rPr>
                <w:rFonts w:hint="eastAsia"/>
                <w:szCs w:val="21"/>
              </w:rPr>
              <w:t>的安全间距符合要求。</w:t>
            </w:r>
          </w:p>
        </w:tc>
        <w:tc>
          <w:tcPr>
            <w:tcW w:w="405" w:type="pct"/>
            <w:tcBorders>
              <w:tl2br w:val="nil"/>
              <w:tr2bl w:val="nil"/>
            </w:tcBorders>
            <w:vAlign w:val="center"/>
          </w:tcPr>
          <w:p w14:paraId="3D85F3AC" w14:textId="77777777" w:rsidR="003D6A63" w:rsidRDefault="00000000">
            <w:pPr>
              <w:adjustRightInd w:val="0"/>
              <w:snapToGrid w:val="0"/>
              <w:jc w:val="center"/>
              <w:rPr>
                <w:szCs w:val="21"/>
              </w:rPr>
            </w:pPr>
            <w:r>
              <w:rPr>
                <w:rFonts w:hint="eastAsia"/>
                <w:szCs w:val="21"/>
              </w:rPr>
              <w:t>√</w:t>
            </w:r>
          </w:p>
        </w:tc>
      </w:tr>
      <w:tr w:rsidR="003D6A63" w14:paraId="0C123CA7" w14:textId="77777777">
        <w:trPr>
          <w:trHeight w:val="340"/>
          <w:jc w:val="center"/>
        </w:trPr>
        <w:tc>
          <w:tcPr>
            <w:tcW w:w="333" w:type="pct"/>
            <w:tcBorders>
              <w:tl2br w:val="nil"/>
              <w:tr2bl w:val="nil"/>
            </w:tcBorders>
            <w:vAlign w:val="center"/>
          </w:tcPr>
          <w:p w14:paraId="33F2A723"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7F02A73A" w14:textId="77777777" w:rsidR="003D6A63" w:rsidRDefault="00000000">
            <w:pPr>
              <w:autoSpaceDE w:val="0"/>
              <w:autoSpaceDN w:val="0"/>
              <w:adjustRightInd w:val="0"/>
              <w:snapToGrid w:val="0"/>
              <w:jc w:val="left"/>
              <w:rPr>
                <w:szCs w:val="21"/>
              </w:rPr>
            </w:pPr>
            <w:r>
              <w:rPr>
                <w:szCs w:val="21"/>
              </w:rPr>
              <w:t>管道沿线应设置里程桩、标志桩、转角桩和警示牌等永久性标志。</w:t>
            </w:r>
          </w:p>
        </w:tc>
        <w:tc>
          <w:tcPr>
            <w:tcW w:w="963" w:type="pct"/>
            <w:tcBorders>
              <w:tl2br w:val="nil"/>
              <w:tr2bl w:val="nil"/>
            </w:tcBorders>
            <w:vAlign w:val="center"/>
          </w:tcPr>
          <w:p w14:paraId="23D66125" w14:textId="77777777" w:rsidR="003D6A63" w:rsidRDefault="00000000">
            <w:pPr>
              <w:autoSpaceDE w:val="0"/>
              <w:autoSpaceDN w:val="0"/>
              <w:adjustRightInd w:val="0"/>
              <w:snapToGrid w:val="0"/>
              <w:jc w:val="center"/>
              <w:rPr>
                <w:szCs w:val="21"/>
              </w:rPr>
            </w:pPr>
            <w:r>
              <w:rPr>
                <w:szCs w:val="21"/>
              </w:rPr>
              <w:t>GB50253-2014</w:t>
            </w:r>
          </w:p>
          <w:p w14:paraId="725992B1" w14:textId="77777777" w:rsidR="003D6A63" w:rsidRDefault="00000000">
            <w:pPr>
              <w:autoSpaceDE w:val="0"/>
              <w:autoSpaceDN w:val="0"/>
              <w:adjustRightInd w:val="0"/>
              <w:snapToGrid w:val="0"/>
              <w:jc w:val="center"/>
              <w:rPr>
                <w:szCs w:val="21"/>
              </w:rPr>
            </w:pPr>
            <w:r>
              <w:rPr>
                <w:szCs w:val="21"/>
              </w:rPr>
              <w:t>4.6.1</w:t>
            </w:r>
          </w:p>
        </w:tc>
        <w:tc>
          <w:tcPr>
            <w:tcW w:w="984" w:type="pct"/>
            <w:tcBorders>
              <w:tl2br w:val="nil"/>
              <w:tr2bl w:val="nil"/>
            </w:tcBorders>
            <w:vAlign w:val="center"/>
          </w:tcPr>
          <w:p w14:paraId="715D90BA" w14:textId="77777777" w:rsidR="003D6A63" w:rsidRDefault="00000000">
            <w:pPr>
              <w:adjustRightInd w:val="0"/>
              <w:snapToGrid w:val="0"/>
              <w:rPr>
                <w:szCs w:val="21"/>
              </w:rPr>
            </w:pPr>
            <w:r>
              <w:rPr>
                <w:rFonts w:hint="eastAsia"/>
                <w:szCs w:val="21"/>
              </w:rPr>
              <w:t>管道沿线设置有</w:t>
            </w:r>
            <w:r>
              <w:rPr>
                <w:szCs w:val="21"/>
              </w:rPr>
              <w:t>里程桩、标志桩、转角桩和警示牌</w:t>
            </w:r>
            <w:r>
              <w:rPr>
                <w:rFonts w:hint="eastAsia"/>
                <w:szCs w:val="21"/>
              </w:rPr>
              <w:t>等标识。</w:t>
            </w:r>
          </w:p>
        </w:tc>
        <w:tc>
          <w:tcPr>
            <w:tcW w:w="405" w:type="pct"/>
            <w:tcBorders>
              <w:tl2br w:val="nil"/>
              <w:tr2bl w:val="nil"/>
            </w:tcBorders>
            <w:vAlign w:val="center"/>
          </w:tcPr>
          <w:p w14:paraId="2D86164C" w14:textId="77777777" w:rsidR="003D6A63" w:rsidRDefault="00000000">
            <w:pPr>
              <w:adjustRightInd w:val="0"/>
              <w:snapToGrid w:val="0"/>
              <w:jc w:val="center"/>
              <w:rPr>
                <w:szCs w:val="21"/>
              </w:rPr>
            </w:pPr>
            <w:r>
              <w:rPr>
                <w:rFonts w:hint="eastAsia"/>
                <w:szCs w:val="21"/>
              </w:rPr>
              <w:t>√</w:t>
            </w:r>
          </w:p>
        </w:tc>
      </w:tr>
      <w:tr w:rsidR="003D6A63" w14:paraId="4D42599C" w14:textId="77777777">
        <w:trPr>
          <w:trHeight w:val="340"/>
          <w:jc w:val="center"/>
        </w:trPr>
        <w:tc>
          <w:tcPr>
            <w:tcW w:w="333" w:type="pct"/>
            <w:tcBorders>
              <w:tl2br w:val="nil"/>
              <w:tr2bl w:val="nil"/>
            </w:tcBorders>
            <w:vAlign w:val="center"/>
          </w:tcPr>
          <w:p w14:paraId="32AD7A62"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443CBF6B" w14:textId="77777777" w:rsidR="003D6A63" w:rsidRDefault="00000000">
            <w:pPr>
              <w:adjustRightInd w:val="0"/>
              <w:snapToGrid w:val="0"/>
              <w:jc w:val="left"/>
              <w:rPr>
                <w:szCs w:val="21"/>
              </w:rPr>
            </w:pPr>
            <w:r>
              <w:rPr>
                <w:szCs w:val="21"/>
              </w:rPr>
              <w:t>油气集输管道穿、跨越铁路、公路、河流等工程设计，应符合国家现行标准《油气输送管道穿越工程设计规范》</w:t>
            </w:r>
            <w:r>
              <w:rPr>
                <w:szCs w:val="21"/>
              </w:rPr>
              <w:t>GB50423</w:t>
            </w:r>
            <w:r>
              <w:rPr>
                <w:szCs w:val="21"/>
              </w:rPr>
              <w:t>、《油气输送管道跨越工程设计</w:t>
            </w:r>
            <w:r>
              <w:rPr>
                <w:rFonts w:hint="eastAsia"/>
                <w:szCs w:val="21"/>
              </w:rPr>
              <w:t>标准</w:t>
            </w:r>
            <w:r>
              <w:rPr>
                <w:szCs w:val="21"/>
              </w:rPr>
              <w:t>》</w:t>
            </w:r>
            <w:r>
              <w:rPr>
                <w:szCs w:val="21"/>
              </w:rPr>
              <w:t>GB50459</w:t>
            </w:r>
            <w:r>
              <w:rPr>
                <w:szCs w:val="21"/>
              </w:rPr>
              <w:t>的有关规定。</w:t>
            </w:r>
          </w:p>
        </w:tc>
        <w:tc>
          <w:tcPr>
            <w:tcW w:w="963" w:type="pct"/>
            <w:tcBorders>
              <w:tl2br w:val="nil"/>
              <w:tr2bl w:val="nil"/>
            </w:tcBorders>
            <w:vAlign w:val="center"/>
          </w:tcPr>
          <w:p w14:paraId="69884017" w14:textId="77777777" w:rsidR="003D6A63" w:rsidRDefault="00000000">
            <w:pPr>
              <w:adjustRightInd w:val="0"/>
              <w:snapToGrid w:val="0"/>
              <w:jc w:val="center"/>
              <w:rPr>
                <w:szCs w:val="21"/>
              </w:rPr>
            </w:pPr>
            <w:r>
              <w:rPr>
                <w:szCs w:val="21"/>
              </w:rPr>
              <w:t>GB50350-2015</w:t>
            </w:r>
          </w:p>
          <w:p w14:paraId="2B0F927D" w14:textId="77777777" w:rsidR="003D6A63" w:rsidRDefault="00000000">
            <w:pPr>
              <w:adjustRightInd w:val="0"/>
              <w:snapToGrid w:val="0"/>
              <w:jc w:val="center"/>
              <w:rPr>
                <w:szCs w:val="21"/>
              </w:rPr>
            </w:pPr>
            <w:r>
              <w:rPr>
                <w:szCs w:val="21"/>
              </w:rPr>
              <w:t>8.5.</w:t>
            </w:r>
            <w:r>
              <w:rPr>
                <w:rFonts w:hint="eastAsia"/>
                <w:szCs w:val="21"/>
              </w:rPr>
              <w:t>6</w:t>
            </w:r>
          </w:p>
        </w:tc>
        <w:tc>
          <w:tcPr>
            <w:tcW w:w="984" w:type="pct"/>
            <w:tcBorders>
              <w:tl2br w:val="nil"/>
              <w:tr2bl w:val="nil"/>
            </w:tcBorders>
            <w:vAlign w:val="center"/>
          </w:tcPr>
          <w:p w14:paraId="0F73A0FA" w14:textId="77777777" w:rsidR="003D6A63" w:rsidRDefault="00000000">
            <w:pPr>
              <w:adjustRightInd w:val="0"/>
              <w:snapToGrid w:val="0"/>
              <w:rPr>
                <w:szCs w:val="21"/>
              </w:rPr>
            </w:pPr>
            <w:r>
              <w:rPr>
                <w:rFonts w:hint="eastAsia"/>
                <w:szCs w:val="21"/>
              </w:rPr>
              <w:t>中胜公司部分管道穿越公路，穿越设计符合要求。</w:t>
            </w:r>
          </w:p>
        </w:tc>
        <w:tc>
          <w:tcPr>
            <w:tcW w:w="405" w:type="pct"/>
            <w:tcBorders>
              <w:tl2br w:val="nil"/>
              <w:tr2bl w:val="nil"/>
            </w:tcBorders>
            <w:vAlign w:val="center"/>
          </w:tcPr>
          <w:p w14:paraId="61F348F2" w14:textId="77777777" w:rsidR="003D6A63" w:rsidRDefault="00000000">
            <w:pPr>
              <w:adjustRightInd w:val="0"/>
              <w:snapToGrid w:val="0"/>
              <w:jc w:val="center"/>
              <w:rPr>
                <w:szCs w:val="21"/>
              </w:rPr>
            </w:pPr>
            <w:r>
              <w:rPr>
                <w:rFonts w:hint="eastAsia"/>
                <w:szCs w:val="21"/>
              </w:rPr>
              <w:t>√</w:t>
            </w:r>
          </w:p>
        </w:tc>
      </w:tr>
      <w:tr w:rsidR="003D6A63" w14:paraId="20A07603" w14:textId="77777777">
        <w:trPr>
          <w:trHeight w:val="340"/>
          <w:jc w:val="center"/>
        </w:trPr>
        <w:tc>
          <w:tcPr>
            <w:tcW w:w="333" w:type="pct"/>
            <w:tcBorders>
              <w:tl2br w:val="nil"/>
              <w:tr2bl w:val="nil"/>
            </w:tcBorders>
            <w:vAlign w:val="center"/>
          </w:tcPr>
          <w:p w14:paraId="05748C85"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633F6B6F" w14:textId="77777777" w:rsidR="003D6A63" w:rsidRDefault="00000000">
            <w:pPr>
              <w:adjustRightInd w:val="0"/>
              <w:snapToGrid w:val="0"/>
              <w:jc w:val="left"/>
              <w:rPr>
                <w:szCs w:val="21"/>
              </w:rPr>
            </w:pPr>
            <w:r>
              <w:rPr>
                <w:color w:val="000000" w:themeColor="text1"/>
                <w:szCs w:val="21"/>
              </w:rPr>
              <w:t>油气集输管道内、外防腐设计应符合现行国家标准《钢</w:t>
            </w:r>
            <w:r>
              <w:rPr>
                <w:rFonts w:hint="eastAsia"/>
                <w:color w:val="000000" w:themeColor="text1"/>
                <w:szCs w:val="21"/>
              </w:rPr>
              <w:t>质</w:t>
            </w:r>
            <w:r>
              <w:rPr>
                <w:color w:val="000000" w:themeColor="text1"/>
                <w:szCs w:val="21"/>
              </w:rPr>
              <w:t>管道内腐蚀控制规范》</w:t>
            </w:r>
            <w:r>
              <w:rPr>
                <w:color w:val="000000" w:themeColor="text1"/>
                <w:szCs w:val="21"/>
              </w:rPr>
              <w:t>GB/T23258</w:t>
            </w:r>
            <w:r>
              <w:rPr>
                <w:color w:val="000000" w:themeColor="text1"/>
                <w:szCs w:val="21"/>
              </w:rPr>
              <w:t>、《钢</w:t>
            </w:r>
            <w:r>
              <w:rPr>
                <w:rFonts w:hint="eastAsia"/>
                <w:color w:val="000000" w:themeColor="text1"/>
                <w:szCs w:val="21"/>
              </w:rPr>
              <w:t>质</w:t>
            </w:r>
            <w:r>
              <w:rPr>
                <w:color w:val="000000" w:themeColor="text1"/>
                <w:szCs w:val="21"/>
              </w:rPr>
              <w:t>管道外腐蚀控制规范》</w:t>
            </w:r>
            <w:r>
              <w:rPr>
                <w:color w:val="000000" w:themeColor="text1"/>
                <w:szCs w:val="21"/>
              </w:rPr>
              <w:t>GB/T21447</w:t>
            </w:r>
            <w:r>
              <w:rPr>
                <w:color w:val="000000" w:themeColor="text1"/>
                <w:szCs w:val="21"/>
              </w:rPr>
              <w:t>、《埋地钢质管道阴极保护技术规范》</w:t>
            </w:r>
            <w:r>
              <w:rPr>
                <w:color w:val="000000" w:themeColor="text1"/>
                <w:szCs w:val="21"/>
              </w:rPr>
              <w:t>GB/T21448</w:t>
            </w:r>
            <w:r>
              <w:rPr>
                <w:color w:val="000000" w:themeColor="text1"/>
                <w:szCs w:val="21"/>
              </w:rPr>
              <w:t>的有关规定。</w:t>
            </w:r>
          </w:p>
        </w:tc>
        <w:tc>
          <w:tcPr>
            <w:tcW w:w="963" w:type="pct"/>
            <w:tcBorders>
              <w:tl2br w:val="nil"/>
              <w:tr2bl w:val="nil"/>
            </w:tcBorders>
            <w:vAlign w:val="center"/>
          </w:tcPr>
          <w:p w14:paraId="1309661B" w14:textId="77777777" w:rsidR="003D6A63" w:rsidRDefault="00000000">
            <w:pPr>
              <w:adjustRightInd w:val="0"/>
              <w:snapToGrid w:val="0"/>
              <w:jc w:val="center"/>
              <w:rPr>
                <w:szCs w:val="21"/>
              </w:rPr>
            </w:pPr>
            <w:r>
              <w:rPr>
                <w:szCs w:val="21"/>
              </w:rPr>
              <w:t>GB50350-2015</w:t>
            </w:r>
          </w:p>
          <w:p w14:paraId="6A9ED90C" w14:textId="77777777" w:rsidR="003D6A63" w:rsidRDefault="00000000">
            <w:pPr>
              <w:adjustRightInd w:val="0"/>
              <w:snapToGrid w:val="0"/>
              <w:jc w:val="center"/>
              <w:rPr>
                <w:szCs w:val="21"/>
              </w:rPr>
            </w:pPr>
            <w:r>
              <w:rPr>
                <w:szCs w:val="21"/>
              </w:rPr>
              <w:t>8.5.</w:t>
            </w:r>
            <w:r>
              <w:rPr>
                <w:rFonts w:hint="eastAsia"/>
                <w:szCs w:val="21"/>
              </w:rPr>
              <w:t>7</w:t>
            </w:r>
          </w:p>
        </w:tc>
        <w:tc>
          <w:tcPr>
            <w:tcW w:w="984" w:type="pct"/>
            <w:tcBorders>
              <w:tl2br w:val="nil"/>
              <w:tr2bl w:val="nil"/>
            </w:tcBorders>
            <w:vAlign w:val="center"/>
          </w:tcPr>
          <w:p w14:paraId="6AF986E3" w14:textId="77777777" w:rsidR="003D6A63" w:rsidRDefault="00000000">
            <w:pPr>
              <w:adjustRightInd w:val="0"/>
              <w:snapToGrid w:val="0"/>
              <w:rPr>
                <w:szCs w:val="21"/>
              </w:rPr>
            </w:pPr>
            <w:r>
              <w:rPr>
                <w:color w:val="000000" w:themeColor="text1"/>
                <w:szCs w:val="21"/>
              </w:rPr>
              <w:t>油气集输管道内、外防腐设计</w:t>
            </w:r>
            <w:r>
              <w:rPr>
                <w:rFonts w:hint="eastAsia"/>
                <w:color w:val="000000" w:themeColor="text1"/>
                <w:szCs w:val="21"/>
              </w:rPr>
              <w:t>符合要求。</w:t>
            </w:r>
          </w:p>
        </w:tc>
        <w:tc>
          <w:tcPr>
            <w:tcW w:w="405" w:type="pct"/>
            <w:tcBorders>
              <w:tl2br w:val="nil"/>
              <w:tr2bl w:val="nil"/>
            </w:tcBorders>
            <w:vAlign w:val="center"/>
          </w:tcPr>
          <w:p w14:paraId="01B89107" w14:textId="77777777" w:rsidR="003D6A63" w:rsidRDefault="00000000">
            <w:pPr>
              <w:adjustRightInd w:val="0"/>
              <w:snapToGrid w:val="0"/>
              <w:jc w:val="center"/>
              <w:rPr>
                <w:szCs w:val="21"/>
              </w:rPr>
            </w:pPr>
            <w:r>
              <w:rPr>
                <w:rFonts w:hint="eastAsia"/>
                <w:szCs w:val="21"/>
              </w:rPr>
              <w:t>√</w:t>
            </w:r>
          </w:p>
        </w:tc>
      </w:tr>
      <w:tr w:rsidR="003D6A63" w14:paraId="36C5C8A6" w14:textId="77777777">
        <w:trPr>
          <w:trHeight w:val="340"/>
          <w:jc w:val="center"/>
        </w:trPr>
        <w:tc>
          <w:tcPr>
            <w:tcW w:w="333" w:type="pct"/>
            <w:tcBorders>
              <w:tl2br w:val="nil"/>
              <w:tr2bl w:val="nil"/>
            </w:tcBorders>
            <w:vAlign w:val="center"/>
          </w:tcPr>
          <w:p w14:paraId="46DC1AF9"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050390B0" w14:textId="77777777" w:rsidR="003D6A63" w:rsidRDefault="00000000">
            <w:pPr>
              <w:autoSpaceDE w:val="0"/>
              <w:autoSpaceDN w:val="0"/>
              <w:adjustRightInd w:val="0"/>
              <w:snapToGrid w:val="0"/>
              <w:jc w:val="left"/>
              <w:rPr>
                <w:szCs w:val="21"/>
              </w:rPr>
            </w:pPr>
            <w:r>
              <w:rPr>
                <w:color w:val="000000"/>
                <w:szCs w:val="21"/>
              </w:rPr>
              <w:t>地下管线不应敷设在腐蚀性物料的包装、堆存及装卸场地的下面。距上述场地的边界水平间距不应小于</w:t>
            </w:r>
            <w:r>
              <w:rPr>
                <w:color w:val="000000"/>
                <w:szCs w:val="21"/>
              </w:rPr>
              <w:t>2m</w:t>
            </w:r>
            <w:r>
              <w:rPr>
                <w:color w:val="000000"/>
                <w:szCs w:val="21"/>
              </w:rPr>
              <w:t>。</w:t>
            </w:r>
          </w:p>
        </w:tc>
        <w:tc>
          <w:tcPr>
            <w:tcW w:w="963" w:type="pct"/>
            <w:tcBorders>
              <w:tl2br w:val="nil"/>
              <w:tr2bl w:val="nil"/>
            </w:tcBorders>
            <w:vAlign w:val="center"/>
          </w:tcPr>
          <w:p w14:paraId="74D25553" w14:textId="77777777" w:rsidR="003D6A63" w:rsidRDefault="00000000">
            <w:pPr>
              <w:adjustRightInd w:val="0"/>
              <w:snapToGrid w:val="0"/>
              <w:jc w:val="center"/>
              <w:rPr>
                <w:bCs/>
                <w:color w:val="000000"/>
                <w:szCs w:val="21"/>
              </w:rPr>
            </w:pPr>
            <w:r>
              <w:rPr>
                <w:bCs/>
                <w:color w:val="000000"/>
                <w:szCs w:val="21"/>
              </w:rPr>
              <w:t>SY/T0048-2016</w:t>
            </w:r>
          </w:p>
          <w:p w14:paraId="4420437E" w14:textId="77777777" w:rsidR="003D6A63" w:rsidRDefault="00000000">
            <w:pPr>
              <w:adjustRightInd w:val="0"/>
              <w:snapToGrid w:val="0"/>
              <w:jc w:val="center"/>
              <w:rPr>
                <w:szCs w:val="21"/>
              </w:rPr>
            </w:pPr>
            <w:r>
              <w:rPr>
                <w:rFonts w:hint="eastAsia"/>
                <w:bCs/>
                <w:color w:val="000000"/>
                <w:szCs w:val="21"/>
              </w:rPr>
              <w:t>7.2.7</w:t>
            </w:r>
          </w:p>
        </w:tc>
        <w:tc>
          <w:tcPr>
            <w:tcW w:w="984" w:type="pct"/>
            <w:tcBorders>
              <w:tl2br w:val="nil"/>
              <w:tr2bl w:val="nil"/>
            </w:tcBorders>
            <w:vAlign w:val="center"/>
          </w:tcPr>
          <w:p w14:paraId="24CA19CF" w14:textId="77777777" w:rsidR="003D6A63" w:rsidRDefault="00000000">
            <w:pPr>
              <w:adjustRightInd w:val="0"/>
              <w:snapToGrid w:val="0"/>
              <w:rPr>
                <w:szCs w:val="21"/>
              </w:rPr>
            </w:pPr>
            <w:r>
              <w:rPr>
                <w:rFonts w:hint="eastAsia"/>
                <w:szCs w:val="21"/>
              </w:rPr>
              <w:t>地下管线未敷设在以上场所。</w:t>
            </w:r>
          </w:p>
        </w:tc>
        <w:tc>
          <w:tcPr>
            <w:tcW w:w="405" w:type="pct"/>
            <w:tcBorders>
              <w:tl2br w:val="nil"/>
              <w:tr2bl w:val="nil"/>
            </w:tcBorders>
            <w:vAlign w:val="center"/>
          </w:tcPr>
          <w:p w14:paraId="784CD64A" w14:textId="77777777" w:rsidR="003D6A63" w:rsidRDefault="00000000">
            <w:pPr>
              <w:adjustRightInd w:val="0"/>
              <w:snapToGrid w:val="0"/>
              <w:jc w:val="center"/>
              <w:rPr>
                <w:szCs w:val="21"/>
              </w:rPr>
            </w:pPr>
            <w:r>
              <w:rPr>
                <w:rFonts w:hint="eastAsia"/>
                <w:szCs w:val="21"/>
              </w:rPr>
              <w:t>√</w:t>
            </w:r>
          </w:p>
        </w:tc>
      </w:tr>
      <w:tr w:rsidR="003D6A63" w14:paraId="44D71121" w14:textId="77777777">
        <w:trPr>
          <w:trHeight w:val="340"/>
          <w:jc w:val="center"/>
        </w:trPr>
        <w:tc>
          <w:tcPr>
            <w:tcW w:w="333" w:type="pct"/>
            <w:tcBorders>
              <w:tl2br w:val="nil"/>
              <w:tr2bl w:val="nil"/>
            </w:tcBorders>
            <w:vAlign w:val="center"/>
          </w:tcPr>
          <w:p w14:paraId="5CAF5435"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4D3E4F2B" w14:textId="77777777" w:rsidR="003D6A63" w:rsidRDefault="00000000">
            <w:pPr>
              <w:adjustRightInd w:val="0"/>
              <w:snapToGrid w:val="0"/>
              <w:jc w:val="left"/>
              <w:rPr>
                <w:szCs w:val="21"/>
              </w:rPr>
            </w:pPr>
            <w:r>
              <w:rPr>
                <w:color w:val="000000" w:themeColor="text1"/>
                <w:szCs w:val="21"/>
              </w:rPr>
              <w:t>管道不应利用公路、铁路的排水涵洞进行穿越。</w:t>
            </w:r>
          </w:p>
        </w:tc>
        <w:tc>
          <w:tcPr>
            <w:tcW w:w="963" w:type="pct"/>
            <w:tcBorders>
              <w:tl2br w:val="nil"/>
              <w:tr2bl w:val="nil"/>
            </w:tcBorders>
            <w:vAlign w:val="center"/>
          </w:tcPr>
          <w:p w14:paraId="6A6FFD42" w14:textId="77777777" w:rsidR="003D6A63" w:rsidRDefault="00000000">
            <w:pPr>
              <w:adjustRightInd w:val="0"/>
              <w:snapToGrid w:val="0"/>
              <w:jc w:val="center"/>
              <w:rPr>
                <w:szCs w:val="21"/>
              </w:rPr>
            </w:pPr>
            <w:r>
              <w:rPr>
                <w:szCs w:val="21"/>
              </w:rPr>
              <w:t>GB50423-2013</w:t>
            </w:r>
          </w:p>
          <w:p w14:paraId="6553C89B" w14:textId="77777777" w:rsidR="003D6A63" w:rsidRDefault="00000000">
            <w:pPr>
              <w:adjustRightInd w:val="0"/>
              <w:snapToGrid w:val="0"/>
              <w:jc w:val="center"/>
              <w:rPr>
                <w:szCs w:val="21"/>
              </w:rPr>
            </w:pPr>
            <w:r>
              <w:rPr>
                <w:szCs w:val="21"/>
              </w:rPr>
              <w:t>7.1.8</w:t>
            </w:r>
          </w:p>
        </w:tc>
        <w:tc>
          <w:tcPr>
            <w:tcW w:w="984" w:type="pct"/>
            <w:tcBorders>
              <w:tl2br w:val="nil"/>
              <w:tr2bl w:val="nil"/>
            </w:tcBorders>
            <w:vAlign w:val="center"/>
          </w:tcPr>
          <w:p w14:paraId="5A43D745" w14:textId="77777777" w:rsidR="003D6A63" w:rsidRDefault="00000000">
            <w:pPr>
              <w:adjustRightInd w:val="0"/>
              <w:snapToGrid w:val="0"/>
              <w:rPr>
                <w:szCs w:val="21"/>
              </w:rPr>
            </w:pPr>
            <w:r>
              <w:rPr>
                <w:rFonts w:hint="eastAsia"/>
                <w:szCs w:val="21"/>
              </w:rPr>
              <w:t>管线未穿越以上场所。</w:t>
            </w:r>
          </w:p>
        </w:tc>
        <w:tc>
          <w:tcPr>
            <w:tcW w:w="405" w:type="pct"/>
            <w:tcBorders>
              <w:tl2br w:val="nil"/>
              <w:tr2bl w:val="nil"/>
            </w:tcBorders>
            <w:vAlign w:val="center"/>
          </w:tcPr>
          <w:p w14:paraId="77A660A8" w14:textId="77777777" w:rsidR="003D6A63" w:rsidRDefault="00000000">
            <w:pPr>
              <w:adjustRightInd w:val="0"/>
              <w:snapToGrid w:val="0"/>
              <w:jc w:val="center"/>
              <w:rPr>
                <w:szCs w:val="21"/>
              </w:rPr>
            </w:pPr>
            <w:r>
              <w:rPr>
                <w:rFonts w:hint="eastAsia"/>
                <w:szCs w:val="21"/>
              </w:rPr>
              <w:t>√</w:t>
            </w:r>
          </w:p>
        </w:tc>
      </w:tr>
      <w:tr w:rsidR="003D6A63" w14:paraId="54601FDB" w14:textId="77777777">
        <w:trPr>
          <w:trHeight w:val="340"/>
          <w:jc w:val="center"/>
        </w:trPr>
        <w:tc>
          <w:tcPr>
            <w:tcW w:w="333" w:type="pct"/>
            <w:tcBorders>
              <w:tl2br w:val="nil"/>
              <w:tr2bl w:val="nil"/>
            </w:tcBorders>
            <w:vAlign w:val="center"/>
          </w:tcPr>
          <w:p w14:paraId="09B901D3"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19879F2C" w14:textId="77777777" w:rsidR="003D6A63" w:rsidRDefault="00000000">
            <w:pPr>
              <w:adjustRightInd w:val="0"/>
              <w:snapToGrid w:val="0"/>
              <w:jc w:val="left"/>
              <w:rPr>
                <w:szCs w:val="21"/>
              </w:rPr>
            </w:pPr>
            <w:r>
              <w:rPr>
                <w:szCs w:val="21"/>
              </w:rPr>
              <w:t>油气管道穿越公路时，套管顶部最小覆盖层厚度应符合：公路路面以下</w:t>
            </w:r>
            <w:r>
              <w:rPr>
                <w:szCs w:val="21"/>
              </w:rPr>
              <w:t>1.2m</w:t>
            </w:r>
            <w:r>
              <w:rPr>
                <w:szCs w:val="21"/>
              </w:rPr>
              <w:t>；公路边沟底面以下</w:t>
            </w:r>
            <w:r>
              <w:rPr>
                <w:szCs w:val="21"/>
              </w:rPr>
              <w:t>1.0m</w:t>
            </w:r>
            <w:r>
              <w:rPr>
                <w:szCs w:val="21"/>
              </w:rPr>
              <w:t>。</w:t>
            </w:r>
          </w:p>
        </w:tc>
        <w:tc>
          <w:tcPr>
            <w:tcW w:w="963" w:type="pct"/>
            <w:tcBorders>
              <w:tl2br w:val="nil"/>
              <w:tr2bl w:val="nil"/>
            </w:tcBorders>
            <w:vAlign w:val="center"/>
          </w:tcPr>
          <w:p w14:paraId="02F21236" w14:textId="77777777" w:rsidR="003D6A63" w:rsidRDefault="00000000">
            <w:pPr>
              <w:adjustRightInd w:val="0"/>
              <w:snapToGrid w:val="0"/>
              <w:jc w:val="center"/>
              <w:rPr>
                <w:szCs w:val="21"/>
              </w:rPr>
            </w:pPr>
            <w:r>
              <w:rPr>
                <w:szCs w:val="21"/>
              </w:rPr>
              <w:t>GB50423-2013</w:t>
            </w:r>
          </w:p>
          <w:p w14:paraId="1BB15013" w14:textId="77777777" w:rsidR="003D6A63" w:rsidRDefault="00000000">
            <w:pPr>
              <w:adjustRightInd w:val="0"/>
              <w:snapToGrid w:val="0"/>
              <w:jc w:val="center"/>
              <w:rPr>
                <w:szCs w:val="21"/>
              </w:rPr>
            </w:pPr>
            <w:r>
              <w:rPr>
                <w:szCs w:val="21"/>
              </w:rPr>
              <w:t>7.1.9</w:t>
            </w:r>
          </w:p>
        </w:tc>
        <w:tc>
          <w:tcPr>
            <w:tcW w:w="984" w:type="pct"/>
            <w:tcBorders>
              <w:tl2br w:val="nil"/>
              <w:tr2bl w:val="nil"/>
            </w:tcBorders>
            <w:vAlign w:val="center"/>
          </w:tcPr>
          <w:p w14:paraId="7C59B40E" w14:textId="77777777" w:rsidR="003D6A63" w:rsidRDefault="00000000">
            <w:pPr>
              <w:adjustRightInd w:val="0"/>
              <w:snapToGrid w:val="0"/>
              <w:rPr>
                <w:szCs w:val="21"/>
              </w:rPr>
            </w:pPr>
            <w:r>
              <w:rPr>
                <w:szCs w:val="21"/>
              </w:rPr>
              <w:t>油气管道穿越公路</w:t>
            </w:r>
            <w:r>
              <w:rPr>
                <w:rFonts w:hint="eastAsia"/>
                <w:szCs w:val="21"/>
              </w:rPr>
              <w:t>段符合要求。</w:t>
            </w:r>
          </w:p>
        </w:tc>
        <w:tc>
          <w:tcPr>
            <w:tcW w:w="405" w:type="pct"/>
            <w:tcBorders>
              <w:tl2br w:val="nil"/>
              <w:tr2bl w:val="nil"/>
            </w:tcBorders>
            <w:vAlign w:val="center"/>
          </w:tcPr>
          <w:p w14:paraId="185D750D" w14:textId="77777777" w:rsidR="003D6A63" w:rsidRDefault="00000000">
            <w:pPr>
              <w:adjustRightInd w:val="0"/>
              <w:snapToGrid w:val="0"/>
              <w:jc w:val="center"/>
              <w:rPr>
                <w:szCs w:val="21"/>
              </w:rPr>
            </w:pPr>
            <w:r>
              <w:rPr>
                <w:rFonts w:hint="eastAsia"/>
                <w:szCs w:val="21"/>
              </w:rPr>
              <w:t>√</w:t>
            </w:r>
          </w:p>
        </w:tc>
      </w:tr>
      <w:tr w:rsidR="003D6A63" w14:paraId="7A6BEF32" w14:textId="77777777">
        <w:trPr>
          <w:trHeight w:val="340"/>
          <w:jc w:val="center"/>
        </w:trPr>
        <w:tc>
          <w:tcPr>
            <w:tcW w:w="333" w:type="pct"/>
            <w:tcBorders>
              <w:tl2br w:val="nil"/>
              <w:tr2bl w:val="nil"/>
            </w:tcBorders>
            <w:vAlign w:val="center"/>
          </w:tcPr>
          <w:p w14:paraId="06B2EDE0"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195C71A2" w14:textId="77777777" w:rsidR="003D6A63" w:rsidRDefault="00000000">
            <w:pPr>
              <w:adjustRightInd w:val="0"/>
              <w:snapToGrid w:val="0"/>
              <w:jc w:val="left"/>
              <w:rPr>
                <w:szCs w:val="21"/>
              </w:rPr>
            </w:pPr>
            <w:r>
              <w:rPr>
                <w:szCs w:val="21"/>
              </w:rPr>
              <w:t>采用套管穿越公路时，套管长度宜伸出路堤坡脚、排水沟外边缘不小于</w:t>
            </w:r>
            <w:r>
              <w:rPr>
                <w:szCs w:val="21"/>
              </w:rPr>
              <w:t>2m</w:t>
            </w:r>
            <w:r>
              <w:rPr>
                <w:szCs w:val="21"/>
              </w:rPr>
              <w:t>。</w:t>
            </w:r>
          </w:p>
        </w:tc>
        <w:tc>
          <w:tcPr>
            <w:tcW w:w="963" w:type="pct"/>
            <w:tcBorders>
              <w:tl2br w:val="nil"/>
              <w:tr2bl w:val="nil"/>
            </w:tcBorders>
            <w:vAlign w:val="center"/>
          </w:tcPr>
          <w:p w14:paraId="0A8023BB" w14:textId="77777777" w:rsidR="003D6A63" w:rsidRDefault="00000000">
            <w:pPr>
              <w:adjustRightInd w:val="0"/>
              <w:snapToGrid w:val="0"/>
              <w:jc w:val="center"/>
              <w:rPr>
                <w:color w:val="000000"/>
                <w:szCs w:val="21"/>
              </w:rPr>
            </w:pPr>
            <w:r>
              <w:rPr>
                <w:color w:val="000000"/>
                <w:szCs w:val="21"/>
              </w:rPr>
              <w:t>GB50423-2013</w:t>
            </w:r>
          </w:p>
          <w:p w14:paraId="70E7622C" w14:textId="77777777" w:rsidR="003D6A63" w:rsidRDefault="00000000">
            <w:pPr>
              <w:adjustRightInd w:val="0"/>
              <w:snapToGrid w:val="0"/>
              <w:jc w:val="center"/>
              <w:rPr>
                <w:szCs w:val="21"/>
              </w:rPr>
            </w:pPr>
            <w:r>
              <w:rPr>
                <w:color w:val="000000"/>
                <w:szCs w:val="21"/>
              </w:rPr>
              <w:t>7.1.12</w:t>
            </w:r>
          </w:p>
        </w:tc>
        <w:tc>
          <w:tcPr>
            <w:tcW w:w="984" w:type="pct"/>
            <w:tcBorders>
              <w:tl2br w:val="nil"/>
              <w:tr2bl w:val="nil"/>
            </w:tcBorders>
            <w:vAlign w:val="center"/>
          </w:tcPr>
          <w:p w14:paraId="77AE1663" w14:textId="77777777" w:rsidR="003D6A63" w:rsidRDefault="00000000">
            <w:pPr>
              <w:adjustRightInd w:val="0"/>
              <w:snapToGrid w:val="0"/>
              <w:rPr>
                <w:szCs w:val="21"/>
              </w:rPr>
            </w:pPr>
            <w:r>
              <w:rPr>
                <w:rFonts w:hint="eastAsia"/>
                <w:szCs w:val="21"/>
              </w:rPr>
              <w:t>油气管道穿越段套管符合要求。</w:t>
            </w:r>
          </w:p>
        </w:tc>
        <w:tc>
          <w:tcPr>
            <w:tcW w:w="405" w:type="pct"/>
            <w:tcBorders>
              <w:tl2br w:val="nil"/>
              <w:tr2bl w:val="nil"/>
            </w:tcBorders>
            <w:vAlign w:val="center"/>
          </w:tcPr>
          <w:p w14:paraId="6C9DBD16" w14:textId="77777777" w:rsidR="003D6A63" w:rsidRDefault="00000000">
            <w:pPr>
              <w:adjustRightInd w:val="0"/>
              <w:snapToGrid w:val="0"/>
              <w:jc w:val="center"/>
              <w:rPr>
                <w:szCs w:val="21"/>
              </w:rPr>
            </w:pPr>
            <w:r>
              <w:rPr>
                <w:rFonts w:hint="eastAsia"/>
                <w:szCs w:val="21"/>
              </w:rPr>
              <w:t>√</w:t>
            </w:r>
          </w:p>
        </w:tc>
      </w:tr>
      <w:tr w:rsidR="003D6A63" w14:paraId="1F0AB1B9" w14:textId="77777777">
        <w:trPr>
          <w:trHeight w:val="340"/>
          <w:jc w:val="center"/>
        </w:trPr>
        <w:tc>
          <w:tcPr>
            <w:tcW w:w="333" w:type="pct"/>
            <w:tcBorders>
              <w:tl2br w:val="nil"/>
              <w:tr2bl w:val="nil"/>
            </w:tcBorders>
            <w:vAlign w:val="center"/>
          </w:tcPr>
          <w:p w14:paraId="19C45B42"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1CEDC3D4" w14:textId="77777777" w:rsidR="003D6A63" w:rsidRDefault="00000000">
            <w:pPr>
              <w:autoSpaceDE w:val="0"/>
              <w:autoSpaceDN w:val="0"/>
              <w:adjustRightInd w:val="0"/>
              <w:snapToGrid w:val="0"/>
              <w:jc w:val="left"/>
              <w:rPr>
                <w:szCs w:val="21"/>
              </w:rPr>
            </w:pPr>
            <w:r>
              <w:rPr>
                <w:color w:val="000000" w:themeColor="text1"/>
                <w:szCs w:val="21"/>
              </w:rPr>
              <w:t>管道内的介质具有可燃、易燃、易爆性质时，严禁穿越与其无关的建筑物、构筑物、生产装置及贮罐区等。</w:t>
            </w:r>
          </w:p>
        </w:tc>
        <w:tc>
          <w:tcPr>
            <w:tcW w:w="963" w:type="pct"/>
            <w:tcBorders>
              <w:tl2br w:val="nil"/>
              <w:tr2bl w:val="nil"/>
            </w:tcBorders>
            <w:vAlign w:val="center"/>
          </w:tcPr>
          <w:p w14:paraId="687E4F1D" w14:textId="77777777" w:rsidR="003D6A63" w:rsidRDefault="00000000">
            <w:pPr>
              <w:autoSpaceDE w:val="0"/>
              <w:autoSpaceDN w:val="0"/>
              <w:adjustRightInd w:val="0"/>
              <w:snapToGrid w:val="0"/>
              <w:jc w:val="center"/>
              <w:rPr>
                <w:color w:val="000000" w:themeColor="text1"/>
                <w:szCs w:val="21"/>
              </w:rPr>
            </w:pPr>
            <w:r>
              <w:rPr>
                <w:color w:val="000000" w:themeColor="text1"/>
                <w:szCs w:val="21"/>
              </w:rPr>
              <w:t>GB50187-2012</w:t>
            </w:r>
          </w:p>
          <w:p w14:paraId="50AE0717" w14:textId="77777777" w:rsidR="003D6A63" w:rsidRDefault="00000000">
            <w:pPr>
              <w:autoSpaceDE w:val="0"/>
              <w:autoSpaceDN w:val="0"/>
              <w:adjustRightInd w:val="0"/>
              <w:snapToGrid w:val="0"/>
              <w:jc w:val="center"/>
              <w:rPr>
                <w:szCs w:val="21"/>
              </w:rPr>
            </w:pPr>
            <w:r>
              <w:rPr>
                <w:color w:val="000000" w:themeColor="text1"/>
                <w:szCs w:val="21"/>
              </w:rPr>
              <w:t>8.1.7</w:t>
            </w:r>
          </w:p>
        </w:tc>
        <w:tc>
          <w:tcPr>
            <w:tcW w:w="984" w:type="pct"/>
            <w:tcBorders>
              <w:tl2br w:val="nil"/>
              <w:tr2bl w:val="nil"/>
            </w:tcBorders>
            <w:vAlign w:val="center"/>
          </w:tcPr>
          <w:p w14:paraId="3F52EB5A" w14:textId="77777777" w:rsidR="003D6A63" w:rsidRDefault="00000000">
            <w:pPr>
              <w:adjustRightInd w:val="0"/>
              <w:snapToGrid w:val="0"/>
              <w:rPr>
                <w:szCs w:val="21"/>
              </w:rPr>
            </w:pPr>
            <w:r>
              <w:rPr>
                <w:rFonts w:hint="eastAsia"/>
                <w:szCs w:val="21"/>
              </w:rPr>
              <w:t>管道未穿越以上建筑物。</w:t>
            </w:r>
          </w:p>
        </w:tc>
        <w:tc>
          <w:tcPr>
            <w:tcW w:w="405" w:type="pct"/>
            <w:tcBorders>
              <w:tl2br w:val="nil"/>
              <w:tr2bl w:val="nil"/>
            </w:tcBorders>
            <w:vAlign w:val="center"/>
          </w:tcPr>
          <w:p w14:paraId="6B1BA80C" w14:textId="77777777" w:rsidR="003D6A63" w:rsidRDefault="00000000">
            <w:pPr>
              <w:adjustRightInd w:val="0"/>
              <w:snapToGrid w:val="0"/>
              <w:jc w:val="center"/>
              <w:rPr>
                <w:szCs w:val="21"/>
              </w:rPr>
            </w:pPr>
            <w:r>
              <w:rPr>
                <w:rFonts w:hint="eastAsia"/>
                <w:szCs w:val="21"/>
              </w:rPr>
              <w:t>√</w:t>
            </w:r>
          </w:p>
        </w:tc>
      </w:tr>
      <w:tr w:rsidR="003D6A63" w14:paraId="415E2306" w14:textId="77777777">
        <w:trPr>
          <w:trHeight w:val="340"/>
          <w:jc w:val="center"/>
        </w:trPr>
        <w:tc>
          <w:tcPr>
            <w:tcW w:w="333" w:type="pct"/>
            <w:tcBorders>
              <w:tl2br w:val="nil"/>
              <w:tr2bl w:val="nil"/>
            </w:tcBorders>
            <w:vAlign w:val="center"/>
          </w:tcPr>
          <w:p w14:paraId="7850C645"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4DD32A85" w14:textId="77777777" w:rsidR="003D6A63" w:rsidRDefault="00000000">
            <w:pPr>
              <w:adjustRightInd w:val="0"/>
              <w:snapToGrid w:val="0"/>
              <w:jc w:val="left"/>
              <w:rPr>
                <w:szCs w:val="21"/>
              </w:rPr>
            </w:pPr>
            <w:r>
              <w:rPr>
                <w:szCs w:val="21"/>
              </w:rPr>
              <w:t>地下管线和管沟不应布置在建筑物、构筑物的基础压力影响范围内，并应避免管线、管沟在施工和检修开挖时影响建筑物、构筑物基础。</w:t>
            </w:r>
          </w:p>
        </w:tc>
        <w:tc>
          <w:tcPr>
            <w:tcW w:w="963" w:type="pct"/>
            <w:tcBorders>
              <w:tl2br w:val="nil"/>
              <w:tr2bl w:val="nil"/>
            </w:tcBorders>
            <w:vAlign w:val="center"/>
          </w:tcPr>
          <w:p w14:paraId="3913080F" w14:textId="77777777" w:rsidR="003D6A63" w:rsidRDefault="00000000">
            <w:pPr>
              <w:adjustRightInd w:val="0"/>
              <w:snapToGrid w:val="0"/>
              <w:jc w:val="center"/>
              <w:rPr>
                <w:szCs w:val="21"/>
              </w:rPr>
            </w:pPr>
            <w:r>
              <w:rPr>
                <w:szCs w:val="21"/>
              </w:rPr>
              <w:t>GB50187-2012</w:t>
            </w:r>
          </w:p>
          <w:p w14:paraId="2A28F5D3" w14:textId="77777777" w:rsidR="003D6A63" w:rsidRDefault="00000000">
            <w:pPr>
              <w:adjustRightInd w:val="0"/>
              <w:snapToGrid w:val="0"/>
              <w:jc w:val="center"/>
              <w:rPr>
                <w:szCs w:val="21"/>
              </w:rPr>
            </w:pPr>
            <w:r>
              <w:rPr>
                <w:szCs w:val="21"/>
              </w:rPr>
              <w:t>8.2.2</w:t>
            </w:r>
          </w:p>
        </w:tc>
        <w:tc>
          <w:tcPr>
            <w:tcW w:w="984" w:type="pct"/>
            <w:tcBorders>
              <w:tl2br w:val="nil"/>
              <w:tr2bl w:val="nil"/>
            </w:tcBorders>
            <w:vAlign w:val="center"/>
          </w:tcPr>
          <w:p w14:paraId="006B7959" w14:textId="77777777" w:rsidR="003D6A63" w:rsidRDefault="00000000">
            <w:pPr>
              <w:adjustRightInd w:val="0"/>
              <w:snapToGrid w:val="0"/>
              <w:rPr>
                <w:szCs w:val="21"/>
              </w:rPr>
            </w:pPr>
            <w:r>
              <w:rPr>
                <w:rFonts w:hint="eastAsia"/>
                <w:szCs w:val="21"/>
              </w:rPr>
              <w:t>地下管线未布置于以上区域。</w:t>
            </w:r>
          </w:p>
        </w:tc>
        <w:tc>
          <w:tcPr>
            <w:tcW w:w="405" w:type="pct"/>
            <w:tcBorders>
              <w:tl2br w:val="nil"/>
              <w:tr2bl w:val="nil"/>
            </w:tcBorders>
            <w:vAlign w:val="center"/>
          </w:tcPr>
          <w:p w14:paraId="361AE8B4" w14:textId="77777777" w:rsidR="003D6A63" w:rsidRDefault="00000000">
            <w:pPr>
              <w:adjustRightInd w:val="0"/>
              <w:snapToGrid w:val="0"/>
              <w:jc w:val="center"/>
              <w:rPr>
                <w:szCs w:val="21"/>
              </w:rPr>
            </w:pPr>
            <w:r>
              <w:rPr>
                <w:rFonts w:hint="eastAsia"/>
                <w:szCs w:val="21"/>
              </w:rPr>
              <w:t>√</w:t>
            </w:r>
          </w:p>
        </w:tc>
      </w:tr>
      <w:tr w:rsidR="003D6A63" w14:paraId="5F54B5E1" w14:textId="77777777">
        <w:trPr>
          <w:trHeight w:val="340"/>
          <w:jc w:val="center"/>
        </w:trPr>
        <w:tc>
          <w:tcPr>
            <w:tcW w:w="333" w:type="pct"/>
            <w:tcBorders>
              <w:tl2br w:val="nil"/>
              <w:tr2bl w:val="nil"/>
            </w:tcBorders>
            <w:vAlign w:val="center"/>
          </w:tcPr>
          <w:p w14:paraId="5372761E"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692A4E0A" w14:textId="77777777" w:rsidR="003D6A63" w:rsidRDefault="00000000">
            <w:pPr>
              <w:autoSpaceDE w:val="0"/>
              <w:autoSpaceDN w:val="0"/>
              <w:adjustRightInd w:val="0"/>
              <w:snapToGrid w:val="0"/>
              <w:jc w:val="left"/>
              <w:rPr>
                <w:szCs w:val="21"/>
              </w:rPr>
            </w:pPr>
            <w:r>
              <w:rPr>
                <w:szCs w:val="21"/>
              </w:rPr>
              <w:t>原油管道应采用密闭输送方式。</w:t>
            </w:r>
          </w:p>
        </w:tc>
        <w:tc>
          <w:tcPr>
            <w:tcW w:w="963" w:type="pct"/>
            <w:tcBorders>
              <w:tl2br w:val="nil"/>
              <w:tr2bl w:val="nil"/>
            </w:tcBorders>
            <w:vAlign w:val="center"/>
          </w:tcPr>
          <w:p w14:paraId="1700BA1D" w14:textId="77777777" w:rsidR="003D6A63" w:rsidRDefault="00000000">
            <w:pPr>
              <w:autoSpaceDE w:val="0"/>
              <w:autoSpaceDN w:val="0"/>
              <w:adjustRightInd w:val="0"/>
              <w:snapToGrid w:val="0"/>
              <w:jc w:val="center"/>
              <w:rPr>
                <w:szCs w:val="21"/>
              </w:rPr>
            </w:pPr>
            <w:r>
              <w:rPr>
                <w:rFonts w:hint="eastAsia"/>
                <w:szCs w:val="21"/>
              </w:rPr>
              <w:t>SY/T5536-2016</w:t>
            </w:r>
          </w:p>
          <w:p w14:paraId="11F0B445" w14:textId="77777777" w:rsidR="003D6A63" w:rsidRDefault="00000000">
            <w:pPr>
              <w:autoSpaceDE w:val="0"/>
              <w:autoSpaceDN w:val="0"/>
              <w:adjustRightInd w:val="0"/>
              <w:snapToGrid w:val="0"/>
              <w:jc w:val="center"/>
              <w:rPr>
                <w:szCs w:val="21"/>
              </w:rPr>
            </w:pPr>
            <w:r>
              <w:rPr>
                <w:szCs w:val="21"/>
              </w:rPr>
              <w:t>4.1.2</w:t>
            </w:r>
          </w:p>
        </w:tc>
        <w:tc>
          <w:tcPr>
            <w:tcW w:w="984" w:type="pct"/>
            <w:tcBorders>
              <w:tl2br w:val="nil"/>
              <w:tr2bl w:val="nil"/>
            </w:tcBorders>
            <w:vAlign w:val="center"/>
          </w:tcPr>
          <w:p w14:paraId="5A40645A" w14:textId="77777777" w:rsidR="003D6A63" w:rsidRDefault="00000000">
            <w:pPr>
              <w:adjustRightInd w:val="0"/>
              <w:snapToGrid w:val="0"/>
              <w:rPr>
                <w:szCs w:val="21"/>
              </w:rPr>
            </w:pPr>
            <w:r>
              <w:rPr>
                <w:rFonts w:hint="eastAsia"/>
                <w:szCs w:val="21"/>
              </w:rPr>
              <w:t>采用密闭输送。</w:t>
            </w:r>
          </w:p>
        </w:tc>
        <w:tc>
          <w:tcPr>
            <w:tcW w:w="405" w:type="pct"/>
            <w:tcBorders>
              <w:tl2br w:val="nil"/>
              <w:tr2bl w:val="nil"/>
            </w:tcBorders>
            <w:vAlign w:val="center"/>
          </w:tcPr>
          <w:p w14:paraId="7356ADC1" w14:textId="77777777" w:rsidR="003D6A63" w:rsidRDefault="00000000">
            <w:pPr>
              <w:adjustRightInd w:val="0"/>
              <w:snapToGrid w:val="0"/>
              <w:jc w:val="center"/>
              <w:rPr>
                <w:szCs w:val="21"/>
              </w:rPr>
            </w:pPr>
            <w:r>
              <w:rPr>
                <w:rFonts w:hint="eastAsia"/>
                <w:szCs w:val="21"/>
              </w:rPr>
              <w:t>√</w:t>
            </w:r>
          </w:p>
        </w:tc>
      </w:tr>
      <w:tr w:rsidR="003D6A63" w14:paraId="2834C03F" w14:textId="77777777">
        <w:trPr>
          <w:trHeight w:val="340"/>
          <w:jc w:val="center"/>
        </w:trPr>
        <w:tc>
          <w:tcPr>
            <w:tcW w:w="333" w:type="pct"/>
            <w:tcBorders>
              <w:tl2br w:val="nil"/>
              <w:tr2bl w:val="nil"/>
            </w:tcBorders>
            <w:vAlign w:val="center"/>
          </w:tcPr>
          <w:p w14:paraId="4FD260D0" w14:textId="77777777" w:rsidR="003D6A63" w:rsidRDefault="00000000">
            <w:pPr>
              <w:adjustRightInd w:val="0"/>
              <w:snapToGrid w:val="0"/>
              <w:jc w:val="center"/>
              <w:rPr>
                <w:b/>
                <w:bCs/>
                <w:szCs w:val="21"/>
              </w:rPr>
            </w:pPr>
            <w:r>
              <w:rPr>
                <w:rFonts w:hint="eastAsia"/>
                <w:b/>
                <w:bCs/>
                <w:szCs w:val="21"/>
              </w:rPr>
              <w:t>三</w:t>
            </w:r>
          </w:p>
        </w:tc>
        <w:tc>
          <w:tcPr>
            <w:tcW w:w="2313" w:type="pct"/>
            <w:tcBorders>
              <w:tl2br w:val="nil"/>
              <w:tr2bl w:val="nil"/>
            </w:tcBorders>
            <w:vAlign w:val="center"/>
          </w:tcPr>
          <w:p w14:paraId="54D8F0DD" w14:textId="77777777" w:rsidR="003D6A63" w:rsidRDefault="00000000">
            <w:pPr>
              <w:adjustRightInd w:val="0"/>
              <w:snapToGrid w:val="0"/>
              <w:rPr>
                <w:b/>
                <w:bCs/>
                <w:szCs w:val="21"/>
              </w:rPr>
            </w:pPr>
            <w:r>
              <w:rPr>
                <w:rFonts w:hint="eastAsia"/>
                <w:b/>
                <w:bCs/>
                <w:szCs w:val="21"/>
              </w:rPr>
              <w:t>油气处理设备设施</w:t>
            </w:r>
          </w:p>
        </w:tc>
        <w:tc>
          <w:tcPr>
            <w:tcW w:w="963" w:type="pct"/>
            <w:tcBorders>
              <w:tl2br w:val="nil"/>
              <w:tr2bl w:val="nil"/>
            </w:tcBorders>
            <w:vAlign w:val="center"/>
          </w:tcPr>
          <w:p w14:paraId="219D3E4E" w14:textId="77777777" w:rsidR="003D6A63" w:rsidRDefault="003D6A63">
            <w:pPr>
              <w:adjustRightInd w:val="0"/>
              <w:snapToGrid w:val="0"/>
              <w:rPr>
                <w:szCs w:val="21"/>
              </w:rPr>
            </w:pPr>
          </w:p>
        </w:tc>
        <w:tc>
          <w:tcPr>
            <w:tcW w:w="984" w:type="pct"/>
            <w:tcBorders>
              <w:tl2br w:val="nil"/>
              <w:tr2bl w:val="nil"/>
            </w:tcBorders>
            <w:vAlign w:val="center"/>
          </w:tcPr>
          <w:p w14:paraId="286BFF05" w14:textId="77777777" w:rsidR="003D6A63" w:rsidRDefault="003D6A63">
            <w:pPr>
              <w:adjustRightInd w:val="0"/>
              <w:snapToGrid w:val="0"/>
              <w:rPr>
                <w:szCs w:val="21"/>
              </w:rPr>
            </w:pPr>
          </w:p>
        </w:tc>
        <w:tc>
          <w:tcPr>
            <w:tcW w:w="405" w:type="pct"/>
            <w:tcBorders>
              <w:tl2br w:val="nil"/>
              <w:tr2bl w:val="nil"/>
            </w:tcBorders>
            <w:vAlign w:val="center"/>
          </w:tcPr>
          <w:p w14:paraId="52231DA2" w14:textId="77777777" w:rsidR="003D6A63" w:rsidRDefault="003D6A63">
            <w:pPr>
              <w:adjustRightInd w:val="0"/>
              <w:snapToGrid w:val="0"/>
              <w:rPr>
                <w:szCs w:val="21"/>
              </w:rPr>
            </w:pPr>
          </w:p>
        </w:tc>
      </w:tr>
      <w:tr w:rsidR="003D6A63" w14:paraId="41A3530D" w14:textId="77777777">
        <w:trPr>
          <w:trHeight w:val="340"/>
          <w:jc w:val="center"/>
        </w:trPr>
        <w:tc>
          <w:tcPr>
            <w:tcW w:w="333" w:type="pct"/>
            <w:tcBorders>
              <w:tl2br w:val="nil"/>
              <w:tr2bl w:val="nil"/>
            </w:tcBorders>
            <w:vAlign w:val="center"/>
          </w:tcPr>
          <w:p w14:paraId="0ABFF60D"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014EF6F1" w14:textId="77777777" w:rsidR="003D6A63" w:rsidRDefault="00000000">
            <w:pPr>
              <w:adjustRightInd w:val="0"/>
              <w:snapToGrid w:val="0"/>
            </w:pPr>
            <w:r>
              <w:t>甲、乙类油品泵宜露天或棚式布置。</w:t>
            </w:r>
          </w:p>
        </w:tc>
        <w:tc>
          <w:tcPr>
            <w:tcW w:w="963" w:type="pct"/>
            <w:tcBorders>
              <w:tl2br w:val="nil"/>
              <w:tr2bl w:val="nil"/>
            </w:tcBorders>
            <w:vAlign w:val="center"/>
          </w:tcPr>
          <w:p w14:paraId="4D642117" w14:textId="77777777" w:rsidR="003D6A63" w:rsidRDefault="00000000">
            <w:pPr>
              <w:adjustRightInd w:val="0"/>
              <w:snapToGrid w:val="0"/>
              <w:jc w:val="center"/>
            </w:pPr>
            <w:r>
              <w:t>GB50183-2004</w:t>
            </w:r>
          </w:p>
          <w:p w14:paraId="15564946" w14:textId="77777777" w:rsidR="003D6A63" w:rsidRDefault="00000000">
            <w:pPr>
              <w:adjustRightInd w:val="0"/>
              <w:snapToGrid w:val="0"/>
              <w:jc w:val="center"/>
            </w:pPr>
            <w:r>
              <w:t>6.2.4</w:t>
            </w:r>
          </w:p>
        </w:tc>
        <w:tc>
          <w:tcPr>
            <w:tcW w:w="984" w:type="pct"/>
            <w:tcBorders>
              <w:tl2br w:val="nil"/>
              <w:tr2bl w:val="nil"/>
            </w:tcBorders>
            <w:vAlign w:val="center"/>
          </w:tcPr>
          <w:p w14:paraId="2A45C02C" w14:textId="77777777" w:rsidR="003D6A63" w:rsidRDefault="00000000">
            <w:pPr>
              <w:adjustRightInd w:val="0"/>
              <w:snapToGrid w:val="0"/>
              <w:rPr>
                <w:szCs w:val="21"/>
              </w:rPr>
            </w:pPr>
            <w:r>
              <w:rPr>
                <w:rFonts w:hint="eastAsia"/>
                <w:szCs w:val="21"/>
              </w:rPr>
              <w:t>输油泵露天布置。</w:t>
            </w:r>
          </w:p>
        </w:tc>
        <w:tc>
          <w:tcPr>
            <w:tcW w:w="405" w:type="pct"/>
            <w:tcBorders>
              <w:tl2br w:val="nil"/>
              <w:tr2bl w:val="nil"/>
            </w:tcBorders>
            <w:vAlign w:val="center"/>
          </w:tcPr>
          <w:p w14:paraId="50EA253C" w14:textId="77777777" w:rsidR="003D6A63" w:rsidRDefault="00000000">
            <w:pPr>
              <w:adjustRightInd w:val="0"/>
              <w:snapToGrid w:val="0"/>
              <w:jc w:val="center"/>
              <w:rPr>
                <w:szCs w:val="21"/>
              </w:rPr>
            </w:pPr>
            <w:r>
              <w:rPr>
                <w:rFonts w:hint="eastAsia"/>
                <w:szCs w:val="21"/>
              </w:rPr>
              <w:t>√</w:t>
            </w:r>
          </w:p>
        </w:tc>
      </w:tr>
      <w:tr w:rsidR="003D6A63" w14:paraId="2A4F27DF" w14:textId="77777777">
        <w:trPr>
          <w:trHeight w:val="340"/>
          <w:jc w:val="center"/>
        </w:trPr>
        <w:tc>
          <w:tcPr>
            <w:tcW w:w="333" w:type="pct"/>
            <w:tcBorders>
              <w:tl2br w:val="nil"/>
              <w:tr2bl w:val="nil"/>
            </w:tcBorders>
            <w:vAlign w:val="center"/>
          </w:tcPr>
          <w:p w14:paraId="31B5F4E9"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2C816AA8" w14:textId="77777777" w:rsidR="003D6A63" w:rsidRDefault="00000000">
            <w:pPr>
              <w:adjustRightInd w:val="0"/>
              <w:snapToGrid w:val="0"/>
            </w:pPr>
            <w:r>
              <w:rPr>
                <w:szCs w:val="21"/>
              </w:rPr>
              <w:t>甲、乙类油品离心泵，介质倒流有可能造成事故时，应在出口管道上安装止回阀。</w:t>
            </w:r>
          </w:p>
        </w:tc>
        <w:tc>
          <w:tcPr>
            <w:tcW w:w="963" w:type="pct"/>
            <w:tcBorders>
              <w:tl2br w:val="nil"/>
              <w:tr2bl w:val="nil"/>
            </w:tcBorders>
            <w:vAlign w:val="center"/>
          </w:tcPr>
          <w:p w14:paraId="7BE58AF7" w14:textId="77777777" w:rsidR="003D6A63" w:rsidRDefault="00000000">
            <w:pPr>
              <w:adjustRightInd w:val="0"/>
              <w:snapToGrid w:val="0"/>
              <w:jc w:val="center"/>
            </w:pPr>
            <w:r>
              <w:t>GB50183-2004</w:t>
            </w:r>
          </w:p>
          <w:p w14:paraId="30112110" w14:textId="77777777" w:rsidR="003D6A63" w:rsidRDefault="00000000">
            <w:pPr>
              <w:adjustRightInd w:val="0"/>
              <w:snapToGrid w:val="0"/>
              <w:jc w:val="center"/>
            </w:pPr>
            <w:r>
              <w:t>6.2.6</w:t>
            </w:r>
          </w:p>
        </w:tc>
        <w:tc>
          <w:tcPr>
            <w:tcW w:w="984" w:type="pct"/>
            <w:tcBorders>
              <w:tl2br w:val="nil"/>
              <w:tr2bl w:val="nil"/>
            </w:tcBorders>
            <w:vAlign w:val="center"/>
          </w:tcPr>
          <w:p w14:paraId="1C2E3C0E" w14:textId="77777777" w:rsidR="003D6A63" w:rsidRDefault="00000000">
            <w:pPr>
              <w:adjustRightInd w:val="0"/>
              <w:snapToGrid w:val="0"/>
              <w:rPr>
                <w:szCs w:val="21"/>
              </w:rPr>
            </w:pPr>
            <w:r>
              <w:rPr>
                <w:rFonts w:hint="eastAsia"/>
                <w:szCs w:val="21"/>
              </w:rPr>
              <w:t>离心泵出口管道设置有单向阀。</w:t>
            </w:r>
          </w:p>
        </w:tc>
        <w:tc>
          <w:tcPr>
            <w:tcW w:w="405" w:type="pct"/>
            <w:tcBorders>
              <w:tl2br w:val="nil"/>
              <w:tr2bl w:val="nil"/>
            </w:tcBorders>
            <w:vAlign w:val="center"/>
          </w:tcPr>
          <w:p w14:paraId="34C2A560" w14:textId="77777777" w:rsidR="003D6A63" w:rsidRDefault="00000000">
            <w:pPr>
              <w:adjustRightInd w:val="0"/>
              <w:snapToGrid w:val="0"/>
              <w:jc w:val="center"/>
              <w:rPr>
                <w:szCs w:val="21"/>
              </w:rPr>
            </w:pPr>
            <w:r>
              <w:rPr>
                <w:rFonts w:hint="eastAsia"/>
                <w:szCs w:val="21"/>
              </w:rPr>
              <w:t>√</w:t>
            </w:r>
          </w:p>
        </w:tc>
      </w:tr>
      <w:tr w:rsidR="003D6A63" w14:paraId="0D43B66B" w14:textId="77777777">
        <w:trPr>
          <w:trHeight w:val="340"/>
          <w:jc w:val="center"/>
        </w:trPr>
        <w:tc>
          <w:tcPr>
            <w:tcW w:w="333" w:type="pct"/>
            <w:tcBorders>
              <w:tl2br w:val="nil"/>
              <w:tr2bl w:val="nil"/>
            </w:tcBorders>
            <w:vAlign w:val="center"/>
          </w:tcPr>
          <w:p w14:paraId="39B9613E"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17D44917" w14:textId="77777777" w:rsidR="003D6A63" w:rsidRDefault="00000000">
            <w:pPr>
              <w:adjustRightInd w:val="0"/>
              <w:snapToGrid w:val="0"/>
              <w:rPr>
                <w:szCs w:val="21"/>
              </w:rPr>
            </w:pPr>
            <w:r>
              <w:rPr>
                <w:szCs w:val="21"/>
              </w:rPr>
              <w:t>输油泵进口管段上应设过滤器。</w:t>
            </w:r>
          </w:p>
        </w:tc>
        <w:tc>
          <w:tcPr>
            <w:tcW w:w="963" w:type="pct"/>
            <w:tcBorders>
              <w:tl2br w:val="nil"/>
              <w:tr2bl w:val="nil"/>
            </w:tcBorders>
            <w:vAlign w:val="center"/>
          </w:tcPr>
          <w:p w14:paraId="4604A85C" w14:textId="77777777" w:rsidR="003D6A63" w:rsidRDefault="00000000">
            <w:pPr>
              <w:adjustRightInd w:val="0"/>
              <w:snapToGrid w:val="0"/>
              <w:jc w:val="center"/>
              <w:rPr>
                <w:szCs w:val="21"/>
              </w:rPr>
            </w:pPr>
            <w:r>
              <w:rPr>
                <w:szCs w:val="21"/>
              </w:rPr>
              <w:t>GB50350-2015</w:t>
            </w:r>
          </w:p>
          <w:p w14:paraId="3BBBA352" w14:textId="77777777" w:rsidR="003D6A63" w:rsidRDefault="00000000">
            <w:pPr>
              <w:adjustRightInd w:val="0"/>
              <w:snapToGrid w:val="0"/>
              <w:jc w:val="center"/>
              <w:rPr>
                <w:szCs w:val="21"/>
              </w:rPr>
            </w:pPr>
            <w:r>
              <w:rPr>
                <w:szCs w:val="21"/>
              </w:rPr>
              <w:t>4.3.9</w:t>
            </w:r>
          </w:p>
        </w:tc>
        <w:tc>
          <w:tcPr>
            <w:tcW w:w="984" w:type="pct"/>
            <w:tcBorders>
              <w:tl2br w:val="nil"/>
              <w:tr2bl w:val="nil"/>
            </w:tcBorders>
            <w:vAlign w:val="center"/>
          </w:tcPr>
          <w:p w14:paraId="287548B9" w14:textId="77777777" w:rsidR="003D6A63" w:rsidRDefault="00000000">
            <w:pPr>
              <w:adjustRightInd w:val="0"/>
              <w:snapToGrid w:val="0"/>
              <w:rPr>
                <w:szCs w:val="21"/>
              </w:rPr>
            </w:pPr>
            <w:r>
              <w:rPr>
                <w:rFonts w:hint="eastAsia"/>
                <w:szCs w:val="21"/>
              </w:rPr>
              <w:t>输油泵进口管段设置有过滤器。</w:t>
            </w:r>
          </w:p>
        </w:tc>
        <w:tc>
          <w:tcPr>
            <w:tcW w:w="405" w:type="pct"/>
            <w:tcBorders>
              <w:tl2br w:val="nil"/>
              <w:tr2bl w:val="nil"/>
            </w:tcBorders>
            <w:vAlign w:val="center"/>
          </w:tcPr>
          <w:p w14:paraId="3673A312" w14:textId="77777777" w:rsidR="003D6A63" w:rsidRDefault="00000000">
            <w:pPr>
              <w:adjustRightInd w:val="0"/>
              <w:snapToGrid w:val="0"/>
              <w:jc w:val="center"/>
              <w:rPr>
                <w:szCs w:val="21"/>
              </w:rPr>
            </w:pPr>
            <w:r>
              <w:rPr>
                <w:rFonts w:hint="eastAsia"/>
                <w:szCs w:val="21"/>
              </w:rPr>
              <w:t>√</w:t>
            </w:r>
          </w:p>
        </w:tc>
      </w:tr>
      <w:tr w:rsidR="003D6A63" w14:paraId="5D04579C" w14:textId="77777777">
        <w:trPr>
          <w:trHeight w:val="340"/>
          <w:jc w:val="center"/>
        </w:trPr>
        <w:tc>
          <w:tcPr>
            <w:tcW w:w="333" w:type="pct"/>
            <w:tcBorders>
              <w:tl2br w:val="nil"/>
              <w:tr2bl w:val="nil"/>
            </w:tcBorders>
            <w:vAlign w:val="center"/>
          </w:tcPr>
          <w:p w14:paraId="79B9E848"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6C1101F2" w14:textId="77777777" w:rsidR="003D6A63" w:rsidRDefault="00000000">
            <w:pPr>
              <w:adjustRightInd w:val="0"/>
              <w:snapToGrid w:val="0"/>
              <w:rPr>
                <w:szCs w:val="21"/>
              </w:rPr>
            </w:pPr>
            <w:r>
              <w:rPr>
                <w:lang w:bidi="en-US"/>
              </w:rPr>
              <w:t>连接管道的法兰连接处，应设金属跨接线（绝缘法兰除外），当法兰用</w:t>
            </w:r>
            <w:r>
              <w:rPr>
                <w:lang w:bidi="en-US"/>
              </w:rPr>
              <w:t>5</w:t>
            </w:r>
            <w:r>
              <w:rPr>
                <w:lang w:bidi="en-US"/>
              </w:rPr>
              <w:t>根以上的螺栓连接时，法兰可不用金属跨接，当应构成电气通路。</w:t>
            </w:r>
          </w:p>
        </w:tc>
        <w:tc>
          <w:tcPr>
            <w:tcW w:w="963" w:type="pct"/>
            <w:tcBorders>
              <w:tl2br w:val="nil"/>
              <w:tr2bl w:val="nil"/>
            </w:tcBorders>
            <w:vAlign w:val="center"/>
          </w:tcPr>
          <w:p w14:paraId="6384A16A" w14:textId="77777777" w:rsidR="003D6A63" w:rsidRDefault="00000000">
            <w:pPr>
              <w:adjustRightInd w:val="0"/>
              <w:snapToGrid w:val="0"/>
              <w:jc w:val="center"/>
              <w:rPr>
                <w:lang w:bidi="en-US"/>
              </w:rPr>
            </w:pPr>
            <w:r>
              <w:rPr>
                <w:lang w:bidi="en-US"/>
              </w:rPr>
              <w:t>SY/T5225-2019</w:t>
            </w:r>
          </w:p>
          <w:p w14:paraId="72314D20" w14:textId="77777777" w:rsidR="003D6A63" w:rsidRDefault="00000000">
            <w:pPr>
              <w:adjustRightInd w:val="0"/>
              <w:snapToGrid w:val="0"/>
              <w:jc w:val="center"/>
              <w:rPr>
                <w:szCs w:val="21"/>
              </w:rPr>
            </w:pPr>
            <w:r>
              <w:rPr>
                <w:lang w:bidi="en-US"/>
              </w:rPr>
              <w:t>7.1.2.4</w:t>
            </w:r>
          </w:p>
        </w:tc>
        <w:tc>
          <w:tcPr>
            <w:tcW w:w="984" w:type="pct"/>
            <w:tcBorders>
              <w:tl2br w:val="nil"/>
              <w:tr2bl w:val="nil"/>
            </w:tcBorders>
            <w:vAlign w:val="center"/>
          </w:tcPr>
          <w:p w14:paraId="6868BADC" w14:textId="77777777" w:rsidR="003D6A63" w:rsidRDefault="00000000">
            <w:pPr>
              <w:adjustRightInd w:val="0"/>
              <w:snapToGrid w:val="0"/>
              <w:rPr>
                <w:szCs w:val="21"/>
              </w:rPr>
            </w:pPr>
            <w:r>
              <w:rPr>
                <w:rFonts w:hint="eastAsia"/>
                <w:szCs w:val="21"/>
              </w:rPr>
              <w:t>管道法兰跨接符合要求。</w:t>
            </w:r>
          </w:p>
        </w:tc>
        <w:tc>
          <w:tcPr>
            <w:tcW w:w="405" w:type="pct"/>
            <w:tcBorders>
              <w:tl2br w:val="nil"/>
              <w:tr2bl w:val="nil"/>
            </w:tcBorders>
            <w:vAlign w:val="center"/>
          </w:tcPr>
          <w:p w14:paraId="14D57C0A" w14:textId="77777777" w:rsidR="003D6A63" w:rsidRDefault="00000000">
            <w:pPr>
              <w:adjustRightInd w:val="0"/>
              <w:snapToGrid w:val="0"/>
              <w:jc w:val="center"/>
              <w:rPr>
                <w:szCs w:val="21"/>
              </w:rPr>
            </w:pPr>
            <w:r>
              <w:rPr>
                <w:rFonts w:hint="eastAsia"/>
                <w:szCs w:val="21"/>
              </w:rPr>
              <w:t>√</w:t>
            </w:r>
          </w:p>
        </w:tc>
      </w:tr>
      <w:tr w:rsidR="003D6A63" w14:paraId="3C87A90F" w14:textId="77777777">
        <w:trPr>
          <w:trHeight w:val="340"/>
          <w:jc w:val="center"/>
        </w:trPr>
        <w:tc>
          <w:tcPr>
            <w:tcW w:w="333" w:type="pct"/>
            <w:tcBorders>
              <w:tl2br w:val="nil"/>
              <w:tr2bl w:val="nil"/>
            </w:tcBorders>
            <w:vAlign w:val="center"/>
          </w:tcPr>
          <w:p w14:paraId="0AA1DC8F"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7E97081A" w14:textId="77777777" w:rsidR="003D6A63" w:rsidRDefault="00000000">
            <w:pPr>
              <w:adjustRightInd w:val="0"/>
              <w:snapToGrid w:val="0"/>
              <w:rPr>
                <w:rFonts w:ascii="宋体" w:hAnsi="宋体" w:cs="宋体"/>
                <w:szCs w:val="21"/>
              </w:rPr>
            </w:pPr>
            <w:r>
              <w:rPr>
                <w:rFonts w:ascii="宋体" w:hAnsi="宋体" w:cs="宋体" w:hint="eastAsia"/>
                <w:szCs w:val="21"/>
              </w:rPr>
              <w:t>加热炉应设置安全附件。安全附件应包括安</w:t>
            </w:r>
            <w:r>
              <w:rPr>
                <w:rFonts w:ascii="宋体" w:hAnsi="宋体" w:cs="宋体" w:hint="eastAsia"/>
                <w:szCs w:val="21"/>
              </w:rPr>
              <w:lastRenderedPageBreak/>
              <w:t>全阀、压力表、液面计、测量仪表、报警装置、燃烧系统安全设施等。安全附件应实行定期校（检）验制度。</w:t>
            </w:r>
          </w:p>
        </w:tc>
        <w:tc>
          <w:tcPr>
            <w:tcW w:w="963" w:type="pct"/>
            <w:tcBorders>
              <w:tl2br w:val="nil"/>
              <w:tr2bl w:val="nil"/>
            </w:tcBorders>
            <w:vAlign w:val="center"/>
          </w:tcPr>
          <w:p w14:paraId="031EC975" w14:textId="77777777" w:rsidR="003D6A63" w:rsidRDefault="00000000">
            <w:pPr>
              <w:adjustRightInd w:val="0"/>
              <w:snapToGrid w:val="0"/>
              <w:jc w:val="center"/>
              <w:rPr>
                <w:szCs w:val="21"/>
              </w:rPr>
            </w:pPr>
            <w:r>
              <w:rPr>
                <w:szCs w:val="21"/>
              </w:rPr>
              <w:lastRenderedPageBreak/>
              <w:t>SY0031-2012</w:t>
            </w:r>
          </w:p>
          <w:p w14:paraId="4F23324B" w14:textId="77777777" w:rsidR="003D6A63" w:rsidRDefault="00000000">
            <w:pPr>
              <w:adjustRightInd w:val="0"/>
              <w:snapToGrid w:val="0"/>
              <w:jc w:val="center"/>
              <w:rPr>
                <w:rFonts w:ascii="宋体" w:hAnsi="宋体" w:cs="宋体"/>
                <w:szCs w:val="21"/>
              </w:rPr>
            </w:pPr>
            <w:r>
              <w:rPr>
                <w:szCs w:val="21"/>
              </w:rPr>
              <w:t>9.1.1</w:t>
            </w:r>
          </w:p>
        </w:tc>
        <w:tc>
          <w:tcPr>
            <w:tcW w:w="984" w:type="pct"/>
            <w:tcBorders>
              <w:tl2br w:val="nil"/>
              <w:tr2bl w:val="nil"/>
            </w:tcBorders>
            <w:vAlign w:val="center"/>
          </w:tcPr>
          <w:p w14:paraId="144D4835" w14:textId="77777777" w:rsidR="003D6A63" w:rsidRDefault="00000000">
            <w:pPr>
              <w:adjustRightInd w:val="0"/>
              <w:snapToGrid w:val="0"/>
              <w:rPr>
                <w:szCs w:val="21"/>
              </w:rPr>
            </w:pPr>
            <w:r>
              <w:rPr>
                <w:rFonts w:hint="eastAsia"/>
                <w:szCs w:val="21"/>
              </w:rPr>
              <w:t>加热炉设置有安</w:t>
            </w:r>
            <w:r>
              <w:rPr>
                <w:rFonts w:hint="eastAsia"/>
                <w:szCs w:val="21"/>
              </w:rPr>
              <w:lastRenderedPageBreak/>
              <w:t>全阀、压力表等安全附件。</w:t>
            </w:r>
          </w:p>
        </w:tc>
        <w:tc>
          <w:tcPr>
            <w:tcW w:w="405" w:type="pct"/>
            <w:tcBorders>
              <w:tl2br w:val="nil"/>
              <w:tr2bl w:val="nil"/>
            </w:tcBorders>
            <w:vAlign w:val="center"/>
          </w:tcPr>
          <w:p w14:paraId="73D7E561" w14:textId="77777777" w:rsidR="003D6A63" w:rsidRDefault="00000000">
            <w:pPr>
              <w:adjustRightInd w:val="0"/>
              <w:snapToGrid w:val="0"/>
              <w:jc w:val="center"/>
              <w:rPr>
                <w:szCs w:val="21"/>
              </w:rPr>
            </w:pPr>
            <w:r>
              <w:rPr>
                <w:rFonts w:hint="eastAsia"/>
                <w:szCs w:val="21"/>
              </w:rPr>
              <w:lastRenderedPageBreak/>
              <w:t>√</w:t>
            </w:r>
          </w:p>
        </w:tc>
      </w:tr>
      <w:tr w:rsidR="003D6A63" w14:paraId="6B8E1BC3" w14:textId="77777777">
        <w:trPr>
          <w:trHeight w:val="340"/>
          <w:jc w:val="center"/>
        </w:trPr>
        <w:tc>
          <w:tcPr>
            <w:tcW w:w="333" w:type="pct"/>
            <w:tcBorders>
              <w:tl2br w:val="nil"/>
              <w:tr2bl w:val="nil"/>
            </w:tcBorders>
            <w:vAlign w:val="center"/>
          </w:tcPr>
          <w:p w14:paraId="3B6D70CD"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708D45D5" w14:textId="77777777" w:rsidR="003D6A63" w:rsidRDefault="00000000">
            <w:pPr>
              <w:adjustRightInd w:val="0"/>
              <w:snapToGrid w:val="0"/>
            </w:pPr>
            <w:r>
              <w:t>甲、乙类油品储罐、容器、工艺设备和甲、乙类地面管道当需要保温时，应采用非燃烧保温材料；低温保冷可采用泡沫塑料，但其保护层外壳应采用不燃烧材料。</w:t>
            </w:r>
            <w:r>
              <w:t xml:space="preserve"> </w:t>
            </w:r>
          </w:p>
        </w:tc>
        <w:tc>
          <w:tcPr>
            <w:tcW w:w="963" w:type="pct"/>
            <w:tcBorders>
              <w:tl2br w:val="nil"/>
              <w:tr2bl w:val="nil"/>
            </w:tcBorders>
            <w:vAlign w:val="center"/>
          </w:tcPr>
          <w:p w14:paraId="76BCE2A7" w14:textId="77777777" w:rsidR="003D6A63" w:rsidRDefault="00000000">
            <w:pPr>
              <w:adjustRightInd w:val="0"/>
              <w:snapToGrid w:val="0"/>
              <w:jc w:val="center"/>
            </w:pPr>
            <w:r>
              <w:t>GB50183-2004</w:t>
            </w:r>
          </w:p>
          <w:p w14:paraId="47501E9F" w14:textId="77777777" w:rsidR="003D6A63" w:rsidRDefault="00000000">
            <w:pPr>
              <w:adjustRightInd w:val="0"/>
              <w:snapToGrid w:val="0"/>
              <w:jc w:val="center"/>
            </w:pPr>
            <w:r>
              <w:t>6.1.7</w:t>
            </w:r>
          </w:p>
        </w:tc>
        <w:tc>
          <w:tcPr>
            <w:tcW w:w="984" w:type="pct"/>
            <w:tcBorders>
              <w:tl2br w:val="nil"/>
              <w:tr2bl w:val="nil"/>
            </w:tcBorders>
            <w:vAlign w:val="center"/>
          </w:tcPr>
          <w:p w14:paraId="67B3A0A3" w14:textId="77777777" w:rsidR="003D6A63" w:rsidRDefault="00000000">
            <w:pPr>
              <w:adjustRightInd w:val="0"/>
              <w:snapToGrid w:val="0"/>
              <w:rPr>
                <w:szCs w:val="21"/>
              </w:rPr>
            </w:pPr>
            <w:r>
              <w:rPr>
                <w:rFonts w:hint="eastAsia"/>
                <w:szCs w:val="21"/>
              </w:rPr>
              <w:t>设备设施保温材料符合要求。</w:t>
            </w:r>
          </w:p>
        </w:tc>
        <w:tc>
          <w:tcPr>
            <w:tcW w:w="405" w:type="pct"/>
            <w:tcBorders>
              <w:tl2br w:val="nil"/>
              <w:tr2bl w:val="nil"/>
            </w:tcBorders>
            <w:vAlign w:val="center"/>
          </w:tcPr>
          <w:p w14:paraId="7126761D" w14:textId="77777777" w:rsidR="003D6A63" w:rsidRDefault="00000000">
            <w:pPr>
              <w:adjustRightInd w:val="0"/>
              <w:snapToGrid w:val="0"/>
              <w:jc w:val="center"/>
              <w:rPr>
                <w:szCs w:val="21"/>
              </w:rPr>
            </w:pPr>
            <w:r>
              <w:rPr>
                <w:rFonts w:hint="eastAsia"/>
                <w:szCs w:val="21"/>
              </w:rPr>
              <w:t>√</w:t>
            </w:r>
          </w:p>
        </w:tc>
      </w:tr>
      <w:tr w:rsidR="003D6A63" w14:paraId="686ED4A7" w14:textId="77777777">
        <w:trPr>
          <w:trHeight w:val="340"/>
          <w:jc w:val="center"/>
        </w:trPr>
        <w:tc>
          <w:tcPr>
            <w:tcW w:w="333" w:type="pct"/>
            <w:vMerge w:val="restart"/>
            <w:tcBorders>
              <w:tl2br w:val="nil"/>
              <w:tr2bl w:val="nil"/>
            </w:tcBorders>
            <w:vAlign w:val="center"/>
          </w:tcPr>
          <w:p w14:paraId="45CBF0F7" w14:textId="77777777" w:rsidR="003D6A63" w:rsidRDefault="003D6A63">
            <w:pPr>
              <w:numPr>
                <w:ilvl w:val="0"/>
                <w:numId w:val="18"/>
              </w:numPr>
              <w:adjustRightInd w:val="0"/>
              <w:snapToGrid w:val="0"/>
              <w:ind w:left="0" w:firstLine="0"/>
              <w:jc w:val="center"/>
              <w:rPr>
                <w:szCs w:val="21"/>
              </w:rPr>
            </w:pPr>
          </w:p>
        </w:tc>
        <w:tc>
          <w:tcPr>
            <w:tcW w:w="2313" w:type="pct"/>
            <w:vMerge w:val="restart"/>
            <w:tcBorders>
              <w:tl2br w:val="nil"/>
              <w:tr2bl w:val="nil"/>
            </w:tcBorders>
            <w:vAlign w:val="center"/>
          </w:tcPr>
          <w:p w14:paraId="3BE80793" w14:textId="77777777" w:rsidR="003D6A63" w:rsidRDefault="00000000">
            <w:pPr>
              <w:adjustRightInd w:val="0"/>
              <w:snapToGrid w:val="0"/>
            </w:pPr>
            <w:r>
              <w:t>压力表的校验和维护应当符合国家计量部门的有关规定，压力表安装前应当进行检定，在刻度盘上应当划出指示工作压力的红线，注明下次检定日期。压力表校验后应当加铅封。</w:t>
            </w:r>
          </w:p>
        </w:tc>
        <w:tc>
          <w:tcPr>
            <w:tcW w:w="963" w:type="pct"/>
            <w:vMerge w:val="restart"/>
            <w:tcBorders>
              <w:tl2br w:val="nil"/>
              <w:tr2bl w:val="nil"/>
            </w:tcBorders>
            <w:vAlign w:val="center"/>
          </w:tcPr>
          <w:p w14:paraId="4F77760E" w14:textId="77777777" w:rsidR="003D6A63" w:rsidRDefault="00000000">
            <w:pPr>
              <w:adjustRightInd w:val="0"/>
              <w:snapToGrid w:val="0"/>
              <w:jc w:val="center"/>
            </w:pPr>
            <w:r>
              <w:t>TSG21-2016</w:t>
            </w:r>
          </w:p>
          <w:p w14:paraId="34F8E741" w14:textId="77777777" w:rsidR="003D6A63" w:rsidRDefault="00000000">
            <w:pPr>
              <w:adjustRightInd w:val="0"/>
              <w:snapToGrid w:val="0"/>
              <w:jc w:val="center"/>
            </w:pPr>
            <w:r>
              <w:t>9.2.1.2</w:t>
            </w:r>
          </w:p>
        </w:tc>
        <w:tc>
          <w:tcPr>
            <w:tcW w:w="984" w:type="pct"/>
            <w:tcBorders>
              <w:tl2br w:val="nil"/>
              <w:tr2bl w:val="nil"/>
            </w:tcBorders>
            <w:vAlign w:val="center"/>
          </w:tcPr>
          <w:p w14:paraId="4BCC7F3B" w14:textId="77777777" w:rsidR="003D6A63" w:rsidRDefault="00000000">
            <w:pPr>
              <w:adjustRightInd w:val="0"/>
              <w:snapToGrid w:val="0"/>
              <w:rPr>
                <w:szCs w:val="21"/>
              </w:rPr>
            </w:pPr>
            <w:r>
              <w:rPr>
                <w:rFonts w:hint="eastAsia"/>
                <w:szCs w:val="21"/>
                <w:lang w:bidi="en-US"/>
              </w:rPr>
              <w:t>林东</w:t>
            </w:r>
            <w:r>
              <w:rPr>
                <w:rFonts w:hint="eastAsia"/>
                <w:szCs w:val="21"/>
                <w:lang w:bidi="en-US"/>
              </w:rPr>
              <w:t>11</w:t>
            </w:r>
            <w:r>
              <w:rPr>
                <w:rFonts w:hint="eastAsia"/>
                <w:szCs w:val="21"/>
                <w:lang w:bidi="en-US"/>
              </w:rPr>
              <w:t>号站计量间压力表未设置上下限标识。</w:t>
            </w:r>
          </w:p>
        </w:tc>
        <w:tc>
          <w:tcPr>
            <w:tcW w:w="405" w:type="pct"/>
            <w:tcBorders>
              <w:tl2br w:val="nil"/>
              <w:tr2bl w:val="nil"/>
            </w:tcBorders>
            <w:vAlign w:val="center"/>
          </w:tcPr>
          <w:p w14:paraId="7F39D35F" w14:textId="77777777" w:rsidR="003D6A63" w:rsidRDefault="00000000">
            <w:pPr>
              <w:adjustRightInd w:val="0"/>
              <w:snapToGrid w:val="0"/>
              <w:jc w:val="center"/>
              <w:rPr>
                <w:szCs w:val="21"/>
              </w:rPr>
            </w:pPr>
            <w:r>
              <w:rPr>
                <w:rFonts w:hint="eastAsia"/>
                <w:b/>
                <w:bCs/>
                <w:szCs w:val="21"/>
              </w:rPr>
              <w:t>×</w:t>
            </w:r>
          </w:p>
        </w:tc>
      </w:tr>
      <w:tr w:rsidR="003D6A63" w14:paraId="0DD93C4B" w14:textId="77777777">
        <w:trPr>
          <w:trHeight w:val="340"/>
          <w:jc w:val="center"/>
        </w:trPr>
        <w:tc>
          <w:tcPr>
            <w:tcW w:w="333" w:type="pct"/>
            <w:vMerge/>
            <w:tcBorders>
              <w:tl2br w:val="nil"/>
              <w:tr2bl w:val="nil"/>
            </w:tcBorders>
            <w:vAlign w:val="center"/>
          </w:tcPr>
          <w:p w14:paraId="7EE0EF4B" w14:textId="77777777" w:rsidR="003D6A63" w:rsidRDefault="003D6A63">
            <w:pPr>
              <w:adjustRightInd w:val="0"/>
              <w:snapToGrid w:val="0"/>
              <w:jc w:val="center"/>
              <w:rPr>
                <w:szCs w:val="21"/>
              </w:rPr>
            </w:pPr>
          </w:p>
        </w:tc>
        <w:tc>
          <w:tcPr>
            <w:tcW w:w="2313" w:type="pct"/>
            <w:vMerge/>
            <w:tcBorders>
              <w:tl2br w:val="nil"/>
              <w:tr2bl w:val="nil"/>
            </w:tcBorders>
            <w:vAlign w:val="center"/>
          </w:tcPr>
          <w:p w14:paraId="16490E47" w14:textId="77777777" w:rsidR="003D6A63" w:rsidRDefault="003D6A63">
            <w:pPr>
              <w:adjustRightInd w:val="0"/>
              <w:snapToGrid w:val="0"/>
            </w:pPr>
          </w:p>
        </w:tc>
        <w:tc>
          <w:tcPr>
            <w:tcW w:w="963" w:type="pct"/>
            <w:vMerge/>
            <w:tcBorders>
              <w:tl2br w:val="nil"/>
              <w:tr2bl w:val="nil"/>
            </w:tcBorders>
            <w:vAlign w:val="center"/>
          </w:tcPr>
          <w:p w14:paraId="0BB5815A" w14:textId="77777777" w:rsidR="003D6A63" w:rsidRDefault="003D6A63">
            <w:pPr>
              <w:adjustRightInd w:val="0"/>
              <w:snapToGrid w:val="0"/>
              <w:jc w:val="center"/>
            </w:pPr>
          </w:p>
        </w:tc>
        <w:tc>
          <w:tcPr>
            <w:tcW w:w="984" w:type="pct"/>
            <w:tcBorders>
              <w:tl2br w:val="nil"/>
              <w:tr2bl w:val="nil"/>
            </w:tcBorders>
            <w:vAlign w:val="center"/>
          </w:tcPr>
          <w:p w14:paraId="4D301F14" w14:textId="77777777" w:rsidR="003D6A63" w:rsidRDefault="00000000">
            <w:pPr>
              <w:adjustRightInd w:val="0"/>
              <w:snapToGrid w:val="0"/>
              <w:rPr>
                <w:szCs w:val="21"/>
                <w:lang w:bidi="en-US"/>
              </w:rPr>
            </w:pPr>
            <w:r>
              <w:rPr>
                <w:rFonts w:hint="eastAsia"/>
                <w:szCs w:val="21"/>
                <w:lang w:bidi="en-US"/>
              </w:rPr>
              <w:t>林东</w:t>
            </w:r>
            <w:r>
              <w:rPr>
                <w:rFonts w:hint="eastAsia"/>
                <w:szCs w:val="21"/>
                <w:lang w:bidi="en-US"/>
              </w:rPr>
              <w:t>15</w:t>
            </w:r>
            <w:r>
              <w:rPr>
                <w:rFonts w:hint="eastAsia"/>
                <w:szCs w:val="21"/>
                <w:lang w:bidi="en-US"/>
              </w:rPr>
              <w:t>号站计量间压力表及加热炉压力表未设置上下限标识。</w:t>
            </w:r>
          </w:p>
        </w:tc>
        <w:tc>
          <w:tcPr>
            <w:tcW w:w="405" w:type="pct"/>
            <w:tcBorders>
              <w:tl2br w:val="nil"/>
              <w:tr2bl w:val="nil"/>
            </w:tcBorders>
            <w:vAlign w:val="center"/>
          </w:tcPr>
          <w:p w14:paraId="4A2523BF" w14:textId="77777777" w:rsidR="003D6A63" w:rsidRDefault="00000000">
            <w:pPr>
              <w:adjustRightInd w:val="0"/>
              <w:snapToGrid w:val="0"/>
              <w:jc w:val="center"/>
              <w:rPr>
                <w:b/>
                <w:bCs/>
                <w:szCs w:val="21"/>
              </w:rPr>
            </w:pPr>
            <w:r>
              <w:rPr>
                <w:rFonts w:hint="eastAsia"/>
                <w:b/>
                <w:bCs/>
                <w:szCs w:val="21"/>
              </w:rPr>
              <w:t>×</w:t>
            </w:r>
          </w:p>
        </w:tc>
      </w:tr>
      <w:tr w:rsidR="003D6A63" w14:paraId="1E7EC8C9" w14:textId="77777777">
        <w:trPr>
          <w:trHeight w:val="340"/>
          <w:jc w:val="center"/>
        </w:trPr>
        <w:tc>
          <w:tcPr>
            <w:tcW w:w="333" w:type="pct"/>
            <w:tcBorders>
              <w:tl2br w:val="nil"/>
              <w:tr2bl w:val="nil"/>
            </w:tcBorders>
            <w:vAlign w:val="center"/>
          </w:tcPr>
          <w:p w14:paraId="61EABDEB"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0584D4D0" w14:textId="77777777" w:rsidR="003D6A63" w:rsidRDefault="00000000">
            <w:pPr>
              <w:adjustRightInd w:val="0"/>
              <w:snapToGrid w:val="0"/>
            </w:pPr>
            <w:r>
              <w:t>仪表的可见部分应无明显的瑕疵、划伤，接头螺纹应无明显的毛刺和刺伤；标度、标示等应清晰、正确和完整。</w:t>
            </w:r>
          </w:p>
        </w:tc>
        <w:tc>
          <w:tcPr>
            <w:tcW w:w="963" w:type="pct"/>
            <w:tcBorders>
              <w:tl2br w:val="nil"/>
              <w:tr2bl w:val="nil"/>
            </w:tcBorders>
            <w:vAlign w:val="center"/>
          </w:tcPr>
          <w:p w14:paraId="53E4ED61" w14:textId="77777777" w:rsidR="003D6A63" w:rsidRDefault="00000000">
            <w:pPr>
              <w:adjustRightInd w:val="0"/>
              <w:snapToGrid w:val="0"/>
              <w:ind w:leftChars="-50" w:left="-105" w:rightChars="-50" w:right="-105"/>
              <w:jc w:val="center"/>
            </w:pPr>
            <w:r>
              <w:t>GB/T1226-2017</w:t>
            </w:r>
          </w:p>
          <w:p w14:paraId="10737676" w14:textId="77777777" w:rsidR="003D6A63" w:rsidRDefault="00000000">
            <w:pPr>
              <w:adjustRightInd w:val="0"/>
              <w:snapToGrid w:val="0"/>
              <w:ind w:leftChars="-50" w:left="-105" w:rightChars="-50" w:right="-105"/>
              <w:jc w:val="center"/>
            </w:pPr>
            <w:r>
              <w:t>5.11</w:t>
            </w:r>
          </w:p>
        </w:tc>
        <w:tc>
          <w:tcPr>
            <w:tcW w:w="984" w:type="pct"/>
            <w:tcBorders>
              <w:tl2br w:val="nil"/>
              <w:tr2bl w:val="nil"/>
            </w:tcBorders>
            <w:vAlign w:val="center"/>
          </w:tcPr>
          <w:p w14:paraId="389446A3" w14:textId="77777777" w:rsidR="003D6A63" w:rsidRDefault="00000000">
            <w:pPr>
              <w:adjustRightInd w:val="0"/>
              <w:snapToGrid w:val="0"/>
              <w:rPr>
                <w:szCs w:val="21"/>
              </w:rPr>
            </w:pPr>
            <w:r>
              <w:rPr>
                <w:rFonts w:hint="eastAsia"/>
                <w:szCs w:val="21"/>
              </w:rPr>
              <w:t>仪表可见部分标度、标示清晰、正确。</w:t>
            </w:r>
          </w:p>
        </w:tc>
        <w:tc>
          <w:tcPr>
            <w:tcW w:w="405" w:type="pct"/>
            <w:tcBorders>
              <w:tl2br w:val="nil"/>
              <w:tr2bl w:val="nil"/>
            </w:tcBorders>
            <w:vAlign w:val="center"/>
          </w:tcPr>
          <w:p w14:paraId="2B66B6C7" w14:textId="77777777" w:rsidR="003D6A63" w:rsidRDefault="00000000">
            <w:pPr>
              <w:adjustRightInd w:val="0"/>
              <w:snapToGrid w:val="0"/>
              <w:jc w:val="center"/>
              <w:rPr>
                <w:szCs w:val="21"/>
              </w:rPr>
            </w:pPr>
            <w:r>
              <w:rPr>
                <w:rFonts w:hint="eastAsia"/>
                <w:szCs w:val="21"/>
              </w:rPr>
              <w:t>√</w:t>
            </w:r>
          </w:p>
        </w:tc>
      </w:tr>
      <w:tr w:rsidR="003D6A63" w14:paraId="1648CD8B" w14:textId="77777777">
        <w:trPr>
          <w:trHeight w:val="340"/>
          <w:jc w:val="center"/>
        </w:trPr>
        <w:tc>
          <w:tcPr>
            <w:tcW w:w="333" w:type="pct"/>
            <w:tcBorders>
              <w:tl2br w:val="nil"/>
              <w:tr2bl w:val="nil"/>
            </w:tcBorders>
            <w:vAlign w:val="center"/>
          </w:tcPr>
          <w:p w14:paraId="00E98E5B"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1B06E98A" w14:textId="77777777" w:rsidR="003D6A63" w:rsidRDefault="00000000">
            <w:pPr>
              <w:adjustRightInd w:val="0"/>
              <w:snapToGrid w:val="0"/>
            </w:pPr>
            <w:r>
              <w:t>仪表的标度盘上应标有：生产商或商标，仪表名称，计量单位，精确度等级，制造年月及仪表编号。</w:t>
            </w:r>
          </w:p>
        </w:tc>
        <w:tc>
          <w:tcPr>
            <w:tcW w:w="963" w:type="pct"/>
            <w:tcBorders>
              <w:tl2br w:val="nil"/>
              <w:tr2bl w:val="nil"/>
            </w:tcBorders>
            <w:vAlign w:val="center"/>
          </w:tcPr>
          <w:p w14:paraId="733A1A9D" w14:textId="77777777" w:rsidR="003D6A63" w:rsidRDefault="00000000">
            <w:pPr>
              <w:adjustRightInd w:val="0"/>
              <w:snapToGrid w:val="0"/>
              <w:ind w:leftChars="-50" w:left="-105" w:rightChars="-50" w:right="-105"/>
              <w:jc w:val="center"/>
            </w:pPr>
            <w:r>
              <w:t>GB/T1226-2017</w:t>
            </w:r>
          </w:p>
          <w:p w14:paraId="171BE951" w14:textId="77777777" w:rsidR="003D6A63" w:rsidRDefault="00000000">
            <w:pPr>
              <w:adjustRightInd w:val="0"/>
              <w:snapToGrid w:val="0"/>
              <w:ind w:leftChars="-50" w:left="-105" w:rightChars="-50" w:right="-105"/>
              <w:jc w:val="center"/>
            </w:pPr>
            <w:r>
              <w:t>8.1</w:t>
            </w:r>
          </w:p>
        </w:tc>
        <w:tc>
          <w:tcPr>
            <w:tcW w:w="984" w:type="pct"/>
            <w:tcBorders>
              <w:tl2br w:val="nil"/>
              <w:tr2bl w:val="nil"/>
            </w:tcBorders>
            <w:vAlign w:val="center"/>
          </w:tcPr>
          <w:p w14:paraId="24D2966E" w14:textId="77777777" w:rsidR="003D6A63" w:rsidRDefault="00000000">
            <w:pPr>
              <w:adjustRightInd w:val="0"/>
              <w:snapToGrid w:val="0"/>
              <w:rPr>
                <w:szCs w:val="21"/>
              </w:rPr>
            </w:pPr>
            <w:r>
              <w:rPr>
                <w:rFonts w:hint="eastAsia"/>
                <w:szCs w:val="21"/>
              </w:rPr>
              <w:t>仪表标度盘符合要求。</w:t>
            </w:r>
          </w:p>
        </w:tc>
        <w:tc>
          <w:tcPr>
            <w:tcW w:w="405" w:type="pct"/>
            <w:tcBorders>
              <w:tl2br w:val="nil"/>
              <w:tr2bl w:val="nil"/>
            </w:tcBorders>
            <w:vAlign w:val="center"/>
          </w:tcPr>
          <w:p w14:paraId="3DE1B0CF" w14:textId="77777777" w:rsidR="003D6A63" w:rsidRDefault="00000000">
            <w:pPr>
              <w:adjustRightInd w:val="0"/>
              <w:snapToGrid w:val="0"/>
              <w:jc w:val="center"/>
              <w:rPr>
                <w:szCs w:val="21"/>
              </w:rPr>
            </w:pPr>
            <w:r>
              <w:rPr>
                <w:rFonts w:hint="eastAsia"/>
                <w:szCs w:val="21"/>
              </w:rPr>
              <w:t>√</w:t>
            </w:r>
          </w:p>
        </w:tc>
      </w:tr>
      <w:tr w:rsidR="003D6A63" w14:paraId="5F8A634F" w14:textId="77777777">
        <w:trPr>
          <w:trHeight w:val="340"/>
          <w:jc w:val="center"/>
        </w:trPr>
        <w:tc>
          <w:tcPr>
            <w:tcW w:w="333" w:type="pct"/>
            <w:tcBorders>
              <w:tl2br w:val="nil"/>
              <w:tr2bl w:val="nil"/>
            </w:tcBorders>
            <w:vAlign w:val="center"/>
          </w:tcPr>
          <w:p w14:paraId="020206E5"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22CF37EA" w14:textId="77777777" w:rsidR="003D6A63" w:rsidRDefault="00000000">
            <w:pPr>
              <w:adjustRightInd w:val="0"/>
              <w:snapToGrid w:val="0"/>
            </w:pPr>
            <w:r>
              <w:t>所有外部调节机构应采取上锁或铅封措施</w:t>
            </w:r>
            <w:r>
              <w:rPr>
                <w:rFonts w:hint="eastAsia"/>
              </w:rPr>
              <w:t>，</w:t>
            </w:r>
            <w:r>
              <w:t>以防止或便于发现对安全阀未经许可的调节。</w:t>
            </w:r>
          </w:p>
        </w:tc>
        <w:tc>
          <w:tcPr>
            <w:tcW w:w="963" w:type="pct"/>
            <w:tcBorders>
              <w:tl2br w:val="nil"/>
              <w:tr2bl w:val="nil"/>
            </w:tcBorders>
            <w:vAlign w:val="center"/>
          </w:tcPr>
          <w:p w14:paraId="02A0D2BF" w14:textId="77777777" w:rsidR="003D6A63" w:rsidRDefault="00000000">
            <w:pPr>
              <w:adjustRightInd w:val="0"/>
              <w:snapToGrid w:val="0"/>
              <w:ind w:leftChars="-50" w:left="-105" w:rightChars="-50" w:right="-105"/>
              <w:jc w:val="center"/>
            </w:pPr>
            <w:r>
              <w:t>GB/T12241-2021</w:t>
            </w:r>
          </w:p>
          <w:p w14:paraId="6EC19F7B" w14:textId="77777777" w:rsidR="003D6A63" w:rsidRDefault="00000000">
            <w:pPr>
              <w:adjustRightInd w:val="0"/>
              <w:snapToGrid w:val="0"/>
              <w:ind w:leftChars="-50" w:left="-105" w:rightChars="-50" w:right="-105"/>
              <w:jc w:val="center"/>
            </w:pPr>
            <w:r>
              <w:t>5.1.4</w:t>
            </w:r>
          </w:p>
        </w:tc>
        <w:tc>
          <w:tcPr>
            <w:tcW w:w="984" w:type="pct"/>
            <w:tcBorders>
              <w:tl2br w:val="nil"/>
              <w:tr2bl w:val="nil"/>
            </w:tcBorders>
            <w:vAlign w:val="center"/>
          </w:tcPr>
          <w:p w14:paraId="15103770" w14:textId="77777777" w:rsidR="003D6A63" w:rsidRDefault="00000000">
            <w:pPr>
              <w:adjustRightInd w:val="0"/>
              <w:snapToGrid w:val="0"/>
              <w:rPr>
                <w:szCs w:val="21"/>
              </w:rPr>
            </w:pPr>
            <w:r>
              <w:rPr>
                <w:rFonts w:hint="eastAsia"/>
                <w:szCs w:val="21"/>
              </w:rPr>
              <w:t>安全阀前手阀设置铅封。</w:t>
            </w:r>
          </w:p>
        </w:tc>
        <w:tc>
          <w:tcPr>
            <w:tcW w:w="405" w:type="pct"/>
            <w:tcBorders>
              <w:tl2br w:val="nil"/>
              <w:tr2bl w:val="nil"/>
            </w:tcBorders>
            <w:vAlign w:val="center"/>
          </w:tcPr>
          <w:p w14:paraId="2A2B7092" w14:textId="77777777" w:rsidR="003D6A63" w:rsidRDefault="00000000">
            <w:pPr>
              <w:adjustRightInd w:val="0"/>
              <w:snapToGrid w:val="0"/>
              <w:jc w:val="center"/>
              <w:rPr>
                <w:szCs w:val="21"/>
              </w:rPr>
            </w:pPr>
            <w:r>
              <w:rPr>
                <w:rFonts w:hint="eastAsia"/>
                <w:szCs w:val="21"/>
              </w:rPr>
              <w:t>√</w:t>
            </w:r>
          </w:p>
        </w:tc>
      </w:tr>
      <w:tr w:rsidR="003D6A63" w14:paraId="439727A1" w14:textId="77777777">
        <w:trPr>
          <w:trHeight w:val="340"/>
          <w:jc w:val="center"/>
        </w:trPr>
        <w:tc>
          <w:tcPr>
            <w:tcW w:w="333" w:type="pct"/>
            <w:tcBorders>
              <w:tl2br w:val="nil"/>
              <w:tr2bl w:val="nil"/>
            </w:tcBorders>
            <w:vAlign w:val="center"/>
          </w:tcPr>
          <w:p w14:paraId="5B10B879"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2B81CD94" w14:textId="77777777" w:rsidR="003D6A63" w:rsidRDefault="00000000">
            <w:pPr>
              <w:adjustRightInd w:val="0"/>
              <w:snapToGrid w:val="0"/>
            </w:pPr>
            <w:r>
              <w:rPr>
                <w:rFonts w:ascii="宋体" w:hAnsi="宋体" w:cs="宋体" w:hint="eastAsia"/>
                <w:szCs w:val="21"/>
              </w:rPr>
              <w:t>加热炉应设置安全附件。安全附件应包括安全阀、压力表、液面计、测量仪表、报警装置、燃烧系统安全设施等。</w:t>
            </w:r>
          </w:p>
        </w:tc>
        <w:tc>
          <w:tcPr>
            <w:tcW w:w="963" w:type="pct"/>
            <w:tcBorders>
              <w:tl2br w:val="nil"/>
              <w:tr2bl w:val="nil"/>
            </w:tcBorders>
            <w:vAlign w:val="center"/>
          </w:tcPr>
          <w:p w14:paraId="2DB87584" w14:textId="77777777" w:rsidR="003D6A63" w:rsidRDefault="00000000">
            <w:pPr>
              <w:adjustRightInd w:val="0"/>
              <w:snapToGrid w:val="0"/>
              <w:jc w:val="center"/>
              <w:rPr>
                <w:szCs w:val="21"/>
              </w:rPr>
            </w:pPr>
            <w:r>
              <w:rPr>
                <w:szCs w:val="21"/>
              </w:rPr>
              <w:t>SY0031-2012</w:t>
            </w:r>
          </w:p>
          <w:p w14:paraId="18811F20" w14:textId="77777777" w:rsidR="003D6A63" w:rsidRDefault="00000000">
            <w:pPr>
              <w:adjustRightInd w:val="0"/>
              <w:snapToGrid w:val="0"/>
              <w:jc w:val="center"/>
            </w:pPr>
            <w:r>
              <w:rPr>
                <w:szCs w:val="21"/>
              </w:rPr>
              <w:t>9.1.1</w:t>
            </w:r>
          </w:p>
        </w:tc>
        <w:tc>
          <w:tcPr>
            <w:tcW w:w="984" w:type="pct"/>
            <w:tcBorders>
              <w:tl2br w:val="nil"/>
              <w:tr2bl w:val="nil"/>
            </w:tcBorders>
            <w:vAlign w:val="center"/>
          </w:tcPr>
          <w:p w14:paraId="2C93BDC2" w14:textId="77777777" w:rsidR="003D6A63" w:rsidRDefault="00000000">
            <w:pPr>
              <w:adjustRightInd w:val="0"/>
              <w:snapToGrid w:val="0"/>
              <w:rPr>
                <w:szCs w:val="21"/>
              </w:rPr>
            </w:pPr>
            <w:r>
              <w:rPr>
                <w:rFonts w:ascii="宋体" w:hAnsi="宋体" w:cs="宋体" w:hint="eastAsia"/>
                <w:szCs w:val="21"/>
              </w:rPr>
              <w:t>加热炉设置有安全阀、压力表等安全附件。</w:t>
            </w:r>
          </w:p>
        </w:tc>
        <w:tc>
          <w:tcPr>
            <w:tcW w:w="405" w:type="pct"/>
            <w:tcBorders>
              <w:tl2br w:val="nil"/>
              <w:tr2bl w:val="nil"/>
            </w:tcBorders>
            <w:vAlign w:val="center"/>
          </w:tcPr>
          <w:p w14:paraId="3AE3789E" w14:textId="77777777" w:rsidR="003D6A63" w:rsidRDefault="00000000">
            <w:pPr>
              <w:adjustRightInd w:val="0"/>
              <w:snapToGrid w:val="0"/>
              <w:jc w:val="center"/>
              <w:rPr>
                <w:szCs w:val="21"/>
              </w:rPr>
            </w:pPr>
            <w:r>
              <w:rPr>
                <w:rFonts w:ascii="宋体" w:hAnsi="宋体" w:cs="宋体" w:hint="eastAsia"/>
                <w:szCs w:val="21"/>
              </w:rPr>
              <w:t>√</w:t>
            </w:r>
          </w:p>
        </w:tc>
      </w:tr>
      <w:tr w:rsidR="003D6A63" w14:paraId="73FD42B4" w14:textId="77777777">
        <w:trPr>
          <w:trHeight w:val="340"/>
          <w:jc w:val="center"/>
        </w:trPr>
        <w:tc>
          <w:tcPr>
            <w:tcW w:w="333" w:type="pct"/>
            <w:tcBorders>
              <w:tl2br w:val="nil"/>
              <w:tr2bl w:val="nil"/>
            </w:tcBorders>
            <w:vAlign w:val="center"/>
          </w:tcPr>
          <w:p w14:paraId="18D82A5A"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37DD7086" w14:textId="77777777" w:rsidR="003D6A63" w:rsidRDefault="00000000">
            <w:pPr>
              <w:adjustRightInd w:val="0"/>
              <w:snapToGrid w:val="0"/>
              <w:rPr>
                <w:rFonts w:ascii="宋体" w:hAnsi="宋体" w:cs="宋体"/>
                <w:szCs w:val="21"/>
              </w:rPr>
            </w:pPr>
            <w:r>
              <w:rPr>
                <w:rFonts w:ascii="宋体" w:hAnsi="宋体" w:cs="宋体" w:hint="eastAsia"/>
                <w:szCs w:val="21"/>
              </w:rPr>
              <w:t>可能超压的下列设备及管道应设安全阀：</w:t>
            </w:r>
          </w:p>
          <w:p w14:paraId="45329680" w14:textId="77777777" w:rsidR="003D6A63" w:rsidRDefault="00000000">
            <w:pPr>
              <w:adjustRightInd w:val="0"/>
              <w:snapToGrid w:val="0"/>
              <w:rPr>
                <w:rFonts w:ascii="宋体" w:hAnsi="宋体" w:cs="宋体"/>
                <w:szCs w:val="21"/>
              </w:rPr>
            </w:pPr>
            <w:r>
              <w:rPr>
                <w:rFonts w:ascii="宋体" w:hAnsi="宋体" w:cs="宋体" w:hint="eastAsia"/>
                <w:szCs w:val="21"/>
              </w:rPr>
              <w:t>1顶部操作压力大于0.07MPa的压力容器；</w:t>
            </w:r>
          </w:p>
          <w:p w14:paraId="40C493D4" w14:textId="77777777" w:rsidR="003D6A63" w:rsidRDefault="00000000">
            <w:pPr>
              <w:adjustRightInd w:val="0"/>
              <w:snapToGrid w:val="0"/>
              <w:rPr>
                <w:rFonts w:ascii="宋体" w:hAnsi="宋体" w:cs="宋体"/>
                <w:szCs w:val="21"/>
              </w:rPr>
            </w:pPr>
            <w:r>
              <w:rPr>
                <w:rFonts w:ascii="宋体" w:hAnsi="宋体" w:cs="宋体" w:hint="eastAsia"/>
                <w:szCs w:val="21"/>
              </w:rPr>
              <w:t>2顶部操作压力大于</w:t>
            </w:r>
            <w:r>
              <w:rPr>
                <w:rFonts w:ascii="宋体" w:hAnsi="宋体" w:cs="宋体" w:hint="eastAsia"/>
                <w:szCs w:val="21"/>
                <w:lang w:bidi="ar"/>
              </w:rPr>
              <w:t>0.0</w:t>
            </w:r>
            <w:r>
              <w:rPr>
                <w:rFonts w:ascii="宋体" w:hAnsi="宋体" w:cs="宋体"/>
                <w:szCs w:val="21"/>
                <w:lang w:bidi="ar"/>
              </w:rPr>
              <w:t>3</w:t>
            </w:r>
            <w:r>
              <w:rPr>
                <w:rFonts w:ascii="宋体" w:hAnsi="宋体" w:cs="宋体" w:hint="eastAsia"/>
                <w:szCs w:val="21"/>
                <w:lang w:bidi="ar"/>
              </w:rPr>
              <w:t>MPa</w:t>
            </w:r>
            <w:r>
              <w:rPr>
                <w:rFonts w:ascii="宋体" w:hAnsi="宋体" w:cs="宋体" w:hint="eastAsia"/>
                <w:szCs w:val="21"/>
              </w:rPr>
              <w:t>的蒸馏塔、蒸发塔和汽提塔（汽提塔顶蒸汽直接通入另一蒸馏塔者除外）；与鼓风机、离心式压缩机、离心泵或蒸汽往复泵出口连接的设备不能承受其最高压力时，上述机泵的出口；可燃气体或液体受热膨胀时，可能超过设计压力的设备及管道。</w:t>
            </w:r>
          </w:p>
        </w:tc>
        <w:tc>
          <w:tcPr>
            <w:tcW w:w="963" w:type="pct"/>
            <w:tcBorders>
              <w:tl2br w:val="nil"/>
              <w:tr2bl w:val="nil"/>
            </w:tcBorders>
            <w:vAlign w:val="center"/>
          </w:tcPr>
          <w:p w14:paraId="5067F1FF" w14:textId="77777777" w:rsidR="003D6A63" w:rsidRDefault="00000000">
            <w:pPr>
              <w:adjustRightInd w:val="0"/>
              <w:snapToGrid w:val="0"/>
              <w:jc w:val="center"/>
              <w:rPr>
                <w:szCs w:val="21"/>
              </w:rPr>
            </w:pPr>
            <w:r>
              <w:rPr>
                <w:szCs w:val="21"/>
              </w:rPr>
              <w:t>GB50183-2004</w:t>
            </w:r>
          </w:p>
          <w:p w14:paraId="3EBBB681" w14:textId="77777777" w:rsidR="003D6A63" w:rsidRDefault="00000000">
            <w:pPr>
              <w:adjustRightInd w:val="0"/>
              <w:snapToGrid w:val="0"/>
              <w:jc w:val="center"/>
              <w:rPr>
                <w:szCs w:val="21"/>
              </w:rPr>
            </w:pPr>
            <w:r>
              <w:rPr>
                <w:szCs w:val="21"/>
              </w:rPr>
              <w:t>6.</w:t>
            </w:r>
            <w:r>
              <w:rPr>
                <w:rFonts w:hint="eastAsia"/>
                <w:szCs w:val="21"/>
              </w:rPr>
              <w:t>8</w:t>
            </w:r>
            <w:r>
              <w:rPr>
                <w:szCs w:val="21"/>
              </w:rPr>
              <w:t>.</w:t>
            </w:r>
            <w:r>
              <w:rPr>
                <w:rFonts w:hint="eastAsia"/>
                <w:szCs w:val="21"/>
              </w:rPr>
              <w:t>1</w:t>
            </w:r>
          </w:p>
        </w:tc>
        <w:tc>
          <w:tcPr>
            <w:tcW w:w="984" w:type="pct"/>
            <w:tcBorders>
              <w:tl2br w:val="nil"/>
              <w:tr2bl w:val="nil"/>
            </w:tcBorders>
            <w:vAlign w:val="center"/>
          </w:tcPr>
          <w:p w14:paraId="425537CC" w14:textId="77777777" w:rsidR="003D6A63" w:rsidRDefault="00000000">
            <w:pPr>
              <w:adjustRightInd w:val="0"/>
              <w:snapToGrid w:val="0"/>
              <w:rPr>
                <w:rFonts w:ascii="宋体" w:hAnsi="宋体" w:cs="宋体"/>
                <w:szCs w:val="21"/>
              </w:rPr>
            </w:pPr>
            <w:r>
              <w:rPr>
                <w:rFonts w:ascii="宋体" w:hAnsi="宋体" w:cs="宋体" w:hint="eastAsia"/>
                <w:szCs w:val="21"/>
              </w:rPr>
              <w:t>多功能罐、分离器等设备设施设置有安全阀。</w:t>
            </w:r>
          </w:p>
        </w:tc>
        <w:tc>
          <w:tcPr>
            <w:tcW w:w="405" w:type="pct"/>
            <w:tcBorders>
              <w:tl2br w:val="nil"/>
              <w:tr2bl w:val="nil"/>
            </w:tcBorders>
            <w:vAlign w:val="center"/>
          </w:tcPr>
          <w:p w14:paraId="5A4A6B25" w14:textId="77777777" w:rsidR="003D6A63" w:rsidRDefault="00000000">
            <w:pPr>
              <w:adjustRightInd w:val="0"/>
              <w:snapToGrid w:val="0"/>
              <w:jc w:val="center"/>
              <w:rPr>
                <w:rFonts w:ascii="宋体" w:hAnsi="宋体" w:cs="宋体"/>
                <w:szCs w:val="21"/>
              </w:rPr>
            </w:pPr>
            <w:r>
              <w:rPr>
                <w:rFonts w:ascii="宋体" w:hAnsi="宋体" w:cs="宋体" w:hint="eastAsia"/>
                <w:szCs w:val="21"/>
              </w:rPr>
              <w:t>√</w:t>
            </w:r>
          </w:p>
        </w:tc>
      </w:tr>
      <w:tr w:rsidR="003D6A63" w14:paraId="0E5E4768" w14:textId="77777777">
        <w:trPr>
          <w:trHeight w:val="340"/>
          <w:jc w:val="center"/>
        </w:trPr>
        <w:tc>
          <w:tcPr>
            <w:tcW w:w="333" w:type="pct"/>
            <w:tcBorders>
              <w:tl2br w:val="nil"/>
              <w:tr2bl w:val="nil"/>
            </w:tcBorders>
            <w:vAlign w:val="center"/>
          </w:tcPr>
          <w:p w14:paraId="55F4F28B" w14:textId="77777777" w:rsidR="003D6A63" w:rsidRDefault="00000000">
            <w:pPr>
              <w:adjustRightInd w:val="0"/>
              <w:snapToGrid w:val="0"/>
              <w:jc w:val="center"/>
              <w:rPr>
                <w:b/>
                <w:bCs/>
                <w:szCs w:val="21"/>
              </w:rPr>
            </w:pPr>
            <w:r>
              <w:rPr>
                <w:rFonts w:hint="eastAsia"/>
                <w:b/>
                <w:bCs/>
                <w:szCs w:val="21"/>
              </w:rPr>
              <w:t>四</w:t>
            </w:r>
          </w:p>
        </w:tc>
        <w:tc>
          <w:tcPr>
            <w:tcW w:w="2313" w:type="pct"/>
            <w:tcBorders>
              <w:tl2br w:val="nil"/>
              <w:tr2bl w:val="nil"/>
            </w:tcBorders>
            <w:vAlign w:val="center"/>
          </w:tcPr>
          <w:p w14:paraId="3109A1C7" w14:textId="77777777" w:rsidR="003D6A63" w:rsidRDefault="00000000">
            <w:pPr>
              <w:adjustRightInd w:val="0"/>
              <w:snapToGrid w:val="0"/>
              <w:rPr>
                <w:b/>
                <w:bCs/>
                <w:szCs w:val="21"/>
              </w:rPr>
            </w:pPr>
            <w:r>
              <w:rPr>
                <w:rFonts w:hint="eastAsia"/>
                <w:b/>
                <w:bCs/>
                <w:szCs w:val="21"/>
              </w:rPr>
              <w:t>单井拉油罐</w:t>
            </w:r>
          </w:p>
        </w:tc>
        <w:tc>
          <w:tcPr>
            <w:tcW w:w="963" w:type="pct"/>
            <w:tcBorders>
              <w:tl2br w:val="nil"/>
              <w:tr2bl w:val="nil"/>
            </w:tcBorders>
            <w:vAlign w:val="center"/>
          </w:tcPr>
          <w:p w14:paraId="59901C9E" w14:textId="77777777" w:rsidR="003D6A63" w:rsidRDefault="003D6A63">
            <w:pPr>
              <w:adjustRightInd w:val="0"/>
              <w:snapToGrid w:val="0"/>
              <w:jc w:val="center"/>
              <w:rPr>
                <w:szCs w:val="21"/>
              </w:rPr>
            </w:pPr>
          </w:p>
        </w:tc>
        <w:tc>
          <w:tcPr>
            <w:tcW w:w="984" w:type="pct"/>
            <w:tcBorders>
              <w:tl2br w:val="nil"/>
              <w:tr2bl w:val="nil"/>
            </w:tcBorders>
            <w:vAlign w:val="center"/>
          </w:tcPr>
          <w:p w14:paraId="08A6C4A0" w14:textId="77777777" w:rsidR="003D6A63" w:rsidRDefault="003D6A63">
            <w:pPr>
              <w:adjustRightInd w:val="0"/>
              <w:snapToGrid w:val="0"/>
              <w:jc w:val="left"/>
              <w:rPr>
                <w:rFonts w:ascii="宋体" w:hAnsi="宋体" w:cs="宋体"/>
                <w:szCs w:val="21"/>
              </w:rPr>
            </w:pPr>
          </w:p>
        </w:tc>
        <w:tc>
          <w:tcPr>
            <w:tcW w:w="405" w:type="pct"/>
            <w:tcBorders>
              <w:tl2br w:val="nil"/>
              <w:tr2bl w:val="nil"/>
            </w:tcBorders>
            <w:vAlign w:val="center"/>
          </w:tcPr>
          <w:p w14:paraId="00D1DED5" w14:textId="77777777" w:rsidR="003D6A63" w:rsidRDefault="003D6A63">
            <w:pPr>
              <w:adjustRightInd w:val="0"/>
              <w:snapToGrid w:val="0"/>
              <w:jc w:val="center"/>
              <w:rPr>
                <w:rFonts w:ascii="宋体" w:hAnsi="宋体" w:cs="宋体"/>
                <w:szCs w:val="21"/>
              </w:rPr>
            </w:pPr>
          </w:p>
        </w:tc>
      </w:tr>
      <w:tr w:rsidR="003D6A63" w14:paraId="4292E603" w14:textId="77777777">
        <w:trPr>
          <w:trHeight w:val="340"/>
          <w:jc w:val="center"/>
        </w:trPr>
        <w:tc>
          <w:tcPr>
            <w:tcW w:w="333" w:type="pct"/>
            <w:tcBorders>
              <w:tl2br w:val="nil"/>
              <w:tr2bl w:val="nil"/>
            </w:tcBorders>
            <w:vAlign w:val="center"/>
          </w:tcPr>
          <w:p w14:paraId="51E612D5"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026D679C" w14:textId="77777777" w:rsidR="003D6A63" w:rsidRDefault="00000000">
            <w:pPr>
              <w:adjustRightInd w:val="0"/>
              <w:snapToGrid w:val="0"/>
            </w:pPr>
            <w:r>
              <w:rPr>
                <w:rFonts w:ascii="宋体" w:hAnsi="宋体" w:cs="宋体" w:hint="eastAsia"/>
                <w:szCs w:val="21"/>
              </w:rPr>
              <w:t>甲、乙类液体储罐、容积、工艺设备和甲、乙类地面管道当需要保温时，应采用非燃烧材料；低温保冷可采用泡沫塑料，但其保护层外壳应采用非燃烧材料。</w:t>
            </w:r>
          </w:p>
        </w:tc>
        <w:tc>
          <w:tcPr>
            <w:tcW w:w="963" w:type="pct"/>
            <w:tcBorders>
              <w:tl2br w:val="nil"/>
              <w:tr2bl w:val="nil"/>
            </w:tcBorders>
            <w:vAlign w:val="center"/>
          </w:tcPr>
          <w:p w14:paraId="3A2C8EF5" w14:textId="77777777" w:rsidR="003D6A63" w:rsidRDefault="00000000">
            <w:pPr>
              <w:adjustRightInd w:val="0"/>
              <w:snapToGrid w:val="0"/>
              <w:jc w:val="center"/>
              <w:rPr>
                <w:szCs w:val="21"/>
              </w:rPr>
            </w:pPr>
            <w:r>
              <w:rPr>
                <w:szCs w:val="21"/>
              </w:rPr>
              <w:t>GB50183-2004</w:t>
            </w:r>
          </w:p>
          <w:p w14:paraId="5A752B31" w14:textId="77777777" w:rsidR="003D6A63" w:rsidRDefault="00000000">
            <w:pPr>
              <w:adjustRightInd w:val="0"/>
              <w:snapToGrid w:val="0"/>
              <w:jc w:val="center"/>
            </w:pPr>
            <w:r>
              <w:rPr>
                <w:szCs w:val="21"/>
              </w:rPr>
              <w:t>6.1.7</w:t>
            </w:r>
          </w:p>
        </w:tc>
        <w:tc>
          <w:tcPr>
            <w:tcW w:w="984" w:type="pct"/>
            <w:tcBorders>
              <w:tl2br w:val="nil"/>
              <w:tr2bl w:val="nil"/>
            </w:tcBorders>
            <w:vAlign w:val="center"/>
          </w:tcPr>
          <w:p w14:paraId="5C06CDA4" w14:textId="77777777" w:rsidR="003D6A63" w:rsidRDefault="00000000">
            <w:pPr>
              <w:adjustRightInd w:val="0"/>
              <w:snapToGrid w:val="0"/>
              <w:rPr>
                <w:szCs w:val="21"/>
              </w:rPr>
            </w:pPr>
            <w:r>
              <w:rPr>
                <w:rFonts w:ascii="宋体" w:hAnsi="宋体" w:cs="宋体" w:hint="eastAsia"/>
                <w:szCs w:val="21"/>
              </w:rPr>
              <w:t>井场高架油罐采用非燃烧材料进行保温。</w:t>
            </w:r>
          </w:p>
        </w:tc>
        <w:tc>
          <w:tcPr>
            <w:tcW w:w="405" w:type="pct"/>
            <w:tcBorders>
              <w:tl2br w:val="nil"/>
              <w:tr2bl w:val="nil"/>
            </w:tcBorders>
            <w:vAlign w:val="center"/>
          </w:tcPr>
          <w:p w14:paraId="0C0BFA6D" w14:textId="77777777" w:rsidR="003D6A63" w:rsidRDefault="00000000">
            <w:pPr>
              <w:adjustRightInd w:val="0"/>
              <w:snapToGrid w:val="0"/>
              <w:jc w:val="center"/>
              <w:rPr>
                <w:szCs w:val="21"/>
              </w:rPr>
            </w:pPr>
            <w:r>
              <w:rPr>
                <w:rFonts w:ascii="宋体" w:hAnsi="宋体" w:cs="宋体" w:hint="eastAsia"/>
                <w:szCs w:val="21"/>
              </w:rPr>
              <w:t>√</w:t>
            </w:r>
          </w:p>
        </w:tc>
      </w:tr>
      <w:tr w:rsidR="003D6A63" w14:paraId="0507A1BE" w14:textId="77777777">
        <w:trPr>
          <w:trHeight w:val="340"/>
          <w:jc w:val="center"/>
        </w:trPr>
        <w:tc>
          <w:tcPr>
            <w:tcW w:w="333" w:type="pct"/>
            <w:tcBorders>
              <w:tl2br w:val="nil"/>
              <w:tr2bl w:val="nil"/>
            </w:tcBorders>
            <w:vAlign w:val="center"/>
          </w:tcPr>
          <w:p w14:paraId="188EE6B2"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3D34F9D4" w14:textId="77777777" w:rsidR="003D6A63" w:rsidRDefault="00000000">
            <w:pPr>
              <w:adjustRightInd w:val="0"/>
              <w:snapToGrid w:val="0"/>
            </w:pPr>
            <w:r>
              <w:rPr>
                <w:rFonts w:ascii="宋体" w:hAnsi="宋体" w:cs="宋体" w:hint="eastAsia"/>
                <w:szCs w:val="21"/>
              </w:rPr>
              <w:t>甲、乙类油品储罐、容器、工艺设备的基础，地面管道的支、吊架和基础应采用非燃烧材料，但储罐底板垫层可采用沥青砂。</w:t>
            </w:r>
          </w:p>
        </w:tc>
        <w:tc>
          <w:tcPr>
            <w:tcW w:w="963" w:type="pct"/>
            <w:tcBorders>
              <w:tl2br w:val="nil"/>
              <w:tr2bl w:val="nil"/>
            </w:tcBorders>
            <w:vAlign w:val="center"/>
          </w:tcPr>
          <w:p w14:paraId="34611893" w14:textId="77777777" w:rsidR="003D6A63" w:rsidRDefault="00000000">
            <w:pPr>
              <w:adjustRightInd w:val="0"/>
              <w:snapToGrid w:val="0"/>
              <w:jc w:val="center"/>
              <w:rPr>
                <w:szCs w:val="21"/>
              </w:rPr>
            </w:pPr>
            <w:r>
              <w:rPr>
                <w:szCs w:val="21"/>
              </w:rPr>
              <w:t>GB50183-2004</w:t>
            </w:r>
          </w:p>
          <w:p w14:paraId="0BF8A216" w14:textId="77777777" w:rsidR="003D6A63" w:rsidRDefault="00000000">
            <w:pPr>
              <w:adjustRightInd w:val="0"/>
              <w:snapToGrid w:val="0"/>
              <w:jc w:val="center"/>
            </w:pPr>
            <w:r>
              <w:rPr>
                <w:szCs w:val="21"/>
              </w:rPr>
              <w:t>6.1.</w:t>
            </w:r>
            <w:r>
              <w:rPr>
                <w:rFonts w:hint="eastAsia"/>
                <w:szCs w:val="21"/>
              </w:rPr>
              <w:t>8</w:t>
            </w:r>
          </w:p>
        </w:tc>
        <w:tc>
          <w:tcPr>
            <w:tcW w:w="984" w:type="pct"/>
            <w:tcBorders>
              <w:tl2br w:val="nil"/>
              <w:tr2bl w:val="nil"/>
            </w:tcBorders>
            <w:vAlign w:val="center"/>
          </w:tcPr>
          <w:p w14:paraId="5C6EE1EF" w14:textId="77777777" w:rsidR="003D6A63" w:rsidRDefault="00000000">
            <w:pPr>
              <w:adjustRightInd w:val="0"/>
              <w:snapToGrid w:val="0"/>
              <w:rPr>
                <w:szCs w:val="21"/>
              </w:rPr>
            </w:pPr>
            <w:r>
              <w:rPr>
                <w:rFonts w:ascii="宋体" w:hAnsi="宋体" w:cs="宋体" w:hint="eastAsia"/>
                <w:szCs w:val="21"/>
              </w:rPr>
              <w:t>井场高架罐基础采用非燃烧材料。</w:t>
            </w:r>
          </w:p>
        </w:tc>
        <w:tc>
          <w:tcPr>
            <w:tcW w:w="405" w:type="pct"/>
            <w:tcBorders>
              <w:tl2br w:val="nil"/>
              <w:tr2bl w:val="nil"/>
            </w:tcBorders>
            <w:vAlign w:val="center"/>
          </w:tcPr>
          <w:p w14:paraId="24DE73A7" w14:textId="77777777" w:rsidR="003D6A63" w:rsidRDefault="00000000">
            <w:pPr>
              <w:adjustRightInd w:val="0"/>
              <w:snapToGrid w:val="0"/>
              <w:jc w:val="center"/>
              <w:rPr>
                <w:szCs w:val="21"/>
              </w:rPr>
            </w:pPr>
            <w:r>
              <w:rPr>
                <w:rFonts w:ascii="宋体" w:hAnsi="宋体" w:cs="宋体" w:hint="eastAsia"/>
                <w:szCs w:val="21"/>
              </w:rPr>
              <w:t>√</w:t>
            </w:r>
          </w:p>
        </w:tc>
      </w:tr>
      <w:tr w:rsidR="003D6A63" w14:paraId="1F8B05FE" w14:textId="77777777">
        <w:trPr>
          <w:trHeight w:val="340"/>
          <w:jc w:val="center"/>
        </w:trPr>
        <w:tc>
          <w:tcPr>
            <w:tcW w:w="333" w:type="pct"/>
            <w:tcBorders>
              <w:tl2br w:val="nil"/>
              <w:tr2bl w:val="nil"/>
            </w:tcBorders>
            <w:vAlign w:val="center"/>
          </w:tcPr>
          <w:p w14:paraId="10D4A1DC"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4852325D" w14:textId="77777777" w:rsidR="003D6A63" w:rsidRDefault="00000000">
            <w:pPr>
              <w:adjustRightInd w:val="0"/>
              <w:snapToGrid w:val="0"/>
            </w:pPr>
            <w:r>
              <w:rPr>
                <w:rFonts w:ascii="宋体" w:hAnsi="宋体" w:cs="宋体" w:hint="eastAsia"/>
                <w:szCs w:val="21"/>
              </w:rPr>
              <w:t>油品储罐应设液位计和高液位报警装置，必要时可设自动联锁切断进液装置。油品储罐宜设自动截油排水器。</w:t>
            </w:r>
          </w:p>
        </w:tc>
        <w:tc>
          <w:tcPr>
            <w:tcW w:w="963" w:type="pct"/>
            <w:tcBorders>
              <w:tl2br w:val="nil"/>
              <w:tr2bl w:val="nil"/>
            </w:tcBorders>
            <w:vAlign w:val="center"/>
          </w:tcPr>
          <w:p w14:paraId="1462F187" w14:textId="77777777" w:rsidR="003D6A63" w:rsidRDefault="00000000">
            <w:pPr>
              <w:adjustRightInd w:val="0"/>
              <w:snapToGrid w:val="0"/>
              <w:jc w:val="center"/>
              <w:rPr>
                <w:szCs w:val="21"/>
              </w:rPr>
            </w:pPr>
            <w:r>
              <w:rPr>
                <w:szCs w:val="21"/>
              </w:rPr>
              <w:t>GB50183-2004</w:t>
            </w:r>
          </w:p>
          <w:p w14:paraId="32D8966B" w14:textId="77777777" w:rsidR="003D6A63" w:rsidRDefault="00000000">
            <w:pPr>
              <w:adjustRightInd w:val="0"/>
              <w:snapToGrid w:val="0"/>
              <w:jc w:val="center"/>
            </w:pPr>
            <w:r>
              <w:rPr>
                <w:szCs w:val="21"/>
              </w:rPr>
              <w:t>6.1.</w:t>
            </w:r>
            <w:r>
              <w:rPr>
                <w:rFonts w:hint="eastAsia"/>
                <w:szCs w:val="21"/>
              </w:rPr>
              <w:t>10</w:t>
            </w:r>
          </w:p>
        </w:tc>
        <w:tc>
          <w:tcPr>
            <w:tcW w:w="984" w:type="pct"/>
            <w:tcBorders>
              <w:tl2br w:val="nil"/>
              <w:tr2bl w:val="nil"/>
            </w:tcBorders>
            <w:vAlign w:val="center"/>
          </w:tcPr>
          <w:p w14:paraId="3A0F6090" w14:textId="77777777" w:rsidR="003D6A63" w:rsidRDefault="00000000">
            <w:pPr>
              <w:adjustRightInd w:val="0"/>
              <w:snapToGrid w:val="0"/>
              <w:rPr>
                <w:szCs w:val="21"/>
              </w:rPr>
            </w:pPr>
            <w:r>
              <w:rPr>
                <w:rFonts w:ascii="宋体" w:hAnsi="宋体" w:cs="宋体" w:hint="eastAsia"/>
                <w:szCs w:val="21"/>
              </w:rPr>
              <w:t>滨603-X13井场、王73-X3井场、王73-P6井场高架油罐设置有液位计，但未设置高液位</w:t>
            </w:r>
            <w:r>
              <w:rPr>
                <w:rFonts w:ascii="宋体" w:hAnsi="宋体" w:cs="宋体" w:hint="eastAsia"/>
                <w:szCs w:val="21"/>
              </w:rPr>
              <w:lastRenderedPageBreak/>
              <w:t>报警。</w:t>
            </w:r>
          </w:p>
        </w:tc>
        <w:tc>
          <w:tcPr>
            <w:tcW w:w="405" w:type="pct"/>
            <w:tcBorders>
              <w:tl2br w:val="nil"/>
              <w:tr2bl w:val="nil"/>
            </w:tcBorders>
            <w:vAlign w:val="center"/>
          </w:tcPr>
          <w:p w14:paraId="7AF8380B" w14:textId="77777777" w:rsidR="003D6A63" w:rsidRDefault="00000000">
            <w:pPr>
              <w:adjustRightInd w:val="0"/>
              <w:snapToGrid w:val="0"/>
              <w:jc w:val="center"/>
              <w:rPr>
                <w:szCs w:val="21"/>
              </w:rPr>
            </w:pPr>
            <w:r>
              <w:rPr>
                <w:rFonts w:ascii="宋体" w:hAnsi="宋体" w:cs="宋体" w:hint="eastAsia"/>
                <w:b/>
                <w:bCs/>
                <w:szCs w:val="21"/>
              </w:rPr>
              <w:lastRenderedPageBreak/>
              <w:t>×</w:t>
            </w:r>
          </w:p>
        </w:tc>
      </w:tr>
      <w:tr w:rsidR="003D6A63" w14:paraId="12BBC4C0" w14:textId="77777777">
        <w:trPr>
          <w:trHeight w:val="340"/>
          <w:jc w:val="center"/>
        </w:trPr>
        <w:tc>
          <w:tcPr>
            <w:tcW w:w="333" w:type="pct"/>
            <w:tcBorders>
              <w:tl2br w:val="nil"/>
              <w:tr2bl w:val="nil"/>
            </w:tcBorders>
            <w:vAlign w:val="center"/>
          </w:tcPr>
          <w:p w14:paraId="3371AED3"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2B4CAE6B" w14:textId="77777777" w:rsidR="003D6A63" w:rsidRDefault="00000000">
            <w:pPr>
              <w:adjustRightInd w:val="0"/>
              <w:snapToGrid w:val="0"/>
            </w:pPr>
            <w:r>
              <w:rPr>
                <w:rFonts w:ascii="宋体" w:hAnsi="宋体" w:cs="宋体" w:hint="eastAsia"/>
                <w:szCs w:val="21"/>
              </w:rPr>
              <w:t>油品储罐应为地上式钢罐。</w:t>
            </w:r>
          </w:p>
        </w:tc>
        <w:tc>
          <w:tcPr>
            <w:tcW w:w="963" w:type="pct"/>
            <w:tcBorders>
              <w:tl2br w:val="nil"/>
              <w:tr2bl w:val="nil"/>
            </w:tcBorders>
            <w:vAlign w:val="center"/>
          </w:tcPr>
          <w:p w14:paraId="37CC0993" w14:textId="77777777" w:rsidR="003D6A63" w:rsidRDefault="00000000">
            <w:pPr>
              <w:adjustRightInd w:val="0"/>
              <w:snapToGrid w:val="0"/>
              <w:jc w:val="center"/>
              <w:rPr>
                <w:szCs w:val="21"/>
              </w:rPr>
            </w:pPr>
            <w:r>
              <w:rPr>
                <w:szCs w:val="21"/>
              </w:rPr>
              <w:t>GB50183-2004</w:t>
            </w:r>
          </w:p>
          <w:p w14:paraId="299829EA" w14:textId="77777777" w:rsidR="003D6A63" w:rsidRDefault="00000000">
            <w:pPr>
              <w:adjustRightInd w:val="0"/>
              <w:snapToGrid w:val="0"/>
              <w:jc w:val="center"/>
            </w:pPr>
            <w:r>
              <w:rPr>
                <w:szCs w:val="21"/>
              </w:rPr>
              <w:t>6.</w:t>
            </w:r>
            <w:r>
              <w:rPr>
                <w:rFonts w:hint="eastAsia"/>
                <w:szCs w:val="21"/>
              </w:rPr>
              <w:t>5</w:t>
            </w:r>
            <w:r>
              <w:rPr>
                <w:szCs w:val="21"/>
              </w:rPr>
              <w:t>.</w:t>
            </w:r>
            <w:r>
              <w:rPr>
                <w:rFonts w:hint="eastAsia"/>
                <w:szCs w:val="21"/>
              </w:rPr>
              <w:t>1</w:t>
            </w:r>
          </w:p>
        </w:tc>
        <w:tc>
          <w:tcPr>
            <w:tcW w:w="984" w:type="pct"/>
            <w:tcBorders>
              <w:tl2br w:val="nil"/>
              <w:tr2bl w:val="nil"/>
            </w:tcBorders>
            <w:vAlign w:val="center"/>
          </w:tcPr>
          <w:p w14:paraId="4D8CC3DC" w14:textId="77777777" w:rsidR="003D6A63" w:rsidRDefault="00000000">
            <w:pPr>
              <w:adjustRightInd w:val="0"/>
              <w:snapToGrid w:val="0"/>
              <w:rPr>
                <w:szCs w:val="21"/>
              </w:rPr>
            </w:pPr>
            <w:r>
              <w:rPr>
                <w:rFonts w:ascii="宋体" w:hAnsi="宋体" w:cs="宋体" w:hint="eastAsia"/>
                <w:szCs w:val="21"/>
              </w:rPr>
              <w:t>井场拉油罐为高架油罐。</w:t>
            </w:r>
          </w:p>
        </w:tc>
        <w:tc>
          <w:tcPr>
            <w:tcW w:w="405" w:type="pct"/>
            <w:tcBorders>
              <w:tl2br w:val="nil"/>
              <w:tr2bl w:val="nil"/>
            </w:tcBorders>
            <w:vAlign w:val="center"/>
          </w:tcPr>
          <w:p w14:paraId="2C429E33" w14:textId="77777777" w:rsidR="003D6A63" w:rsidRDefault="00000000">
            <w:pPr>
              <w:adjustRightInd w:val="0"/>
              <w:snapToGrid w:val="0"/>
              <w:jc w:val="center"/>
              <w:rPr>
                <w:szCs w:val="21"/>
              </w:rPr>
            </w:pPr>
            <w:r>
              <w:rPr>
                <w:rFonts w:ascii="宋体" w:hAnsi="宋体" w:cs="宋体" w:hint="eastAsia"/>
                <w:szCs w:val="21"/>
              </w:rPr>
              <w:t>√</w:t>
            </w:r>
          </w:p>
        </w:tc>
      </w:tr>
      <w:tr w:rsidR="003D6A63" w14:paraId="5259F43E" w14:textId="77777777">
        <w:trPr>
          <w:trHeight w:val="340"/>
          <w:jc w:val="center"/>
        </w:trPr>
        <w:tc>
          <w:tcPr>
            <w:tcW w:w="333" w:type="pct"/>
            <w:tcBorders>
              <w:tl2br w:val="nil"/>
              <w:tr2bl w:val="nil"/>
            </w:tcBorders>
            <w:vAlign w:val="center"/>
          </w:tcPr>
          <w:p w14:paraId="4877B265" w14:textId="77777777" w:rsidR="003D6A63" w:rsidRDefault="00000000">
            <w:pPr>
              <w:adjustRightInd w:val="0"/>
              <w:snapToGrid w:val="0"/>
              <w:jc w:val="center"/>
              <w:rPr>
                <w:b/>
                <w:bCs/>
                <w:szCs w:val="21"/>
              </w:rPr>
            </w:pPr>
            <w:r>
              <w:rPr>
                <w:rFonts w:hint="eastAsia"/>
                <w:b/>
                <w:bCs/>
                <w:szCs w:val="21"/>
              </w:rPr>
              <w:t>五</w:t>
            </w:r>
          </w:p>
        </w:tc>
        <w:tc>
          <w:tcPr>
            <w:tcW w:w="2313" w:type="pct"/>
            <w:tcBorders>
              <w:tl2br w:val="nil"/>
              <w:tr2bl w:val="nil"/>
            </w:tcBorders>
            <w:vAlign w:val="center"/>
          </w:tcPr>
          <w:p w14:paraId="3303B2D2" w14:textId="77777777" w:rsidR="003D6A63" w:rsidRDefault="00000000">
            <w:pPr>
              <w:adjustRightInd w:val="0"/>
              <w:snapToGrid w:val="0"/>
              <w:rPr>
                <w:b/>
                <w:bCs/>
                <w:szCs w:val="21"/>
              </w:rPr>
            </w:pPr>
            <w:r>
              <w:rPr>
                <w:b/>
                <w:bCs/>
                <w:szCs w:val="21"/>
              </w:rPr>
              <w:t>防火防爆</w:t>
            </w:r>
          </w:p>
        </w:tc>
        <w:tc>
          <w:tcPr>
            <w:tcW w:w="963" w:type="pct"/>
            <w:tcBorders>
              <w:tl2br w:val="nil"/>
              <w:tr2bl w:val="nil"/>
            </w:tcBorders>
            <w:vAlign w:val="center"/>
          </w:tcPr>
          <w:p w14:paraId="2FEFEBDF" w14:textId="77777777" w:rsidR="003D6A63" w:rsidRDefault="003D6A63">
            <w:pPr>
              <w:adjustRightInd w:val="0"/>
              <w:snapToGrid w:val="0"/>
              <w:jc w:val="center"/>
              <w:rPr>
                <w:szCs w:val="21"/>
              </w:rPr>
            </w:pPr>
          </w:p>
        </w:tc>
        <w:tc>
          <w:tcPr>
            <w:tcW w:w="984" w:type="pct"/>
            <w:tcBorders>
              <w:tl2br w:val="nil"/>
              <w:tr2bl w:val="nil"/>
            </w:tcBorders>
            <w:vAlign w:val="center"/>
          </w:tcPr>
          <w:p w14:paraId="22388BBA" w14:textId="77777777" w:rsidR="003D6A63" w:rsidRDefault="003D6A63">
            <w:pPr>
              <w:adjustRightInd w:val="0"/>
              <w:snapToGrid w:val="0"/>
              <w:rPr>
                <w:szCs w:val="21"/>
              </w:rPr>
            </w:pPr>
          </w:p>
        </w:tc>
        <w:tc>
          <w:tcPr>
            <w:tcW w:w="405" w:type="pct"/>
            <w:tcBorders>
              <w:tl2br w:val="nil"/>
              <w:tr2bl w:val="nil"/>
            </w:tcBorders>
            <w:vAlign w:val="center"/>
          </w:tcPr>
          <w:p w14:paraId="6E551D82" w14:textId="77777777" w:rsidR="003D6A63" w:rsidRDefault="003D6A63">
            <w:pPr>
              <w:adjustRightInd w:val="0"/>
              <w:snapToGrid w:val="0"/>
              <w:rPr>
                <w:szCs w:val="21"/>
              </w:rPr>
            </w:pPr>
          </w:p>
        </w:tc>
      </w:tr>
      <w:tr w:rsidR="003D6A63" w14:paraId="5D8B5531" w14:textId="77777777">
        <w:trPr>
          <w:trHeight w:val="340"/>
          <w:jc w:val="center"/>
        </w:trPr>
        <w:tc>
          <w:tcPr>
            <w:tcW w:w="333" w:type="pct"/>
            <w:tcBorders>
              <w:tl2br w:val="nil"/>
              <w:tr2bl w:val="nil"/>
            </w:tcBorders>
            <w:vAlign w:val="center"/>
          </w:tcPr>
          <w:p w14:paraId="5FFBDDA4"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5C72C4BA" w14:textId="77777777" w:rsidR="003D6A63" w:rsidRDefault="00000000">
            <w:pPr>
              <w:adjustRightInd w:val="0"/>
              <w:snapToGrid w:val="0"/>
            </w:pPr>
            <w:r>
              <w:t>在爆炸环境范围内应采取消除或控制设备线路产生火花、电弧、高温的措施。</w:t>
            </w:r>
          </w:p>
        </w:tc>
        <w:tc>
          <w:tcPr>
            <w:tcW w:w="963" w:type="pct"/>
            <w:tcBorders>
              <w:tl2br w:val="nil"/>
              <w:tr2bl w:val="nil"/>
            </w:tcBorders>
            <w:vAlign w:val="center"/>
          </w:tcPr>
          <w:p w14:paraId="39F1FFD8" w14:textId="77777777" w:rsidR="003D6A63" w:rsidRDefault="00000000">
            <w:pPr>
              <w:adjustRightInd w:val="0"/>
              <w:snapToGrid w:val="0"/>
              <w:jc w:val="center"/>
            </w:pPr>
            <w:r>
              <w:t>GB50058-2014</w:t>
            </w:r>
          </w:p>
          <w:p w14:paraId="13F0C701" w14:textId="77777777" w:rsidR="003D6A63" w:rsidRDefault="00000000">
            <w:pPr>
              <w:adjustRightInd w:val="0"/>
              <w:snapToGrid w:val="0"/>
              <w:jc w:val="center"/>
            </w:pPr>
            <w:r>
              <w:t>3.1.3.4</w:t>
            </w:r>
          </w:p>
        </w:tc>
        <w:tc>
          <w:tcPr>
            <w:tcW w:w="984" w:type="pct"/>
            <w:tcBorders>
              <w:tl2br w:val="nil"/>
              <w:tr2bl w:val="nil"/>
            </w:tcBorders>
            <w:vAlign w:val="center"/>
          </w:tcPr>
          <w:p w14:paraId="170F3A6C" w14:textId="77777777" w:rsidR="003D6A63" w:rsidRDefault="00000000">
            <w:pPr>
              <w:adjustRightInd w:val="0"/>
              <w:snapToGrid w:val="0"/>
              <w:rPr>
                <w:szCs w:val="21"/>
              </w:rPr>
            </w:pPr>
            <w:r>
              <w:rPr>
                <w:rFonts w:hint="eastAsia"/>
                <w:szCs w:val="21"/>
              </w:rPr>
              <w:t>设备线路接口采用防爆胶泥封堵。</w:t>
            </w:r>
          </w:p>
        </w:tc>
        <w:tc>
          <w:tcPr>
            <w:tcW w:w="405" w:type="pct"/>
            <w:tcBorders>
              <w:tl2br w:val="nil"/>
              <w:tr2bl w:val="nil"/>
            </w:tcBorders>
            <w:vAlign w:val="center"/>
          </w:tcPr>
          <w:p w14:paraId="3E40F888" w14:textId="77777777" w:rsidR="003D6A63" w:rsidRDefault="00000000">
            <w:pPr>
              <w:adjustRightInd w:val="0"/>
              <w:snapToGrid w:val="0"/>
              <w:jc w:val="center"/>
              <w:rPr>
                <w:szCs w:val="21"/>
              </w:rPr>
            </w:pPr>
            <w:r>
              <w:rPr>
                <w:rFonts w:hint="eastAsia"/>
                <w:szCs w:val="21"/>
              </w:rPr>
              <w:t>√</w:t>
            </w:r>
          </w:p>
        </w:tc>
      </w:tr>
      <w:tr w:rsidR="003D6A63" w14:paraId="177EFB1D" w14:textId="77777777">
        <w:trPr>
          <w:trHeight w:val="340"/>
          <w:jc w:val="center"/>
        </w:trPr>
        <w:tc>
          <w:tcPr>
            <w:tcW w:w="333" w:type="pct"/>
            <w:tcBorders>
              <w:tl2br w:val="nil"/>
              <w:tr2bl w:val="nil"/>
            </w:tcBorders>
            <w:vAlign w:val="center"/>
          </w:tcPr>
          <w:p w14:paraId="45502632"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2ED62D7F" w14:textId="77777777" w:rsidR="003D6A63" w:rsidRDefault="00000000">
            <w:pPr>
              <w:adjustRightInd w:val="0"/>
              <w:snapToGrid w:val="0"/>
              <w:rPr>
                <w:kern w:val="0"/>
                <w:szCs w:val="21"/>
              </w:rPr>
            </w:pPr>
            <w:r>
              <w:rPr>
                <w:kern w:val="0"/>
                <w:szCs w:val="21"/>
              </w:rPr>
              <w:t>在爆炸性环境内，电气设备应根据下列因素进行选择：</w:t>
            </w:r>
          </w:p>
          <w:p w14:paraId="699C391A" w14:textId="77777777" w:rsidR="003D6A63" w:rsidRDefault="00000000">
            <w:pPr>
              <w:adjustRightInd w:val="0"/>
              <w:snapToGrid w:val="0"/>
              <w:rPr>
                <w:kern w:val="0"/>
                <w:szCs w:val="21"/>
              </w:rPr>
            </w:pPr>
            <w:r>
              <w:rPr>
                <w:kern w:val="0"/>
                <w:szCs w:val="21"/>
              </w:rPr>
              <w:t>1.</w:t>
            </w:r>
            <w:r>
              <w:rPr>
                <w:kern w:val="0"/>
                <w:szCs w:val="21"/>
              </w:rPr>
              <w:t>爆炸危险区域的分区；</w:t>
            </w:r>
          </w:p>
          <w:p w14:paraId="29477DBA" w14:textId="77777777" w:rsidR="003D6A63" w:rsidRDefault="00000000">
            <w:pPr>
              <w:adjustRightInd w:val="0"/>
              <w:snapToGrid w:val="0"/>
              <w:rPr>
                <w:kern w:val="0"/>
                <w:szCs w:val="21"/>
              </w:rPr>
            </w:pPr>
            <w:r>
              <w:rPr>
                <w:kern w:val="0"/>
                <w:szCs w:val="21"/>
              </w:rPr>
              <w:t>2.</w:t>
            </w:r>
            <w:r>
              <w:rPr>
                <w:kern w:val="0"/>
                <w:szCs w:val="21"/>
              </w:rPr>
              <w:t>可燃性物质和可燃性粉尘的分级；</w:t>
            </w:r>
          </w:p>
          <w:p w14:paraId="36AF15E6" w14:textId="77777777" w:rsidR="003D6A63" w:rsidRDefault="00000000">
            <w:pPr>
              <w:adjustRightInd w:val="0"/>
              <w:snapToGrid w:val="0"/>
              <w:rPr>
                <w:kern w:val="0"/>
                <w:szCs w:val="21"/>
              </w:rPr>
            </w:pPr>
            <w:r>
              <w:rPr>
                <w:kern w:val="0"/>
                <w:szCs w:val="21"/>
              </w:rPr>
              <w:t>3.</w:t>
            </w:r>
            <w:r>
              <w:rPr>
                <w:kern w:val="0"/>
                <w:szCs w:val="21"/>
              </w:rPr>
              <w:t>可燃性物质的引燃温度；</w:t>
            </w:r>
          </w:p>
          <w:p w14:paraId="75E7DD69" w14:textId="77777777" w:rsidR="003D6A63" w:rsidRDefault="00000000">
            <w:pPr>
              <w:adjustRightInd w:val="0"/>
              <w:snapToGrid w:val="0"/>
              <w:rPr>
                <w:kern w:val="0"/>
                <w:szCs w:val="21"/>
              </w:rPr>
            </w:pPr>
            <w:r>
              <w:rPr>
                <w:kern w:val="0"/>
                <w:szCs w:val="21"/>
              </w:rPr>
              <w:t>4.</w:t>
            </w:r>
            <w:r>
              <w:rPr>
                <w:kern w:val="0"/>
                <w:szCs w:val="21"/>
              </w:rPr>
              <w:t>可燃性粉尘云、可燃性粉尘层的最低引燃温度。</w:t>
            </w:r>
          </w:p>
        </w:tc>
        <w:tc>
          <w:tcPr>
            <w:tcW w:w="963" w:type="pct"/>
            <w:tcBorders>
              <w:tl2br w:val="nil"/>
              <w:tr2bl w:val="nil"/>
            </w:tcBorders>
            <w:vAlign w:val="center"/>
          </w:tcPr>
          <w:p w14:paraId="5B260293" w14:textId="77777777" w:rsidR="003D6A63" w:rsidRDefault="00000000">
            <w:pPr>
              <w:adjustRightInd w:val="0"/>
              <w:snapToGrid w:val="0"/>
              <w:jc w:val="center"/>
            </w:pPr>
            <w:r>
              <w:t>GB50058-2014</w:t>
            </w:r>
          </w:p>
          <w:p w14:paraId="5C3D9DF0" w14:textId="77777777" w:rsidR="003D6A63" w:rsidRDefault="00000000">
            <w:pPr>
              <w:adjustRightInd w:val="0"/>
              <w:snapToGrid w:val="0"/>
              <w:jc w:val="center"/>
              <w:rPr>
                <w:highlight w:val="yellow"/>
              </w:rPr>
            </w:pPr>
            <w:r>
              <w:t>5.2.1</w:t>
            </w:r>
          </w:p>
        </w:tc>
        <w:tc>
          <w:tcPr>
            <w:tcW w:w="984" w:type="pct"/>
            <w:tcBorders>
              <w:tl2br w:val="nil"/>
              <w:tr2bl w:val="nil"/>
            </w:tcBorders>
            <w:vAlign w:val="center"/>
          </w:tcPr>
          <w:p w14:paraId="42E0E68A" w14:textId="77777777" w:rsidR="003D6A63" w:rsidRDefault="00000000">
            <w:pPr>
              <w:adjustRightInd w:val="0"/>
              <w:snapToGrid w:val="0"/>
              <w:rPr>
                <w:szCs w:val="21"/>
              </w:rPr>
            </w:pPr>
            <w:r>
              <w:rPr>
                <w:rFonts w:hint="eastAsia"/>
                <w:szCs w:val="21"/>
              </w:rPr>
              <w:t>计量间及防爆危险区域内均为防爆设备。</w:t>
            </w:r>
          </w:p>
        </w:tc>
        <w:tc>
          <w:tcPr>
            <w:tcW w:w="405" w:type="pct"/>
            <w:tcBorders>
              <w:tl2br w:val="nil"/>
              <w:tr2bl w:val="nil"/>
            </w:tcBorders>
            <w:vAlign w:val="center"/>
          </w:tcPr>
          <w:p w14:paraId="48F91A9E" w14:textId="77777777" w:rsidR="003D6A63" w:rsidRDefault="00000000">
            <w:pPr>
              <w:adjustRightInd w:val="0"/>
              <w:snapToGrid w:val="0"/>
              <w:jc w:val="center"/>
              <w:rPr>
                <w:szCs w:val="21"/>
              </w:rPr>
            </w:pPr>
            <w:r>
              <w:rPr>
                <w:rFonts w:hint="eastAsia"/>
                <w:szCs w:val="21"/>
              </w:rPr>
              <w:t>√</w:t>
            </w:r>
          </w:p>
        </w:tc>
      </w:tr>
      <w:tr w:rsidR="003D6A63" w14:paraId="3EDA546E" w14:textId="77777777">
        <w:trPr>
          <w:trHeight w:val="340"/>
          <w:jc w:val="center"/>
        </w:trPr>
        <w:tc>
          <w:tcPr>
            <w:tcW w:w="333" w:type="pct"/>
            <w:tcBorders>
              <w:tl2br w:val="nil"/>
              <w:tr2bl w:val="nil"/>
            </w:tcBorders>
            <w:vAlign w:val="center"/>
          </w:tcPr>
          <w:p w14:paraId="7D744798"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70EB9E08" w14:textId="77777777" w:rsidR="003D6A63" w:rsidRDefault="00000000">
            <w:pPr>
              <w:adjustRightInd w:val="0"/>
              <w:snapToGrid w:val="0"/>
              <w:jc w:val="left"/>
              <w:rPr>
                <w:szCs w:val="21"/>
              </w:rPr>
            </w:pPr>
            <w:r>
              <w:rPr>
                <w:rFonts w:eastAsiaTheme="minorEastAsia" w:hint="eastAsia"/>
                <w:szCs w:val="21"/>
                <w:lang w:bidi="en-US"/>
              </w:rPr>
              <w:t>静电危险场所要</w:t>
            </w:r>
            <w:r>
              <w:rPr>
                <w:rFonts w:hint="eastAsia"/>
                <w:szCs w:val="21"/>
                <w:lang w:bidi="en-US"/>
              </w:rPr>
              <w:t>使</w:t>
            </w:r>
            <w:r>
              <w:rPr>
                <w:rFonts w:eastAsiaTheme="minorEastAsia" w:hint="eastAsia"/>
                <w:szCs w:val="21"/>
                <w:lang w:bidi="en-US"/>
              </w:rPr>
              <w:t>用防爆型静电消除器。</w:t>
            </w:r>
          </w:p>
        </w:tc>
        <w:tc>
          <w:tcPr>
            <w:tcW w:w="963" w:type="pct"/>
            <w:tcBorders>
              <w:tl2br w:val="nil"/>
              <w:tr2bl w:val="nil"/>
            </w:tcBorders>
            <w:vAlign w:val="center"/>
          </w:tcPr>
          <w:p w14:paraId="1A1A9703" w14:textId="77777777" w:rsidR="003D6A63" w:rsidRDefault="00000000">
            <w:pPr>
              <w:adjustRightInd w:val="0"/>
              <w:snapToGrid w:val="0"/>
              <w:jc w:val="center"/>
              <w:rPr>
                <w:kern w:val="0"/>
                <w:szCs w:val="21"/>
              </w:rPr>
            </w:pPr>
            <w:r>
              <w:rPr>
                <w:rFonts w:hint="eastAsia"/>
                <w:kern w:val="0"/>
                <w:szCs w:val="21"/>
              </w:rPr>
              <w:t>GB12158-2006</w:t>
            </w:r>
          </w:p>
          <w:p w14:paraId="09201C8B" w14:textId="77777777" w:rsidR="003D6A63" w:rsidRDefault="00000000">
            <w:pPr>
              <w:adjustRightInd w:val="0"/>
              <w:snapToGrid w:val="0"/>
              <w:jc w:val="center"/>
              <w:rPr>
                <w:szCs w:val="21"/>
              </w:rPr>
            </w:pPr>
            <w:r>
              <w:rPr>
                <w:rFonts w:hint="eastAsia"/>
                <w:kern w:val="0"/>
                <w:szCs w:val="21"/>
              </w:rPr>
              <w:t>6.1.10</w:t>
            </w:r>
          </w:p>
        </w:tc>
        <w:tc>
          <w:tcPr>
            <w:tcW w:w="984" w:type="pct"/>
            <w:tcBorders>
              <w:tl2br w:val="nil"/>
              <w:tr2bl w:val="nil"/>
            </w:tcBorders>
            <w:vAlign w:val="center"/>
          </w:tcPr>
          <w:p w14:paraId="2FF3BACB" w14:textId="77777777" w:rsidR="003D6A63" w:rsidRDefault="00000000">
            <w:pPr>
              <w:adjustRightInd w:val="0"/>
              <w:snapToGrid w:val="0"/>
              <w:rPr>
                <w:szCs w:val="21"/>
              </w:rPr>
            </w:pPr>
            <w:r>
              <w:rPr>
                <w:rFonts w:hint="eastAsia"/>
                <w:szCs w:val="21"/>
                <w:lang w:bidi="en-US"/>
              </w:rPr>
              <w:t>滨</w:t>
            </w:r>
            <w:r>
              <w:rPr>
                <w:rFonts w:hint="eastAsia"/>
                <w:szCs w:val="21"/>
                <w:lang w:bidi="en-US"/>
              </w:rPr>
              <w:t>603-X13</w:t>
            </w:r>
            <w:r>
              <w:rPr>
                <w:rFonts w:hint="eastAsia"/>
                <w:szCs w:val="21"/>
                <w:lang w:bidi="en-US"/>
              </w:rPr>
              <w:t>高架拉油罐旁静电释放器为非防爆型。</w:t>
            </w:r>
          </w:p>
        </w:tc>
        <w:tc>
          <w:tcPr>
            <w:tcW w:w="405" w:type="pct"/>
            <w:tcBorders>
              <w:tl2br w:val="nil"/>
              <w:tr2bl w:val="nil"/>
            </w:tcBorders>
            <w:vAlign w:val="center"/>
          </w:tcPr>
          <w:p w14:paraId="3451BD5C" w14:textId="77777777" w:rsidR="003D6A63" w:rsidRDefault="00000000">
            <w:pPr>
              <w:adjustRightInd w:val="0"/>
              <w:snapToGrid w:val="0"/>
              <w:jc w:val="center"/>
              <w:rPr>
                <w:szCs w:val="21"/>
              </w:rPr>
            </w:pPr>
            <w:r>
              <w:rPr>
                <w:rFonts w:hint="eastAsia"/>
                <w:b/>
                <w:bCs/>
                <w:szCs w:val="21"/>
              </w:rPr>
              <w:t>×</w:t>
            </w:r>
          </w:p>
        </w:tc>
      </w:tr>
      <w:tr w:rsidR="003D6A63" w14:paraId="691A8053" w14:textId="77777777">
        <w:trPr>
          <w:trHeight w:val="340"/>
          <w:jc w:val="center"/>
        </w:trPr>
        <w:tc>
          <w:tcPr>
            <w:tcW w:w="333" w:type="pct"/>
            <w:tcBorders>
              <w:tl2br w:val="nil"/>
              <w:tr2bl w:val="nil"/>
            </w:tcBorders>
            <w:vAlign w:val="center"/>
          </w:tcPr>
          <w:p w14:paraId="58E5C9EA"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027FFA91" w14:textId="77777777" w:rsidR="003D6A63" w:rsidRDefault="00000000">
            <w:pPr>
              <w:adjustRightInd w:val="0"/>
              <w:snapToGrid w:val="0"/>
              <w:jc w:val="left"/>
              <w:rPr>
                <w:szCs w:val="21"/>
              </w:rPr>
            </w:pPr>
            <w:r>
              <w:rPr>
                <w:szCs w:val="21"/>
              </w:rPr>
              <w:t>机动车辆进入生产区，排气管应安装阻火器。</w:t>
            </w:r>
          </w:p>
        </w:tc>
        <w:tc>
          <w:tcPr>
            <w:tcW w:w="963" w:type="pct"/>
            <w:tcBorders>
              <w:tl2br w:val="nil"/>
              <w:tr2bl w:val="nil"/>
            </w:tcBorders>
            <w:vAlign w:val="center"/>
          </w:tcPr>
          <w:p w14:paraId="02BC3704" w14:textId="77777777" w:rsidR="003D6A63" w:rsidRDefault="00000000">
            <w:pPr>
              <w:adjustRightInd w:val="0"/>
              <w:snapToGrid w:val="0"/>
              <w:jc w:val="center"/>
              <w:rPr>
                <w:szCs w:val="21"/>
              </w:rPr>
            </w:pPr>
            <w:r>
              <w:rPr>
                <w:szCs w:val="21"/>
              </w:rPr>
              <w:t>SY/T5225-2019</w:t>
            </w:r>
          </w:p>
          <w:p w14:paraId="099739A0" w14:textId="77777777" w:rsidR="003D6A63" w:rsidRDefault="00000000">
            <w:pPr>
              <w:adjustRightInd w:val="0"/>
              <w:snapToGrid w:val="0"/>
              <w:jc w:val="center"/>
              <w:rPr>
                <w:szCs w:val="21"/>
              </w:rPr>
            </w:pPr>
            <w:r>
              <w:rPr>
                <w:szCs w:val="21"/>
              </w:rPr>
              <w:t>7.1.2.6</w:t>
            </w:r>
          </w:p>
        </w:tc>
        <w:tc>
          <w:tcPr>
            <w:tcW w:w="984" w:type="pct"/>
            <w:tcBorders>
              <w:tl2br w:val="nil"/>
              <w:tr2bl w:val="nil"/>
            </w:tcBorders>
            <w:vAlign w:val="center"/>
          </w:tcPr>
          <w:p w14:paraId="098A56D6" w14:textId="77777777" w:rsidR="003D6A63" w:rsidRDefault="00000000">
            <w:pPr>
              <w:adjustRightInd w:val="0"/>
              <w:snapToGrid w:val="0"/>
              <w:rPr>
                <w:szCs w:val="21"/>
              </w:rPr>
            </w:pPr>
            <w:r>
              <w:rPr>
                <w:rFonts w:hint="eastAsia"/>
                <w:szCs w:val="21"/>
              </w:rPr>
              <w:t>进入生产区的机动车排气管安装有阻火器。</w:t>
            </w:r>
          </w:p>
        </w:tc>
        <w:tc>
          <w:tcPr>
            <w:tcW w:w="405" w:type="pct"/>
            <w:tcBorders>
              <w:tl2br w:val="nil"/>
              <w:tr2bl w:val="nil"/>
            </w:tcBorders>
            <w:vAlign w:val="center"/>
          </w:tcPr>
          <w:p w14:paraId="1B3205F0" w14:textId="77777777" w:rsidR="003D6A63" w:rsidRDefault="00000000">
            <w:pPr>
              <w:adjustRightInd w:val="0"/>
              <w:snapToGrid w:val="0"/>
              <w:jc w:val="center"/>
              <w:rPr>
                <w:szCs w:val="21"/>
              </w:rPr>
            </w:pPr>
            <w:r>
              <w:rPr>
                <w:rFonts w:hint="eastAsia"/>
                <w:szCs w:val="21"/>
              </w:rPr>
              <w:t>√</w:t>
            </w:r>
          </w:p>
        </w:tc>
      </w:tr>
      <w:tr w:rsidR="003D6A63" w14:paraId="361064ED" w14:textId="77777777">
        <w:trPr>
          <w:trHeight w:val="340"/>
          <w:jc w:val="center"/>
        </w:trPr>
        <w:tc>
          <w:tcPr>
            <w:tcW w:w="333" w:type="pct"/>
            <w:tcBorders>
              <w:tl2br w:val="nil"/>
              <w:tr2bl w:val="nil"/>
            </w:tcBorders>
            <w:vAlign w:val="center"/>
          </w:tcPr>
          <w:p w14:paraId="38B9EA5C"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4F60AF13" w14:textId="77777777" w:rsidR="003D6A63" w:rsidRDefault="00000000">
            <w:pPr>
              <w:adjustRightInd w:val="0"/>
              <w:snapToGrid w:val="0"/>
              <w:rPr>
                <w:szCs w:val="21"/>
              </w:rPr>
            </w:pPr>
            <w:r>
              <w:rPr>
                <w:szCs w:val="21"/>
              </w:rPr>
              <w:t>电缆的穿墙处保护管两端应采用难燃材料封堵。</w:t>
            </w:r>
          </w:p>
        </w:tc>
        <w:tc>
          <w:tcPr>
            <w:tcW w:w="963" w:type="pct"/>
            <w:tcBorders>
              <w:tl2br w:val="nil"/>
              <w:tr2bl w:val="nil"/>
            </w:tcBorders>
            <w:vAlign w:val="center"/>
          </w:tcPr>
          <w:p w14:paraId="4B295C12" w14:textId="77777777" w:rsidR="003D6A63" w:rsidRDefault="00000000">
            <w:pPr>
              <w:adjustRightInd w:val="0"/>
              <w:snapToGrid w:val="0"/>
              <w:jc w:val="center"/>
              <w:rPr>
                <w:szCs w:val="21"/>
              </w:rPr>
            </w:pPr>
            <w:r>
              <w:rPr>
                <w:szCs w:val="21"/>
              </w:rPr>
              <w:t>GB50054-2011</w:t>
            </w:r>
          </w:p>
          <w:p w14:paraId="0CBDF529" w14:textId="77777777" w:rsidR="003D6A63" w:rsidRDefault="00000000">
            <w:pPr>
              <w:adjustRightInd w:val="0"/>
              <w:snapToGrid w:val="0"/>
              <w:jc w:val="center"/>
              <w:rPr>
                <w:szCs w:val="21"/>
              </w:rPr>
            </w:pPr>
            <w:r>
              <w:rPr>
                <w:szCs w:val="21"/>
              </w:rPr>
              <w:t>7.6.28</w:t>
            </w:r>
          </w:p>
        </w:tc>
        <w:tc>
          <w:tcPr>
            <w:tcW w:w="984" w:type="pct"/>
            <w:tcBorders>
              <w:tl2br w:val="nil"/>
              <w:tr2bl w:val="nil"/>
            </w:tcBorders>
            <w:vAlign w:val="center"/>
          </w:tcPr>
          <w:p w14:paraId="6E72D878" w14:textId="77777777" w:rsidR="003D6A63" w:rsidRDefault="00000000">
            <w:pPr>
              <w:adjustRightInd w:val="0"/>
              <w:snapToGrid w:val="0"/>
              <w:rPr>
                <w:szCs w:val="21"/>
              </w:rPr>
            </w:pPr>
            <w:r>
              <w:rPr>
                <w:szCs w:val="21"/>
              </w:rPr>
              <w:t>电缆的穿墙处</w:t>
            </w:r>
            <w:r>
              <w:rPr>
                <w:rFonts w:hint="eastAsia"/>
                <w:szCs w:val="21"/>
              </w:rPr>
              <w:t>均</w:t>
            </w:r>
            <w:r>
              <w:rPr>
                <w:szCs w:val="21"/>
              </w:rPr>
              <w:t>采用难燃材料封堵。</w:t>
            </w:r>
          </w:p>
        </w:tc>
        <w:tc>
          <w:tcPr>
            <w:tcW w:w="405" w:type="pct"/>
            <w:tcBorders>
              <w:tl2br w:val="nil"/>
              <w:tr2bl w:val="nil"/>
            </w:tcBorders>
            <w:vAlign w:val="center"/>
          </w:tcPr>
          <w:p w14:paraId="46E764BC" w14:textId="77777777" w:rsidR="003D6A63" w:rsidRDefault="00000000">
            <w:pPr>
              <w:adjustRightInd w:val="0"/>
              <w:snapToGrid w:val="0"/>
              <w:jc w:val="center"/>
              <w:rPr>
                <w:szCs w:val="21"/>
              </w:rPr>
            </w:pPr>
            <w:r>
              <w:rPr>
                <w:rFonts w:hint="eastAsia"/>
                <w:szCs w:val="21"/>
              </w:rPr>
              <w:t>√</w:t>
            </w:r>
          </w:p>
        </w:tc>
      </w:tr>
      <w:tr w:rsidR="003D6A63" w14:paraId="30863BC7" w14:textId="77777777">
        <w:trPr>
          <w:trHeight w:val="340"/>
          <w:jc w:val="center"/>
        </w:trPr>
        <w:tc>
          <w:tcPr>
            <w:tcW w:w="333" w:type="pct"/>
            <w:tcBorders>
              <w:tl2br w:val="nil"/>
              <w:tr2bl w:val="nil"/>
            </w:tcBorders>
            <w:vAlign w:val="center"/>
          </w:tcPr>
          <w:p w14:paraId="2DFCAFC4" w14:textId="77777777" w:rsidR="003D6A63" w:rsidRDefault="00000000">
            <w:pPr>
              <w:adjustRightInd w:val="0"/>
              <w:snapToGrid w:val="0"/>
              <w:jc w:val="center"/>
              <w:rPr>
                <w:b/>
                <w:bCs/>
                <w:szCs w:val="21"/>
              </w:rPr>
            </w:pPr>
            <w:r>
              <w:rPr>
                <w:rFonts w:hint="eastAsia"/>
                <w:b/>
                <w:bCs/>
                <w:szCs w:val="21"/>
              </w:rPr>
              <w:t>六</w:t>
            </w:r>
          </w:p>
        </w:tc>
        <w:tc>
          <w:tcPr>
            <w:tcW w:w="2313" w:type="pct"/>
            <w:tcBorders>
              <w:tl2br w:val="nil"/>
              <w:tr2bl w:val="nil"/>
            </w:tcBorders>
            <w:vAlign w:val="center"/>
          </w:tcPr>
          <w:p w14:paraId="51EFB99C" w14:textId="77777777" w:rsidR="003D6A63" w:rsidRDefault="00000000">
            <w:pPr>
              <w:adjustRightInd w:val="0"/>
              <w:snapToGrid w:val="0"/>
              <w:rPr>
                <w:b/>
                <w:bCs/>
                <w:szCs w:val="21"/>
              </w:rPr>
            </w:pPr>
            <w:r>
              <w:rPr>
                <w:b/>
                <w:bCs/>
                <w:szCs w:val="21"/>
              </w:rPr>
              <w:t>防雷防静电</w:t>
            </w:r>
          </w:p>
        </w:tc>
        <w:tc>
          <w:tcPr>
            <w:tcW w:w="963" w:type="pct"/>
            <w:tcBorders>
              <w:tl2br w:val="nil"/>
              <w:tr2bl w:val="nil"/>
            </w:tcBorders>
            <w:vAlign w:val="center"/>
          </w:tcPr>
          <w:p w14:paraId="74B0737B" w14:textId="77777777" w:rsidR="003D6A63" w:rsidRDefault="003D6A63">
            <w:pPr>
              <w:adjustRightInd w:val="0"/>
              <w:snapToGrid w:val="0"/>
              <w:jc w:val="center"/>
              <w:rPr>
                <w:szCs w:val="21"/>
              </w:rPr>
            </w:pPr>
          </w:p>
        </w:tc>
        <w:tc>
          <w:tcPr>
            <w:tcW w:w="984" w:type="pct"/>
            <w:tcBorders>
              <w:tl2br w:val="nil"/>
              <w:tr2bl w:val="nil"/>
            </w:tcBorders>
            <w:vAlign w:val="center"/>
          </w:tcPr>
          <w:p w14:paraId="304B1F69" w14:textId="77777777" w:rsidR="003D6A63" w:rsidRDefault="003D6A63">
            <w:pPr>
              <w:adjustRightInd w:val="0"/>
              <w:snapToGrid w:val="0"/>
              <w:rPr>
                <w:szCs w:val="21"/>
              </w:rPr>
            </w:pPr>
          </w:p>
        </w:tc>
        <w:tc>
          <w:tcPr>
            <w:tcW w:w="405" w:type="pct"/>
            <w:tcBorders>
              <w:tl2br w:val="nil"/>
              <w:tr2bl w:val="nil"/>
            </w:tcBorders>
            <w:vAlign w:val="center"/>
          </w:tcPr>
          <w:p w14:paraId="4D00BE02" w14:textId="77777777" w:rsidR="003D6A63" w:rsidRDefault="003D6A63">
            <w:pPr>
              <w:adjustRightInd w:val="0"/>
              <w:snapToGrid w:val="0"/>
              <w:jc w:val="center"/>
              <w:rPr>
                <w:szCs w:val="21"/>
              </w:rPr>
            </w:pPr>
          </w:p>
        </w:tc>
      </w:tr>
      <w:tr w:rsidR="003D6A63" w14:paraId="43A39390" w14:textId="77777777">
        <w:trPr>
          <w:trHeight w:val="340"/>
          <w:jc w:val="center"/>
        </w:trPr>
        <w:tc>
          <w:tcPr>
            <w:tcW w:w="333" w:type="pct"/>
            <w:tcBorders>
              <w:tl2br w:val="nil"/>
              <w:tr2bl w:val="nil"/>
            </w:tcBorders>
            <w:vAlign w:val="center"/>
          </w:tcPr>
          <w:p w14:paraId="28B00E19"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05198F88" w14:textId="77777777" w:rsidR="003D6A63" w:rsidRDefault="00000000">
            <w:pPr>
              <w:adjustRightInd w:val="0"/>
              <w:snapToGrid w:val="0"/>
              <w:rPr>
                <w:szCs w:val="21"/>
              </w:rPr>
            </w:pPr>
            <w:r>
              <w:rPr>
                <w:szCs w:val="21"/>
              </w:rPr>
              <w:t>工艺装置内露天布置的塔、容器等必须设防雷接地。</w:t>
            </w:r>
          </w:p>
        </w:tc>
        <w:tc>
          <w:tcPr>
            <w:tcW w:w="963" w:type="pct"/>
            <w:tcBorders>
              <w:tl2br w:val="nil"/>
              <w:tr2bl w:val="nil"/>
            </w:tcBorders>
            <w:vAlign w:val="center"/>
          </w:tcPr>
          <w:p w14:paraId="40A3FB98" w14:textId="77777777" w:rsidR="003D6A63" w:rsidRDefault="00000000">
            <w:pPr>
              <w:adjustRightInd w:val="0"/>
              <w:snapToGrid w:val="0"/>
              <w:jc w:val="center"/>
              <w:rPr>
                <w:szCs w:val="21"/>
              </w:rPr>
            </w:pPr>
            <w:r>
              <w:rPr>
                <w:szCs w:val="21"/>
              </w:rPr>
              <w:t>GB50183-2004</w:t>
            </w:r>
          </w:p>
          <w:p w14:paraId="6DF7CFFB" w14:textId="77777777" w:rsidR="003D6A63" w:rsidRDefault="00000000">
            <w:pPr>
              <w:adjustRightInd w:val="0"/>
              <w:snapToGrid w:val="0"/>
              <w:jc w:val="center"/>
              <w:rPr>
                <w:szCs w:val="21"/>
              </w:rPr>
            </w:pPr>
            <w:r>
              <w:rPr>
                <w:szCs w:val="21"/>
              </w:rPr>
              <w:t>9.2.2</w:t>
            </w:r>
          </w:p>
        </w:tc>
        <w:tc>
          <w:tcPr>
            <w:tcW w:w="984" w:type="pct"/>
            <w:tcBorders>
              <w:tl2br w:val="nil"/>
              <w:tr2bl w:val="nil"/>
            </w:tcBorders>
          </w:tcPr>
          <w:p w14:paraId="56F2C140" w14:textId="77777777" w:rsidR="003D6A63" w:rsidRDefault="00000000">
            <w:pPr>
              <w:adjustRightInd w:val="0"/>
              <w:snapToGrid w:val="0"/>
              <w:rPr>
                <w:szCs w:val="21"/>
              </w:rPr>
            </w:pPr>
            <w:r>
              <w:rPr>
                <w:rFonts w:hint="eastAsia"/>
                <w:szCs w:val="21"/>
              </w:rPr>
              <w:t>计量站内露天布置的容器及井场单井拉油罐均设置有防雷接地。</w:t>
            </w:r>
          </w:p>
        </w:tc>
        <w:tc>
          <w:tcPr>
            <w:tcW w:w="405" w:type="pct"/>
            <w:tcBorders>
              <w:tl2br w:val="nil"/>
              <w:tr2bl w:val="nil"/>
            </w:tcBorders>
            <w:vAlign w:val="center"/>
          </w:tcPr>
          <w:p w14:paraId="39EC91D6" w14:textId="77777777" w:rsidR="003D6A63" w:rsidRDefault="00000000">
            <w:pPr>
              <w:adjustRightInd w:val="0"/>
              <w:snapToGrid w:val="0"/>
              <w:jc w:val="center"/>
              <w:rPr>
                <w:szCs w:val="21"/>
              </w:rPr>
            </w:pPr>
            <w:r>
              <w:rPr>
                <w:rFonts w:hint="eastAsia"/>
                <w:szCs w:val="21"/>
              </w:rPr>
              <w:t>√</w:t>
            </w:r>
          </w:p>
        </w:tc>
      </w:tr>
      <w:tr w:rsidR="003D6A63" w14:paraId="72191984" w14:textId="77777777">
        <w:trPr>
          <w:trHeight w:val="340"/>
          <w:jc w:val="center"/>
        </w:trPr>
        <w:tc>
          <w:tcPr>
            <w:tcW w:w="333" w:type="pct"/>
            <w:tcBorders>
              <w:tl2br w:val="nil"/>
              <w:tr2bl w:val="nil"/>
            </w:tcBorders>
            <w:vAlign w:val="center"/>
          </w:tcPr>
          <w:p w14:paraId="7560C676"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1CAAA431" w14:textId="77777777" w:rsidR="003D6A63" w:rsidRDefault="00000000">
            <w:pPr>
              <w:adjustRightInd w:val="0"/>
              <w:snapToGrid w:val="0"/>
              <w:rPr>
                <w:szCs w:val="21"/>
              </w:rPr>
            </w:pPr>
            <w:r>
              <w:rPr>
                <w:szCs w:val="21"/>
              </w:rPr>
              <w:t>对爆炸、火灾危险场所内可能产生静电危险的设备和管道，均应采取防静电措施。</w:t>
            </w:r>
          </w:p>
        </w:tc>
        <w:tc>
          <w:tcPr>
            <w:tcW w:w="963" w:type="pct"/>
            <w:tcBorders>
              <w:tl2br w:val="nil"/>
              <w:tr2bl w:val="nil"/>
            </w:tcBorders>
            <w:vAlign w:val="center"/>
          </w:tcPr>
          <w:p w14:paraId="5969A113" w14:textId="77777777" w:rsidR="003D6A63" w:rsidRDefault="00000000">
            <w:pPr>
              <w:adjustRightInd w:val="0"/>
              <w:snapToGrid w:val="0"/>
              <w:jc w:val="center"/>
              <w:rPr>
                <w:szCs w:val="21"/>
              </w:rPr>
            </w:pPr>
            <w:r>
              <w:rPr>
                <w:szCs w:val="21"/>
              </w:rPr>
              <w:t>GB50183-2004</w:t>
            </w:r>
          </w:p>
          <w:p w14:paraId="4455355C" w14:textId="77777777" w:rsidR="003D6A63" w:rsidRDefault="00000000">
            <w:pPr>
              <w:adjustRightInd w:val="0"/>
              <w:snapToGrid w:val="0"/>
              <w:jc w:val="center"/>
              <w:rPr>
                <w:szCs w:val="21"/>
              </w:rPr>
            </w:pPr>
            <w:r>
              <w:rPr>
                <w:szCs w:val="21"/>
              </w:rPr>
              <w:t>9.3.1</w:t>
            </w:r>
          </w:p>
        </w:tc>
        <w:tc>
          <w:tcPr>
            <w:tcW w:w="984" w:type="pct"/>
            <w:tcBorders>
              <w:tl2br w:val="nil"/>
              <w:tr2bl w:val="nil"/>
            </w:tcBorders>
            <w:vAlign w:val="center"/>
          </w:tcPr>
          <w:p w14:paraId="13ECF400" w14:textId="77777777" w:rsidR="003D6A63" w:rsidRDefault="00000000">
            <w:pPr>
              <w:adjustRightInd w:val="0"/>
              <w:snapToGrid w:val="0"/>
              <w:rPr>
                <w:szCs w:val="21"/>
              </w:rPr>
            </w:pPr>
            <w:r>
              <w:rPr>
                <w:rFonts w:hint="eastAsia"/>
                <w:szCs w:val="21"/>
              </w:rPr>
              <w:t>设备和管道均采取防静电措施。</w:t>
            </w:r>
          </w:p>
        </w:tc>
        <w:tc>
          <w:tcPr>
            <w:tcW w:w="405" w:type="pct"/>
            <w:tcBorders>
              <w:tl2br w:val="nil"/>
              <w:tr2bl w:val="nil"/>
            </w:tcBorders>
            <w:vAlign w:val="center"/>
          </w:tcPr>
          <w:p w14:paraId="045954DB" w14:textId="77777777" w:rsidR="003D6A63" w:rsidRDefault="00000000">
            <w:pPr>
              <w:adjustRightInd w:val="0"/>
              <w:snapToGrid w:val="0"/>
              <w:jc w:val="center"/>
              <w:rPr>
                <w:szCs w:val="21"/>
              </w:rPr>
            </w:pPr>
            <w:r>
              <w:rPr>
                <w:rFonts w:hint="eastAsia"/>
                <w:szCs w:val="21"/>
              </w:rPr>
              <w:t>√</w:t>
            </w:r>
          </w:p>
        </w:tc>
      </w:tr>
      <w:tr w:rsidR="003D6A63" w14:paraId="778CD309" w14:textId="77777777">
        <w:trPr>
          <w:trHeight w:val="340"/>
          <w:jc w:val="center"/>
        </w:trPr>
        <w:tc>
          <w:tcPr>
            <w:tcW w:w="333" w:type="pct"/>
            <w:tcBorders>
              <w:tl2br w:val="nil"/>
              <w:tr2bl w:val="nil"/>
            </w:tcBorders>
            <w:vAlign w:val="center"/>
          </w:tcPr>
          <w:p w14:paraId="47F4D37D"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16624A0A" w14:textId="77777777" w:rsidR="003D6A63" w:rsidRDefault="00000000">
            <w:pPr>
              <w:adjustRightInd w:val="0"/>
              <w:snapToGrid w:val="0"/>
              <w:rPr>
                <w:szCs w:val="21"/>
              </w:rPr>
            </w:pPr>
            <w:r>
              <w:rPr>
                <w:bCs/>
                <w:szCs w:val="21"/>
              </w:rPr>
              <w:t>汽车罐车和装卸场所，应设置防静电专用接地线。</w:t>
            </w:r>
          </w:p>
        </w:tc>
        <w:tc>
          <w:tcPr>
            <w:tcW w:w="963" w:type="pct"/>
            <w:tcBorders>
              <w:tl2br w:val="nil"/>
              <w:tr2bl w:val="nil"/>
            </w:tcBorders>
            <w:vAlign w:val="center"/>
          </w:tcPr>
          <w:p w14:paraId="53BF1D20" w14:textId="77777777" w:rsidR="003D6A63" w:rsidRDefault="00000000">
            <w:pPr>
              <w:adjustRightInd w:val="0"/>
              <w:snapToGrid w:val="0"/>
              <w:jc w:val="center"/>
              <w:rPr>
                <w:szCs w:val="21"/>
              </w:rPr>
            </w:pPr>
            <w:r>
              <w:rPr>
                <w:szCs w:val="21"/>
              </w:rPr>
              <w:t>GB50183-2004</w:t>
            </w:r>
          </w:p>
          <w:p w14:paraId="65CD3701" w14:textId="77777777" w:rsidR="003D6A63" w:rsidRDefault="00000000">
            <w:pPr>
              <w:adjustRightInd w:val="0"/>
              <w:snapToGrid w:val="0"/>
              <w:jc w:val="center"/>
              <w:rPr>
                <w:szCs w:val="21"/>
              </w:rPr>
            </w:pPr>
            <w:r>
              <w:rPr>
                <w:szCs w:val="21"/>
              </w:rPr>
              <w:t>9.3.4</w:t>
            </w:r>
          </w:p>
        </w:tc>
        <w:tc>
          <w:tcPr>
            <w:tcW w:w="984" w:type="pct"/>
            <w:tcBorders>
              <w:tl2br w:val="nil"/>
              <w:tr2bl w:val="nil"/>
            </w:tcBorders>
            <w:vAlign w:val="center"/>
          </w:tcPr>
          <w:p w14:paraId="0CC40E2A" w14:textId="77777777" w:rsidR="003D6A63" w:rsidRDefault="00000000">
            <w:pPr>
              <w:adjustRightInd w:val="0"/>
              <w:snapToGrid w:val="0"/>
              <w:rPr>
                <w:szCs w:val="21"/>
              </w:rPr>
            </w:pPr>
            <w:r>
              <w:rPr>
                <w:rFonts w:cs="宋体" w:hint="eastAsia"/>
                <w:kern w:val="0"/>
                <w:szCs w:val="21"/>
                <w:lang w:bidi="en-US"/>
              </w:rPr>
              <w:t>王</w:t>
            </w:r>
            <w:r>
              <w:rPr>
                <w:rFonts w:cs="宋体" w:hint="eastAsia"/>
                <w:kern w:val="0"/>
                <w:szCs w:val="21"/>
                <w:lang w:bidi="en-US"/>
              </w:rPr>
              <w:t>73-X3</w:t>
            </w:r>
            <w:r>
              <w:rPr>
                <w:rFonts w:cs="宋体" w:hint="eastAsia"/>
                <w:kern w:val="0"/>
                <w:szCs w:val="21"/>
                <w:lang w:bidi="en-US"/>
              </w:rPr>
              <w:t>井场高架油罐静电接地报警仪失灵。</w:t>
            </w:r>
          </w:p>
        </w:tc>
        <w:tc>
          <w:tcPr>
            <w:tcW w:w="405" w:type="pct"/>
            <w:tcBorders>
              <w:tl2br w:val="nil"/>
              <w:tr2bl w:val="nil"/>
            </w:tcBorders>
            <w:vAlign w:val="center"/>
          </w:tcPr>
          <w:p w14:paraId="58600AD8" w14:textId="77777777" w:rsidR="003D6A63" w:rsidRDefault="00000000">
            <w:pPr>
              <w:adjustRightInd w:val="0"/>
              <w:snapToGrid w:val="0"/>
              <w:jc w:val="center"/>
              <w:rPr>
                <w:szCs w:val="21"/>
              </w:rPr>
            </w:pPr>
            <w:r>
              <w:rPr>
                <w:rFonts w:hint="eastAsia"/>
                <w:b/>
                <w:bCs/>
                <w:szCs w:val="21"/>
              </w:rPr>
              <w:t>×</w:t>
            </w:r>
          </w:p>
        </w:tc>
      </w:tr>
      <w:tr w:rsidR="003D6A63" w14:paraId="401A4BD8" w14:textId="77777777">
        <w:trPr>
          <w:trHeight w:val="340"/>
          <w:jc w:val="center"/>
        </w:trPr>
        <w:tc>
          <w:tcPr>
            <w:tcW w:w="333" w:type="pct"/>
            <w:tcBorders>
              <w:tl2br w:val="nil"/>
              <w:tr2bl w:val="nil"/>
            </w:tcBorders>
            <w:vAlign w:val="center"/>
          </w:tcPr>
          <w:p w14:paraId="708906EA"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53DB2895" w14:textId="77777777" w:rsidR="003D6A63" w:rsidRDefault="00000000">
            <w:pPr>
              <w:adjustRightInd w:val="0"/>
              <w:snapToGrid w:val="0"/>
            </w:pPr>
            <w:r>
              <w:t>固定设备（塔、容器、机泵、换热器等）的外壳应进行静电接地，若为覆土设备可不做静电接地。</w:t>
            </w:r>
          </w:p>
          <w:p w14:paraId="19B0B36C" w14:textId="77777777" w:rsidR="003D6A63" w:rsidRDefault="00000000">
            <w:pPr>
              <w:adjustRightInd w:val="0"/>
              <w:snapToGrid w:val="0"/>
            </w:pPr>
            <w:r>
              <w:t>固定设备如塔、容器、机泵、换热器、过滤器等的外壳应进行静电接地，若为覆土设备可不做静电接地。</w:t>
            </w:r>
          </w:p>
        </w:tc>
        <w:tc>
          <w:tcPr>
            <w:tcW w:w="963" w:type="pct"/>
            <w:tcBorders>
              <w:tl2br w:val="nil"/>
              <w:tr2bl w:val="nil"/>
            </w:tcBorders>
            <w:vAlign w:val="center"/>
          </w:tcPr>
          <w:p w14:paraId="2AE0012A" w14:textId="77777777" w:rsidR="003D6A63" w:rsidRDefault="00000000">
            <w:pPr>
              <w:adjustRightInd w:val="0"/>
              <w:snapToGrid w:val="0"/>
              <w:jc w:val="center"/>
            </w:pPr>
            <w:r>
              <w:t>SY/T0060-2017</w:t>
            </w:r>
          </w:p>
          <w:p w14:paraId="6E99744F" w14:textId="77777777" w:rsidR="003D6A63" w:rsidRDefault="00000000">
            <w:pPr>
              <w:adjustRightInd w:val="0"/>
              <w:snapToGrid w:val="0"/>
              <w:jc w:val="center"/>
            </w:pPr>
            <w:r>
              <w:t>5.1.1</w:t>
            </w:r>
          </w:p>
          <w:p w14:paraId="100FE28E" w14:textId="77777777" w:rsidR="003D6A63" w:rsidRDefault="00000000">
            <w:pPr>
              <w:adjustRightInd w:val="0"/>
              <w:snapToGrid w:val="0"/>
              <w:jc w:val="center"/>
            </w:pPr>
            <w:r>
              <w:t>SY/T7385-2017</w:t>
            </w:r>
          </w:p>
          <w:p w14:paraId="4C730BC5" w14:textId="77777777" w:rsidR="003D6A63" w:rsidRDefault="00000000">
            <w:pPr>
              <w:adjustRightInd w:val="0"/>
              <w:snapToGrid w:val="0"/>
              <w:jc w:val="center"/>
            </w:pPr>
            <w:r>
              <w:t>3.1.1</w:t>
            </w:r>
          </w:p>
        </w:tc>
        <w:tc>
          <w:tcPr>
            <w:tcW w:w="984" w:type="pct"/>
            <w:tcBorders>
              <w:tl2br w:val="nil"/>
              <w:tr2bl w:val="nil"/>
            </w:tcBorders>
            <w:vAlign w:val="center"/>
          </w:tcPr>
          <w:p w14:paraId="74976885" w14:textId="77777777" w:rsidR="003D6A63" w:rsidRDefault="00000000">
            <w:pPr>
              <w:adjustRightInd w:val="0"/>
              <w:snapToGrid w:val="0"/>
              <w:rPr>
                <w:szCs w:val="21"/>
              </w:rPr>
            </w:pPr>
            <w:r>
              <w:rPr>
                <w:rFonts w:hint="eastAsia"/>
                <w:szCs w:val="21"/>
              </w:rPr>
              <w:t>机泵、分离器等设备外壳均进行静电接地。</w:t>
            </w:r>
          </w:p>
        </w:tc>
        <w:tc>
          <w:tcPr>
            <w:tcW w:w="405" w:type="pct"/>
            <w:tcBorders>
              <w:tl2br w:val="nil"/>
              <w:tr2bl w:val="nil"/>
            </w:tcBorders>
            <w:vAlign w:val="center"/>
          </w:tcPr>
          <w:p w14:paraId="6F919BFE" w14:textId="77777777" w:rsidR="003D6A63" w:rsidRDefault="00000000">
            <w:pPr>
              <w:adjustRightInd w:val="0"/>
              <w:snapToGrid w:val="0"/>
              <w:jc w:val="center"/>
              <w:rPr>
                <w:szCs w:val="21"/>
              </w:rPr>
            </w:pPr>
            <w:r>
              <w:rPr>
                <w:rFonts w:hint="eastAsia"/>
                <w:szCs w:val="21"/>
              </w:rPr>
              <w:t>√</w:t>
            </w:r>
          </w:p>
        </w:tc>
      </w:tr>
      <w:tr w:rsidR="003D6A63" w14:paraId="2F9A6EB7" w14:textId="77777777">
        <w:trPr>
          <w:trHeight w:val="340"/>
          <w:jc w:val="center"/>
        </w:trPr>
        <w:tc>
          <w:tcPr>
            <w:tcW w:w="333" w:type="pct"/>
            <w:tcBorders>
              <w:tl2br w:val="nil"/>
              <w:tr2bl w:val="nil"/>
            </w:tcBorders>
            <w:vAlign w:val="center"/>
          </w:tcPr>
          <w:p w14:paraId="4BDC7EF3"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64FF162E" w14:textId="77777777" w:rsidR="003D6A63" w:rsidRDefault="00000000">
            <w:pPr>
              <w:adjustRightInd w:val="0"/>
              <w:snapToGrid w:val="0"/>
            </w:pPr>
            <w:r>
              <w:t>输油输气管道的法兰连接处，当少于</w:t>
            </w:r>
            <w:r>
              <w:t>5</w:t>
            </w:r>
            <w:r>
              <w:t>个螺栓连接时应跨接。</w:t>
            </w:r>
          </w:p>
        </w:tc>
        <w:tc>
          <w:tcPr>
            <w:tcW w:w="963" w:type="pct"/>
            <w:tcBorders>
              <w:tl2br w:val="nil"/>
              <w:tr2bl w:val="nil"/>
            </w:tcBorders>
            <w:vAlign w:val="center"/>
          </w:tcPr>
          <w:p w14:paraId="2902BDC0" w14:textId="77777777" w:rsidR="003D6A63" w:rsidRDefault="00000000">
            <w:pPr>
              <w:adjustRightInd w:val="0"/>
              <w:snapToGrid w:val="0"/>
              <w:jc w:val="center"/>
            </w:pPr>
            <w:r>
              <w:t>SY/T7385-2017</w:t>
            </w:r>
          </w:p>
          <w:p w14:paraId="69363CD3" w14:textId="77777777" w:rsidR="003D6A63" w:rsidRDefault="00000000">
            <w:pPr>
              <w:adjustRightInd w:val="0"/>
              <w:snapToGrid w:val="0"/>
              <w:jc w:val="center"/>
            </w:pPr>
            <w:r>
              <w:t>3.3.3</w:t>
            </w:r>
          </w:p>
        </w:tc>
        <w:tc>
          <w:tcPr>
            <w:tcW w:w="984" w:type="pct"/>
            <w:tcBorders>
              <w:tl2br w:val="nil"/>
              <w:tr2bl w:val="nil"/>
            </w:tcBorders>
            <w:vAlign w:val="center"/>
          </w:tcPr>
          <w:p w14:paraId="60C84ED4" w14:textId="77777777" w:rsidR="003D6A63" w:rsidRDefault="00000000">
            <w:pPr>
              <w:adjustRightInd w:val="0"/>
              <w:snapToGrid w:val="0"/>
              <w:rPr>
                <w:szCs w:val="21"/>
              </w:rPr>
            </w:pPr>
            <w:r>
              <w:rPr>
                <w:rFonts w:hint="eastAsia"/>
                <w:szCs w:val="21"/>
              </w:rPr>
              <w:t>输油管道法兰连接跨接符合要求。</w:t>
            </w:r>
          </w:p>
        </w:tc>
        <w:tc>
          <w:tcPr>
            <w:tcW w:w="405" w:type="pct"/>
            <w:tcBorders>
              <w:tl2br w:val="nil"/>
              <w:tr2bl w:val="nil"/>
            </w:tcBorders>
            <w:vAlign w:val="center"/>
          </w:tcPr>
          <w:p w14:paraId="7F851598" w14:textId="77777777" w:rsidR="003D6A63" w:rsidRDefault="00000000">
            <w:pPr>
              <w:adjustRightInd w:val="0"/>
              <w:snapToGrid w:val="0"/>
              <w:jc w:val="center"/>
              <w:rPr>
                <w:szCs w:val="21"/>
              </w:rPr>
            </w:pPr>
            <w:r>
              <w:rPr>
                <w:rFonts w:hint="eastAsia"/>
                <w:szCs w:val="21"/>
              </w:rPr>
              <w:t>√</w:t>
            </w:r>
          </w:p>
        </w:tc>
      </w:tr>
      <w:tr w:rsidR="003D6A63" w14:paraId="060D8FF7" w14:textId="77777777">
        <w:trPr>
          <w:trHeight w:val="340"/>
          <w:jc w:val="center"/>
        </w:trPr>
        <w:tc>
          <w:tcPr>
            <w:tcW w:w="333" w:type="pct"/>
            <w:tcBorders>
              <w:tl2br w:val="nil"/>
              <w:tr2bl w:val="nil"/>
            </w:tcBorders>
            <w:vAlign w:val="center"/>
          </w:tcPr>
          <w:p w14:paraId="52963E1E"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68D9E45B" w14:textId="77777777" w:rsidR="003D6A63" w:rsidRDefault="00000000">
            <w:pPr>
              <w:adjustRightInd w:val="0"/>
              <w:snapToGrid w:val="0"/>
            </w:pPr>
            <w:r>
              <w:t>汽车及其装卸场所，应设置防静电专用接地线和接地端子板。</w:t>
            </w:r>
          </w:p>
        </w:tc>
        <w:tc>
          <w:tcPr>
            <w:tcW w:w="963" w:type="pct"/>
            <w:tcBorders>
              <w:tl2br w:val="nil"/>
              <w:tr2bl w:val="nil"/>
            </w:tcBorders>
            <w:vAlign w:val="center"/>
          </w:tcPr>
          <w:p w14:paraId="0A1A60A3" w14:textId="77777777" w:rsidR="003D6A63" w:rsidRDefault="00000000">
            <w:pPr>
              <w:adjustRightInd w:val="0"/>
              <w:snapToGrid w:val="0"/>
              <w:jc w:val="center"/>
            </w:pPr>
            <w:r>
              <w:t>SY/T7385-2017</w:t>
            </w:r>
          </w:p>
          <w:p w14:paraId="30F9FE12" w14:textId="77777777" w:rsidR="003D6A63" w:rsidRDefault="00000000">
            <w:pPr>
              <w:adjustRightInd w:val="0"/>
              <w:snapToGrid w:val="0"/>
              <w:jc w:val="center"/>
            </w:pPr>
            <w:r>
              <w:t>3.4.1.1</w:t>
            </w:r>
          </w:p>
        </w:tc>
        <w:tc>
          <w:tcPr>
            <w:tcW w:w="984" w:type="pct"/>
            <w:tcBorders>
              <w:tl2br w:val="nil"/>
              <w:tr2bl w:val="nil"/>
            </w:tcBorders>
            <w:vAlign w:val="center"/>
          </w:tcPr>
          <w:p w14:paraId="0194BC81" w14:textId="77777777" w:rsidR="003D6A63" w:rsidRDefault="00000000">
            <w:pPr>
              <w:adjustRightInd w:val="0"/>
              <w:snapToGrid w:val="0"/>
              <w:rPr>
                <w:szCs w:val="21"/>
              </w:rPr>
            </w:pPr>
            <w:r>
              <w:rPr>
                <w:rFonts w:hint="eastAsia"/>
                <w:szCs w:val="21"/>
              </w:rPr>
              <w:t>汽车装卸车场所设置有防静电专用接地线。</w:t>
            </w:r>
          </w:p>
        </w:tc>
        <w:tc>
          <w:tcPr>
            <w:tcW w:w="405" w:type="pct"/>
            <w:tcBorders>
              <w:tl2br w:val="nil"/>
              <w:tr2bl w:val="nil"/>
            </w:tcBorders>
            <w:vAlign w:val="center"/>
          </w:tcPr>
          <w:p w14:paraId="42104AAC" w14:textId="77777777" w:rsidR="003D6A63" w:rsidRDefault="00000000">
            <w:pPr>
              <w:adjustRightInd w:val="0"/>
              <w:snapToGrid w:val="0"/>
              <w:jc w:val="center"/>
              <w:rPr>
                <w:szCs w:val="21"/>
              </w:rPr>
            </w:pPr>
            <w:r>
              <w:rPr>
                <w:rFonts w:hint="eastAsia"/>
                <w:szCs w:val="21"/>
              </w:rPr>
              <w:t>√</w:t>
            </w:r>
          </w:p>
        </w:tc>
      </w:tr>
      <w:tr w:rsidR="003D6A63" w14:paraId="655222CB" w14:textId="77777777">
        <w:trPr>
          <w:trHeight w:val="340"/>
          <w:jc w:val="center"/>
        </w:trPr>
        <w:tc>
          <w:tcPr>
            <w:tcW w:w="333" w:type="pct"/>
            <w:tcBorders>
              <w:tl2br w:val="nil"/>
              <w:tr2bl w:val="nil"/>
            </w:tcBorders>
            <w:vAlign w:val="center"/>
          </w:tcPr>
          <w:p w14:paraId="5158AFC0"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525B3B5B" w14:textId="77777777" w:rsidR="003D6A63" w:rsidRDefault="00000000">
            <w:pPr>
              <w:adjustRightInd w:val="0"/>
              <w:snapToGrid w:val="0"/>
              <w:rPr>
                <w:szCs w:val="21"/>
              </w:rPr>
            </w:pPr>
            <w:r>
              <w:rPr>
                <w:szCs w:val="21"/>
              </w:rPr>
              <w:t>钢储罐应做环形防雷接地，其接地点不应少于两处，并应沿罐周均匀分布或对称布置，其罐壁周长间距不应大于</w:t>
            </w:r>
            <w:r>
              <w:rPr>
                <w:szCs w:val="21"/>
              </w:rPr>
              <w:t>30m</w:t>
            </w:r>
            <w:r>
              <w:rPr>
                <w:szCs w:val="21"/>
              </w:rPr>
              <w:t>，接地体距罐壁的距离应大于</w:t>
            </w:r>
            <w:r>
              <w:rPr>
                <w:szCs w:val="21"/>
              </w:rPr>
              <w:t>3m</w:t>
            </w:r>
            <w:r>
              <w:rPr>
                <w:szCs w:val="21"/>
              </w:rPr>
              <w:t>。宜将储罐自然接地体与</w:t>
            </w:r>
            <w:r>
              <w:rPr>
                <w:szCs w:val="21"/>
              </w:rPr>
              <w:lastRenderedPageBreak/>
              <w:t>人工接地装置相连接，其接地点不应少于两处。冲击接地电阻不应大于</w:t>
            </w:r>
            <w:r>
              <w:rPr>
                <w:szCs w:val="21"/>
              </w:rPr>
              <w:t>10Ω</w:t>
            </w:r>
            <w:r>
              <w:rPr>
                <w:szCs w:val="21"/>
              </w:rPr>
              <w:t>。金属储罐的阻火器、呼吸阀、量油孔、人孔、切水管、透光孔等金属附件应等电位连接。</w:t>
            </w:r>
          </w:p>
        </w:tc>
        <w:tc>
          <w:tcPr>
            <w:tcW w:w="963" w:type="pct"/>
            <w:tcBorders>
              <w:tl2br w:val="nil"/>
              <w:tr2bl w:val="nil"/>
            </w:tcBorders>
            <w:vAlign w:val="center"/>
          </w:tcPr>
          <w:p w14:paraId="1100ED66" w14:textId="77777777" w:rsidR="003D6A63" w:rsidRDefault="00000000">
            <w:pPr>
              <w:adjustRightInd w:val="0"/>
              <w:snapToGrid w:val="0"/>
              <w:jc w:val="center"/>
            </w:pPr>
            <w:r>
              <w:lastRenderedPageBreak/>
              <w:t>SY/T5984-2020</w:t>
            </w:r>
          </w:p>
          <w:p w14:paraId="6BA025A3" w14:textId="77777777" w:rsidR="003D6A63" w:rsidRDefault="00000000">
            <w:pPr>
              <w:adjustRightInd w:val="0"/>
              <w:snapToGrid w:val="0"/>
              <w:jc w:val="center"/>
              <w:rPr>
                <w:szCs w:val="21"/>
              </w:rPr>
            </w:pPr>
            <w:r>
              <w:rPr>
                <w:szCs w:val="21"/>
              </w:rPr>
              <w:t>3.2</w:t>
            </w:r>
          </w:p>
        </w:tc>
        <w:tc>
          <w:tcPr>
            <w:tcW w:w="984" w:type="pct"/>
            <w:tcBorders>
              <w:tl2br w:val="nil"/>
              <w:tr2bl w:val="nil"/>
            </w:tcBorders>
            <w:vAlign w:val="center"/>
          </w:tcPr>
          <w:p w14:paraId="79D0D845" w14:textId="77777777" w:rsidR="003D6A63" w:rsidRDefault="00000000">
            <w:pPr>
              <w:adjustRightInd w:val="0"/>
              <w:snapToGrid w:val="0"/>
              <w:rPr>
                <w:szCs w:val="21"/>
              </w:rPr>
            </w:pPr>
            <w:r>
              <w:rPr>
                <w:rFonts w:hint="eastAsia"/>
                <w:szCs w:val="21"/>
              </w:rPr>
              <w:t>单井拉油罐设置有两处防雷接地，防雷接地对称布置。</w:t>
            </w:r>
          </w:p>
        </w:tc>
        <w:tc>
          <w:tcPr>
            <w:tcW w:w="405" w:type="pct"/>
            <w:tcBorders>
              <w:tl2br w:val="nil"/>
              <w:tr2bl w:val="nil"/>
            </w:tcBorders>
            <w:vAlign w:val="center"/>
          </w:tcPr>
          <w:p w14:paraId="5C05CB39" w14:textId="77777777" w:rsidR="003D6A63" w:rsidRDefault="00000000">
            <w:pPr>
              <w:adjustRightInd w:val="0"/>
              <w:snapToGrid w:val="0"/>
              <w:jc w:val="center"/>
              <w:rPr>
                <w:szCs w:val="21"/>
              </w:rPr>
            </w:pPr>
            <w:r>
              <w:rPr>
                <w:rFonts w:hint="eastAsia"/>
                <w:szCs w:val="21"/>
              </w:rPr>
              <w:t>√</w:t>
            </w:r>
          </w:p>
        </w:tc>
      </w:tr>
      <w:tr w:rsidR="003D6A63" w14:paraId="4CA6EACE" w14:textId="77777777">
        <w:trPr>
          <w:trHeight w:val="340"/>
          <w:jc w:val="center"/>
        </w:trPr>
        <w:tc>
          <w:tcPr>
            <w:tcW w:w="333" w:type="pct"/>
            <w:tcBorders>
              <w:tl2br w:val="nil"/>
              <w:tr2bl w:val="nil"/>
            </w:tcBorders>
            <w:vAlign w:val="center"/>
          </w:tcPr>
          <w:p w14:paraId="1B0DC4D4"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7A44AEE3" w14:textId="77777777" w:rsidR="003D6A63" w:rsidRDefault="00000000">
            <w:pPr>
              <w:adjustRightInd w:val="0"/>
              <w:snapToGrid w:val="0"/>
              <w:rPr>
                <w:szCs w:val="21"/>
              </w:rPr>
            </w:pPr>
            <w:r>
              <w:rPr>
                <w:szCs w:val="21"/>
              </w:rPr>
              <w:t>油、气集输生产装置中的立式和卧式金属容器（三相分离器、电脱水器、原油稳定塔、缓冲罐等）至少应设有两处接地，接地端头分别设在卧式容器两侧封头支座底部及立式容器支座底部两侧地脚螺栓位置，接地电阻值不应大于</w:t>
            </w:r>
            <w:r>
              <w:rPr>
                <w:szCs w:val="21"/>
              </w:rPr>
              <w:t>10Ω</w:t>
            </w:r>
            <w:r>
              <w:rPr>
                <w:szCs w:val="21"/>
              </w:rPr>
              <w:t>。</w:t>
            </w:r>
          </w:p>
        </w:tc>
        <w:tc>
          <w:tcPr>
            <w:tcW w:w="963" w:type="pct"/>
            <w:tcBorders>
              <w:tl2br w:val="nil"/>
              <w:tr2bl w:val="nil"/>
            </w:tcBorders>
            <w:vAlign w:val="center"/>
          </w:tcPr>
          <w:p w14:paraId="37F62B4F" w14:textId="77777777" w:rsidR="003D6A63" w:rsidRDefault="00000000">
            <w:pPr>
              <w:adjustRightInd w:val="0"/>
              <w:snapToGrid w:val="0"/>
              <w:jc w:val="center"/>
            </w:pPr>
            <w:r>
              <w:t>SY/T5984-2020</w:t>
            </w:r>
          </w:p>
          <w:p w14:paraId="79E83E74" w14:textId="77777777" w:rsidR="003D6A63" w:rsidRDefault="00000000">
            <w:pPr>
              <w:adjustRightInd w:val="0"/>
              <w:snapToGrid w:val="0"/>
              <w:jc w:val="center"/>
              <w:rPr>
                <w:szCs w:val="21"/>
              </w:rPr>
            </w:pPr>
            <w:r>
              <w:rPr>
                <w:szCs w:val="21"/>
              </w:rPr>
              <w:t>3.3</w:t>
            </w:r>
          </w:p>
        </w:tc>
        <w:tc>
          <w:tcPr>
            <w:tcW w:w="984" w:type="pct"/>
            <w:tcBorders>
              <w:tl2br w:val="nil"/>
              <w:tr2bl w:val="nil"/>
            </w:tcBorders>
            <w:vAlign w:val="center"/>
          </w:tcPr>
          <w:p w14:paraId="5DB0D04A" w14:textId="77777777" w:rsidR="003D6A63" w:rsidRDefault="00000000">
            <w:pPr>
              <w:adjustRightInd w:val="0"/>
              <w:snapToGrid w:val="0"/>
              <w:rPr>
                <w:szCs w:val="21"/>
              </w:rPr>
            </w:pPr>
            <w:r>
              <w:rPr>
                <w:rFonts w:hint="eastAsia"/>
                <w:szCs w:val="21"/>
              </w:rPr>
              <w:t>油气分离器等设备设置有两处接地。</w:t>
            </w:r>
          </w:p>
        </w:tc>
        <w:tc>
          <w:tcPr>
            <w:tcW w:w="405" w:type="pct"/>
            <w:tcBorders>
              <w:tl2br w:val="nil"/>
              <w:tr2bl w:val="nil"/>
            </w:tcBorders>
            <w:vAlign w:val="center"/>
          </w:tcPr>
          <w:p w14:paraId="6333934D" w14:textId="77777777" w:rsidR="003D6A63" w:rsidRDefault="00000000">
            <w:pPr>
              <w:adjustRightInd w:val="0"/>
              <w:snapToGrid w:val="0"/>
              <w:jc w:val="center"/>
              <w:rPr>
                <w:szCs w:val="21"/>
              </w:rPr>
            </w:pPr>
            <w:r>
              <w:rPr>
                <w:rFonts w:hint="eastAsia"/>
                <w:szCs w:val="21"/>
              </w:rPr>
              <w:t>√</w:t>
            </w:r>
          </w:p>
        </w:tc>
      </w:tr>
      <w:tr w:rsidR="003D6A63" w14:paraId="39F3F448" w14:textId="77777777">
        <w:trPr>
          <w:trHeight w:val="340"/>
          <w:jc w:val="center"/>
        </w:trPr>
        <w:tc>
          <w:tcPr>
            <w:tcW w:w="333" w:type="pct"/>
            <w:tcBorders>
              <w:tl2br w:val="nil"/>
              <w:tr2bl w:val="nil"/>
            </w:tcBorders>
            <w:vAlign w:val="center"/>
          </w:tcPr>
          <w:p w14:paraId="3A8AC803"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7927F97F" w14:textId="77777777" w:rsidR="003D6A63" w:rsidRDefault="00000000">
            <w:pPr>
              <w:adjustRightInd w:val="0"/>
              <w:snapToGrid w:val="0"/>
              <w:rPr>
                <w:szCs w:val="21"/>
              </w:rPr>
            </w:pPr>
            <w:r>
              <w:rPr>
                <w:szCs w:val="21"/>
              </w:rPr>
              <w:t>电力系统、装置或设备的下列部分应接地：</w:t>
            </w:r>
          </w:p>
          <w:p w14:paraId="0D9B783F" w14:textId="77777777" w:rsidR="003D6A63" w:rsidRDefault="00000000">
            <w:pPr>
              <w:adjustRightInd w:val="0"/>
              <w:snapToGrid w:val="0"/>
              <w:rPr>
                <w:szCs w:val="21"/>
              </w:rPr>
            </w:pPr>
            <w:r>
              <w:rPr>
                <w:szCs w:val="21"/>
              </w:rPr>
              <w:t>电机、变压器和高压电器等的底座和外壳；配电、控制和保护用的屏（柜、箱）等的金属框架；电力电缆接线盒、终端盒的外壳，电力电缆的金属护套或屏蔽层，穿线的钢管和电缆桥架等。</w:t>
            </w:r>
          </w:p>
        </w:tc>
        <w:tc>
          <w:tcPr>
            <w:tcW w:w="963" w:type="pct"/>
            <w:tcBorders>
              <w:tl2br w:val="nil"/>
              <w:tr2bl w:val="nil"/>
            </w:tcBorders>
            <w:vAlign w:val="center"/>
          </w:tcPr>
          <w:p w14:paraId="2060CD26" w14:textId="77777777" w:rsidR="003D6A63" w:rsidRDefault="00000000">
            <w:pPr>
              <w:adjustRightInd w:val="0"/>
              <w:snapToGrid w:val="0"/>
              <w:jc w:val="center"/>
              <w:rPr>
                <w:szCs w:val="21"/>
              </w:rPr>
            </w:pPr>
            <w:r>
              <w:rPr>
                <w:szCs w:val="21"/>
              </w:rPr>
              <w:t>GB/T50065-2011</w:t>
            </w:r>
          </w:p>
          <w:p w14:paraId="3CAAF07D" w14:textId="77777777" w:rsidR="003D6A63" w:rsidRDefault="00000000">
            <w:pPr>
              <w:adjustRightInd w:val="0"/>
              <w:snapToGrid w:val="0"/>
              <w:jc w:val="center"/>
              <w:rPr>
                <w:szCs w:val="21"/>
              </w:rPr>
            </w:pPr>
            <w:r>
              <w:rPr>
                <w:szCs w:val="21"/>
              </w:rPr>
              <w:t>3.2.1</w:t>
            </w:r>
          </w:p>
        </w:tc>
        <w:tc>
          <w:tcPr>
            <w:tcW w:w="984" w:type="pct"/>
            <w:tcBorders>
              <w:tl2br w:val="nil"/>
              <w:tr2bl w:val="nil"/>
            </w:tcBorders>
            <w:vAlign w:val="center"/>
          </w:tcPr>
          <w:p w14:paraId="04D8C268" w14:textId="77777777" w:rsidR="003D6A63" w:rsidRDefault="00000000">
            <w:pPr>
              <w:adjustRightInd w:val="0"/>
              <w:snapToGrid w:val="0"/>
              <w:rPr>
                <w:szCs w:val="21"/>
              </w:rPr>
            </w:pPr>
            <w:r>
              <w:rPr>
                <w:rFonts w:hint="eastAsia"/>
                <w:szCs w:val="21"/>
              </w:rPr>
              <w:t>电力系统接地符合要求。</w:t>
            </w:r>
          </w:p>
        </w:tc>
        <w:tc>
          <w:tcPr>
            <w:tcW w:w="405" w:type="pct"/>
            <w:tcBorders>
              <w:tl2br w:val="nil"/>
              <w:tr2bl w:val="nil"/>
            </w:tcBorders>
            <w:vAlign w:val="center"/>
          </w:tcPr>
          <w:p w14:paraId="0AA6BED7" w14:textId="77777777" w:rsidR="003D6A63" w:rsidRDefault="00000000">
            <w:pPr>
              <w:adjustRightInd w:val="0"/>
              <w:snapToGrid w:val="0"/>
              <w:jc w:val="center"/>
              <w:rPr>
                <w:szCs w:val="21"/>
              </w:rPr>
            </w:pPr>
            <w:r>
              <w:rPr>
                <w:rFonts w:hint="eastAsia"/>
                <w:szCs w:val="21"/>
              </w:rPr>
              <w:t>√</w:t>
            </w:r>
          </w:p>
        </w:tc>
      </w:tr>
      <w:tr w:rsidR="003D6A63" w14:paraId="183A0A9B" w14:textId="77777777">
        <w:trPr>
          <w:trHeight w:val="340"/>
          <w:jc w:val="center"/>
        </w:trPr>
        <w:tc>
          <w:tcPr>
            <w:tcW w:w="333" w:type="pct"/>
            <w:tcBorders>
              <w:tl2br w:val="nil"/>
              <w:tr2bl w:val="nil"/>
            </w:tcBorders>
            <w:vAlign w:val="center"/>
          </w:tcPr>
          <w:p w14:paraId="5EEF2E25"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18CA1FEE" w14:textId="77777777" w:rsidR="003D6A63" w:rsidRDefault="00000000">
            <w:pPr>
              <w:adjustRightInd w:val="0"/>
              <w:snapToGrid w:val="0"/>
              <w:rPr>
                <w:szCs w:val="21"/>
              </w:rPr>
            </w:pPr>
            <w:r>
              <w:rPr>
                <w:color w:val="000000" w:themeColor="text1"/>
                <w:szCs w:val="21"/>
              </w:rPr>
              <w:t>电气设备的接地应完好、可靠。</w:t>
            </w:r>
          </w:p>
        </w:tc>
        <w:tc>
          <w:tcPr>
            <w:tcW w:w="963" w:type="pct"/>
            <w:tcBorders>
              <w:tl2br w:val="nil"/>
              <w:tr2bl w:val="nil"/>
            </w:tcBorders>
            <w:vAlign w:val="center"/>
          </w:tcPr>
          <w:p w14:paraId="1D37A2D0" w14:textId="77777777" w:rsidR="003D6A63" w:rsidRDefault="00000000">
            <w:pPr>
              <w:adjustRightInd w:val="0"/>
              <w:snapToGrid w:val="0"/>
              <w:jc w:val="center"/>
              <w:rPr>
                <w:color w:val="000000" w:themeColor="text1"/>
                <w:szCs w:val="21"/>
              </w:rPr>
            </w:pPr>
            <w:r>
              <w:rPr>
                <w:color w:val="000000" w:themeColor="text1"/>
                <w:szCs w:val="21"/>
              </w:rPr>
              <w:t>SY/T6320-20</w:t>
            </w:r>
            <w:r>
              <w:rPr>
                <w:rFonts w:hint="eastAsia"/>
                <w:color w:val="000000" w:themeColor="text1"/>
                <w:szCs w:val="21"/>
              </w:rPr>
              <w:t>22</w:t>
            </w:r>
          </w:p>
          <w:p w14:paraId="7A6DC59F" w14:textId="77777777" w:rsidR="003D6A63" w:rsidRDefault="00000000">
            <w:pPr>
              <w:adjustRightInd w:val="0"/>
              <w:snapToGrid w:val="0"/>
              <w:jc w:val="center"/>
              <w:rPr>
                <w:szCs w:val="21"/>
              </w:rPr>
            </w:pPr>
            <w:r>
              <w:rPr>
                <w:rFonts w:hint="eastAsia"/>
                <w:color w:val="000000" w:themeColor="text1"/>
                <w:szCs w:val="21"/>
              </w:rPr>
              <w:t>10</w:t>
            </w:r>
            <w:r>
              <w:rPr>
                <w:color w:val="000000" w:themeColor="text1"/>
                <w:szCs w:val="21"/>
              </w:rPr>
              <w:t>.</w:t>
            </w:r>
            <w:r>
              <w:rPr>
                <w:rFonts w:hint="eastAsia"/>
                <w:color w:val="000000" w:themeColor="text1"/>
                <w:szCs w:val="21"/>
              </w:rPr>
              <w:t>8</w:t>
            </w:r>
          </w:p>
        </w:tc>
        <w:tc>
          <w:tcPr>
            <w:tcW w:w="984" w:type="pct"/>
            <w:tcBorders>
              <w:tl2br w:val="nil"/>
              <w:tr2bl w:val="nil"/>
            </w:tcBorders>
            <w:vAlign w:val="center"/>
          </w:tcPr>
          <w:p w14:paraId="60437094" w14:textId="77777777" w:rsidR="003D6A63" w:rsidRDefault="00000000">
            <w:pPr>
              <w:adjustRightInd w:val="0"/>
              <w:snapToGrid w:val="0"/>
              <w:rPr>
                <w:szCs w:val="21"/>
              </w:rPr>
            </w:pPr>
            <w:r>
              <w:rPr>
                <w:rFonts w:hint="eastAsia"/>
                <w:szCs w:val="21"/>
              </w:rPr>
              <w:t>电气设备接地完好可靠。</w:t>
            </w:r>
          </w:p>
        </w:tc>
        <w:tc>
          <w:tcPr>
            <w:tcW w:w="405" w:type="pct"/>
            <w:tcBorders>
              <w:tl2br w:val="nil"/>
              <w:tr2bl w:val="nil"/>
            </w:tcBorders>
            <w:vAlign w:val="center"/>
          </w:tcPr>
          <w:p w14:paraId="1642B582" w14:textId="77777777" w:rsidR="003D6A63" w:rsidRDefault="00000000">
            <w:pPr>
              <w:adjustRightInd w:val="0"/>
              <w:snapToGrid w:val="0"/>
              <w:jc w:val="center"/>
              <w:rPr>
                <w:szCs w:val="21"/>
              </w:rPr>
            </w:pPr>
            <w:r>
              <w:rPr>
                <w:rFonts w:hint="eastAsia"/>
                <w:szCs w:val="21"/>
              </w:rPr>
              <w:t>√</w:t>
            </w:r>
          </w:p>
        </w:tc>
      </w:tr>
      <w:tr w:rsidR="003D6A63" w14:paraId="496ED3C4" w14:textId="77777777">
        <w:trPr>
          <w:trHeight w:val="340"/>
          <w:jc w:val="center"/>
        </w:trPr>
        <w:tc>
          <w:tcPr>
            <w:tcW w:w="333" w:type="pct"/>
            <w:tcBorders>
              <w:tl2br w:val="nil"/>
              <w:tr2bl w:val="nil"/>
            </w:tcBorders>
            <w:vAlign w:val="center"/>
          </w:tcPr>
          <w:p w14:paraId="05B58FA3"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215423F4" w14:textId="77777777" w:rsidR="003D6A63" w:rsidRDefault="00000000">
            <w:pPr>
              <w:adjustRightInd w:val="0"/>
              <w:snapToGrid w:val="0"/>
              <w:rPr>
                <w:color w:val="000000" w:themeColor="text1"/>
                <w:kern w:val="0"/>
                <w:szCs w:val="21"/>
              </w:rPr>
            </w:pPr>
            <w:r>
              <w:rPr>
                <w:rFonts w:hint="eastAsia"/>
                <w:color w:val="000000" w:themeColor="text1"/>
                <w:kern w:val="0"/>
                <w:szCs w:val="21"/>
              </w:rPr>
              <w:t>消除人体静电装置应设在下列甲、乙类、丙</w:t>
            </w:r>
            <w:r>
              <w:rPr>
                <w:rFonts w:hint="eastAsia"/>
                <w:color w:val="000000" w:themeColor="text1"/>
                <w:kern w:val="0"/>
                <w:sz w:val="15"/>
                <w:szCs w:val="15"/>
              </w:rPr>
              <w:t>A</w:t>
            </w:r>
            <w:r>
              <w:rPr>
                <w:rFonts w:hint="eastAsia"/>
                <w:color w:val="000000" w:themeColor="text1"/>
                <w:kern w:val="0"/>
                <w:szCs w:val="21"/>
              </w:rPr>
              <w:t>类油品、液化石油气、天然气凝液作业场所：</w:t>
            </w:r>
          </w:p>
          <w:p w14:paraId="33F402E9" w14:textId="77777777" w:rsidR="003D6A63" w:rsidRDefault="00000000">
            <w:pPr>
              <w:numPr>
                <w:ilvl w:val="0"/>
                <w:numId w:val="19"/>
              </w:numPr>
              <w:adjustRightInd w:val="0"/>
              <w:snapToGrid w:val="0"/>
              <w:rPr>
                <w:color w:val="000000" w:themeColor="text1"/>
                <w:kern w:val="0"/>
                <w:szCs w:val="21"/>
              </w:rPr>
            </w:pPr>
            <w:r>
              <w:rPr>
                <w:rFonts w:hint="eastAsia"/>
                <w:color w:val="000000" w:themeColor="text1"/>
                <w:kern w:val="0"/>
                <w:szCs w:val="21"/>
              </w:rPr>
              <w:t>泵房的门外；</w:t>
            </w:r>
          </w:p>
          <w:p w14:paraId="3320721F" w14:textId="77777777" w:rsidR="003D6A63" w:rsidRDefault="00000000">
            <w:pPr>
              <w:numPr>
                <w:ilvl w:val="0"/>
                <w:numId w:val="19"/>
              </w:numPr>
              <w:adjustRightInd w:val="0"/>
              <w:snapToGrid w:val="0"/>
              <w:rPr>
                <w:color w:val="000000" w:themeColor="text1"/>
                <w:kern w:val="0"/>
                <w:szCs w:val="21"/>
              </w:rPr>
            </w:pPr>
            <w:r>
              <w:rPr>
                <w:rFonts w:hint="eastAsia"/>
                <w:color w:val="000000" w:themeColor="text1"/>
                <w:kern w:val="0"/>
                <w:szCs w:val="21"/>
              </w:rPr>
              <w:t>储罐的上罐扶梯入口处；</w:t>
            </w:r>
          </w:p>
          <w:p w14:paraId="7EC6E20E" w14:textId="77777777" w:rsidR="003D6A63" w:rsidRDefault="00000000">
            <w:pPr>
              <w:numPr>
                <w:ilvl w:val="0"/>
                <w:numId w:val="19"/>
              </w:numPr>
              <w:adjustRightInd w:val="0"/>
              <w:snapToGrid w:val="0"/>
              <w:rPr>
                <w:color w:val="000000" w:themeColor="text1"/>
                <w:kern w:val="0"/>
                <w:szCs w:val="21"/>
              </w:rPr>
            </w:pPr>
            <w:r>
              <w:rPr>
                <w:rFonts w:hint="eastAsia"/>
                <w:color w:val="000000" w:themeColor="text1"/>
                <w:kern w:val="0"/>
                <w:szCs w:val="21"/>
              </w:rPr>
              <w:t>装卸作业区内操作平台的扶梯入口处；</w:t>
            </w:r>
          </w:p>
          <w:p w14:paraId="2EDB2846" w14:textId="77777777" w:rsidR="003D6A63" w:rsidRDefault="00000000">
            <w:pPr>
              <w:numPr>
                <w:ilvl w:val="0"/>
                <w:numId w:val="19"/>
              </w:numPr>
              <w:adjustRightInd w:val="0"/>
              <w:snapToGrid w:val="0"/>
              <w:rPr>
                <w:color w:val="000000" w:themeColor="text1"/>
                <w:kern w:val="0"/>
                <w:szCs w:val="21"/>
              </w:rPr>
            </w:pPr>
            <w:r>
              <w:rPr>
                <w:rFonts w:hint="eastAsia"/>
                <w:color w:val="000000" w:themeColor="text1"/>
                <w:kern w:val="0"/>
                <w:szCs w:val="21"/>
              </w:rPr>
              <w:t>工艺装置区、防火堤入口处；</w:t>
            </w:r>
          </w:p>
          <w:p w14:paraId="28A4E291" w14:textId="77777777" w:rsidR="003D6A63" w:rsidRDefault="00000000">
            <w:pPr>
              <w:numPr>
                <w:ilvl w:val="0"/>
                <w:numId w:val="19"/>
              </w:numPr>
              <w:adjustRightInd w:val="0"/>
              <w:snapToGrid w:val="0"/>
              <w:rPr>
                <w:bCs/>
                <w:color w:val="000000" w:themeColor="text1"/>
                <w:szCs w:val="21"/>
              </w:rPr>
            </w:pPr>
            <w:r>
              <w:rPr>
                <w:rFonts w:hint="eastAsia"/>
                <w:color w:val="000000" w:themeColor="text1"/>
                <w:kern w:val="0"/>
                <w:szCs w:val="21"/>
              </w:rPr>
              <w:t>外浮顶储罐顶上取样口的两侧</w:t>
            </w:r>
            <w:r>
              <w:rPr>
                <w:rFonts w:hint="eastAsia"/>
                <w:color w:val="000000" w:themeColor="text1"/>
                <w:kern w:val="0"/>
                <w:szCs w:val="21"/>
              </w:rPr>
              <w:t>1.5m</w:t>
            </w:r>
            <w:r>
              <w:rPr>
                <w:rFonts w:hint="eastAsia"/>
                <w:color w:val="000000" w:themeColor="text1"/>
                <w:kern w:val="0"/>
                <w:szCs w:val="21"/>
              </w:rPr>
              <w:t>之外的平台入口处。</w:t>
            </w:r>
          </w:p>
        </w:tc>
        <w:tc>
          <w:tcPr>
            <w:tcW w:w="963" w:type="pct"/>
            <w:tcBorders>
              <w:tl2br w:val="nil"/>
              <w:tr2bl w:val="nil"/>
            </w:tcBorders>
            <w:vAlign w:val="center"/>
          </w:tcPr>
          <w:p w14:paraId="5894A60C" w14:textId="77777777" w:rsidR="003D6A63" w:rsidRDefault="00000000">
            <w:pPr>
              <w:adjustRightInd w:val="0"/>
              <w:snapToGrid w:val="0"/>
              <w:jc w:val="center"/>
              <w:rPr>
                <w:szCs w:val="21"/>
              </w:rPr>
            </w:pPr>
            <w:r>
              <w:rPr>
                <w:rFonts w:hint="eastAsia"/>
                <w:szCs w:val="21"/>
              </w:rPr>
              <w:t>SY/T0060-2017</w:t>
            </w:r>
          </w:p>
          <w:p w14:paraId="59B2FE3D" w14:textId="77777777" w:rsidR="003D6A63" w:rsidRDefault="00000000">
            <w:pPr>
              <w:adjustRightInd w:val="0"/>
              <w:snapToGrid w:val="0"/>
              <w:jc w:val="center"/>
              <w:rPr>
                <w:spacing w:val="-6"/>
                <w:szCs w:val="21"/>
              </w:rPr>
            </w:pPr>
            <w:r>
              <w:rPr>
                <w:rFonts w:hint="eastAsia"/>
                <w:szCs w:val="21"/>
              </w:rPr>
              <w:t>5.5.2</w:t>
            </w:r>
          </w:p>
        </w:tc>
        <w:tc>
          <w:tcPr>
            <w:tcW w:w="984" w:type="pct"/>
            <w:tcBorders>
              <w:tl2br w:val="nil"/>
              <w:tr2bl w:val="nil"/>
            </w:tcBorders>
            <w:vAlign w:val="center"/>
          </w:tcPr>
          <w:p w14:paraId="42D048DF" w14:textId="77777777" w:rsidR="003D6A63" w:rsidRDefault="00000000">
            <w:pPr>
              <w:adjustRightInd w:val="0"/>
              <w:snapToGrid w:val="0"/>
              <w:rPr>
                <w:rFonts w:ascii="宋体" w:hAnsi="宋体" w:cs="宋体"/>
                <w:kern w:val="0"/>
                <w:szCs w:val="21"/>
              </w:rPr>
            </w:pPr>
            <w:r>
              <w:rPr>
                <w:rFonts w:cs="宋体" w:hint="eastAsia"/>
                <w:szCs w:val="21"/>
                <w:lang w:bidi="en-US"/>
              </w:rPr>
              <w:t>G20-X1</w:t>
            </w:r>
            <w:r>
              <w:rPr>
                <w:rFonts w:cs="宋体" w:hint="eastAsia"/>
                <w:szCs w:val="21"/>
                <w:lang w:bidi="en-US"/>
              </w:rPr>
              <w:t>井场油气分离器区未设置静电释放器；</w:t>
            </w:r>
            <w:r>
              <w:rPr>
                <w:rFonts w:cs="宋体" w:hint="eastAsia"/>
                <w:kern w:val="0"/>
                <w:szCs w:val="21"/>
                <w:lang w:bidi="en-US"/>
              </w:rPr>
              <w:t>河</w:t>
            </w:r>
            <w:r>
              <w:rPr>
                <w:rFonts w:cs="宋体" w:hint="eastAsia"/>
                <w:kern w:val="0"/>
                <w:szCs w:val="21"/>
                <w:lang w:bidi="en-US"/>
              </w:rPr>
              <w:t>55</w:t>
            </w:r>
            <w:r>
              <w:rPr>
                <w:rFonts w:cs="宋体" w:hint="eastAsia"/>
                <w:kern w:val="0"/>
                <w:szCs w:val="21"/>
                <w:lang w:bidi="en-US"/>
              </w:rPr>
              <w:t>井场西侧设备区未设置静电释放器。</w:t>
            </w:r>
          </w:p>
        </w:tc>
        <w:tc>
          <w:tcPr>
            <w:tcW w:w="405" w:type="pct"/>
            <w:tcBorders>
              <w:tl2br w:val="nil"/>
              <w:tr2bl w:val="nil"/>
            </w:tcBorders>
            <w:vAlign w:val="center"/>
          </w:tcPr>
          <w:p w14:paraId="4B885D44" w14:textId="77777777" w:rsidR="003D6A63" w:rsidRDefault="00000000">
            <w:pPr>
              <w:adjustRightInd w:val="0"/>
              <w:snapToGrid w:val="0"/>
              <w:jc w:val="center"/>
              <w:rPr>
                <w:rFonts w:ascii="宋体" w:hAnsi="宋体" w:cs="宋体"/>
                <w:szCs w:val="21"/>
              </w:rPr>
            </w:pPr>
            <w:r>
              <w:rPr>
                <w:rFonts w:ascii="宋体" w:hAnsi="宋体" w:cs="宋体" w:hint="eastAsia"/>
                <w:b/>
                <w:bCs/>
                <w:szCs w:val="21"/>
              </w:rPr>
              <w:t>×</w:t>
            </w:r>
          </w:p>
        </w:tc>
      </w:tr>
      <w:tr w:rsidR="003D6A63" w14:paraId="7D015372" w14:textId="77777777">
        <w:trPr>
          <w:trHeight w:val="340"/>
          <w:jc w:val="center"/>
        </w:trPr>
        <w:tc>
          <w:tcPr>
            <w:tcW w:w="333" w:type="pct"/>
            <w:tcBorders>
              <w:tl2br w:val="nil"/>
              <w:tr2bl w:val="nil"/>
            </w:tcBorders>
            <w:vAlign w:val="center"/>
          </w:tcPr>
          <w:p w14:paraId="3BBEECC8"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268E81AF" w14:textId="77777777" w:rsidR="003D6A63" w:rsidRDefault="00000000">
            <w:pPr>
              <w:adjustRightInd w:val="0"/>
              <w:snapToGrid w:val="0"/>
              <w:rPr>
                <w:color w:val="000000" w:themeColor="text1"/>
                <w:kern w:val="0"/>
                <w:szCs w:val="21"/>
              </w:rPr>
            </w:pPr>
            <w:r>
              <w:rPr>
                <w:rFonts w:hint="eastAsia"/>
              </w:rPr>
              <w:t>接地装置由多个分接地装置部分组成时，应按设计要求设置便于分来的断接卡；自然接地极与人工接地极连接处、进出线构架接地线等应设置断接卡，断接卡应有保护措施。</w:t>
            </w:r>
          </w:p>
        </w:tc>
        <w:tc>
          <w:tcPr>
            <w:tcW w:w="963" w:type="pct"/>
            <w:tcBorders>
              <w:tl2br w:val="nil"/>
              <w:tr2bl w:val="nil"/>
            </w:tcBorders>
            <w:vAlign w:val="center"/>
          </w:tcPr>
          <w:p w14:paraId="4411E5EC" w14:textId="77777777" w:rsidR="003D6A63" w:rsidRDefault="00000000">
            <w:pPr>
              <w:adjustRightInd w:val="0"/>
              <w:snapToGrid w:val="0"/>
              <w:jc w:val="center"/>
            </w:pPr>
            <w:r>
              <w:rPr>
                <w:rFonts w:hint="eastAsia"/>
              </w:rPr>
              <w:t>GB50169-2016</w:t>
            </w:r>
          </w:p>
          <w:p w14:paraId="7DAE7648" w14:textId="77777777" w:rsidR="003D6A63" w:rsidRDefault="00000000">
            <w:pPr>
              <w:adjustRightInd w:val="0"/>
              <w:snapToGrid w:val="0"/>
              <w:jc w:val="center"/>
              <w:rPr>
                <w:szCs w:val="21"/>
              </w:rPr>
            </w:pPr>
            <w:r>
              <w:rPr>
                <w:rFonts w:hint="eastAsia"/>
              </w:rPr>
              <w:t>4.2.4</w:t>
            </w:r>
          </w:p>
        </w:tc>
        <w:tc>
          <w:tcPr>
            <w:tcW w:w="984" w:type="pct"/>
            <w:tcBorders>
              <w:tl2br w:val="nil"/>
              <w:tr2bl w:val="nil"/>
            </w:tcBorders>
            <w:vAlign w:val="center"/>
          </w:tcPr>
          <w:p w14:paraId="28FCA969" w14:textId="77777777" w:rsidR="003D6A63" w:rsidRDefault="00000000">
            <w:pPr>
              <w:adjustRightInd w:val="0"/>
              <w:snapToGrid w:val="0"/>
              <w:rPr>
                <w:rFonts w:cs="宋体"/>
                <w:szCs w:val="21"/>
                <w:lang w:bidi="en-US"/>
              </w:rPr>
            </w:pPr>
            <w:r>
              <w:rPr>
                <w:rFonts w:cs="宋体" w:hint="eastAsia"/>
                <w:kern w:val="0"/>
                <w:szCs w:val="21"/>
                <w:lang w:bidi="en-US"/>
              </w:rPr>
              <w:t>河</w:t>
            </w:r>
            <w:r>
              <w:rPr>
                <w:rFonts w:cs="宋体" w:hint="eastAsia"/>
                <w:kern w:val="0"/>
                <w:szCs w:val="21"/>
                <w:lang w:bidi="en-US"/>
              </w:rPr>
              <w:t>67-8</w:t>
            </w:r>
            <w:r>
              <w:rPr>
                <w:rFonts w:cs="宋体" w:hint="eastAsia"/>
                <w:kern w:val="0"/>
                <w:szCs w:val="21"/>
                <w:lang w:bidi="en-US"/>
              </w:rPr>
              <w:t>站立式分离器接地线无断接卡；河</w:t>
            </w:r>
            <w:r>
              <w:rPr>
                <w:rFonts w:cs="宋体" w:hint="eastAsia"/>
                <w:kern w:val="0"/>
                <w:szCs w:val="21"/>
                <w:lang w:bidi="en-US"/>
              </w:rPr>
              <w:t>55</w:t>
            </w:r>
            <w:r>
              <w:rPr>
                <w:rFonts w:cs="宋体" w:hint="eastAsia"/>
                <w:kern w:val="0"/>
                <w:szCs w:val="21"/>
                <w:lang w:bidi="en-US"/>
              </w:rPr>
              <w:t>站立式分离器静电接地线无断接卡。</w:t>
            </w:r>
          </w:p>
        </w:tc>
        <w:tc>
          <w:tcPr>
            <w:tcW w:w="405" w:type="pct"/>
            <w:tcBorders>
              <w:tl2br w:val="nil"/>
              <w:tr2bl w:val="nil"/>
            </w:tcBorders>
            <w:vAlign w:val="center"/>
          </w:tcPr>
          <w:p w14:paraId="7FFBE15B" w14:textId="77777777" w:rsidR="003D6A63" w:rsidRDefault="00000000">
            <w:pPr>
              <w:adjustRightInd w:val="0"/>
              <w:snapToGrid w:val="0"/>
              <w:jc w:val="center"/>
              <w:rPr>
                <w:rFonts w:ascii="宋体" w:hAnsi="宋体" w:cs="宋体"/>
                <w:b/>
                <w:bCs/>
                <w:szCs w:val="21"/>
              </w:rPr>
            </w:pPr>
            <w:r>
              <w:rPr>
                <w:rFonts w:ascii="宋体" w:hAnsi="宋体" w:cs="宋体" w:hint="eastAsia"/>
                <w:b/>
                <w:bCs/>
                <w:szCs w:val="21"/>
              </w:rPr>
              <w:t>×</w:t>
            </w:r>
          </w:p>
        </w:tc>
      </w:tr>
      <w:tr w:rsidR="003D6A63" w14:paraId="124C2F88" w14:textId="77777777">
        <w:trPr>
          <w:trHeight w:val="340"/>
          <w:jc w:val="center"/>
        </w:trPr>
        <w:tc>
          <w:tcPr>
            <w:tcW w:w="333" w:type="pct"/>
            <w:tcBorders>
              <w:tl2br w:val="nil"/>
              <w:tr2bl w:val="nil"/>
            </w:tcBorders>
            <w:vAlign w:val="center"/>
          </w:tcPr>
          <w:p w14:paraId="36EB3221" w14:textId="77777777" w:rsidR="003D6A63" w:rsidRDefault="00000000">
            <w:pPr>
              <w:adjustRightInd w:val="0"/>
              <w:snapToGrid w:val="0"/>
              <w:jc w:val="center"/>
              <w:rPr>
                <w:b/>
                <w:bCs/>
                <w:szCs w:val="21"/>
              </w:rPr>
            </w:pPr>
            <w:r>
              <w:rPr>
                <w:rFonts w:hint="eastAsia"/>
                <w:b/>
                <w:bCs/>
                <w:szCs w:val="21"/>
              </w:rPr>
              <w:t>七</w:t>
            </w:r>
          </w:p>
        </w:tc>
        <w:tc>
          <w:tcPr>
            <w:tcW w:w="2313" w:type="pct"/>
            <w:tcBorders>
              <w:tl2br w:val="nil"/>
              <w:tr2bl w:val="nil"/>
            </w:tcBorders>
            <w:vAlign w:val="center"/>
          </w:tcPr>
          <w:p w14:paraId="77EEDD3F" w14:textId="77777777" w:rsidR="003D6A63" w:rsidRDefault="00000000">
            <w:pPr>
              <w:adjustRightInd w:val="0"/>
              <w:snapToGrid w:val="0"/>
              <w:rPr>
                <w:b/>
                <w:bCs/>
                <w:szCs w:val="21"/>
              </w:rPr>
            </w:pPr>
            <w:r>
              <w:rPr>
                <w:b/>
                <w:bCs/>
                <w:szCs w:val="21"/>
              </w:rPr>
              <w:t>可燃气体检测报警</w:t>
            </w:r>
          </w:p>
        </w:tc>
        <w:tc>
          <w:tcPr>
            <w:tcW w:w="963" w:type="pct"/>
            <w:tcBorders>
              <w:tl2br w:val="nil"/>
              <w:tr2bl w:val="nil"/>
            </w:tcBorders>
            <w:vAlign w:val="center"/>
          </w:tcPr>
          <w:p w14:paraId="21AAC21C" w14:textId="77777777" w:rsidR="003D6A63" w:rsidRDefault="003D6A63">
            <w:pPr>
              <w:adjustRightInd w:val="0"/>
              <w:snapToGrid w:val="0"/>
              <w:jc w:val="center"/>
              <w:rPr>
                <w:szCs w:val="21"/>
              </w:rPr>
            </w:pPr>
          </w:p>
        </w:tc>
        <w:tc>
          <w:tcPr>
            <w:tcW w:w="984" w:type="pct"/>
            <w:tcBorders>
              <w:tl2br w:val="nil"/>
              <w:tr2bl w:val="nil"/>
            </w:tcBorders>
            <w:vAlign w:val="center"/>
          </w:tcPr>
          <w:p w14:paraId="2EE56857" w14:textId="77777777" w:rsidR="003D6A63" w:rsidRDefault="003D6A63">
            <w:pPr>
              <w:adjustRightInd w:val="0"/>
              <w:snapToGrid w:val="0"/>
              <w:jc w:val="left"/>
              <w:rPr>
                <w:szCs w:val="21"/>
              </w:rPr>
            </w:pPr>
          </w:p>
        </w:tc>
        <w:tc>
          <w:tcPr>
            <w:tcW w:w="405" w:type="pct"/>
            <w:tcBorders>
              <w:tl2br w:val="nil"/>
              <w:tr2bl w:val="nil"/>
            </w:tcBorders>
            <w:vAlign w:val="center"/>
          </w:tcPr>
          <w:p w14:paraId="31E0A5FA" w14:textId="77777777" w:rsidR="003D6A63" w:rsidRDefault="003D6A63">
            <w:pPr>
              <w:adjustRightInd w:val="0"/>
              <w:snapToGrid w:val="0"/>
              <w:rPr>
                <w:szCs w:val="21"/>
              </w:rPr>
            </w:pPr>
          </w:p>
        </w:tc>
      </w:tr>
      <w:tr w:rsidR="003D6A63" w14:paraId="53233FE1" w14:textId="77777777">
        <w:trPr>
          <w:trHeight w:val="340"/>
          <w:jc w:val="center"/>
        </w:trPr>
        <w:tc>
          <w:tcPr>
            <w:tcW w:w="333" w:type="pct"/>
            <w:tcBorders>
              <w:tl2br w:val="nil"/>
              <w:tr2bl w:val="nil"/>
            </w:tcBorders>
            <w:vAlign w:val="center"/>
          </w:tcPr>
          <w:p w14:paraId="0FC8215E"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0BB4C607" w14:textId="77777777" w:rsidR="003D6A63" w:rsidRDefault="00000000">
            <w:pPr>
              <w:adjustRightInd w:val="0"/>
              <w:snapToGrid w:val="0"/>
              <w:rPr>
                <w:szCs w:val="21"/>
              </w:rPr>
            </w:pPr>
            <w:r>
              <w:rPr>
                <w:rFonts w:hint="eastAsia"/>
                <w:szCs w:val="21"/>
              </w:rPr>
              <w:t>存在可燃气体和有毒气体的站场，操作人员应配置便携式可燃气体探测器。</w:t>
            </w:r>
          </w:p>
        </w:tc>
        <w:tc>
          <w:tcPr>
            <w:tcW w:w="963" w:type="pct"/>
            <w:tcBorders>
              <w:tl2br w:val="nil"/>
              <w:tr2bl w:val="nil"/>
            </w:tcBorders>
            <w:vAlign w:val="center"/>
          </w:tcPr>
          <w:p w14:paraId="311DBAD5" w14:textId="77777777" w:rsidR="003D6A63" w:rsidRDefault="00000000">
            <w:pPr>
              <w:adjustRightInd w:val="0"/>
              <w:snapToGrid w:val="0"/>
              <w:jc w:val="center"/>
              <w:rPr>
                <w:szCs w:val="21"/>
              </w:rPr>
            </w:pPr>
            <w:r>
              <w:rPr>
                <w:szCs w:val="21"/>
              </w:rPr>
              <w:t>SY/T6503-20</w:t>
            </w:r>
            <w:r>
              <w:rPr>
                <w:rFonts w:hint="eastAsia"/>
                <w:szCs w:val="21"/>
              </w:rPr>
              <w:t>22</w:t>
            </w:r>
          </w:p>
          <w:p w14:paraId="5C95515F" w14:textId="77777777" w:rsidR="003D6A63" w:rsidRDefault="00000000">
            <w:pPr>
              <w:adjustRightInd w:val="0"/>
              <w:snapToGrid w:val="0"/>
              <w:jc w:val="center"/>
              <w:rPr>
                <w:szCs w:val="21"/>
              </w:rPr>
            </w:pPr>
            <w:r>
              <w:rPr>
                <w:rFonts w:hint="eastAsia"/>
                <w:szCs w:val="21"/>
              </w:rPr>
              <w:t>4.3</w:t>
            </w:r>
          </w:p>
        </w:tc>
        <w:tc>
          <w:tcPr>
            <w:tcW w:w="984" w:type="pct"/>
            <w:tcBorders>
              <w:tl2br w:val="nil"/>
              <w:tr2bl w:val="nil"/>
            </w:tcBorders>
            <w:vAlign w:val="center"/>
          </w:tcPr>
          <w:p w14:paraId="675F9B1A" w14:textId="77777777" w:rsidR="003D6A63" w:rsidRDefault="00000000">
            <w:pPr>
              <w:adjustRightInd w:val="0"/>
              <w:snapToGrid w:val="0"/>
              <w:rPr>
                <w:szCs w:val="21"/>
              </w:rPr>
            </w:pPr>
            <w:r>
              <w:rPr>
                <w:rFonts w:hint="eastAsia"/>
                <w:szCs w:val="21"/>
              </w:rPr>
              <w:t>各开发区设置有便携式可燃气体探测器。</w:t>
            </w:r>
          </w:p>
        </w:tc>
        <w:tc>
          <w:tcPr>
            <w:tcW w:w="405" w:type="pct"/>
            <w:tcBorders>
              <w:tl2br w:val="nil"/>
              <w:tr2bl w:val="nil"/>
            </w:tcBorders>
            <w:vAlign w:val="center"/>
          </w:tcPr>
          <w:p w14:paraId="59CE1C5F" w14:textId="77777777" w:rsidR="003D6A63" w:rsidRDefault="00000000">
            <w:pPr>
              <w:adjustRightInd w:val="0"/>
              <w:snapToGrid w:val="0"/>
              <w:jc w:val="center"/>
              <w:rPr>
                <w:szCs w:val="21"/>
              </w:rPr>
            </w:pPr>
            <w:r>
              <w:rPr>
                <w:rFonts w:hint="eastAsia"/>
                <w:szCs w:val="21"/>
              </w:rPr>
              <w:t>√</w:t>
            </w:r>
          </w:p>
        </w:tc>
      </w:tr>
      <w:tr w:rsidR="003D6A63" w14:paraId="53D5EE1B" w14:textId="77777777">
        <w:trPr>
          <w:trHeight w:val="340"/>
          <w:jc w:val="center"/>
        </w:trPr>
        <w:tc>
          <w:tcPr>
            <w:tcW w:w="333" w:type="pct"/>
            <w:tcBorders>
              <w:tl2br w:val="nil"/>
              <w:tr2bl w:val="nil"/>
            </w:tcBorders>
            <w:vAlign w:val="center"/>
          </w:tcPr>
          <w:p w14:paraId="0A566CA3"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30927126" w14:textId="77777777" w:rsidR="003D6A63" w:rsidRDefault="00000000">
            <w:pPr>
              <w:adjustRightInd w:val="0"/>
              <w:snapToGrid w:val="0"/>
              <w:rPr>
                <w:szCs w:val="21"/>
              </w:rPr>
            </w:pPr>
            <w:r>
              <w:rPr>
                <w:szCs w:val="21"/>
              </w:rPr>
              <w:t>可燃气体</w:t>
            </w:r>
            <w:r>
              <w:rPr>
                <w:rFonts w:hint="eastAsia"/>
                <w:szCs w:val="21"/>
              </w:rPr>
              <w:t>和有毒气体</w:t>
            </w:r>
            <w:r>
              <w:rPr>
                <w:szCs w:val="21"/>
              </w:rPr>
              <w:t>检测报警系统</w:t>
            </w:r>
            <w:r>
              <w:rPr>
                <w:rFonts w:hint="eastAsia"/>
                <w:szCs w:val="21"/>
              </w:rPr>
              <w:t>的检查和维护应由专人负责。</w:t>
            </w:r>
          </w:p>
        </w:tc>
        <w:tc>
          <w:tcPr>
            <w:tcW w:w="963" w:type="pct"/>
            <w:tcBorders>
              <w:tl2br w:val="nil"/>
              <w:tr2bl w:val="nil"/>
            </w:tcBorders>
            <w:vAlign w:val="center"/>
          </w:tcPr>
          <w:p w14:paraId="7D0B80AA" w14:textId="77777777" w:rsidR="003D6A63" w:rsidRDefault="00000000">
            <w:pPr>
              <w:adjustRightInd w:val="0"/>
              <w:snapToGrid w:val="0"/>
              <w:jc w:val="center"/>
              <w:rPr>
                <w:szCs w:val="21"/>
              </w:rPr>
            </w:pPr>
            <w:r>
              <w:rPr>
                <w:szCs w:val="21"/>
              </w:rPr>
              <w:t>SY/T6503-20</w:t>
            </w:r>
            <w:r>
              <w:rPr>
                <w:rFonts w:hint="eastAsia"/>
                <w:szCs w:val="21"/>
              </w:rPr>
              <w:t>22</w:t>
            </w:r>
          </w:p>
          <w:p w14:paraId="3D53ECFF" w14:textId="77777777" w:rsidR="003D6A63" w:rsidRDefault="00000000">
            <w:pPr>
              <w:adjustRightInd w:val="0"/>
              <w:snapToGrid w:val="0"/>
              <w:jc w:val="center"/>
              <w:rPr>
                <w:szCs w:val="21"/>
              </w:rPr>
            </w:pPr>
            <w:r>
              <w:rPr>
                <w:szCs w:val="21"/>
              </w:rPr>
              <w:t>8.1</w:t>
            </w:r>
          </w:p>
        </w:tc>
        <w:tc>
          <w:tcPr>
            <w:tcW w:w="984" w:type="pct"/>
            <w:tcBorders>
              <w:tl2br w:val="nil"/>
              <w:tr2bl w:val="nil"/>
            </w:tcBorders>
            <w:vAlign w:val="center"/>
          </w:tcPr>
          <w:p w14:paraId="57B7DA90" w14:textId="77777777" w:rsidR="003D6A63" w:rsidRDefault="00000000">
            <w:pPr>
              <w:adjustRightInd w:val="0"/>
              <w:snapToGrid w:val="0"/>
              <w:rPr>
                <w:szCs w:val="21"/>
              </w:rPr>
            </w:pPr>
            <w:r>
              <w:rPr>
                <w:rFonts w:hint="eastAsia"/>
                <w:szCs w:val="21"/>
              </w:rPr>
              <w:t>可燃气体检测报警系统的检查和维护由专人负责。</w:t>
            </w:r>
          </w:p>
        </w:tc>
        <w:tc>
          <w:tcPr>
            <w:tcW w:w="405" w:type="pct"/>
            <w:tcBorders>
              <w:tl2br w:val="nil"/>
              <w:tr2bl w:val="nil"/>
            </w:tcBorders>
            <w:vAlign w:val="center"/>
          </w:tcPr>
          <w:p w14:paraId="43489DAE" w14:textId="77777777" w:rsidR="003D6A63" w:rsidRDefault="00000000">
            <w:pPr>
              <w:adjustRightInd w:val="0"/>
              <w:snapToGrid w:val="0"/>
              <w:jc w:val="center"/>
              <w:rPr>
                <w:szCs w:val="21"/>
              </w:rPr>
            </w:pPr>
            <w:r>
              <w:rPr>
                <w:rFonts w:hint="eastAsia"/>
                <w:szCs w:val="21"/>
              </w:rPr>
              <w:t>√</w:t>
            </w:r>
          </w:p>
        </w:tc>
      </w:tr>
      <w:tr w:rsidR="003D6A63" w14:paraId="486DC5A0" w14:textId="77777777">
        <w:trPr>
          <w:trHeight w:val="340"/>
          <w:jc w:val="center"/>
        </w:trPr>
        <w:tc>
          <w:tcPr>
            <w:tcW w:w="333" w:type="pct"/>
            <w:tcBorders>
              <w:tl2br w:val="nil"/>
              <w:tr2bl w:val="nil"/>
            </w:tcBorders>
            <w:vAlign w:val="center"/>
          </w:tcPr>
          <w:p w14:paraId="511C701A"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4B057DAC" w14:textId="77777777" w:rsidR="003D6A63" w:rsidRDefault="00000000">
            <w:pPr>
              <w:adjustRightInd w:val="0"/>
              <w:snapToGrid w:val="0"/>
              <w:rPr>
                <w:szCs w:val="21"/>
              </w:rPr>
            </w:pPr>
            <w:r>
              <w:rPr>
                <w:szCs w:val="21"/>
              </w:rPr>
              <w:t>可燃气体</w:t>
            </w:r>
            <w:r>
              <w:rPr>
                <w:rFonts w:hint="eastAsia"/>
                <w:szCs w:val="21"/>
              </w:rPr>
              <w:t>和有毒气体</w:t>
            </w:r>
            <w:r>
              <w:rPr>
                <w:szCs w:val="21"/>
              </w:rPr>
              <w:t>检测报警系统</w:t>
            </w:r>
            <w:r>
              <w:rPr>
                <w:rFonts w:hint="eastAsia"/>
                <w:szCs w:val="21"/>
              </w:rPr>
              <w:t>应</w:t>
            </w:r>
            <w:r>
              <w:rPr>
                <w:szCs w:val="21"/>
              </w:rPr>
              <w:t>进行定期检查，</w:t>
            </w:r>
            <w:r>
              <w:rPr>
                <w:rFonts w:hint="eastAsia"/>
                <w:szCs w:val="21"/>
              </w:rPr>
              <w:t>定期维护</w:t>
            </w:r>
            <w:r>
              <w:rPr>
                <w:szCs w:val="21"/>
              </w:rPr>
              <w:t>，</w:t>
            </w:r>
            <w:r>
              <w:rPr>
                <w:rFonts w:hint="eastAsia"/>
                <w:szCs w:val="21"/>
              </w:rPr>
              <w:t>做好记录</w:t>
            </w:r>
            <w:r>
              <w:rPr>
                <w:szCs w:val="21"/>
              </w:rPr>
              <w:t>。</w:t>
            </w:r>
          </w:p>
        </w:tc>
        <w:tc>
          <w:tcPr>
            <w:tcW w:w="963" w:type="pct"/>
            <w:tcBorders>
              <w:tl2br w:val="nil"/>
              <w:tr2bl w:val="nil"/>
            </w:tcBorders>
            <w:vAlign w:val="center"/>
          </w:tcPr>
          <w:p w14:paraId="2CB2FC5D" w14:textId="77777777" w:rsidR="003D6A63" w:rsidRDefault="00000000">
            <w:pPr>
              <w:adjustRightInd w:val="0"/>
              <w:snapToGrid w:val="0"/>
              <w:jc w:val="center"/>
              <w:rPr>
                <w:szCs w:val="21"/>
              </w:rPr>
            </w:pPr>
            <w:r>
              <w:rPr>
                <w:szCs w:val="21"/>
              </w:rPr>
              <w:t>SY/T6503-20</w:t>
            </w:r>
            <w:r>
              <w:rPr>
                <w:rFonts w:hint="eastAsia"/>
                <w:szCs w:val="21"/>
              </w:rPr>
              <w:t>22</w:t>
            </w:r>
          </w:p>
          <w:p w14:paraId="69883D32" w14:textId="77777777" w:rsidR="003D6A63" w:rsidRDefault="00000000">
            <w:pPr>
              <w:adjustRightInd w:val="0"/>
              <w:snapToGrid w:val="0"/>
              <w:jc w:val="center"/>
              <w:rPr>
                <w:szCs w:val="21"/>
              </w:rPr>
            </w:pPr>
            <w:r>
              <w:rPr>
                <w:szCs w:val="21"/>
              </w:rPr>
              <w:t>8.2</w:t>
            </w:r>
          </w:p>
        </w:tc>
        <w:tc>
          <w:tcPr>
            <w:tcW w:w="984" w:type="pct"/>
            <w:tcBorders>
              <w:tl2br w:val="nil"/>
              <w:tr2bl w:val="nil"/>
            </w:tcBorders>
            <w:vAlign w:val="center"/>
          </w:tcPr>
          <w:p w14:paraId="2AA096F5" w14:textId="77777777" w:rsidR="003D6A63" w:rsidRDefault="00000000">
            <w:pPr>
              <w:adjustRightInd w:val="0"/>
              <w:snapToGrid w:val="0"/>
              <w:rPr>
                <w:szCs w:val="21"/>
              </w:rPr>
            </w:pPr>
            <w:r>
              <w:rPr>
                <w:rFonts w:hint="eastAsia"/>
                <w:szCs w:val="21"/>
              </w:rPr>
              <w:t>气体</w:t>
            </w:r>
            <w:r>
              <w:rPr>
                <w:szCs w:val="21"/>
              </w:rPr>
              <w:t>检测报警系统定期检查</w:t>
            </w:r>
            <w:r>
              <w:rPr>
                <w:rFonts w:hint="eastAsia"/>
                <w:szCs w:val="21"/>
              </w:rPr>
              <w:t>维护。</w:t>
            </w:r>
          </w:p>
        </w:tc>
        <w:tc>
          <w:tcPr>
            <w:tcW w:w="405" w:type="pct"/>
            <w:tcBorders>
              <w:tl2br w:val="nil"/>
              <w:tr2bl w:val="nil"/>
            </w:tcBorders>
            <w:vAlign w:val="center"/>
          </w:tcPr>
          <w:p w14:paraId="6DCC0F24" w14:textId="77777777" w:rsidR="003D6A63" w:rsidRDefault="00000000">
            <w:pPr>
              <w:adjustRightInd w:val="0"/>
              <w:snapToGrid w:val="0"/>
              <w:jc w:val="center"/>
              <w:rPr>
                <w:szCs w:val="21"/>
              </w:rPr>
            </w:pPr>
            <w:r>
              <w:rPr>
                <w:rFonts w:hint="eastAsia"/>
                <w:szCs w:val="21"/>
              </w:rPr>
              <w:t>√</w:t>
            </w:r>
          </w:p>
        </w:tc>
      </w:tr>
      <w:tr w:rsidR="003D6A63" w14:paraId="154D46B5" w14:textId="77777777">
        <w:trPr>
          <w:trHeight w:val="340"/>
          <w:jc w:val="center"/>
        </w:trPr>
        <w:tc>
          <w:tcPr>
            <w:tcW w:w="333" w:type="pct"/>
            <w:tcBorders>
              <w:tl2br w:val="nil"/>
              <w:tr2bl w:val="nil"/>
            </w:tcBorders>
            <w:vAlign w:val="center"/>
          </w:tcPr>
          <w:p w14:paraId="3643542E" w14:textId="77777777" w:rsidR="003D6A63" w:rsidRDefault="00000000">
            <w:pPr>
              <w:adjustRightInd w:val="0"/>
              <w:snapToGrid w:val="0"/>
              <w:jc w:val="center"/>
              <w:rPr>
                <w:b/>
                <w:bCs/>
                <w:szCs w:val="21"/>
              </w:rPr>
            </w:pPr>
            <w:r>
              <w:rPr>
                <w:rFonts w:hint="eastAsia"/>
                <w:b/>
                <w:bCs/>
                <w:szCs w:val="21"/>
              </w:rPr>
              <w:t>八</w:t>
            </w:r>
          </w:p>
        </w:tc>
        <w:tc>
          <w:tcPr>
            <w:tcW w:w="2313" w:type="pct"/>
            <w:tcBorders>
              <w:tl2br w:val="nil"/>
              <w:tr2bl w:val="nil"/>
            </w:tcBorders>
            <w:vAlign w:val="center"/>
          </w:tcPr>
          <w:p w14:paraId="5001465F" w14:textId="77777777" w:rsidR="003D6A63" w:rsidRDefault="00000000">
            <w:pPr>
              <w:adjustRightInd w:val="0"/>
              <w:snapToGrid w:val="0"/>
              <w:rPr>
                <w:b/>
                <w:bCs/>
                <w:szCs w:val="21"/>
              </w:rPr>
            </w:pPr>
            <w:r>
              <w:rPr>
                <w:b/>
                <w:bCs/>
                <w:szCs w:val="21"/>
              </w:rPr>
              <w:t>消防设施</w:t>
            </w:r>
          </w:p>
        </w:tc>
        <w:tc>
          <w:tcPr>
            <w:tcW w:w="963" w:type="pct"/>
            <w:tcBorders>
              <w:tl2br w:val="nil"/>
              <w:tr2bl w:val="nil"/>
            </w:tcBorders>
            <w:vAlign w:val="center"/>
          </w:tcPr>
          <w:p w14:paraId="5BF5864C" w14:textId="77777777" w:rsidR="003D6A63" w:rsidRDefault="003D6A63">
            <w:pPr>
              <w:adjustRightInd w:val="0"/>
              <w:snapToGrid w:val="0"/>
              <w:jc w:val="center"/>
              <w:rPr>
                <w:szCs w:val="21"/>
              </w:rPr>
            </w:pPr>
          </w:p>
        </w:tc>
        <w:tc>
          <w:tcPr>
            <w:tcW w:w="984" w:type="pct"/>
            <w:tcBorders>
              <w:tl2br w:val="nil"/>
              <w:tr2bl w:val="nil"/>
            </w:tcBorders>
            <w:vAlign w:val="center"/>
          </w:tcPr>
          <w:p w14:paraId="752DFF00" w14:textId="77777777" w:rsidR="003D6A63" w:rsidRDefault="003D6A63">
            <w:pPr>
              <w:adjustRightInd w:val="0"/>
              <w:snapToGrid w:val="0"/>
              <w:rPr>
                <w:szCs w:val="21"/>
              </w:rPr>
            </w:pPr>
          </w:p>
        </w:tc>
        <w:tc>
          <w:tcPr>
            <w:tcW w:w="405" w:type="pct"/>
            <w:tcBorders>
              <w:tl2br w:val="nil"/>
              <w:tr2bl w:val="nil"/>
            </w:tcBorders>
            <w:vAlign w:val="center"/>
          </w:tcPr>
          <w:p w14:paraId="009CAAB3" w14:textId="77777777" w:rsidR="003D6A63" w:rsidRDefault="003D6A63">
            <w:pPr>
              <w:adjustRightInd w:val="0"/>
              <w:snapToGrid w:val="0"/>
              <w:rPr>
                <w:szCs w:val="21"/>
              </w:rPr>
            </w:pPr>
          </w:p>
        </w:tc>
      </w:tr>
      <w:tr w:rsidR="003D6A63" w14:paraId="3F5042A8" w14:textId="77777777">
        <w:trPr>
          <w:trHeight w:val="340"/>
          <w:jc w:val="center"/>
        </w:trPr>
        <w:tc>
          <w:tcPr>
            <w:tcW w:w="333" w:type="pct"/>
            <w:tcBorders>
              <w:tl2br w:val="nil"/>
              <w:tr2bl w:val="nil"/>
            </w:tcBorders>
            <w:vAlign w:val="center"/>
          </w:tcPr>
          <w:p w14:paraId="509E51A4"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64AED548" w14:textId="77777777" w:rsidR="003D6A63" w:rsidRDefault="00000000">
            <w:pPr>
              <w:adjustRightInd w:val="0"/>
              <w:snapToGrid w:val="0"/>
              <w:rPr>
                <w:szCs w:val="21"/>
              </w:rPr>
            </w:pPr>
            <w:r>
              <w:rPr>
                <w:szCs w:val="21"/>
              </w:rPr>
              <w:t>灭火器的摆放应稳固，其名牌应朝外。手提式灭火器宜设置在灭火器箱内或挂钩、托架上，其顶部离地面高度不应大于</w:t>
            </w:r>
            <w:r>
              <w:rPr>
                <w:szCs w:val="21"/>
              </w:rPr>
              <w:t>1.5m</w:t>
            </w:r>
            <w:r>
              <w:rPr>
                <w:szCs w:val="21"/>
              </w:rPr>
              <w:t>；底部离地面高度不宜小于</w:t>
            </w:r>
            <w:r>
              <w:rPr>
                <w:szCs w:val="21"/>
              </w:rPr>
              <w:t>0.08m</w:t>
            </w:r>
            <w:r>
              <w:rPr>
                <w:szCs w:val="21"/>
              </w:rPr>
              <w:t>，灭火器箱不得上锁。</w:t>
            </w:r>
          </w:p>
        </w:tc>
        <w:tc>
          <w:tcPr>
            <w:tcW w:w="963" w:type="pct"/>
            <w:tcBorders>
              <w:tl2br w:val="nil"/>
              <w:tr2bl w:val="nil"/>
            </w:tcBorders>
            <w:vAlign w:val="center"/>
          </w:tcPr>
          <w:p w14:paraId="22392571" w14:textId="77777777" w:rsidR="003D6A63" w:rsidRDefault="00000000">
            <w:pPr>
              <w:adjustRightInd w:val="0"/>
              <w:snapToGrid w:val="0"/>
              <w:jc w:val="center"/>
            </w:pPr>
            <w:r>
              <w:t>GB50140-2005</w:t>
            </w:r>
          </w:p>
          <w:p w14:paraId="055E2450" w14:textId="77777777" w:rsidR="003D6A63" w:rsidRDefault="00000000">
            <w:pPr>
              <w:adjustRightInd w:val="0"/>
              <w:snapToGrid w:val="0"/>
              <w:jc w:val="center"/>
              <w:rPr>
                <w:szCs w:val="21"/>
              </w:rPr>
            </w:pPr>
            <w:r>
              <w:rPr>
                <w:szCs w:val="21"/>
              </w:rPr>
              <w:t>5.1.3</w:t>
            </w:r>
          </w:p>
        </w:tc>
        <w:tc>
          <w:tcPr>
            <w:tcW w:w="984" w:type="pct"/>
            <w:tcBorders>
              <w:tl2br w:val="nil"/>
              <w:tr2bl w:val="nil"/>
            </w:tcBorders>
            <w:vAlign w:val="center"/>
          </w:tcPr>
          <w:p w14:paraId="07A3D6C0" w14:textId="77777777" w:rsidR="003D6A63" w:rsidRDefault="00000000">
            <w:pPr>
              <w:adjustRightInd w:val="0"/>
              <w:snapToGrid w:val="0"/>
              <w:rPr>
                <w:szCs w:val="21"/>
              </w:rPr>
            </w:pPr>
            <w:r>
              <w:rPr>
                <w:rFonts w:hint="eastAsia"/>
                <w:szCs w:val="21"/>
              </w:rPr>
              <w:t>计量间内灭火器摆放稳固。</w:t>
            </w:r>
          </w:p>
        </w:tc>
        <w:tc>
          <w:tcPr>
            <w:tcW w:w="405" w:type="pct"/>
            <w:tcBorders>
              <w:tl2br w:val="nil"/>
              <w:tr2bl w:val="nil"/>
            </w:tcBorders>
            <w:vAlign w:val="center"/>
          </w:tcPr>
          <w:p w14:paraId="33723461" w14:textId="77777777" w:rsidR="003D6A63" w:rsidRDefault="00000000">
            <w:pPr>
              <w:adjustRightInd w:val="0"/>
              <w:snapToGrid w:val="0"/>
              <w:jc w:val="center"/>
              <w:rPr>
                <w:szCs w:val="21"/>
              </w:rPr>
            </w:pPr>
            <w:r>
              <w:rPr>
                <w:rFonts w:hint="eastAsia"/>
                <w:szCs w:val="21"/>
              </w:rPr>
              <w:t>√</w:t>
            </w:r>
          </w:p>
        </w:tc>
      </w:tr>
      <w:tr w:rsidR="003D6A63" w14:paraId="1A5D1DFB" w14:textId="77777777">
        <w:trPr>
          <w:trHeight w:val="340"/>
          <w:jc w:val="center"/>
        </w:trPr>
        <w:tc>
          <w:tcPr>
            <w:tcW w:w="333" w:type="pct"/>
            <w:tcBorders>
              <w:tl2br w:val="nil"/>
              <w:tr2bl w:val="nil"/>
            </w:tcBorders>
            <w:vAlign w:val="center"/>
          </w:tcPr>
          <w:p w14:paraId="051A0392"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5207B807" w14:textId="77777777" w:rsidR="003D6A63" w:rsidRDefault="00000000">
            <w:pPr>
              <w:adjustRightInd w:val="0"/>
              <w:snapToGrid w:val="0"/>
            </w:pPr>
            <w:r>
              <w:t>灭火器的配置类型应与配置场所的火灾种类和危险等级相适应，并应符合下列规定：</w:t>
            </w:r>
          </w:p>
          <w:p w14:paraId="0D2BC308" w14:textId="77777777" w:rsidR="003D6A63" w:rsidRDefault="00000000">
            <w:pPr>
              <w:adjustRightInd w:val="0"/>
              <w:snapToGrid w:val="0"/>
            </w:pPr>
            <w:r>
              <w:lastRenderedPageBreak/>
              <w:t>1 A</w:t>
            </w:r>
            <w:r>
              <w:t>类火灾场所应选择同时适用于</w:t>
            </w:r>
            <w:r>
              <w:t>A</w:t>
            </w:r>
            <w:r>
              <w:t>类</w:t>
            </w:r>
            <w:r>
              <w:t>.E</w:t>
            </w:r>
            <w:r>
              <w:t>类火灾的灭火器。</w:t>
            </w:r>
          </w:p>
          <w:p w14:paraId="62E5BF41" w14:textId="77777777" w:rsidR="003D6A63" w:rsidRDefault="00000000">
            <w:pPr>
              <w:adjustRightInd w:val="0"/>
              <w:snapToGrid w:val="0"/>
            </w:pPr>
            <w:r>
              <w:t>2 B</w:t>
            </w:r>
            <w:r>
              <w:t>类火灾场所应选择适用于</w:t>
            </w:r>
            <w:r>
              <w:t>B</w:t>
            </w:r>
            <w:r>
              <w:t>类火灾的灭火器。</w:t>
            </w:r>
            <w:r>
              <w:t>B</w:t>
            </w:r>
            <w:r>
              <w:t>类火灾场所存在水溶性可燃液体（极性溶剂）且选择水基型灭火器时，应选用抗溶性的灭火器。</w:t>
            </w:r>
          </w:p>
          <w:p w14:paraId="22E7070B" w14:textId="77777777" w:rsidR="003D6A63" w:rsidRDefault="00000000">
            <w:pPr>
              <w:adjustRightInd w:val="0"/>
              <w:snapToGrid w:val="0"/>
            </w:pPr>
            <w:r>
              <w:t>3 C</w:t>
            </w:r>
            <w:r>
              <w:t>类火灾场所应选择适用于</w:t>
            </w:r>
            <w:r>
              <w:t>C</w:t>
            </w:r>
            <w:r>
              <w:t>类火灾的灭火器。</w:t>
            </w:r>
          </w:p>
          <w:p w14:paraId="1405F017" w14:textId="77777777" w:rsidR="003D6A63" w:rsidRDefault="00000000">
            <w:pPr>
              <w:adjustRightInd w:val="0"/>
              <w:snapToGrid w:val="0"/>
            </w:pPr>
            <w:r>
              <w:t>4 D</w:t>
            </w:r>
            <w:r>
              <w:t>类火灾场所应根据金属的种类</w:t>
            </w:r>
            <w:r>
              <w:t>.</w:t>
            </w:r>
            <w:r>
              <w:t>物态及其特性选择适用于特定金属的专用灭火器。</w:t>
            </w:r>
          </w:p>
          <w:p w14:paraId="42D85395" w14:textId="77777777" w:rsidR="003D6A63" w:rsidRDefault="00000000">
            <w:pPr>
              <w:adjustRightInd w:val="0"/>
              <w:snapToGrid w:val="0"/>
            </w:pPr>
            <w:r>
              <w:t>5 E</w:t>
            </w:r>
            <w:r>
              <w:t>类火灾场所应选择适用于</w:t>
            </w:r>
            <w:r>
              <w:t>E</w:t>
            </w:r>
            <w:r>
              <w:t>类火灾的灭火器。带电设备电压超过</w:t>
            </w:r>
            <w:r>
              <w:t>1kV</w:t>
            </w:r>
            <w:r>
              <w:t>且灭火时不能断电的场所不应使用灭火器带电扑救。</w:t>
            </w:r>
          </w:p>
          <w:p w14:paraId="000B61EF" w14:textId="77777777" w:rsidR="003D6A63" w:rsidRDefault="00000000">
            <w:pPr>
              <w:adjustRightInd w:val="0"/>
              <w:snapToGrid w:val="0"/>
            </w:pPr>
            <w:r>
              <w:t>6 F</w:t>
            </w:r>
            <w:r>
              <w:t>类火灾场所应选择适用于</w:t>
            </w:r>
            <w:r>
              <w:t>E</w:t>
            </w:r>
            <w:r>
              <w:t>类、</w:t>
            </w:r>
            <w:r>
              <w:t>F</w:t>
            </w:r>
            <w:r>
              <w:t>类火灾的灭火器。</w:t>
            </w:r>
          </w:p>
          <w:p w14:paraId="4FB8C964" w14:textId="77777777" w:rsidR="003D6A63" w:rsidRDefault="00000000">
            <w:pPr>
              <w:adjustRightInd w:val="0"/>
              <w:snapToGrid w:val="0"/>
            </w:pPr>
            <w:r>
              <w:t xml:space="preserve">7 </w:t>
            </w:r>
            <w:r>
              <w:t>当配置场所存在多种火灾时，应选用能同时适用扑救该场所所有种类火灾的灭火器。</w:t>
            </w:r>
          </w:p>
        </w:tc>
        <w:tc>
          <w:tcPr>
            <w:tcW w:w="963" w:type="pct"/>
            <w:tcBorders>
              <w:tl2br w:val="nil"/>
              <w:tr2bl w:val="nil"/>
            </w:tcBorders>
            <w:vAlign w:val="center"/>
          </w:tcPr>
          <w:p w14:paraId="7F12EAAD" w14:textId="77777777" w:rsidR="003D6A63" w:rsidRDefault="00000000">
            <w:pPr>
              <w:adjustRightInd w:val="0"/>
              <w:snapToGrid w:val="0"/>
              <w:jc w:val="center"/>
              <w:rPr>
                <w:szCs w:val="21"/>
              </w:rPr>
            </w:pPr>
            <w:r>
              <w:rPr>
                <w:rFonts w:hint="eastAsia"/>
                <w:szCs w:val="21"/>
              </w:rPr>
              <w:lastRenderedPageBreak/>
              <w:t>GB55036-2022</w:t>
            </w:r>
          </w:p>
          <w:p w14:paraId="13C1E52A" w14:textId="77777777" w:rsidR="003D6A63" w:rsidRDefault="00000000">
            <w:pPr>
              <w:adjustRightInd w:val="0"/>
              <w:snapToGrid w:val="0"/>
              <w:jc w:val="center"/>
            </w:pPr>
            <w:r>
              <w:rPr>
                <w:rFonts w:hint="eastAsia"/>
                <w:szCs w:val="21"/>
              </w:rPr>
              <w:t>10.0.1</w:t>
            </w:r>
          </w:p>
        </w:tc>
        <w:tc>
          <w:tcPr>
            <w:tcW w:w="984" w:type="pct"/>
            <w:tcBorders>
              <w:tl2br w:val="nil"/>
              <w:tr2bl w:val="nil"/>
            </w:tcBorders>
            <w:vAlign w:val="center"/>
          </w:tcPr>
          <w:p w14:paraId="1081288B" w14:textId="77777777" w:rsidR="003D6A63" w:rsidRDefault="00000000">
            <w:pPr>
              <w:adjustRightInd w:val="0"/>
              <w:snapToGrid w:val="0"/>
              <w:rPr>
                <w:szCs w:val="21"/>
              </w:rPr>
            </w:pPr>
            <w:r>
              <w:rPr>
                <w:rFonts w:hint="eastAsia"/>
                <w:szCs w:val="21"/>
              </w:rPr>
              <w:t>计量间内设置干粉灭火器，符合要</w:t>
            </w:r>
            <w:r>
              <w:rPr>
                <w:rFonts w:hint="eastAsia"/>
                <w:szCs w:val="21"/>
              </w:rPr>
              <w:lastRenderedPageBreak/>
              <w:t>求。</w:t>
            </w:r>
          </w:p>
        </w:tc>
        <w:tc>
          <w:tcPr>
            <w:tcW w:w="405" w:type="pct"/>
            <w:tcBorders>
              <w:tl2br w:val="nil"/>
              <w:tr2bl w:val="nil"/>
            </w:tcBorders>
            <w:vAlign w:val="center"/>
          </w:tcPr>
          <w:p w14:paraId="45FD1D62" w14:textId="77777777" w:rsidR="003D6A63" w:rsidRDefault="00000000">
            <w:pPr>
              <w:adjustRightInd w:val="0"/>
              <w:snapToGrid w:val="0"/>
              <w:jc w:val="center"/>
              <w:rPr>
                <w:szCs w:val="21"/>
              </w:rPr>
            </w:pPr>
            <w:r>
              <w:rPr>
                <w:rFonts w:hint="eastAsia"/>
                <w:szCs w:val="21"/>
              </w:rPr>
              <w:lastRenderedPageBreak/>
              <w:t>√</w:t>
            </w:r>
          </w:p>
        </w:tc>
      </w:tr>
      <w:tr w:rsidR="003D6A63" w14:paraId="6F73ACFE" w14:textId="77777777">
        <w:trPr>
          <w:trHeight w:val="340"/>
          <w:jc w:val="center"/>
        </w:trPr>
        <w:tc>
          <w:tcPr>
            <w:tcW w:w="333" w:type="pct"/>
            <w:tcBorders>
              <w:tl2br w:val="nil"/>
              <w:tr2bl w:val="nil"/>
            </w:tcBorders>
            <w:vAlign w:val="center"/>
          </w:tcPr>
          <w:p w14:paraId="0153F6D0"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0D3027C3" w14:textId="77777777" w:rsidR="003D6A63" w:rsidRDefault="00000000">
            <w:pPr>
              <w:adjustRightInd w:val="0"/>
              <w:snapToGrid w:val="0"/>
              <w:rPr>
                <w:bCs/>
                <w:color w:val="FF0000"/>
                <w:szCs w:val="21"/>
              </w:rPr>
            </w:pPr>
            <w:r>
              <w:rPr>
                <w:bCs/>
                <w:color w:val="000000" w:themeColor="text1"/>
                <w:szCs w:val="21"/>
              </w:rPr>
              <w:t>一个计算单元内配置的灭火器数量应经计算确定且不应少于</w:t>
            </w:r>
            <w:r>
              <w:rPr>
                <w:bCs/>
                <w:color w:val="000000" w:themeColor="text1"/>
                <w:szCs w:val="21"/>
              </w:rPr>
              <w:t>2</w:t>
            </w:r>
            <w:r>
              <w:rPr>
                <w:bCs/>
                <w:color w:val="000000" w:themeColor="text1"/>
                <w:szCs w:val="21"/>
              </w:rPr>
              <w:t>具。</w:t>
            </w:r>
          </w:p>
        </w:tc>
        <w:tc>
          <w:tcPr>
            <w:tcW w:w="963" w:type="pct"/>
            <w:tcBorders>
              <w:tl2br w:val="nil"/>
              <w:tr2bl w:val="nil"/>
            </w:tcBorders>
            <w:vAlign w:val="center"/>
          </w:tcPr>
          <w:p w14:paraId="0B721F0A" w14:textId="77777777" w:rsidR="003D6A63" w:rsidRDefault="00000000">
            <w:pPr>
              <w:adjustRightInd w:val="0"/>
              <w:snapToGrid w:val="0"/>
              <w:jc w:val="center"/>
              <w:rPr>
                <w:szCs w:val="21"/>
              </w:rPr>
            </w:pPr>
            <w:r>
              <w:rPr>
                <w:rFonts w:hint="eastAsia"/>
                <w:szCs w:val="21"/>
              </w:rPr>
              <w:t>GB55036-2022</w:t>
            </w:r>
          </w:p>
          <w:p w14:paraId="341D6E48" w14:textId="77777777" w:rsidR="003D6A63" w:rsidRDefault="00000000">
            <w:pPr>
              <w:adjustRightInd w:val="0"/>
              <w:snapToGrid w:val="0"/>
              <w:jc w:val="center"/>
              <w:rPr>
                <w:szCs w:val="21"/>
              </w:rPr>
            </w:pPr>
            <w:r>
              <w:rPr>
                <w:rFonts w:hint="eastAsia"/>
                <w:szCs w:val="21"/>
              </w:rPr>
              <w:t>10.0.3.2</w:t>
            </w:r>
          </w:p>
        </w:tc>
        <w:tc>
          <w:tcPr>
            <w:tcW w:w="984" w:type="pct"/>
            <w:tcBorders>
              <w:tl2br w:val="nil"/>
              <w:tr2bl w:val="nil"/>
            </w:tcBorders>
            <w:vAlign w:val="center"/>
          </w:tcPr>
          <w:p w14:paraId="681C7F5B" w14:textId="77777777" w:rsidR="003D6A63" w:rsidRDefault="00000000">
            <w:pPr>
              <w:adjustRightInd w:val="0"/>
              <w:snapToGrid w:val="0"/>
              <w:rPr>
                <w:szCs w:val="21"/>
              </w:rPr>
            </w:pPr>
            <w:r>
              <w:rPr>
                <w:rFonts w:hint="eastAsia"/>
                <w:szCs w:val="21"/>
              </w:rPr>
              <w:t>灭火器成对放置。</w:t>
            </w:r>
          </w:p>
        </w:tc>
        <w:tc>
          <w:tcPr>
            <w:tcW w:w="405" w:type="pct"/>
            <w:tcBorders>
              <w:tl2br w:val="nil"/>
              <w:tr2bl w:val="nil"/>
            </w:tcBorders>
            <w:vAlign w:val="center"/>
          </w:tcPr>
          <w:p w14:paraId="284EBB49" w14:textId="77777777" w:rsidR="003D6A63" w:rsidRDefault="00000000">
            <w:pPr>
              <w:adjustRightInd w:val="0"/>
              <w:snapToGrid w:val="0"/>
              <w:jc w:val="center"/>
              <w:rPr>
                <w:szCs w:val="21"/>
              </w:rPr>
            </w:pPr>
            <w:r>
              <w:rPr>
                <w:rFonts w:hint="eastAsia"/>
                <w:szCs w:val="21"/>
              </w:rPr>
              <w:t>√</w:t>
            </w:r>
          </w:p>
        </w:tc>
      </w:tr>
      <w:tr w:rsidR="003D6A63" w14:paraId="05ED948D" w14:textId="77777777">
        <w:trPr>
          <w:trHeight w:val="340"/>
          <w:jc w:val="center"/>
        </w:trPr>
        <w:tc>
          <w:tcPr>
            <w:tcW w:w="333" w:type="pct"/>
            <w:tcBorders>
              <w:tl2br w:val="nil"/>
              <w:tr2bl w:val="nil"/>
            </w:tcBorders>
            <w:vAlign w:val="center"/>
          </w:tcPr>
          <w:p w14:paraId="43C0856F"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4BCBC239" w14:textId="77777777" w:rsidR="003D6A63" w:rsidRDefault="00000000">
            <w:pPr>
              <w:adjustRightInd w:val="0"/>
              <w:snapToGrid w:val="0"/>
              <w:rPr>
                <w:bCs/>
                <w:color w:val="FF0000"/>
                <w:szCs w:val="21"/>
              </w:rPr>
            </w:pPr>
            <w:r>
              <w:rPr>
                <w:color w:val="000000" w:themeColor="text1"/>
                <w:szCs w:val="21"/>
              </w:rPr>
              <w:t>灭火器应设置在位置明显和便于取用的地点，且不应影响人员安全疏散。当确需设置在有视线障碍的设置点时，应设置指示灭火器位置的醒目标志。</w:t>
            </w:r>
          </w:p>
        </w:tc>
        <w:tc>
          <w:tcPr>
            <w:tcW w:w="963" w:type="pct"/>
            <w:tcBorders>
              <w:tl2br w:val="nil"/>
              <w:tr2bl w:val="nil"/>
            </w:tcBorders>
            <w:vAlign w:val="center"/>
          </w:tcPr>
          <w:p w14:paraId="62E6E8CF" w14:textId="77777777" w:rsidR="003D6A63" w:rsidRDefault="00000000">
            <w:pPr>
              <w:adjustRightInd w:val="0"/>
              <w:snapToGrid w:val="0"/>
              <w:jc w:val="center"/>
              <w:rPr>
                <w:szCs w:val="21"/>
              </w:rPr>
            </w:pPr>
            <w:r>
              <w:rPr>
                <w:rFonts w:hint="eastAsia"/>
                <w:szCs w:val="21"/>
              </w:rPr>
              <w:t>GB55036-2022</w:t>
            </w:r>
          </w:p>
          <w:p w14:paraId="4F7E40D0" w14:textId="77777777" w:rsidR="003D6A63" w:rsidRDefault="00000000">
            <w:pPr>
              <w:adjustRightInd w:val="0"/>
              <w:snapToGrid w:val="0"/>
              <w:jc w:val="center"/>
              <w:rPr>
                <w:szCs w:val="21"/>
              </w:rPr>
            </w:pPr>
            <w:r>
              <w:rPr>
                <w:rFonts w:hint="eastAsia"/>
                <w:szCs w:val="21"/>
              </w:rPr>
              <w:t>10.0.4</w:t>
            </w:r>
          </w:p>
        </w:tc>
        <w:tc>
          <w:tcPr>
            <w:tcW w:w="984" w:type="pct"/>
            <w:tcBorders>
              <w:tl2br w:val="nil"/>
              <w:tr2bl w:val="nil"/>
            </w:tcBorders>
            <w:vAlign w:val="center"/>
          </w:tcPr>
          <w:p w14:paraId="39894FD1" w14:textId="77777777" w:rsidR="003D6A63" w:rsidRDefault="00000000">
            <w:pPr>
              <w:adjustRightInd w:val="0"/>
              <w:snapToGrid w:val="0"/>
              <w:rPr>
                <w:szCs w:val="21"/>
              </w:rPr>
            </w:pPr>
            <w:r>
              <w:rPr>
                <w:color w:val="000000" w:themeColor="text1"/>
                <w:szCs w:val="21"/>
              </w:rPr>
              <w:t>灭火器</w:t>
            </w:r>
            <w:r>
              <w:rPr>
                <w:rFonts w:hint="eastAsia"/>
                <w:color w:val="000000" w:themeColor="text1"/>
                <w:szCs w:val="21"/>
              </w:rPr>
              <w:t>放置地垫符合要求。</w:t>
            </w:r>
          </w:p>
        </w:tc>
        <w:tc>
          <w:tcPr>
            <w:tcW w:w="405" w:type="pct"/>
            <w:tcBorders>
              <w:tl2br w:val="nil"/>
              <w:tr2bl w:val="nil"/>
            </w:tcBorders>
            <w:vAlign w:val="center"/>
          </w:tcPr>
          <w:p w14:paraId="63C7E01D" w14:textId="77777777" w:rsidR="003D6A63" w:rsidRDefault="00000000">
            <w:pPr>
              <w:adjustRightInd w:val="0"/>
              <w:snapToGrid w:val="0"/>
              <w:jc w:val="center"/>
              <w:rPr>
                <w:szCs w:val="21"/>
              </w:rPr>
            </w:pPr>
            <w:r>
              <w:rPr>
                <w:rFonts w:hint="eastAsia"/>
                <w:szCs w:val="21"/>
              </w:rPr>
              <w:t>√</w:t>
            </w:r>
          </w:p>
        </w:tc>
      </w:tr>
      <w:tr w:rsidR="003D6A63" w14:paraId="3AABB641" w14:textId="77777777">
        <w:trPr>
          <w:trHeight w:val="340"/>
          <w:jc w:val="center"/>
        </w:trPr>
        <w:tc>
          <w:tcPr>
            <w:tcW w:w="333" w:type="pct"/>
            <w:tcBorders>
              <w:tl2br w:val="nil"/>
              <w:tr2bl w:val="nil"/>
            </w:tcBorders>
            <w:vAlign w:val="center"/>
          </w:tcPr>
          <w:p w14:paraId="06689ACD"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76075913" w14:textId="77777777" w:rsidR="003D6A63" w:rsidRDefault="00000000">
            <w:pPr>
              <w:adjustRightInd w:val="0"/>
              <w:snapToGrid w:val="0"/>
              <w:rPr>
                <w:color w:val="000000" w:themeColor="text1"/>
                <w:szCs w:val="21"/>
              </w:rPr>
            </w:pPr>
            <w:r>
              <w:rPr>
                <w:color w:val="000000" w:themeColor="text1"/>
                <w:szCs w:val="21"/>
              </w:rPr>
              <w:t>灭火器的检查与维护应由相关技术人员承担。</w:t>
            </w:r>
          </w:p>
        </w:tc>
        <w:tc>
          <w:tcPr>
            <w:tcW w:w="963" w:type="pct"/>
            <w:tcBorders>
              <w:tl2br w:val="nil"/>
              <w:tr2bl w:val="nil"/>
            </w:tcBorders>
            <w:vAlign w:val="center"/>
          </w:tcPr>
          <w:p w14:paraId="12F12D5C" w14:textId="77777777" w:rsidR="003D6A63" w:rsidRDefault="00000000">
            <w:pPr>
              <w:adjustRightInd w:val="0"/>
              <w:snapToGrid w:val="0"/>
              <w:jc w:val="center"/>
              <w:rPr>
                <w:szCs w:val="21"/>
              </w:rPr>
            </w:pPr>
            <w:r>
              <w:rPr>
                <w:rFonts w:hint="eastAsia"/>
                <w:szCs w:val="21"/>
              </w:rPr>
              <w:t>GB50444-2008</w:t>
            </w:r>
          </w:p>
          <w:p w14:paraId="4965D4D9" w14:textId="77777777" w:rsidR="003D6A63" w:rsidRDefault="00000000">
            <w:pPr>
              <w:adjustRightInd w:val="0"/>
              <w:snapToGrid w:val="0"/>
              <w:jc w:val="center"/>
              <w:rPr>
                <w:szCs w:val="21"/>
              </w:rPr>
            </w:pPr>
            <w:r>
              <w:rPr>
                <w:rFonts w:hint="eastAsia"/>
                <w:szCs w:val="21"/>
              </w:rPr>
              <w:t>5.1.1</w:t>
            </w:r>
          </w:p>
        </w:tc>
        <w:tc>
          <w:tcPr>
            <w:tcW w:w="984" w:type="pct"/>
            <w:tcBorders>
              <w:tl2br w:val="nil"/>
              <w:tr2bl w:val="nil"/>
            </w:tcBorders>
            <w:vAlign w:val="center"/>
          </w:tcPr>
          <w:p w14:paraId="62A36C09" w14:textId="77777777" w:rsidR="003D6A63" w:rsidRDefault="00000000">
            <w:pPr>
              <w:adjustRightInd w:val="0"/>
              <w:snapToGrid w:val="0"/>
              <w:rPr>
                <w:szCs w:val="21"/>
              </w:rPr>
            </w:pPr>
            <w:r>
              <w:rPr>
                <w:rFonts w:hint="eastAsia"/>
                <w:szCs w:val="21"/>
              </w:rPr>
              <w:t>灭火器的检查与维护均指定专人负责。</w:t>
            </w:r>
          </w:p>
        </w:tc>
        <w:tc>
          <w:tcPr>
            <w:tcW w:w="405" w:type="pct"/>
            <w:tcBorders>
              <w:tl2br w:val="nil"/>
              <w:tr2bl w:val="nil"/>
            </w:tcBorders>
            <w:vAlign w:val="center"/>
          </w:tcPr>
          <w:p w14:paraId="327481FE" w14:textId="77777777" w:rsidR="003D6A63" w:rsidRDefault="00000000">
            <w:pPr>
              <w:adjustRightInd w:val="0"/>
              <w:snapToGrid w:val="0"/>
              <w:jc w:val="center"/>
              <w:rPr>
                <w:szCs w:val="21"/>
              </w:rPr>
            </w:pPr>
            <w:r>
              <w:rPr>
                <w:rFonts w:hint="eastAsia"/>
                <w:szCs w:val="21"/>
              </w:rPr>
              <w:t>√</w:t>
            </w:r>
          </w:p>
        </w:tc>
      </w:tr>
      <w:tr w:rsidR="003D6A63" w14:paraId="6A848A07" w14:textId="77777777">
        <w:trPr>
          <w:trHeight w:val="340"/>
          <w:jc w:val="center"/>
        </w:trPr>
        <w:tc>
          <w:tcPr>
            <w:tcW w:w="333" w:type="pct"/>
            <w:vMerge w:val="restart"/>
            <w:tcBorders>
              <w:tl2br w:val="nil"/>
              <w:tr2bl w:val="nil"/>
            </w:tcBorders>
            <w:vAlign w:val="center"/>
          </w:tcPr>
          <w:p w14:paraId="687BB24E" w14:textId="77777777" w:rsidR="003D6A63" w:rsidRDefault="003D6A63">
            <w:pPr>
              <w:numPr>
                <w:ilvl w:val="0"/>
                <w:numId w:val="18"/>
              </w:numPr>
              <w:adjustRightInd w:val="0"/>
              <w:snapToGrid w:val="0"/>
              <w:ind w:left="0" w:firstLine="0"/>
              <w:jc w:val="center"/>
              <w:rPr>
                <w:szCs w:val="21"/>
              </w:rPr>
            </w:pPr>
          </w:p>
        </w:tc>
        <w:tc>
          <w:tcPr>
            <w:tcW w:w="2313" w:type="pct"/>
            <w:vMerge w:val="restart"/>
            <w:tcBorders>
              <w:tl2br w:val="nil"/>
              <w:tr2bl w:val="nil"/>
            </w:tcBorders>
            <w:vAlign w:val="center"/>
          </w:tcPr>
          <w:p w14:paraId="6C743A3E" w14:textId="77777777" w:rsidR="003D6A63" w:rsidRDefault="00000000">
            <w:pPr>
              <w:adjustRightInd w:val="0"/>
              <w:snapToGrid w:val="0"/>
              <w:rPr>
                <w:color w:val="000000" w:themeColor="text1"/>
                <w:szCs w:val="21"/>
              </w:rPr>
            </w:pPr>
            <w:r>
              <w:rPr>
                <w:color w:val="000000" w:themeColor="text1"/>
                <w:szCs w:val="21"/>
              </w:rPr>
              <w:t>灭火器的配置、外观等应按附录</w:t>
            </w:r>
            <w:r>
              <w:rPr>
                <w:color w:val="000000" w:themeColor="text1"/>
                <w:szCs w:val="21"/>
              </w:rPr>
              <w:t>C</w:t>
            </w:r>
            <w:r>
              <w:rPr>
                <w:color w:val="000000" w:themeColor="text1"/>
                <w:szCs w:val="21"/>
              </w:rPr>
              <w:t>的要求每月进行一次检查。</w:t>
            </w:r>
          </w:p>
        </w:tc>
        <w:tc>
          <w:tcPr>
            <w:tcW w:w="963" w:type="pct"/>
            <w:vMerge w:val="restart"/>
            <w:tcBorders>
              <w:tl2br w:val="nil"/>
              <w:tr2bl w:val="nil"/>
            </w:tcBorders>
            <w:vAlign w:val="center"/>
          </w:tcPr>
          <w:p w14:paraId="41EB498B" w14:textId="77777777" w:rsidR="003D6A63" w:rsidRDefault="00000000">
            <w:pPr>
              <w:adjustRightInd w:val="0"/>
              <w:snapToGrid w:val="0"/>
              <w:jc w:val="center"/>
              <w:rPr>
                <w:szCs w:val="21"/>
              </w:rPr>
            </w:pPr>
            <w:r>
              <w:rPr>
                <w:rFonts w:hint="eastAsia"/>
                <w:szCs w:val="21"/>
              </w:rPr>
              <w:t>GB50444-2008</w:t>
            </w:r>
          </w:p>
          <w:p w14:paraId="7A713E6C" w14:textId="77777777" w:rsidR="003D6A63" w:rsidRDefault="00000000">
            <w:pPr>
              <w:adjustRightInd w:val="0"/>
              <w:snapToGrid w:val="0"/>
              <w:jc w:val="center"/>
              <w:rPr>
                <w:szCs w:val="21"/>
              </w:rPr>
            </w:pPr>
            <w:r>
              <w:rPr>
                <w:rFonts w:hint="eastAsia"/>
                <w:szCs w:val="21"/>
              </w:rPr>
              <w:t>5.2.1</w:t>
            </w:r>
          </w:p>
        </w:tc>
        <w:tc>
          <w:tcPr>
            <w:tcW w:w="984" w:type="pct"/>
            <w:tcBorders>
              <w:tl2br w:val="nil"/>
              <w:tr2bl w:val="nil"/>
            </w:tcBorders>
            <w:vAlign w:val="center"/>
          </w:tcPr>
          <w:p w14:paraId="6574A8C6" w14:textId="77777777" w:rsidR="003D6A63" w:rsidRDefault="00000000">
            <w:pPr>
              <w:adjustRightInd w:val="0"/>
              <w:snapToGrid w:val="0"/>
              <w:rPr>
                <w:szCs w:val="21"/>
              </w:rPr>
            </w:pPr>
            <w:r>
              <w:rPr>
                <w:rFonts w:hint="eastAsia"/>
                <w:szCs w:val="21"/>
                <w:lang w:bidi="en-US"/>
              </w:rPr>
              <w:t>林东</w:t>
            </w:r>
            <w:r>
              <w:rPr>
                <w:rFonts w:hint="eastAsia"/>
                <w:szCs w:val="21"/>
                <w:lang w:bidi="en-US"/>
              </w:rPr>
              <w:t>11</w:t>
            </w:r>
            <w:r>
              <w:rPr>
                <w:rFonts w:hint="eastAsia"/>
                <w:szCs w:val="21"/>
                <w:lang w:bidi="en-US"/>
              </w:rPr>
              <w:t>号站计量站内灭火器末次检查时间为</w:t>
            </w:r>
            <w:r>
              <w:rPr>
                <w:rFonts w:hint="eastAsia"/>
                <w:szCs w:val="21"/>
                <w:lang w:bidi="en-US"/>
              </w:rPr>
              <w:t>1</w:t>
            </w:r>
            <w:r>
              <w:rPr>
                <w:rFonts w:hint="eastAsia"/>
                <w:szCs w:val="21"/>
                <w:lang w:bidi="en-US"/>
              </w:rPr>
              <w:t>月份。</w:t>
            </w:r>
          </w:p>
        </w:tc>
        <w:tc>
          <w:tcPr>
            <w:tcW w:w="405" w:type="pct"/>
            <w:tcBorders>
              <w:tl2br w:val="nil"/>
              <w:tr2bl w:val="nil"/>
            </w:tcBorders>
            <w:vAlign w:val="center"/>
          </w:tcPr>
          <w:p w14:paraId="477B915D" w14:textId="77777777" w:rsidR="003D6A63" w:rsidRDefault="00000000">
            <w:pPr>
              <w:adjustRightInd w:val="0"/>
              <w:snapToGrid w:val="0"/>
              <w:jc w:val="center"/>
              <w:rPr>
                <w:szCs w:val="21"/>
              </w:rPr>
            </w:pPr>
            <w:r>
              <w:rPr>
                <w:rFonts w:hint="eastAsia"/>
                <w:b/>
                <w:bCs/>
                <w:szCs w:val="21"/>
              </w:rPr>
              <w:t>×</w:t>
            </w:r>
          </w:p>
        </w:tc>
      </w:tr>
      <w:tr w:rsidR="003D6A63" w14:paraId="48896FC4" w14:textId="77777777">
        <w:trPr>
          <w:trHeight w:val="340"/>
          <w:jc w:val="center"/>
        </w:trPr>
        <w:tc>
          <w:tcPr>
            <w:tcW w:w="333" w:type="pct"/>
            <w:vMerge/>
            <w:tcBorders>
              <w:tl2br w:val="nil"/>
              <w:tr2bl w:val="nil"/>
            </w:tcBorders>
            <w:vAlign w:val="center"/>
          </w:tcPr>
          <w:p w14:paraId="79B0284C" w14:textId="77777777" w:rsidR="003D6A63" w:rsidRDefault="003D6A63">
            <w:pPr>
              <w:adjustRightInd w:val="0"/>
              <w:snapToGrid w:val="0"/>
              <w:jc w:val="center"/>
              <w:rPr>
                <w:szCs w:val="21"/>
              </w:rPr>
            </w:pPr>
          </w:p>
        </w:tc>
        <w:tc>
          <w:tcPr>
            <w:tcW w:w="2313" w:type="pct"/>
            <w:vMerge/>
            <w:tcBorders>
              <w:tl2br w:val="nil"/>
              <w:tr2bl w:val="nil"/>
            </w:tcBorders>
            <w:vAlign w:val="center"/>
          </w:tcPr>
          <w:p w14:paraId="7606F22D" w14:textId="77777777" w:rsidR="003D6A63" w:rsidRDefault="003D6A63">
            <w:pPr>
              <w:adjustRightInd w:val="0"/>
              <w:snapToGrid w:val="0"/>
              <w:rPr>
                <w:color w:val="000000" w:themeColor="text1"/>
                <w:szCs w:val="21"/>
              </w:rPr>
            </w:pPr>
          </w:p>
        </w:tc>
        <w:tc>
          <w:tcPr>
            <w:tcW w:w="963" w:type="pct"/>
            <w:vMerge/>
            <w:tcBorders>
              <w:tl2br w:val="nil"/>
              <w:tr2bl w:val="nil"/>
            </w:tcBorders>
            <w:vAlign w:val="center"/>
          </w:tcPr>
          <w:p w14:paraId="0385B13F" w14:textId="77777777" w:rsidR="003D6A63" w:rsidRDefault="003D6A63">
            <w:pPr>
              <w:adjustRightInd w:val="0"/>
              <w:snapToGrid w:val="0"/>
              <w:jc w:val="center"/>
              <w:rPr>
                <w:szCs w:val="21"/>
              </w:rPr>
            </w:pPr>
          </w:p>
        </w:tc>
        <w:tc>
          <w:tcPr>
            <w:tcW w:w="984" w:type="pct"/>
            <w:tcBorders>
              <w:tl2br w:val="nil"/>
              <w:tr2bl w:val="nil"/>
            </w:tcBorders>
            <w:vAlign w:val="center"/>
          </w:tcPr>
          <w:p w14:paraId="3AED6BF8" w14:textId="77777777" w:rsidR="003D6A63" w:rsidRDefault="00000000">
            <w:pPr>
              <w:adjustRightInd w:val="0"/>
              <w:snapToGrid w:val="0"/>
              <w:rPr>
                <w:szCs w:val="21"/>
                <w:lang w:bidi="en-US"/>
              </w:rPr>
            </w:pPr>
            <w:r>
              <w:rPr>
                <w:rFonts w:hint="eastAsia"/>
                <w:szCs w:val="21"/>
                <w:lang w:bidi="en-US"/>
              </w:rPr>
              <w:t>林东</w:t>
            </w:r>
            <w:r>
              <w:rPr>
                <w:rFonts w:hint="eastAsia"/>
                <w:szCs w:val="21"/>
                <w:lang w:bidi="en-US"/>
              </w:rPr>
              <w:t>15</w:t>
            </w:r>
            <w:r>
              <w:rPr>
                <w:rFonts w:hint="eastAsia"/>
                <w:szCs w:val="21"/>
                <w:lang w:bidi="en-US"/>
              </w:rPr>
              <w:t>号站计量间内灭火器末次检查日期为</w:t>
            </w:r>
            <w:r>
              <w:rPr>
                <w:rFonts w:hint="eastAsia"/>
                <w:szCs w:val="21"/>
                <w:lang w:bidi="en-US"/>
              </w:rPr>
              <w:t>2023.1.15</w:t>
            </w:r>
            <w:r>
              <w:rPr>
                <w:rFonts w:hint="eastAsia"/>
                <w:szCs w:val="21"/>
                <w:lang w:bidi="en-US"/>
              </w:rPr>
              <w:t>。</w:t>
            </w:r>
          </w:p>
        </w:tc>
        <w:tc>
          <w:tcPr>
            <w:tcW w:w="405" w:type="pct"/>
            <w:tcBorders>
              <w:tl2br w:val="nil"/>
              <w:tr2bl w:val="nil"/>
            </w:tcBorders>
            <w:vAlign w:val="center"/>
          </w:tcPr>
          <w:p w14:paraId="4153D7C5" w14:textId="77777777" w:rsidR="003D6A63" w:rsidRDefault="00000000">
            <w:pPr>
              <w:adjustRightInd w:val="0"/>
              <w:snapToGrid w:val="0"/>
              <w:jc w:val="center"/>
              <w:rPr>
                <w:szCs w:val="21"/>
              </w:rPr>
            </w:pPr>
            <w:r>
              <w:rPr>
                <w:rFonts w:hint="eastAsia"/>
                <w:b/>
                <w:bCs/>
                <w:szCs w:val="21"/>
              </w:rPr>
              <w:t>×</w:t>
            </w:r>
          </w:p>
        </w:tc>
      </w:tr>
      <w:tr w:rsidR="003D6A63" w14:paraId="79E40555" w14:textId="77777777">
        <w:trPr>
          <w:trHeight w:val="340"/>
          <w:jc w:val="center"/>
        </w:trPr>
        <w:tc>
          <w:tcPr>
            <w:tcW w:w="333" w:type="pct"/>
            <w:tcBorders>
              <w:tl2br w:val="nil"/>
              <w:tr2bl w:val="nil"/>
            </w:tcBorders>
            <w:vAlign w:val="center"/>
          </w:tcPr>
          <w:p w14:paraId="5B918BD1"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79ADB40D" w14:textId="77777777" w:rsidR="003D6A63" w:rsidRDefault="00000000">
            <w:pPr>
              <w:adjustRightInd w:val="0"/>
              <w:snapToGrid w:val="0"/>
              <w:rPr>
                <w:color w:val="000000" w:themeColor="text1"/>
                <w:szCs w:val="21"/>
              </w:rPr>
            </w:pPr>
            <w:r>
              <w:rPr>
                <w:color w:val="000000" w:themeColor="text1"/>
                <w:szCs w:val="21"/>
              </w:rPr>
              <w:t>罐区、石油化工装置区等场所配置的灭火器应每半个月进行一次检查。</w:t>
            </w:r>
          </w:p>
        </w:tc>
        <w:tc>
          <w:tcPr>
            <w:tcW w:w="963" w:type="pct"/>
            <w:tcBorders>
              <w:tl2br w:val="nil"/>
              <w:tr2bl w:val="nil"/>
            </w:tcBorders>
            <w:vAlign w:val="center"/>
          </w:tcPr>
          <w:p w14:paraId="17E162D7" w14:textId="77777777" w:rsidR="003D6A63" w:rsidRDefault="00000000">
            <w:pPr>
              <w:adjustRightInd w:val="0"/>
              <w:snapToGrid w:val="0"/>
              <w:jc w:val="center"/>
              <w:rPr>
                <w:szCs w:val="21"/>
              </w:rPr>
            </w:pPr>
            <w:r>
              <w:rPr>
                <w:rFonts w:hint="eastAsia"/>
                <w:szCs w:val="21"/>
              </w:rPr>
              <w:t>GB50444-2008</w:t>
            </w:r>
          </w:p>
          <w:p w14:paraId="3C999F5B" w14:textId="77777777" w:rsidR="003D6A63" w:rsidRDefault="00000000">
            <w:pPr>
              <w:adjustRightInd w:val="0"/>
              <w:snapToGrid w:val="0"/>
              <w:jc w:val="center"/>
              <w:rPr>
                <w:szCs w:val="21"/>
              </w:rPr>
            </w:pPr>
            <w:r>
              <w:rPr>
                <w:rFonts w:hint="eastAsia"/>
                <w:szCs w:val="21"/>
              </w:rPr>
              <w:t>5.2.2</w:t>
            </w:r>
          </w:p>
        </w:tc>
        <w:tc>
          <w:tcPr>
            <w:tcW w:w="984" w:type="pct"/>
            <w:tcBorders>
              <w:tl2br w:val="nil"/>
              <w:tr2bl w:val="nil"/>
            </w:tcBorders>
            <w:vAlign w:val="center"/>
          </w:tcPr>
          <w:p w14:paraId="6C834A4F" w14:textId="77777777" w:rsidR="003D6A63" w:rsidRDefault="00000000">
            <w:pPr>
              <w:adjustRightInd w:val="0"/>
              <w:snapToGrid w:val="0"/>
              <w:rPr>
                <w:szCs w:val="21"/>
              </w:rPr>
            </w:pPr>
            <w:r>
              <w:rPr>
                <w:rFonts w:hint="eastAsia"/>
                <w:szCs w:val="21"/>
                <w:lang w:bidi="en-US"/>
              </w:rPr>
              <w:t>滨</w:t>
            </w:r>
            <w:r>
              <w:rPr>
                <w:rFonts w:hint="eastAsia"/>
                <w:szCs w:val="21"/>
                <w:lang w:bidi="en-US"/>
              </w:rPr>
              <w:t>603-X13</w:t>
            </w:r>
            <w:r>
              <w:rPr>
                <w:rFonts w:hint="eastAsia"/>
                <w:szCs w:val="21"/>
                <w:lang w:bidi="en-US"/>
              </w:rPr>
              <w:t>井场高架罐旁灭火器上次检查日期为</w:t>
            </w:r>
            <w:r>
              <w:rPr>
                <w:rFonts w:hint="eastAsia"/>
                <w:szCs w:val="21"/>
                <w:lang w:bidi="en-US"/>
              </w:rPr>
              <w:t>2023.2.1</w:t>
            </w:r>
            <w:r>
              <w:rPr>
                <w:rFonts w:hint="eastAsia"/>
                <w:szCs w:val="21"/>
                <w:lang w:bidi="en-US"/>
              </w:rPr>
              <w:t>，未做到半个月检查一次的要求。</w:t>
            </w:r>
          </w:p>
        </w:tc>
        <w:tc>
          <w:tcPr>
            <w:tcW w:w="405" w:type="pct"/>
            <w:tcBorders>
              <w:tl2br w:val="nil"/>
              <w:tr2bl w:val="nil"/>
            </w:tcBorders>
            <w:vAlign w:val="center"/>
          </w:tcPr>
          <w:p w14:paraId="03C6BA41" w14:textId="77777777" w:rsidR="003D6A63" w:rsidRDefault="00000000">
            <w:pPr>
              <w:adjustRightInd w:val="0"/>
              <w:snapToGrid w:val="0"/>
              <w:jc w:val="center"/>
              <w:rPr>
                <w:szCs w:val="21"/>
              </w:rPr>
            </w:pPr>
            <w:r>
              <w:rPr>
                <w:rFonts w:hint="eastAsia"/>
                <w:b/>
                <w:bCs/>
                <w:szCs w:val="21"/>
              </w:rPr>
              <w:t>×</w:t>
            </w:r>
          </w:p>
        </w:tc>
      </w:tr>
      <w:tr w:rsidR="003D6A63" w14:paraId="30FB8A20" w14:textId="77777777">
        <w:trPr>
          <w:trHeight w:val="340"/>
          <w:jc w:val="center"/>
        </w:trPr>
        <w:tc>
          <w:tcPr>
            <w:tcW w:w="333" w:type="pct"/>
            <w:tcBorders>
              <w:tl2br w:val="nil"/>
              <w:tr2bl w:val="nil"/>
            </w:tcBorders>
            <w:vAlign w:val="center"/>
          </w:tcPr>
          <w:p w14:paraId="3BAD9726" w14:textId="77777777" w:rsidR="003D6A63" w:rsidRDefault="00000000">
            <w:pPr>
              <w:adjustRightInd w:val="0"/>
              <w:snapToGrid w:val="0"/>
              <w:jc w:val="center"/>
              <w:rPr>
                <w:b/>
                <w:bCs/>
                <w:szCs w:val="21"/>
              </w:rPr>
            </w:pPr>
            <w:r>
              <w:rPr>
                <w:rFonts w:hint="eastAsia"/>
                <w:b/>
                <w:bCs/>
                <w:szCs w:val="21"/>
              </w:rPr>
              <w:t>九</w:t>
            </w:r>
          </w:p>
        </w:tc>
        <w:tc>
          <w:tcPr>
            <w:tcW w:w="2313" w:type="pct"/>
            <w:tcBorders>
              <w:tl2br w:val="nil"/>
              <w:tr2bl w:val="nil"/>
            </w:tcBorders>
            <w:vAlign w:val="center"/>
          </w:tcPr>
          <w:p w14:paraId="0D8C5DA8" w14:textId="77777777" w:rsidR="003D6A63" w:rsidRDefault="00000000">
            <w:pPr>
              <w:adjustRightInd w:val="0"/>
              <w:snapToGrid w:val="0"/>
              <w:rPr>
                <w:b/>
                <w:bCs/>
                <w:szCs w:val="21"/>
              </w:rPr>
            </w:pPr>
            <w:r>
              <w:rPr>
                <w:b/>
                <w:bCs/>
                <w:szCs w:val="21"/>
              </w:rPr>
              <w:t>建构筑物</w:t>
            </w:r>
          </w:p>
        </w:tc>
        <w:tc>
          <w:tcPr>
            <w:tcW w:w="963" w:type="pct"/>
            <w:tcBorders>
              <w:tl2br w:val="nil"/>
              <w:tr2bl w:val="nil"/>
            </w:tcBorders>
            <w:vAlign w:val="center"/>
          </w:tcPr>
          <w:p w14:paraId="5CF1A922" w14:textId="77777777" w:rsidR="003D6A63" w:rsidRDefault="003D6A63">
            <w:pPr>
              <w:adjustRightInd w:val="0"/>
              <w:snapToGrid w:val="0"/>
              <w:jc w:val="center"/>
              <w:rPr>
                <w:szCs w:val="21"/>
              </w:rPr>
            </w:pPr>
          </w:p>
        </w:tc>
        <w:tc>
          <w:tcPr>
            <w:tcW w:w="984" w:type="pct"/>
            <w:tcBorders>
              <w:tl2br w:val="nil"/>
              <w:tr2bl w:val="nil"/>
            </w:tcBorders>
            <w:vAlign w:val="center"/>
          </w:tcPr>
          <w:p w14:paraId="3DF2528C" w14:textId="77777777" w:rsidR="003D6A63" w:rsidRDefault="003D6A63">
            <w:pPr>
              <w:adjustRightInd w:val="0"/>
              <w:snapToGrid w:val="0"/>
              <w:rPr>
                <w:szCs w:val="21"/>
              </w:rPr>
            </w:pPr>
          </w:p>
        </w:tc>
        <w:tc>
          <w:tcPr>
            <w:tcW w:w="405" w:type="pct"/>
            <w:tcBorders>
              <w:tl2br w:val="nil"/>
              <w:tr2bl w:val="nil"/>
            </w:tcBorders>
            <w:vAlign w:val="center"/>
          </w:tcPr>
          <w:p w14:paraId="14558C7E" w14:textId="77777777" w:rsidR="003D6A63" w:rsidRDefault="003D6A63">
            <w:pPr>
              <w:adjustRightInd w:val="0"/>
              <w:snapToGrid w:val="0"/>
              <w:rPr>
                <w:szCs w:val="21"/>
              </w:rPr>
            </w:pPr>
          </w:p>
        </w:tc>
      </w:tr>
      <w:tr w:rsidR="003D6A63" w14:paraId="2ED77A34" w14:textId="77777777">
        <w:trPr>
          <w:trHeight w:val="340"/>
          <w:jc w:val="center"/>
        </w:trPr>
        <w:tc>
          <w:tcPr>
            <w:tcW w:w="333" w:type="pct"/>
            <w:tcBorders>
              <w:tl2br w:val="nil"/>
              <w:tr2bl w:val="nil"/>
            </w:tcBorders>
            <w:vAlign w:val="center"/>
          </w:tcPr>
          <w:p w14:paraId="3CEECAFC"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2FEE0BD3" w14:textId="77777777" w:rsidR="003D6A63" w:rsidRDefault="00000000">
            <w:pPr>
              <w:adjustRightInd w:val="0"/>
              <w:snapToGrid w:val="0"/>
              <w:rPr>
                <w:szCs w:val="21"/>
              </w:rPr>
            </w:pPr>
            <w:r>
              <w:rPr>
                <w:szCs w:val="21"/>
              </w:rPr>
              <w:t>建（构）筑物按设防烈度</w:t>
            </w:r>
            <w:r>
              <w:rPr>
                <w:szCs w:val="21"/>
              </w:rPr>
              <w:t>7</w:t>
            </w:r>
            <w:r>
              <w:rPr>
                <w:szCs w:val="21"/>
              </w:rPr>
              <w:t>度设防。</w:t>
            </w:r>
          </w:p>
        </w:tc>
        <w:tc>
          <w:tcPr>
            <w:tcW w:w="963" w:type="pct"/>
            <w:tcBorders>
              <w:tl2br w:val="nil"/>
              <w:tr2bl w:val="nil"/>
            </w:tcBorders>
            <w:vAlign w:val="center"/>
          </w:tcPr>
          <w:p w14:paraId="5A48752B" w14:textId="77777777" w:rsidR="003D6A63" w:rsidRDefault="00000000">
            <w:pPr>
              <w:adjustRightInd w:val="0"/>
              <w:snapToGrid w:val="0"/>
              <w:jc w:val="center"/>
              <w:rPr>
                <w:szCs w:val="21"/>
              </w:rPr>
            </w:pPr>
            <w:r>
              <w:rPr>
                <w:szCs w:val="21"/>
              </w:rPr>
              <w:t>GB50011-2010</w:t>
            </w:r>
          </w:p>
          <w:p w14:paraId="28C3D275" w14:textId="77777777" w:rsidR="003D6A63" w:rsidRDefault="00000000">
            <w:pPr>
              <w:adjustRightInd w:val="0"/>
              <w:snapToGrid w:val="0"/>
              <w:jc w:val="center"/>
              <w:rPr>
                <w:szCs w:val="21"/>
              </w:rPr>
            </w:pPr>
            <w:r>
              <w:rPr>
                <w:szCs w:val="21"/>
              </w:rPr>
              <w:t>3.1.3</w:t>
            </w:r>
          </w:p>
        </w:tc>
        <w:tc>
          <w:tcPr>
            <w:tcW w:w="984" w:type="pct"/>
            <w:tcBorders>
              <w:tl2br w:val="nil"/>
              <w:tr2bl w:val="nil"/>
            </w:tcBorders>
            <w:vAlign w:val="center"/>
          </w:tcPr>
          <w:p w14:paraId="7B6D9231" w14:textId="77777777" w:rsidR="003D6A63" w:rsidRDefault="00000000">
            <w:pPr>
              <w:adjustRightInd w:val="0"/>
              <w:snapToGrid w:val="0"/>
              <w:rPr>
                <w:szCs w:val="21"/>
              </w:rPr>
            </w:pPr>
            <w:r>
              <w:rPr>
                <w:szCs w:val="21"/>
              </w:rPr>
              <w:t>建（构）筑物</w:t>
            </w:r>
            <w:r>
              <w:rPr>
                <w:rFonts w:hint="eastAsia"/>
                <w:szCs w:val="21"/>
              </w:rPr>
              <w:t>按</w:t>
            </w:r>
            <w:r>
              <w:rPr>
                <w:szCs w:val="21"/>
              </w:rPr>
              <w:t>防</w:t>
            </w:r>
            <w:r>
              <w:rPr>
                <w:szCs w:val="21"/>
              </w:rPr>
              <w:t>7</w:t>
            </w:r>
            <w:r>
              <w:rPr>
                <w:szCs w:val="21"/>
              </w:rPr>
              <w:t>度设防</w:t>
            </w:r>
            <w:r>
              <w:rPr>
                <w:rFonts w:hint="eastAsia"/>
                <w:szCs w:val="21"/>
              </w:rPr>
              <w:t>。</w:t>
            </w:r>
          </w:p>
        </w:tc>
        <w:tc>
          <w:tcPr>
            <w:tcW w:w="405" w:type="pct"/>
            <w:tcBorders>
              <w:tl2br w:val="nil"/>
              <w:tr2bl w:val="nil"/>
            </w:tcBorders>
            <w:vAlign w:val="center"/>
          </w:tcPr>
          <w:p w14:paraId="358E4AC7" w14:textId="77777777" w:rsidR="003D6A63" w:rsidRDefault="00000000">
            <w:pPr>
              <w:adjustRightInd w:val="0"/>
              <w:snapToGrid w:val="0"/>
              <w:jc w:val="center"/>
              <w:rPr>
                <w:szCs w:val="21"/>
              </w:rPr>
            </w:pPr>
            <w:r>
              <w:rPr>
                <w:rFonts w:hint="eastAsia"/>
                <w:szCs w:val="21"/>
              </w:rPr>
              <w:t>√</w:t>
            </w:r>
          </w:p>
        </w:tc>
      </w:tr>
      <w:tr w:rsidR="003D6A63" w14:paraId="2978108B" w14:textId="77777777">
        <w:trPr>
          <w:trHeight w:val="340"/>
          <w:jc w:val="center"/>
        </w:trPr>
        <w:tc>
          <w:tcPr>
            <w:tcW w:w="333" w:type="pct"/>
            <w:tcBorders>
              <w:tl2br w:val="nil"/>
              <w:tr2bl w:val="nil"/>
            </w:tcBorders>
            <w:vAlign w:val="center"/>
          </w:tcPr>
          <w:p w14:paraId="1B77E26D"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613638A7" w14:textId="77777777" w:rsidR="003D6A63" w:rsidRDefault="00000000">
            <w:pPr>
              <w:adjustRightInd w:val="0"/>
              <w:snapToGrid w:val="0"/>
              <w:rPr>
                <w:szCs w:val="21"/>
              </w:rPr>
            </w:pPr>
            <w:r>
              <w:rPr>
                <w:szCs w:val="21"/>
              </w:rPr>
              <w:t>甲乙类火灾危险性生产厂房的门应向外开启。</w:t>
            </w:r>
          </w:p>
        </w:tc>
        <w:tc>
          <w:tcPr>
            <w:tcW w:w="963" w:type="pct"/>
            <w:tcBorders>
              <w:tl2br w:val="nil"/>
              <w:tr2bl w:val="nil"/>
            </w:tcBorders>
            <w:vAlign w:val="center"/>
          </w:tcPr>
          <w:p w14:paraId="78283C53" w14:textId="77777777" w:rsidR="003D6A63" w:rsidRDefault="00000000">
            <w:pPr>
              <w:adjustRightInd w:val="0"/>
              <w:snapToGrid w:val="0"/>
              <w:jc w:val="center"/>
              <w:rPr>
                <w:szCs w:val="21"/>
              </w:rPr>
            </w:pPr>
            <w:r>
              <w:rPr>
                <w:szCs w:val="21"/>
              </w:rPr>
              <w:t>GB50183-2004</w:t>
            </w:r>
          </w:p>
          <w:p w14:paraId="3A9F3E4E" w14:textId="77777777" w:rsidR="003D6A63" w:rsidRDefault="00000000">
            <w:pPr>
              <w:adjustRightInd w:val="0"/>
              <w:snapToGrid w:val="0"/>
              <w:jc w:val="center"/>
              <w:rPr>
                <w:szCs w:val="21"/>
              </w:rPr>
            </w:pPr>
            <w:r>
              <w:rPr>
                <w:szCs w:val="21"/>
              </w:rPr>
              <w:t>6.9.4</w:t>
            </w:r>
          </w:p>
        </w:tc>
        <w:tc>
          <w:tcPr>
            <w:tcW w:w="984" w:type="pct"/>
            <w:tcBorders>
              <w:tl2br w:val="nil"/>
              <w:tr2bl w:val="nil"/>
            </w:tcBorders>
            <w:vAlign w:val="center"/>
          </w:tcPr>
          <w:p w14:paraId="0A25FD72" w14:textId="77777777" w:rsidR="003D6A63" w:rsidRDefault="00000000">
            <w:pPr>
              <w:adjustRightInd w:val="0"/>
              <w:snapToGrid w:val="0"/>
              <w:rPr>
                <w:szCs w:val="21"/>
              </w:rPr>
            </w:pPr>
            <w:r>
              <w:rPr>
                <w:rFonts w:hint="eastAsia"/>
                <w:szCs w:val="21"/>
              </w:rPr>
              <w:t>计量间门向外开启。</w:t>
            </w:r>
          </w:p>
        </w:tc>
        <w:tc>
          <w:tcPr>
            <w:tcW w:w="405" w:type="pct"/>
            <w:tcBorders>
              <w:tl2br w:val="nil"/>
              <w:tr2bl w:val="nil"/>
            </w:tcBorders>
            <w:vAlign w:val="center"/>
          </w:tcPr>
          <w:p w14:paraId="6E78C059" w14:textId="77777777" w:rsidR="003D6A63" w:rsidRDefault="00000000">
            <w:pPr>
              <w:adjustRightInd w:val="0"/>
              <w:snapToGrid w:val="0"/>
              <w:jc w:val="center"/>
              <w:rPr>
                <w:szCs w:val="21"/>
              </w:rPr>
            </w:pPr>
            <w:r>
              <w:rPr>
                <w:rFonts w:hint="eastAsia"/>
                <w:szCs w:val="21"/>
              </w:rPr>
              <w:t>√</w:t>
            </w:r>
          </w:p>
        </w:tc>
      </w:tr>
      <w:tr w:rsidR="003D6A63" w14:paraId="18AEB2B1" w14:textId="77777777">
        <w:trPr>
          <w:trHeight w:val="340"/>
          <w:jc w:val="center"/>
        </w:trPr>
        <w:tc>
          <w:tcPr>
            <w:tcW w:w="333" w:type="pct"/>
            <w:tcBorders>
              <w:tl2br w:val="nil"/>
              <w:tr2bl w:val="nil"/>
            </w:tcBorders>
            <w:vAlign w:val="center"/>
          </w:tcPr>
          <w:p w14:paraId="7E1F61DC"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14FA2C10" w14:textId="77777777" w:rsidR="003D6A63" w:rsidRDefault="00000000">
            <w:pPr>
              <w:adjustRightInd w:val="0"/>
              <w:snapToGrid w:val="0"/>
              <w:rPr>
                <w:szCs w:val="21"/>
              </w:rPr>
            </w:pPr>
            <w:r>
              <w:rPr>
                <w:szCs w:val="21"/>
              </w:rPr>
              <w:t>甲类、乙类工艺设备平台、操作平台宜设</w:t>
            </w:r>
            <w:r>
              <w:rPr>
                <w:szCs w:val="21"/>
              </w:rPr>
              <w:t>2</w:t>
            </w:r>
            <w:r>
              <w:rPr>
                <w:szCs w:val="21"/>
              </w:rPr>
              <w:t>个通向地面的梯子。长度小于</w:t>
            </w:r>
            <w:r>
              <w:rPr>
                <w:szCs w:val="21"/>
              </w:rPr>
              <w:t>8m</w:t>
            </w:r>
            <w:r>
              <w:rPr>
                <w:szCs w:val="21"/>
              </w:rPr>
              <w:t>的甲类设备平台和长度小于</w:t>
            </w:r>
            <w:r>
              <w:rPr>
                <w:szCs w:val="21"/>
              </w:rPr>
              <w:t>15m</w:t>
            </w:r>
            <w:r>
              <w:rPr>
                <w:szCs w:val="21"/>
              </w:rPr>
              <w:t>的乙类设备平台，可设</w:t>
            </w:r>
            <w:r>
              <w:rPr>
                <w:szCs w:val="21"/>
              </w:rPr>
              <w:lastRenderedPageBreak/>
              <w:t>1</w:t>
            </w:r>
            <w:r>
              <w:rPr>
                <w:szCs w:val="21"/>
              </w:rPr>
              <w:t>个梯子。相邻的平台和框架可根据疏散要求设走桥连通。</w:t>
            </w:r>
          </w:p>
        </w:tc>
        <w:tc>
          <w:tcPr>
            <w:tcW w:w="963" w:type="pct"/>
            <w:tcBorders>
              <w:tl2br w:val="nil"/>
              <w:tr2bl w:val="nil"/>
            </w:tcBorders>
            <w:vAlign w:val="center"/>
          </w:tcPr>
          <w:p w14:paraId="5C790E18" w14:textId="77777777" w:rsidR="003D6A63" w:rsidRDefault="00000000">
            <w:pPr>
              <w:adjustRightInd w:val="0"/>
              <w:snapToGrid w:val="0"/>
              <w:jc w:val="center"/>
              <w:rPr>
                <w:szCs w:val="21"/>
              </w:rPr>
            </w:pPr>
            <w:r>
              <w:rPr>
                <w:szCs w:val="21"/>
              </w:rPr>
              <w:lastRenderedPageBreak/>
              <w:t>SY/T0021-2016</w:t>
            </w:r>
          </w:p>
          <w:p w14:paraId="2B1E95F9" w14:textId="77777777" w:rsidR="003D6A63" w:rsidRDefault="00000000">
            <w:pPr>
              <w:adjustRightInd w:val="0"/>
              <w:snapToGrid w:val="0"/>
              <w:jc w:val="center"/>
              <w:rPr>
                <w:szCs w:val="21"/>
              </w:rPr>
            </w:pPr>
            <w:r>
              <w:rPr>
                <w:szCs w:val="21"/>
              </w:rPr>
              <w:t>4.6.4</w:t>
            </w:r>
          </w:p>
        </w:tc>
        <w:tc>
          <w:tcPr>
            <w:tcW w:w="984" w:type="pct"/>
            <w:tcBorders>
              <w:tl2br w:val="nil"/>
              <w:tr2bl w:val="nil"/>
            </w:tcBorders>
            <w:vAlign w:val="center"/>
          </w:tcPr>
          <w:p w14:paraId="4F6C3079" w14:textId="77777777" w:rsidR="003D6A63" w:rsidRDefault="00000000">
            <w:pPr>
              <w:adjustRightInd w:val="0"/>
              <w:snapToGrid w:val="0"/>
              <w:rPr>
                <w:szCs w:val="21"/>
              </w:rPr>
            </w:pPr>
            <w:r>
              <w:rPr>
                <w:rFonts w:hint="eastAsia"/>
                <w:szCs w:val="21"/>
              </w:rPr>
              <w:t>设备操作平台符合要求。</w:t>
            </w:r>
          </w:p>
        </w:tc>
        <w:tc>
          <w:tcPr>
            <w:tcW w:w="405" w:type="pct"/>
            <w:tcBorders>
              <w:tl2br w:val="nil"/>
              <w:tr2bl w:val="nil"/>
            </w:tcBorders>
            <w:vAlign w:val="center"/>
          </w:tcPr>
          <w:p w14:paraId="048C6295" w14:textId="77777777" w:rsidR="003D6A63" w:rsidRDefault="00000000">
            <w:pPr>
              <w:adjustRightInd w:val="0"/>
              <w:snapToGrid w:val="0"/>
              <w:jc w:val="center"/>
              <w:rPr>
                <w:szCs w:val="21"/>
              </w:rPr>
            </w:pPr>
            <w:r>
              <w:rPr>
                <w:rFonts w:hint="eastAsia"/>
                <w:szCs w:val="21"/>
              </w:rPr>
              <w:t>√</w:t>
            </w:r>
          </w:p>
        </w:tc>
      </w:tr>
      <w:tr w:rsidR="003D6A63" w14:paraId="3A8085D1" w14:textId="77777777">
        <w:trPr>
          <w:trHeight w:val="340"/>
          <w:jc w:val="center"/>
        </w:trPr>
        <w:tc>
          <w:tcPr>
            <w:tcW w:w="333" w:type="pct"/>
            <w:tcBorders>
              <w:tl2br w:val="nil"/>
              <w:tr2bl w:val="nil"/>
            </w:tcBorders>
            <w:vAlign w:val="center"/>
          </w:tcPr>
          <w:p w14:paraId="0109EB80"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749C2DA4" w14:textId="77777777" w:rsidR="003D6A63" w:rsidRDefault="00000000">
            <w:pPr>
              <w:adjustRightInd w:val="0"/>
              <w:snapToGrid w:val="0"/>
              <w:rPr>
                <w:szCs w:val="21"/>
              </w:rPr>
            </w:pPr>
            <w:r>
              <w:rPr>
                <w:szCs w:val="21"/>
              </w:rPr>
              <w:t>门窗与墙体应连接牢固，且满足抗风压、水密性、气密性等要求。</w:t>
            </w:r>
          </w:p>
        </w:tc>
        <w:tc>
          <w:tcPr>
            <w:tcW w:w="963" w:type="pct"/>
            <w:tcBorders>
              <w:tl2br w:val="nil"/>
              <w:tr2bl w:val="nil"/>
            </w:tcBorders>
            <w:vAlign w:val="center"/>
          </w:tcPr>
          <w:p w14:paraId="268FE9DC" w14:textId="77777777" w:rsidR="003D6A63" w:rsidRDefault="00000000">
            <w:pPr>
              <w:adjustRightInd w:val="0"/>
              <w:snapToGrid w:val="0"/>
              <w:jc w:val="center"/>
              <w:rPr>
                <w:szCs w:val="21"/>
              </w:rPr>
            </w:pPr>
            <w:r>
              <w:rPr>
                <w:szCs w:val="21"/>
              </w:rPr>
              <w:t>SY/T0021-2016</w:t>
            </w:r>
          </w:p>
          <w:p w14:paraId="7A0B76E8" w14:textId="77777777" w:rsidR="003D6A63" w:rsidRDefault="00000000">
            <w:pPr>
              <w:adjustRightInd w:val="0"/>
              <w:snapToGrid w:val="0"/>
              <w:jc w:val="center"/>
              <w:rPr>
                <w:szCs w:val="21"/>
              </w:rPr>
            </w:pPr>
            <w:r>
              <w:rPr>
                <w:szCs w:val="21"/>
              </w:rPr>
              <w:t>4.7.1</w:t>
            </w:r>
          </w:p>
        </w:tc>
        <w:tc>
          <w:tcPr>
            <w:tcW w:w="984" w:type="pct"/>
            <w:tcBorders>
              <w:tl2br w:val="nil"/>
              <w:tr2bl w:val="nil"/>
            </w:tcBorders>
            <w:vAlign w:val="center"/>
          </w:tcPr>
          <w:p w14:paraId="24DDA841" w14:textId="77777777" w:rsidR="003D6A63" w:rsidRDefault="00000000">
            <w:pPr>
              <w:adjustRightInd w:val="0"/>
              <w:snapToGrid w:val="0"/>
              <w:rPr>
                <w:szCs w:val="21"/>
              </w:rPr>
            </w:pPr>
            <w:r>
              <w:rPr>
                <w:szCs w:val="21"/>
              </w:rPr>
              <w:t>门窗与墙体连接牢固</w:t>
            </w:r>
            <w:r>
              <w:rPr>
                <w:rFonts w:hint="eastAsia"/>
                <w:szCs w:val="21"/>
              </w:rPr>
              <w:t>。</w:t>
            </w:r>
          </w:p>
        </w:tc>
        <w:tc>
          <w:tcPr>
            <w:tcW w:w="405" w:type="pct"/>
            <w:tcBorders>
              <w:tl2br w:val="nil"/>
              <w:tr2bl w:val="nil"/>
            </w:tcBorders>
            <w:vAlign w:val="center"/>
          </w:tcPr>
          <w:p w14:paraId="668C96C2" w14:textId="77777777" w:rsidR="003D6A63" w:rsidRDefault="00000000">
            <w:pPr>
              <w:adjustRightInd w:val="0"/>
              <w:snapToGrid w:val="0"/>
              <w:jc w:val="center"/>
              <w:rPr>
                <w:szCs w:val="21"/>
              </w:rPr>
            </w:pPr>
            <w:r>
              <w:rPr>
                <w:rFonts w:hint="eastAsia"/>
                <w:szCs w:val="21"/>
              </w:rPr>
              <w:t>√</w:t>
            </w:r>
          </w:p>
        </w:tc>
      </w:tr>
      <w:tr w:rsidR="003D6A63" w14:paraId="73997294" w14:textId="77777777">
        <w:trPr>
          <w:trHeight w:val="340"/>
          <w:jc w:val="center"/>
        </w:trPr>
        <w:tc>
          <w:tcPr>
            <w:tcW w:w="333" w:type="pct"/>
            <w:tcBorders>
              <w:tl2br w:val="nil"/>
              <w:tr2bl w:val="nil"/>
            </w:tcBorders>
            <w:shd w:val="clear" w:color="auto" w:fill="auto"/>
            <w:vAlign w:val="center"/>
          </w:tcPr>
          <w:p w14:paraId="6F9A67A2" w14:textId="77777777" w:rsidR="003D6A63" w:rsidRDefault="00000000">
            <w:pPr>
              <w:adjustRightInd w:val="0"/>
              <w:snapToGrid w:val="0"/>
              <w:jc w:val="center"/>
              <w:rPr>
                <w:b/>
                <w:bCs/>
                <w:szCs w:val="21"/>
              </w:rPr>
            </w:pPr>
            <w:r>
              <w:rPr>
                <w:rFonts w:hint="eastAsia"/>
                <w:b/>
                <w:bCs/>
                <w:szCs w:val="21"/>
              </w:rPr>
              <w:t>十</w:t>
            </w:r>
          </w:p>
        </w:tc>
        <w:tc>
          <w:tcPr>
            <w:tcW w:w="2313" w:type="pct"/>
            <w:tcBorders>
              <w:tl2br w:val="nil"/>
              <w:tr2bl w:val="nil"/>
            </w:tcBorders>
            <w:vAlign w:val="center"/>
          </w:tcPr>
          <w:p w14:paraId="1186A159" w14:textId="77777777" w:rsidR="003D6A63" w:rsidRDefault="00000000">
            <w:pPr>
              <w:adjustRightInd w:val="0"/>
              <w:snapToGrid w:val="0"/>
              <w:rPr>
                <w:b/>
                <w:bCs/>
                <w:szCs w:val="21"/>
              </w:rPr>
            </w:pPr>
            <w:r>
              <w:rPr>
                <w:b/>
                <w:bCs/>
                <w:szCs w:val="21"/>
              </w:rPr>
              <w:t>仪表及计算机控制系统</w:t>
            </w:r>
          </w:p>
        </w:tc>
        <w:tc>
          <w:tcPr>
            <w:tcW w:w="963" w:type="pct"/>
            <w:tcBorders>
              <w:tl2br w:val="nil"/>
              <w:tr2bl w:val="nil"/>
            </w:tcBorders>
            <w:vAlign w:val="center"/>
          </w:tcPr>
          <w:p w14:paraId="74E89198" w14:textId="77777777" w:rsidR="003D6A63" w:rsidRDefault="003D6A63">
            <w:pPr>
              <w:adjustRightInd w:val="0"/>
              <w:snapToGrid w:val="0"/>
              <w:jc w:val="center"/>
              <w:rPr>
                <w:szCs w:val="21"/>
              </w:rPr>
            </w:pPr>
          </w:p>
        </w:tc>
        <w:tc>
          <w:tcPr>
            <w:tcW w:w="984" w:type="pct"/>
            <w:tcBorders>
              <w:tl2br w:val="nil"/>
              <w:tr2bl w:val="nil"/>
            </w:tcBorders>
            <w:vAlign w:val="center"/>
          </w:tcPr>
          <w:p w14:paraId="19267240" w14:textId="77777777" w:rsidR="003D6A63" w:rsidRDefault="003D6A63">
            <w:pPr>
              <w:adjustRightInd w:val="0"/>
              <w:snapToGrid w:val="0"/>
              <w:rPr>
                <w:szCs w:val="21"/>
              </w:rPr>
            </w:pPr>
          </w:p>
        </w:tc>
        <w:tc>
          <w:tcPr>
            <w:tcW w:w="405" w:type="pct"/>
            <w:tcBorders>
              <w:tl2br w:val="nil"/>
              <w:tr2bl w:val="nil"/>
            </w:tcBorders>
            <w:vAlign w:val="center"/>
          </w:tcPr>
          <w:p w14:paraId="72F9C8CE" w14:textId="77777777" w:rsidR="003D6A63" w:rsidRDefault="003D6A63">
            <w:pPr>
              <w:adjustRightInd w:val="0"/>
              <w:snapToGrid w:val="0"/>
              <w:rPr>
                <w:szCs w:val="21"/>
              </w:rPr>
            </w:pPr>
          </w:p>
        </w:tc>
      </w:tr>
      <w:tr w:rsidR="003D6A63" w14:paraId="080CB270" w14:textId="77777777">
        <w:trPr>
          <w:trHeight w:val="340"/>
          <w:jc w:val="center"/>
        </w:trPr>
        <w:tc>
          <w:tcPr>
            <w:tcW w:w="333" w:type="pct"/>
            <w:tcBorders>
              <w:tl2br w:val="nil"/>
              <w:tr2bl w:val="nil"/>
            </w:tcBorders>
            <w:shd w:val="clear" w:color="auto" w:fill="auto"/>
            <w:vAlign w:val="center"/>
          </w:tcPr>
          <w:p w14:paraId="60CD9FC2"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4B76C964" w14:textId="77777777" w:rsidR="003D6A63" w:rsidRDefault="00000000">
            <w:pPr>
              <w:adjustRightInd w:val="0"/>
              <w:snapToGrid w:val="0"/>
              <w:rPr>
                <w:szCs w:val="21"/>
              </w:rPr>
            </w:pPr>
            <w:r>
              <w:rPr>
                <w:szCs w:val="21"/>
              </w:rPr>
              <w:t>各种测量仪表的取源部件、法兰、仪表阀门、引压导管和连接部件应无渗漏。</w:t>
            </w:r>
          </w:p>
        </w:tc>
        <w:tc>
          <w:tcPr>
            <w:tcW w:w="963" w:type="pct"/>
            <w:tcBorders>
              <w:tl2br w:val="nil"/>
              <w:tr2bl w:val="nil"/>
            </w:tcBorders>
            <w:vAlign w:val="center"/>
          </w:tcPr>
          <w:p w14:paraId="2718DB18" w14:textId="77777777" w:rsidR="003D6A63" w:rsidRDefault="00000000">
            <w:pPr>
              <w:adjustRightInd w:val="0"/>
              <w:snapToGrid w:val="0"/>
              <w:jc w:val="center"/>
              <w:rPr>
                <w:szCs w:val="21"/>
              </w:rPr>
            </w:pPr>
            <w:r>
              <w:rPr>
                <w:szCs w:val="21"/>
              </w:rPr>
              <w:t>SY/T6069-2020</w:t>
            </w:r>
          </w:p>
          <w:p w14:paraId="7F99F26B" w14:textId="77777777" w:rsidR="003D6A63" w:rsidRDefault="00000000">
            <w:pPr>
              <w:adjustRightInd w:val="0"/>
              <w:snapToGrid w:val="0"/>
              <w:jc w:val="center"/>
              <w:rPr>
                <w:szCs w:val="21"/>
              </w:rPr>
            </w:pPr>
            <w:r>
              <w:rPr>
                <w:szCs w:val="21"/>
              </w:rPr>
              <w:t>3.1.4</w:t>
            </w:r>
          </w:p>
        </w:tc>
        <w:tc>
          <w:tcPr>
            <w:tcW w:w="984" w:type="pct"/>
            <w:tcBorders>
              <w:tl2br w:val="nil"/>
              <w:tr2bl w:val="nil"/>
            </w:tcBorders>
            <w:vAlign w:val="center"/>
          </w:tcPr>
          <w:p w14:paraId="4FF5F6BF" w14:textId="77777777" w:rsidR="003D6A63" w:rsidRDefault="00000000">
            <w:pPr>
              <w:adjustRightInd w:val="0"/>
              <w:snapToGrid w:val="0"/>
              <w:rPr>
                <w:szCs w:val="21"/>
              </w:rPr>
            </w:pPr>
            <w:r>
              <w:rPr>
                <w:szCs w:val="21"/>
              </w:rPr>
              <w:t>测量仪表的取源部件、法兰、仪表阀门、引压导管和连接部件无渗漏</w:t>
            </w:r>
          </w:p>
        </w:tc>
        <w:tc>
          <w:tcPr>
            <w:tcW w:w="405" w:type="pct"/>
            <w:tcBorders>
              <w:tl2br w:val="nil"/>
              <w:tr2bl w:val="nil"/>
            </w:tcBorders>
            <w:vAlign w:val="center"/>
          </w:tcPr>
          <w:p w14:paraId="2A07CB3D" w14:textId="77777777" w:rsidR="003D6A63" w:rsidRDefault="00000000">
            <w:pPr>
              <w:adjustRightInd w:val="0"/>
              <w:snapToGrid w:val="0"/>
              <w:jc w:val="center"/>
              <w:rPr>
                <w:szCs w:val="21"/>
              </w:rPr>
            </w:pPr>
            <w:r>
              <w:rPr>
                <w:rFonts w:hint="eastAsia"/>
                <w:szCs w:val="21"/>
              </w:rPr>
              <w:t>√</w:t>
            </w:r>
          </w:p>
        </w:tc>
      </w:tr>
      <w:tr w:rsidR="003D6A63" w14:paraId="19AC7040" w14:textId="77777777">
        <w:trPr>
          <w:trHeight w:val="340"/>
          <w:jc w:val="center"/>
        </w:trPr>
        <w:tc>
          <w:tcPr>
            <w:tcW w:w="333" w:type="pct"/>
            <w:tcBorders>
              <w:tl2br w:val="nil"/>
              <w:tr2bl w:val="nil"/>
            </w:tcBorders>
            <w:shd w:val="clear" w:color="auto" w:fill="auto"/>
            <w:vAlign w:val="center"/>
          </w:tcPr>
          <w:p w14:paraId="6A262CE8"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55959F4A" w14:textId="77777777" w:rsidR="003D6A63" w:rsidRDefault="00000000">
            <w:pPr>
              <w:adjustRightInd w:val="0"/>
              <w:snapToGrid w:val="0"/>
              <w:rPr>
                <w:szCs w:val="21"/>
              </w:rPr>
            </w:pPr>
            <w:r>
              <w:rPr>
                <w:szCs w:val="21"/>
              </w:rPr>
              <w:t>各种指针式仪表的表盘分度线、数字和其他标志应清晰完整；各部件完整，无锈蚀、无松动和无渗漏。</w:t>
            </w:r>
          </w:p>
        </w:tc>
        <w:tc>
          <w:tcPr>
            <w:tcW w:w="963" w:type="pct"/>
            <w:tcBorders>
              <w:tl2br w:val="nil"/>
              <w:tr2bl w:val="nil"/>
            </w:tcBorders>
            <w:vAlign w:val="center"/>
          </w:tcPr>
          <w:p w14:paraId="680CC002" w14:textId="77777777" w:rsidR="003D6A63" w:rsidRDefault="00000000">
            <w:pPr>
              <w:adjustRightInd w:val="0"/>
              <w:snapToGrid w:val="0"/>
              <w:jc w:val="center"/>
              <w:rPr>
                <w:szCs w:val="21"/>
              </w:rPr>
            </w:pPr>
            <w:r>
              <w:rPr>
                <w:szCs w:val="21"/>
              </w:rPr>
              <w:t>SY/T6069-2020</w:t>
            </w:r>
          </w:p>
          <w:p w14:paraId="4C2EFCAB" w14:textId="77777777" w:rsidR="003D6A63" w:rsidRDefault="00000000">
            <w:pPr>
              <w:adjustRightInd w:val="0"/>
              <w:snapToGrid w:val="0"/>
              <w:jc w:val="center"/>
              <w:rPr>
                <w:szCs w:val="21"/>
              </w:rPr>
            </w:pPr>
            <w:r>
              <w:rPr>
                <w:szCs w:val="21"/>
              </w:rPr>
              <w:t>3.1.5</w:t>
            </w:r>
          </w:p>
        </w:tc>
        <w:tc>
          <w:tcPr>
            <w:tcW w:w="984" w:type="pct"/>
            <w:tcBorders>
              <w:tl2br w:val="nil"/>
              <w:tr2bl w:val="nil"/>
            </w:tcBorders>
            <w:vAlign w:val="center"/>
          </w:tcPr>
          <w:p w14:paraId="41A01432" w14:textId="77777777" w:rsidR="003D6A63" w:rsidRDefault="00000000">
            <w:pPr>
              <w:adjustRightInd w:val="0"/>
              <w:snapToGrid w:val="0"/>
              <w:rPr>
                <w:szCs w:val="21"/>
              </w:rPr>
            </w:pPr>
            <w:r>
              <w:rPr>
                <w:szCs w:val="21"/>
              </w:rPr>
              <w:t>指针式仪表的表盘</w:t>
            </w:r>
            <w:r>
              <w:rPr>
                <w:rFonts w:hint="eastAsia"/>
                <w:szCs w:val="21"/>
              </w:rPr>
              <w:t>显示</w:t>
            </w:r>
            <w:r>
              <w:rPr>
                <w:szCs w:val="21"/>
              </w:rPr>
              <w:t>清晰完整</w:t>
            </w:r>
            <w:r>
              <w:rPr>
                <w:rFonts w:hint="eastAsia"/>
                <w:szCs w:val="21"/>
              </w:rPr>
              <w:t>，</w:t>
            </w:r>
            <w:r>
              <w:rPr>
                <w:szCs w:val="21"/>
              </w:rPr>
              <w:t>部件完整。</w:t>
            </w:r>
          </w:p>
        </w:tc>
        <w:tc>
          <w:tcPr>
            <w:tcW w:w="405" w:type="pct"/>
            <w:tcBorders>
              <w:tl2br w:val="nil"/>
              <w:tr2bl w:val="nil"/>
            </w:tcBorders>
            <w:vAlign w:val="center"/>
          </w:tcPr>
          <w:p w14:paraId="3533A778" w14:textId="77777777" w:rsidR="003D6A63" w:rsidRDefault="00000000">
            <w:pPr>
              <w:adjustRightInd w:val="0"/>
              <w:snapToGrid w:val="0"/>
              <w:jc w:val="center"/>
              <w:rPr>
                <w:szCs w:val="21"/>
              </w:rPr>
            </w:pPr>
            <w:r>
              <w:rPr>
                <w:rFonts w:hint="eastAsia"/>
                <w:szCs w:val="21"/>
              </w:rPr>
              <w:t>√</w:t>
            </w:r>
          </w:p>
        </w:tc>
      </w:tr>
      <w:tr w:rsidR="003D6A63" w14:paraId="59FF101F" w14:textId="77777777">
        <w:trPr>
          <w:trHeight w:val="340"/>
          <w:jc w:val="center"/>
        </w:trPr>
        <w:tc>
          <w:tcPr>
            <w:tcW w:w="333" w:type="pct"/>
            <w:tcBorders>
              <w:tl2br w:val="nil"/>
              <w:tr2bl w:val="nil"/>
            </w:tcBorders>
            <w:shd w:val="clear" w:color="auto" w:fill="auto"/>
            <w:vAlign w:val="center"/>
          </w:tcPr>
          <w:p w14:paraId="075B0FEF"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4B7EFEA4" w14:textId="77777777" w:rsidR="003D6A63" w:rsidRDefault="00000000">
            <w:pPr>
              <w:adjustRightInd w:val="0"/>
              <w:snapToGrid w:val="0"/>
              <w:rPr>
                <w:szCs w:val="21"/>
              </w:rPr>
            </w:pPr>
            <w:r>
              <w:rPr>
                <w:szCs w:val="21"/>
              </w:rPr>
              <w:t>各种测量仪表的就地显示屏应显示清晰，无乱码和叠字现象。</w:t>
            </w:r>
          </w:p>
        </w:tc>
        <w:tc>
          <w:tcPr>
            <w:tcW w:w="963" w:type="pct"/>
            <w:tcBorders>
              <w:tl2br w:val="nil"/>
              <w:tr2bl w:val="nil"/>
            </w:tcBorders>
            <w:vAlign w:val="center"/>
          </w:tcPr>
          <w:p w14:paraId="61FBC9F8" w14:textId="77777777" w:rsidR="003D6A63" w:rsidRDefault="00000000">
            <w:pPr>
              <w:adjustRightInd w:val="0"/>
              <w:snapToGrid w:val="0"/>
              <w:jc w:val="center"/>
              <w:rPr>
                <w:szCs w:val="21"/>
              </w:rPr>
            </w:pPr>
            <w:r>
              <w:rPr>
                <w:szCs w:val="21"/>
              </w:rPr>
              <w:t>SY/T6069-2020</w:t>
            </w:r>
          </w:p>
          <w:p w14:paraId="13801A9E" w14:textId="77777777" w:rsidR="003D6A63" w:rsidRDefault="00000000">
            <w:pPr>
              <w:adjustRightInd w:val="0"/>
              <w:snapToGrid w:val="0"/>
              <w:jc w:val="center"/>
              <w:rPr>
                <w:szCs w:val="21"/>
              </w:rPr>
            </w:pPr>
            <w:r>
              <w:rPr>
                <w:szCs w:val="21"/>
              </w:rPr>
              <w:t>3.1.6</w:t>
            </w:r>
          </w:p>
        </w:tc>
        <w:tc>
          <w:tcPr>
            <w:tcW w:w="984" w:type="pct"/>
            <w:tcBorders>
              <w:tl2br w:val="nil"/>
              <w:tr2bl w:val="nil"/>
            </w:tcBorders>
            <w:vAlign w:val="center"/>
          </w:tcPr>
          <w:p w14:paraId="3489EBFA" w14:textId="77777777" w:rsidR="003D6A63" w:rsidRDefault="00000000">
            <w:pPr>
              <w:adjustRightInd w:val="0"/>
              <w:snapToGrid w:val="0"/>
              <w:rPr>
                <w:szCs w:val="21"/>
              </w:rPr>
            </w:pPr>
            <w:r>
              <w:rPr>
                <w:szCs w:val="21"/>
              </w:rPr>
              <w:t>测量仪表的就地显示</w:t>
            </w:r>
            <w:r>
              <w:rPr>
                <w:rFonts w:hint="eastAsia"/>
                <w:szCs w:val="21"/>
              </w:rPr>
              <w:t>符合要求。</w:t>
            </w:r>
          </w:p>
        </w:tc>
        <w:tc>
          <w:tcPr>
            <w:tcW w:w="405" w:type="pct"/>
            <w:tcBorders>
              <w:tl2br w:val="nil"/>
              <w:tr2bl w:val="nil"/>
            </w:tcBorders>
            <w:vAlign w:val="center"/>
          </w:tcPr>
          <w:p w14:paraId="2A2EA1B9" w14:textId="77777777" w:rsidR="003D6A63" w:rsidRDefault="00000000">
            <w:pPr>
              <w:adjustRightInd w:val="0"/>
              <w:snapToGrid w:val="0"/>
              <w:jc w:val="center"/>
              <w:rPr>
                <w:szCs w:val="21"/>
              </w:rPr>
            </w:pPr>
            <w:r>
              <w:rPr>
                <w:rFonts w:hint="eastAsia"/>
                <w:szCs w:val="21"/>
              </w:rPr>
              <w:t>√</w:t>
            </w:r>
          </w:p>
        </w:tc>
      </w:tr>
      <w:tr w:rsidR="003D6A63" w14:paraId="322C2F84" w14:textId="77777777">
        <w:trPr>
          <w:trHeight w:val="340"/>
          <w:jc w:val="center"/>
        </w:trPr>
        <w:tc>
          <w:tcPr>
            <w:tcW w:w="333" w:type="pct"/>
            <w:tcBorders>
              <w:tl2br w:val="nil"/>
              <w:tr2bl w:val="nil"/>
            </w:tcBorders>
            <w:shd w:val="clear" w:color="auto" w:fill="auto"/>
            <w:vAlign w:val="center"/>
          </w:tcPr>
          <w:p w14:paraId="291A4DE7"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712B6C2F" w14:textId="77777777" w:rsidR="003D6A63" w:rsidRDefault="00000000">
            <w:pPr>
              <w:adjustRightInd w:val="0"/>
              <w:snapToGrid w:val="0"/>
              <w:rPr>
                <w:szCs w:val="21"/>
              </w:rPr>
            </w:pPr>
            <w:r>
              <w:rPr>
                <w:szCs w:val="21"/>
              </w:rPr>
              <w:t>各种测量仪表的安装应牢固，仪表外壳应无机械变形、无损坏、无严重锈蚀。</w:t>
            </w:r>
          </w:p>
        </w:tc>
        <w:tc>
          <w:tcPr>
            <w:tcW w:w="963" w:type="pct"/>
            <w:tcBorders>
              <w:tl2br w:val="nil"/>
              <w:tr2bl w:val="nil"/>
            </w:tcBorders>
            <w:vAlign w:val="center"/>
          </w:tcPr>
          <w:p w14:paraId="29E23C0A" w14:textId="77777777" w:rsidR="003D6A63" w:rsidRDefault="00000000">
            <w:pPr>
              <w:adjustRightInd w:val="0"/>
              <w:snapToGrid w:val="0"/>
              <w:jc w:val="center"/>
              <w:rPr>
                <w:szCs w:val="21"/>
              </w:rPr>
            </w:pPr>
            <w:r>
              <w:rPr>
                <w:szCs w:val="21"/>
              </w:rPr>
              <w:t>SY/T6069-2020</w:t>
            </w:r>
          </w:p>
          <w:p w14:paraId="672613F0" w14:textId="77777777" w:rsidR="003D6A63" w:rsidRDefault="00000000">
            <w:pPr>
              <w:adjustRightInd w:val="0"/>
              <w:snapToGrid w:val="0"/>
              <w:jc w:val="center"/>
              <w:rPr>
                <w:szCs w:val="21"/>
              </w:rPr>
            </w:pPr>
            <w:r>
              <w:rPr>
                <w:szCs w:val="21"/>
              </w:rPr>
              <w:t>3.1.7</w:t>
            </w:r>
          </w:p>
        </w:tc>
        <w:tc>
          <w:tcPr>
            <w:tcW w:w="984" w:type="pct"/>
            <w:tcBorders>
              <w:tl2br w:val="nil"/>
              <w:tr2bl w:val="nil"/>
            </w:tcBorders>
            <w:vAlign w:val="center"/>
          </w:tcPr>
          <w:p w14:paraId="3AD7C2E4" w14:textId="77777777" w:rsidR="003D6A63" w:rsidRDefault="00000000">
            <w:pPr>
              <w:adjustRightInd w:val="0"/>
              <w:snapToGrid w:val="0"/>
              <w:rPr>
                <w:szCs w:val="21"/>
              </w:rPr>
            </w:pPr>
            <w:r>
              <w:rPr>
                <w:rFonts w:hint="eastAsia"/>
                <w:szCs w:val="21"/>
              </w:rPr>
              <w:t>测量仪表安装牢固，外形完好。</w:t>
            </w:r>
          </w:p>
        </w:tc>
        <w:tc>
          <w:tcPr>
            <w:tcW w:w="405" w:type="pct"/>
            <w:tcBorders>
              <w:tl2br w:val="nil"/>
              <w:tr2bl w:val="nil"/>
            </w:tcBorders>
            <w:vAlign w:val="center"/>
          </w:tcPr>
          <w:p w14:paraId="025C8377" w14:textId="77777777" w:rsidR="003D6A63" w:rsidRDefault="00000000">
            <w:pPr>
              <w:adjustRightInd w:val="0"/>
              <w:snapToGrid w:val="0"/>
              <w:jc w:val="center"/>
              <w:rPr>
                <w:szCs w:val="21"/>
              </w:rPr>
            </w:pPr>
            <w:r>
              <w:rPr>
                <w:rFonts w:hint="eastAsia"/>
                <w:szCs w:val="21"/>
              </w:rPr>
              <w:t>√</w:t>
            </w:r>
          </w:p>
        </w:tc>
      </w:tr>
      <w:tr w:rsidR="003D6A63" w14:paraId="1D65654F" w14:textId="77777777">
        <w:trPr>
          <w:trHeight w:val="340"/>
          <w:jc w:val="center"/>
        </w:trPr>
        <w:tc>
          <w:tcPr>
            <w:tcW w:w="333" w:type="pct"/>
            <w:tcBorders>
              <w:tl2br w:val="nil"/>
              <w:tr2bl w:val="nil"/>
            </w:tcBorders>
            <w:shd w:val="clear" w:color="auto" w:fill="auto"/>
            <w:vAlign w:val="center"/>
          </w:tcPr>
          <w:p w14:paraId="6427B923"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62F670EB" w14:textId="77777777" w:rsidR="003D6A63" w:rsidRDefault="00000000">
            <w:pPr>
              <w:adjustRightInd w:val="0"/>
              <w:snapToGrid w:val="0"/>
              <w:rPr>
                <w:szCs w:val="21"/>
              </w:rPr>
            </w:pPr>
            <w:r>
              <w:rPr>
                <w:szCs w:val="21"/>
              </w:rPr>
              <w:t>防爆仪表及其系统的外观应完整无损，防爆格兰头和密封填料应封装紧密，未使用的电气接口应做防爆密封处理。</w:t>
            </w:r>
          </w:p>
        </w:tc>
        <w:tc>
          <w:tcPr>
            <w:tcW w:w="963" w:type="pct"/>
            <w:tcBorders>
              <w:tl2br w:val="nil"/>
              <w:tr2bl w:val="nil"/>
            </w:tcBorders>
            <w:vAlign w:val="center"/>
          </w:tcPr>
          <w:p w14:paraId="2356D538" w14:textId="77777777" w:rsidR="003D6A63" w:rsidRDefault="00000000">
            <w:pPr>
              <w:adjustRightInd w:val="0"/>
              <w:snapToGrid w:val="0"/>
              <w:jc w:val="center"/>
              <w:rPr>
                <w:szCs w:val="21"/>
              </w:rPr>
            </w:pPr>
            <w:r>
              <w:rPr>
                <w:szCs w:val="21"/>
              </w:rPr>
              <w:t>SY/T6069-2020</w:t>
            </w:r>
          </w:p>
          <w:p w14:paraId="553E83C2" w14:textId="77777777" w:rsidR="003D6A63" w:rsidRDefault="00000000">
            <w:pPr>
              <w:adjustRightInd w:val="0"/>
              <w:snapToGrid w:val="0"/>
              <w:jc w:val="center"/>
              <w:rPr>
                <w:szCs w:val="21"/>
              </w:rPr>
            </w:pPr>
            <w:r>
              <w:rPr>
                <w:szCs w:val="21"/>
              </w:rPr>
              <w:t>3.1.10</w:t>
            </w:r>
          </w:p>
        </w:tc>
        <w:tc>
          <w:tcPr>
            <w:tcW w:w="984" w:type="pct"/>
            <w:tcBorders>
              <w:tl2br w:val="nil"/>
              <w:tr2bl w:val="nil"/>
            </w:tcBorders>
            <w:vAlign w:val="center"/>
          </w:tcPr>
          <w:p w14:paraId="5A518F14" w14:textId="77777777" w:rsidR="003D6A63" w:rsidRDefault="00000000">
            <w:pPr>
              <w:adjustRightInd w:val="0"/>
              <w:snapToGrid w:val="0"/>
              <w:rPr>
                <w:szCs w:val="21"/>
              </w:rPr>
            </w:pPr>
            <w:r>
              <w:rPr>
                <w:szCs w:val="21"/>
              </w:rPr>
              <w:t>防爆仪表</w:t>
            </w:r>
            <w:r>
              <w:rPr>
                <w:rFonts w:hint="eastAsia"/>
                <w:szCs w:val="21"/>
              </w:rPr>
              <w:t>及其系统外观完整，防爆格兰头和填料封装紧密。</w:t>
            </w:r>
          </w:p>
        </w:tc>
        <w:tc>
          <w:tcPr>
            <w:tcW w:w="405" w:type="pct"/>
            <w:tcBorders>
              <w:tl2br w:val="nil"/>
              <w:tr2bl w:val="nil"/>
            </w:tcBorders>
            <w:vAlign w:val="center"/>
          </w:tcPr>
          <w:p w14:paraId="05EAD7CC" w14:textId="77777777" w:rsidR="003D6A63" w:rsidRDefault="00000000">
            <w:pPr>
              <w:adjustRightInd w:val="0"/>
              <w:snapToGrid w:val="0"/>
              <w:jc w:val="center"/>
              <w:rPr>
                <w:szCs w:val="21"/>
              </w:rPr>
            </w:pPr>
            <w:r>
              <w:rPr>
                <w:rFonts w:hint="eastAsia"/>
                <w:szCs w:val="21"/>
              </w:rPr>
              <w:t>√</w:t>
            </w:r>
          </w:p>
        </w:tc>
      </w:tr>
      <w:tr w:rsidR="003D6A63" w14:paraId="693CA0B3" w14:textId="77777777">
        <w:trPr>
          <w:trHeight w:val="340"/>
          <w:jc w:val="center"/>
        </w:trPr>
        <w:tc>
          <w:tcPr>
            <w:tcW w:w="333" w:type="pct"/>
            <w:tcBorders>
              <w:tl2br w:val="nil"/>
              <w:tr2bl w:val="nil"/>
            </w:tcBorders>
            <w:shd w:val="clear" w:color="auto" w:fill="auto"/>
            <w:vAlign w:val="center"/>
          </w:tcPr>
          <w:p w14:paraId="55EC4404" w14:textId="77777777" w:rsidR="003D6A63" w:rsidRDefault="00000000">
            <w:pPr>
              <w:adjustRightInd w:val="0"/>
              <w:snapToGrid w:val="0"/>
              <w:jc w:val="center"/>
              <w:rPr>
                <w:b/>
                <w:bCs/>
                <w:szCs w:val="21"/>
              </w:rPr>
            </w:pPr>
            <w:r>
              <w:rPr>
                <w:rFonts w:hint="eastAsia"/>
                <w:b/>
                <w:bCs/>
                <w:szCs w:val="21"/>
              </w:rPr>
              <w:t>十一</w:t>
            </w:r>
          </w:p>
        </w:tc>
        <w:tc>
          <w:tcPr>
            <w:tcW w:w="2313" w:type="pct"/>
            <w:tcBorders>
              <w:tl2br w:val="nil"/>
              <w:tr2bl w:val="nil"/>
            </w:tcBorders>
            <w:vAlign w:val="center"/>
          </w:tcPr>
          <w:p w14:paraId="63FA2FC2" w14:textId="77777777" w:rsidR="003D6A63" w:rsidRDefault="00000000">
            <w:pPr>
              <w:adjustRightInd w:val="0"/>
              <w:snapToGrid w:val="0"/>
              <w:rPr>
                <w:b/>
                <w:bCs/>
                <w:szCs w:val="21"/>
              </w:rPr>
            </w:pPr>
            <w:r>
              <w:rPr>
                <w:b/>
                <w:bCs/>
                <w:szCs w:val="21"/>
              </w:rPr>
              <w:t>其他</w:t>
            </w:r>
          </w:p>
        </w:tc>
        <w:tc>
          <w:tcPr>
            <w:tcW w:w="963" w:type="pct"/>
            <w:tcBorders>
              <w:tl2br w:val="nil"/>
              <w:tr2bl w:val="nil"/>
            </w:tcBorders>
            <w:vAlign w:val="center"/>
          </w:tcPr>
          <w:p w14:paraId="10070B4F" w14:textId="77777777" w:rsidR="003D6A63" w:rsidRDefault="003D6A63">
            <w:pPr>
              <w:adjustRightInd w:val="0"/>
              <w:snapToGrid w:val="0"/>
              <w:jc w:val="center"/>
              <w:rPr>
                <w:szCs w:val="21"/>
              </w:rPr>
            </w:pPr>
          </w:p>
        </w:tc>
        <w:tc>
          <w:tcPr>
            <w:tcW w:w="984" w:type="pct"/>
            <w:tcBorders>
              <w:tl2br w:val="nil"/>
              <w:tr2bl w:val="nil"/>
            </w:tcBorders>
            <w:vAlign w:val="center"/>
          </w:tcPr>
          <w:p w14:paraId="79498367" w14:textId="77777777" w:rsidR="003D6A63" w:rsidRDefault="003D6A63">
            <w:pPr>
              <w:adjustRightInd w:val="0"/>
              <w:snapToGrid w:val="0"/>
              <w:rPr>
                <w:szCs w:val="21"/>
              </w:rPr>
            </w:pPr>
          </w:p>
        </w:tc>
        <w:tc>
          <w:tcPr>
            <w:tcW w:w="405" w:type="pct"/>
            <w:tcBorders>
              <w:tl2br w:val="nil"/>
              <w:tr2bl w:val="nil"/>
            </w:tcBorders>
            <w:vAlign w:val="center"/>
          </w:tcPr>
          <w:p w14:paraId="1442FEFB" w14:textId="77777777" w:rsidR="003D6A63" w:rsidRDefault="003D6A63">
            <w:pPr>
              <w:adjustRightInd w:val="0"/>
              <w:snapToGrid w:val="0"/>
              <w:rPr>
                <w:szCs w:val="21"/>
              </w:rPr>
            </w:pPr>
          </w:p>
        </w:tc>
      </w:tr>
      <w:tr w:rsidR="003D6A63" w14:paraId="567EAECA" w14:textId="77777777">
        <w:trPr>
          <w:trHeight w:val="340"/>
          <w:jc w:val="center"/>
        </w:trPr>
        <w:tc>
          <w:tcPr>
            <w:tcW w:w="333" w:type="pct"/>
            <w:tcBorders>
              <w:tl2br w:val="nil"/>
              <w:tr2bl w:val="nil"/>
            </w:tcBorders>
            <w:shd w:val="clear" w:color="auto" w:fill="auto"/>
            <w:vAlign w:val="center"/>
          </w:tcPr>
          <w:p w14:paraId="55EDD1BC"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shd w:val="clear" w:color="auto" w:fill="auto"/>
            <w:vAlign w:val="center"/>
          </w:tcPr>
          <w:p w14:paraId="1F9409EB" w14:textId="77777777" w:rsidR="003D6A63" w:rsidRDefault="00000000">
            <w:pPr>
              <w:adjustRightInd w:val="0"/>
              <w:snapToGrid w:val="0"/>
              <w:rPr>
                <w:szCs w:val="21"/>
              </w:rPr>
            </w:pPr>
            <w:r>
              <w:rPr>
                <w:szCs w:val="21"/>
              </w:rPr>
              <w:t>放空管道必须保持畅通，并应符合下列要求：</w:t>
            </w:r>
          </w:p>
          <w:p w14:paraId="0D4D3013" w14:textId="77777777" w:rsidR="003D6A63" w:rsidRDefault="00000000">
            <w:pPr>
              <w:adjustRightInd w:val="0"/>
              <w:snapToGrid w:val="0"/>
              <w:rPr>
                <w:szCs w:val="21"/>
              </w:rPr>
            </w:pPr>
            <w:r>
              <w:rPr>
                <w:szCs w:val="21"/>
              </w:rPr>
              <w:t>1</w:t>
            </w:r>
            <w:r>
              <w:rPr>
                <w:szCs w:val="21"/>
              </w:rPr>
              <w:t>高压、低压放空管宜分别设置，并应直接与火炬或放空总管连接；</w:t>
            </w:r>
          </w:p>
          <w:p w14:paraId="653A091D" w14:textId="77777777" w:rsidR="003D6A63" w:rsidRDefault="00000000">
            <w:pPr>
              <w:adjustRightInd w:val="0"/>
              <w:snapToGrid w:val="0"/>
              <w:rPr>
                <w:szCs w:val="21"/>
              </w:rPr>
            </w:pPr>
            <w:r>
              <w:rPr>
                <w:szCs w:val="21"/>
              </w:rPr>
              <w:t>2</w:t>
            </w:r>
            <w:r>
              <w:rPr>
                <w:szCs w:val="21"/>
              </w:rPr>
              <w:t>不同排放压力的可燃气体放空管接</w:t>
            </w:r>
            <w:r>
              <w:rPr>
                <w:rFonts w:hint="eastAsia"/>
                <w:szCs w:val="21"/>
              </w:rPr>
              <w:t>入</w:t>
            </w:r>
            <w:r>
              <w:rPr>
                <w:szCs w:val="21"/>
              </w:rPr>
              <w:t>同一排放系统时，应确保不同压力的放空点能同时安全排放。</w:t>
            </w:r>
          </w:p>
        </w:tc>
        <w:tc>
          <w:tcPr>
            <w:tcW w:w="963" w:type="pct"/>
            <w:tcBorders>
              <w:tl2br w:val="nil"/>
              <w:tr2bl w:val="nil"/>
            </w:tcBorders>
            <w:shd w:val="clear" w:color="auto" w:fill="auto"/>
            <w:vAlign w:val="center"/>
          </w:tcPr>
          <w:p w14:paraId="7E7C90EC" w14:textId="77777777" w:rsidR="003D6A63" w:rsidRDefault="00000000">
            <w:pPr>
              <w:adjustRightInd w:val="0"/>
              <w:snapToGrid w:val="0"/>
              <w:jc w:val="center"/>
              <w:rPr>
                <w:szCs w:val="21"/>
              </w:rPr>
            </w:pPr>
            <w:r>
              <w:rPr>
                <w:szCs w:val="21"/>
              </w:rPr>
              <w:t>GB50183-2004</w:t>
            </w:r>
          </w:p>
          <w:p w14:paraId="0BD0A373" w14:textId="77777777" w:rsidR="003D6A63" w:rsidRDefault="00000000">
            <w:pPr>
              <w:adjustRightInd w:val="0"/>
              <w:snapToGrid w:val="0"/>
              <w:jc w:val="center"/>
              <w:rPr>
                <w:szCs w:val="21"/>
              </w:rPr>
            </w:pPr>
            <w:r>
              <w:rPr>
                <w:szCs w:val="21"/>
              </w:rPr>
              <w:t>6.8.6</w:t>
            </w:r>
          </w:p>
        </w:tc>
        <w:tc>
          <w:tcPr>
            <w:tcW w:w="984" w:type="pct"/>
            <w:tcBorders>
              <w:tl2br w:val="nil"/>
              <w:tr2bl w:val="nil"/>
            </w:tcBorders>
            <w:shd w:val="clear" w:color="auto" w:fill="auto"/>
            <w:vAlign w:val="center"/>
          </w:tcPr>
          <w:p w14:paraId="5E1B340A" w14:textId="77777777" w:rsidR="003D6A63" w:rsidRDefault="00000000">
            <w:pPr>
              <w:adjustRightInd w:val="0"/>
              <w:snapToGrid w:val="0"/>
              <w:rPr>
                <w:szCs w:val="21"/>
              </w:rPr>
            </w:pPr>
            <w:r>
              <w:rPr>
                <w:rFonts w:hint="eastAsia"/>
                <w:szCs w:val="21"/>
              </w:rPr>
              <w:t>放空管道符合要求。</w:t>
            </w:r>
          </w:p>
        </w:tc>
        <w:tc>
          <w:tcPr>
            <w:tcW w:w="405" w:type="pct"/>
            <w:tcBorders>
              <w:tl2br w:val="nil"/>
              <w:tr2bl w:val="nil"/>
            </w:tcBorders>
            <w:shd w:val="clear" w:color="auto" w:fill="auto"/>
            <w:vAlign w:val="center"/>
          </w:tcPr>
          <w:p w14:paraId="54A8457D" w14:textId="77777777" w:rsidR="003D6A63" w:rsidRDefault="00000000">
            <w:pPr>
              <w:adjustRightInd w:val="0"/>
              <w:snapToGrid w:val="0"/>
              <w:jc w:val="center"/>
              <w:rPr>
                <w:szCs w:val="21"/>
              </w:rPr>
            </w:pPr>
            <w:r>
              <w:rPr>
                <w:rFonts w:hint="eastAsia"/>
                <w:szCs w:val="21"/>
              </w:rPr>
              <w:t>√</w:t>
            </w:r>
          </w:p>
        </w:tc>
      </w:tr>
      <w:tr w:rsidR="003D6A63" w14:paraId="41A820B1" w14:textId="77777777">
        <w:trPr>
          <w:trHeight w:val="340"/>
          <w:jc w:val="center"/>
        </w:trPr>
        <w:tc>
          <w:tcPr>
            <w:tcW w:w="333" w:type="pct"/>
            <w:tcBorders>
              <w:tl2br w:val="nil"/>
              <w:tr2bl w:val="nil"/>
            </w:tcBorders>
            <w:shd w:val="clear" w:color="auto" w:fill="auto"/>
            <w:vAlign w:val="center"/>
          </w:tcPr>
          <w:p w14:paraId="5504682D"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shd w:val="clear" w:color="auto" w:fill="auto"/>
            <w:vAlign w:val="center"/>
          </w:tcPr>
          <w:p w14:paraId="251D7CA9" w14:textId="77777777" w:rsidR="003D6A63" w:rsidRDefault="00000000">
            <w:pPr>
              <w:adjustRightInd w:val="0"/>
              <w:snapToGrid w:val="0"/>
              <w:rPr>
                <w:szCs w:val="21"/>
              </w:rPr>
            </w:pPr>
            <w:r>
              <w:rPr>
                <w:szCs w:val="21"/>
              </w:rPr>
              <w:t>可燃气体放空应符合下列要求：</w:t>
            </w:r>
          </w:p>
          <w:p w14:paraId="774431F6" w14:textId="77777777" w:rsidR="003D6A63" w:rsidRDefault="00000000">
            <w:pPr>
              <w:adjustRightInd w:val="0"/>
              <w:snapToGrid w:val="0"/>
              <w:rPr>
                <w:szCs w:val="21"/>
              </w:rPr>
            </w:pPr>
            <w:r>
              <w:rPr>
                <w:szCs w:val="21"/>
              </w:rPr>
              <w:t xml:space="preserve">1 </w:t>
            </w:r>
            <w:r>
              <w:rPr>
                <w:szCs w:val="21"/>
              </w:rPr>
              <w:t>可能存在点火源的区域内不应形成爆炸性气体混合物。</w:t>
            </w:r>
          </w:p>
          <w:p w14:paraId="0E3DB104" w14:textId="77777777" w:rsidR="003D6A63" w:rsidRDefault="00000000">
            <w:pPr>
              <w:adjustRightInd w:val="0"/>
              <w:snapToGrid w:val="0"/>
              <w:rPr>
                <w:szCs w:val="21"/>
              </w:rPr>
            </w:pPr>
            <w:r>
              <w:rPr>
                <w:szCs w:val="21"/>
              </w:rPr>
              <w:t xml:space="preserve">2 </w:t>
            </w:r>
            <w:r>
              <w:rPr>
                <w:szCs w:val="21"/>
              </w:rPr>
              <w:t>有害物质的浓度及排放量应符合有关污染物排放标准的规定。</w:t>
            </w:r>
          </w:p>
          <w:p w14:paraId="6FBCA9A9" w14:textId="77777777" w:rsidR="003D6A63" w:rsidRDefault="00000000">
            <w:pPr>
              <w:adjustRightInd w:val="0"/>
              <w:snapToGrid w:val="0"/>
              <w:rPr>
                <w:szCs w:val="21"/>
              </w:rPr>
            </w:pPr>
            <w:r>
              <w:rPr>
                <w:szCs w:val="21"/>
              </w:rPr>
              <w:t xml:space="preserve">5 </w:t>
            </w:r>
            <w:r>
              <w:rPr>
                <w:szCs w:val="21"/>
              </w:rPr>
              <w:t>间歇排放的可燃气体排气筒顶或放空管口，应高出</w:t>
            </w:r>
            <w:r>
              <w:rPr>
                <w:szCs w:val="21"/>
              </w:rPr>
              <w:t>1</w:t>
            </w:r>
            <w:r>
              <w:rPr>
                <w:rFonts w:hint="eastAsia"/>
                <w:szCs w:val="21"/>
              </w:rPr>
              <w:t>0</w:t>
            </w:r>
            <w:r>
              <w:rPr>
                <w:szCs w:val="21"/>
              </w:rPr>
              <w:t>m</w:t>
            </w:r>
            <w:r>
              <w:rPr>
                <w:szCs w:val="21"/>
              </w:rPr>
              <w:t>范围内的平台或建筑物顶</w:t>
            </w:r>
            <w:r>
              <w:rPr>
                <w:szCs w:val="21"/>
              </w:rPr>
              <w:t>2.0m</w:t>
            </w:r>
            <w:r>
              <w:rPr>
                <w:szCs w:val="21"/>
              </w:rPr>
              <w:t>以上。对位于</w:t>
            </w:r>
            <w:r>
              <w:rPr>
                <w:szCs w:val="21"/>
              </w:rPr>
              <w:t>10m</w:t>
            </w:r>
            <w:r>
              <w:rPr>
                <w:szCs w:val="21"/>
              </w:rPr>
              <w:t>以外的平台或建筑物顶，应满足图</w:t>
            </w:r>
            <w:r>
              <w:rPr>
                <w:szCs w:val="21"/>
              </w:rPr>
              <w:t>6.8.8</w:t>
            </w:r>
            <w:r>
              <w:rPr>
                <w:szCs w:val="21"/>
              </w:rPr>
              <w:t>的要求，并应高出所在地面</w:t>
            </w:r>
            <w:r>
              <w:rPr>
                <w:szCs w:val="21"/>
              </w:rPr>
              <w:t>5m</w:t>
            </w:r>
            <w:r>
              <w:rPr>
                <w:szCs w:val="21"/>
              </w:rPr>
              <w:t>。</w:t>
            </w:r>
          </w:p>
        </w:tc>
        <w:tc>
          <w:tcPr>
            <w:tcW w:w="963" w:type="pct"/>
            <w:tcBorders>
              <w:tl2br w:val="nil"/>
              <w:tr2bl w:val="nil"/>
            </w:tcBorders>
            <w:shd w:val="clear" w:color="auto" w:fill="auto"/>
            <w:vAlign w:val="center"/>
          </w:tcPr>
          <w:p w14:paraId="33C5B5FA" w14:textId="77777777" w:rsidR="003D6A63" w:rsidRDefault="00000000">
            <w:pPr>
              <w:adjustRightInd w:val="0"/>
              <w:snapToGrid w:val="0"/>
              <w:jc w:val="center"/>
              <w:rPr>
                <w:szCs w:val="21"/>
              </w:rPr>
            </w:pPr>
            <w:r>
              <w:rPr>
                <w:szCs w:val="21"/>
              </w:rPr>
              <w:t>GB50183-2004</w:t>
            </w:r>
          </w:p>
          <w:p w14:paraId="42E2FBC8" w14:textId="77777777" w:rsidR="003D6A63" w:rsidRDefault="00000000">
            <w:pPr>
              <w:adjustRightInd w:val="0"/>
              <w:snapToGrid w:val="0"/>
              <w:jc w:val="center"/>
              <w:rPr>
                <w:szCs w:val="21"/>
              </w:rPr>
            </w:pPr>
            <w:r>
              <w:rPr>
                <w:szCs w:val="21"/>
              </w:rPr>
              <w:t>6.8.8</w:t>
            </w:r>
          </w:p>
        </w:tc>
        <w:tc>
          <w:tcPr>
            <w:tcW w:w="984" w:type="pct"/>
            <w:tcBorders>
              <w:tl2br w:val="nil"/>
              <w:tr2bl w:val="nil"/>
            </w:tcBorders>
            <w:shd w:val="clear" w:color="auto" w:fill="auto"/>
            <w:vAlign w:val="center"/>
          </w:tcPr>
          <w:p w14:paraId="18E1F7D5" w14:textId="77777777" w:rsidR="003D6A63" w:rsidRDefault="00000000">
            <w:pPr>
              <w:adjustRightInd w:val="0"/>
              <w:snapToGrid w:val="0"/>
              <w:rPr>
                <w:szCs w:val="21"/>
              </w:rPr>
            </w:pPr>
            <w:r>
              <w:rPr>
                <w:rFonts w:hint="eastAsia"/>
                <w:szCs w:val="21"/>
              </w:rPr>
              <w:t>可燃气体放空符合要求。</w:t>
            </w:r>
          </w:p>
        </w:tc>
        <w:tc>
          <w:tcPr>
            <w:tcW w:w="405" w:type="pct"/>
            <w:tcBorders>
              <w:tl2br w:val="nil"/>
              <w:tr2bl w:val="nil"/>
            </w:tcBorders>
            <w:shd w:val="clear" w:color="auto" w:fill="auto"/>
            <w:vAlign w:val="center"/>
          </w:tcPr>
          <w:p w14:paraId="2FED677E" w14:textId="77777777" w:rsidR="003D6A63" w:rsidRDefault="00000000">
            <w:pPr>
              <w:adjustRightInd w:val="0"/>
              <w:snapToGrid w:val="0"/>
              <w:jc w:val="center"/>
              <w:rPr>
                <w:szCs w:val="21"/>
              </w:rPr>
            </w:pPr>
            <w:r>
              <w:rPr>
                <w:rFonts w:hint="eastAsia"/>
                <w:szCs w:val="21"/>
              </w:rPr>
              <w:t>√</w:t>
            </w:r>
          </w:p>
        </w:tc>
      </w:tr>
      <w:tr w:rsidR="003D6A63" w14:paraId="6A4F6E5B" w14:textId="77777777">
        <w:trPr>
          <w:trHeight w:val="340"/>
          <w:jc w:val="center"/>
        </w:trPr>
        <w:tc>
          <w:tcPr>
            <w:tcW w:w="333" w:type="pct"/>
            <w:tcBorders>
              <w:tl2br w:val="nil"/>
              <w:tr2bl w:val="nil"/>
            </w:tcBorders>
            <w:shd w:val="clear" w:color="auto" w:fill="auto"/>
            <w:vAlign w:val="center"/>
          </w:tcPr>
          <w:p w14:paraId="69FB10EC"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5FC519C8" w14:textId="77777777" w:rsidR="003D6A63" w:rsidRDefault="00000000">
            <w:pPr>
              <w:adjustRightInd w:val="0"/>
              <w:snapToGrid w:val="0"/>
            </w:pPr>
            <w:r>
              <w:t>特种设备使用单位应当在特种设备投入使用前或者投入使用后三十日内，向负责特种设备安全监督管理的部门办理使用登记，取得使用登记证书。登记标志应当置于该特种设备的显著位置。</w:t>
            </w:r>
          </w:p>
        </w:tc>
        <w:tc>
          <w:tcPr>
            <w:tcW w:w="963" w:type="pct"/>
            <w:tcBorders>
              <w:tl2br w:val="nil"/>
              <w:tr2bl w:val="nil"/>
            </w:tcBorders>
            <w:vAlign w:val="center"/>
          </w:tcPr>
          <w:p w14:paraId="277AE4A6" w14:textId="77777777" w:rsidR="003D6A63" w:rsidRDefault="00000000">
            <w:pPr>
              <w:adjustRightInd w:val="0"/>
              <w:snapToGrid w:val="0"/>
              <w:jc w:val="center"/>
            </w:pPr>
            <w:r>
              <w:t>《中华人民共和国特种设备安全法》</w:t>
            </w:r>
          </w:p>
          <w:p w14:paraId="30A289B9" w14:textId="77777777" w:rsidR="003D6A63" w:rsidRDefault="00000000">
            <w:pPr>
              <w:adjustRightInd w:val="0"/>
              <w:snapToGrid w:val="0"/>
              <w:jc w:val="center"/>
            </w:pPr>
            <w:r>
              <w:t>第三十三条</w:t>
            </w:r>
          </w:p>
        </w:tc>
        <w:tc>
          <w:tcPr>
            <w:tcW w:w="984" w:type="pct"/>
            <w:tcBorders>
              <w:tl2br w:val="nil"/>
              <w:tr2bl w:val="nil"/>
            </w:tcBorders>
            <w:vAlign w:val="center"/>
          </w:tcPr>
          <w:p w14:paraId="668A5ABE" w14:textId="77777777" w:rsidR="003D6A63" w:rsidRDefault="00000000">
            <w:pPr>
              <w:adjustRightInd w:val="0"/>
              <w:snapToGrid w:val="0"/>
              <w:rPr>
                <w:szCs w:val="21"/>
              </w:rPr>
            </w:pPr>
            <w:r>
              <w:rPr>
                <w:rFonts w:hint="eastAsia"/>
                <w:szCs w:val="21"/>
              </w:rPr>
              <w:t>特种设备均提供有使用登记证书，登记标识喷涂于设备显著位置。</w:t>
            </w:r>
          </w:p>
        </w:tc>
        <w:tc>
          <w:tcPr>
            <w:tcW w:w="405" w:type="pct"/>
            <w:tcBorders>
              <w:tl2br w:val="nil"/>
              <w:tr2bl w:val="nil"/>
            </w:tcBorders>
            <w:vAlign w:val="center"/>
          </w:tcPr>
          <w:p w14:paraId="64C81160" w14:textId="77777777" w:rsidR="003D6A63" w:rsidRDefault="00000000">
            <w:pPr>
              <w:adjustRightInd w:val="0"/>
              <w:snapToGrid w:val="0"/>
              <w:jc w:val="center"/>
              <w:rPr>
                <w:szCs w:val="21"/>
              </w:rPr>
            </w:pPr>
            <w:r>
              <w:rPr>
                <w:rFonts w:hint="eastAsia"/>
                <w:szCs w:val="21"/>
              </w:rPr>
              <w:t>√</w:t>
            </w:r>
          </w:p>
        </w:tc>
      </w:tr>
      <w:tr w:rsidR="003D6A63" w14:paraId="06A2F7E1" w14:textId="77777777">
        <w:trPr>
          <w:trHeight w:val="340"/>
          <w:jc w:val="center"/>
        </w:trPr>
        <w:tc>
          <w:tcPr>
            <w:tcW w:w="333" w:type="pct"/>
            <w:tcBorders>
              <w:tl2br w:val="nil"/>
              <w:tr2bl w:val="nil"/>
            </w:tcBorders>
            <w:shd w:val="clear" w:color="auto" w:fill="auto"/>
            <w:vAlign w:val="center"/>
          </w:tcPr>
          <w:p w14:paraId="04499B23"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16D14DC8" w14:textId="77777777" w:rsidR="003D6A63" w:rsidRDefault="00000000">
            <w:pPr>
              <w:adjustRightInd w:val="0"/>
              <w:snapToGrid w:val="0"/>
            </w:pPr>
            <w:r>
              <w:t>特种设备使用单位应当按照安全技术规范的要求，在检验合格有效期届满前一个月向特种设备检验机构提出定期检验要求。</w:t>
            </w:r>
          </w:p>
          <w:p w14:paraId="76A1B0BE" w14:textId="77777777" w:rsidR="003D6A63" w:rsidRDefault="00000000">
            <w:pPr>
              <w:adjustRightInd w:val="0"/>
              <w:snapToGrid w:val="0"/>
            </w:pPr>
            <w:r>
              <w:t>特种设备检验机构接到定期检验要求后，应当按照安全技术规范的要求及时进行安全性</w:t>
            </w:r>
            <w:r>
              <w:lastRenderedPageBreak/>
              <w:t>能检验。特种设备使用单位应当将定期检验标志置于该特种设备的显著位置。</w:t>
            </w:r>
          </w:p>
          <w:p w14:paraId="340666FB" w14:textId="77777777" w:rsidR="003D6A63" w:rsidRDefault="00000000">
            <w:pPr>
              <w:adjustRightInd w:val="0"/>
              <w:snapToGrid w:val="0"/>
            </w:pPr>
            <w:r>
              <w:t>未经定期检验或者检验不合格的特种设备，不得继续使用。</w:t>
            </w:r>
          </w:p>
        </w:tc>
        <w:tc>
          <w:tcPr>
            <w:tcW w:w="963" w:type="pct"/>
            <w:tcBorders>
              <w:tl2br w:val="nil"/>
              <w:tr2bl w:val="nil"/>
            </w:tcBorders>
            <w:vAlign w:val="center"/>
          </w:tcPr>
          <w:p w14:paraId="74A96BB2" w14:textId="77777777" w:rsidR="003D6A63" w:rsidRDefault="00000000">
            <w:pPr>
              <w:adjustRightInd w:val="0"/>
              <w:snapToGrid w:val="0"/>
              <w:jc w:val="center"/>
            </w:pPr>
            <w:r>
              <w:lastRenderedPageBreak/>
              <w:t>《中华人民共和国特种设备安全法》</w:t>
            </w:r>
          </w:p>
          <w:p w14:paraId="22957491" w14:textId="77777777" w:rsidR="003D6A63" w:rsidRDefault="00000000">
            <w:pPr>
              <w:adjustRightInd w:val="0"/>
              <w:snapToGrid w:val="0"/>
              <w:jc w:val="center"/>
            </w:pPr>
            <w:r>
              <w:t>第四十条</w:t>
            </w:r>
          </w:p>
        </w:tc>
        <w:tc>
          <w:tcPr>
            <w:tcW w:w="984" w:type="pct"/>
            <w:tcBorders>
              <w:tl2br w:val="nil"/>
              <w:tr2bl w:val="nil"/>
            </w:tcBorders>
            <w:vAlign w:val="center"/>
          </w:tcPr>
          <w:p w14:paraId="5AA59D8A" w14:textId="77777777" w:rsidR="003D6A63" w:rsidRDefault="00000000">
            <w:pPr>
              <w:adjustRightInd w:val="0"/>
              <w:snapToGrid w:val="0"/>
              <w:rPr>
                <w:szCs w:val="21"/>
              </w:rPr>
            </w:pPr>
            <w:r>
              <w:rPr>
                <w:rFonts w:hint="eastAsia"/>
                <w:szCs w:val="21"/>
              </w:rPr>
              <w:t>特种设备检测检验符合要求。</w:t>
            </w:r>
          </w:p>
        </w:tc>
        <w:tc>
          <w:tcPr>
            <w:tcW w:w="405" w:type="pct"/>
            <w:tcBorders>
              <w:tl2br w:val="nil"/>
              <w:tr2bl w:val="nil"/>
            </w:tcBorders>
            <w:vAlign w:val="center"/>
          </w:tcPr>
          <w:p w14:paraId="1E99A02F" w14:textId="77777777" w:rsidR="003D6A63" w:rsidRDefault="00000000">
            <w:pPr>
              <w:adjustRightInd w:val="0"/>
              <w:snapToGrid w:val="0"/>
              <w:jc w:val="center"/>
              <w:rPr>
                <w:szCs w:val="21"/>
              </w:rPr>
            </w:pPr>
            <w:r>
              <w:rPr>
                <w:rFonts w:hint="eastAsia"/>
                <w:szCs w:val="21"/>
              </w:rPr>
              <w:t>√</w:t>
            </w:r>
          </w:p>
        </w:tc>
      </w:tr>
      <w:tr w:rsidR="003D6A63" w14:paraId="1E2C41FC" w14:textId="77777777">
        <w:trPr>
          <w:trHeight w:val="340"/>
          <w:jc w:val="center"/>
        </w:trPr>
        <w:tc>
          <w:tcPr>
            <w:tcW w:w="333" w:type="pct"/>
            <w:tcBorders>
              <w:tl2br w:val="nil"/>
              <w:tr2bl w:val="nil"/>
            </w:tcBorders>
            <w:shd w:val="clear" w:color="auto" w:fill="auto"/>
            <w:vAlign w:val="center"/>
          </w:tcPr>
          <w:p w14:paraId="350C2D2F" w14:textId="77777777" w:rsidR="003D6A63" w:rsidRDefault="003D6A63">
            <w:pPr>
              <w:numPr>
                <w:ilvl w:val="0"/>
                <w:numId w:val="18"/>
              </w:numPr>
              <w:adjustRightInd w:val="0"/>
              <w:snapToGrid w:val="0"/>
              <w:ind w:left="0" w:firstLine="0"/>
              <w:jc w:val="center"/>
              <w:rPr>
                <w:szCs w:val="21"/>
              </w:rPr>
            </w:pPr>
          </w:p>
        </w:tc>
        <w:tc>
          <w:tcPr>
            <w:tcW w:w="2313" w:type="pct"/>
            <w:tcBorders>
              <w:tl2br w:val="nil"/>
              <w:tr2bl w:val="nil"/>
            </w:tcBorders>
            <w:vAlign w:val="center"/>
          </w:tcPr>
          <w:p w14:paraId="2F2E31A0" w14:textId="77777777" w:rsidR="003D6A63" w:rsidRDefault="00000000">
            <w:pPr>
              <w:adjustRightInd w:val="0"/>
              <w:snapToGrid w:val="0"/>
              <w:jc w:val="left"/>
            </w:pPr>
            <w:r>
              <w:rPr>
                <w:szCs w:val="21"/>
              </w:rPr>
              <w:t>计量站内应设置严禁烟火等防火标识。</w:t>
            </w:r>
          </w:p>
        </w:tc>
        <w:tc>
          <w:tcPr>
            <w:tcW w:w="963" w:type="pct"/>
            <w:tcBorders>
              <w:tl2br w:val="nil"/>
              <w:tr2bl w:val="nil"/>
            </w:tcBorders>
            <w:vAlign w:val="center"/>
          </w:tcPr>
          <w:p w14:paraId="1A32A0E4" w14:textId="77777777" w:rsidR="003D6A63" w:rsidRDefault="00000000">
            <w:pPr>
              <w:adjustRightInd w:val="0"/>
              <w:snapToGrid w:val="0"/>
              <w:jc w:val="center"/>
              <w:rPr>
                <w:szCs w:val="21"/>
              </w:rPr>
            </w:pPr>
            <w:r>
              <w:rPr>
                <w:szCs w:val="21"/>
              </w:rPr>
              <w:t>SY</w:t>
            </w:r>
            <w:r>
              <w:rPr>
                <w:rFonts w:hint="eastAsia"/>
                <w:szCs w:val="21"/>
              </w:rPr>
              <w:t>/T</w:t>
            </w:r>
            <w:r>
              <w:rPr>
                <w:szCs w:val="21"/>
              </w:rPr>
              <w:t>5</w:t>
            </w:r>
            <w:r>
              <w:rPr>
                <w:rFonts w:hint="eastAsia"/>
                <w:szCs w:val="21"/>
              </w:rPr>
              <w:t>2</w:t>
            </w:r>
            <w:r>
              <w:rPr>
                <w:szCs w:val="21"/>
              </w:rPr>
              <w:t>25</w:t>
            </w:r>
            <w:r>
              <w:rPr>
                <w:rFonts w:hint="eastAsia"/>
                <w:szCs w:val="21"/>
              </w:rPr>
              <w:t>-</w:t>
            </w:r>
            <w:r>
              <w:rPr>
                <w:szCs w:val="21"/>
              </w:rPr>
              <w:t>201</w:t>
            </w:r>
            <w:r>
              <w:rPr>
                <w:rFonts w:hint="eastAsia"/>
                <w:szCs w:val="21"/>
              </w:rPr>
              <w:t>9</w:t>
            </w:r>
          </w:p>
          <w:p w14:paraId="23531589" w14:textId="77777777" w:rsidR="003D6A63" w:rsidRDefault="00000000">
            <w:pPr>
              <w:adjustRightInd w:val="0"/>
              <w:snapToGrid w:val="0"/>
              <w:jc w:val="center"/>
            </w:pPr>
            <w:r>
              <w:rPr>
                <w:szCs w:val="21"/>
              </w:rPr>
              <w:t>5.2.</w:t>
            </w:r>
            <w:r>
              <w:rPr>
                <w:rFonts w:hint="eastAsia"/>
                <w:szCs w:val="21"/>
              </w:rPr>
              <w:t>9</w:t>
            </w:r>
          </w:p>
        </w:tc>
        <w:tc>
          <w:tcPr>
            <w:tcW w:w="984" w:type="pct"/>
            <w:tcBorders>
              <w:tl2br w:val="nil"/>
              <w:tr2bl w:val="nil"/>
            </w:tcBorders>
            <w:vAlign w:val="center"/>
          </w:tcPr>
          <w:p w14:paraId="456DDFEB" w14:textId="77777777" w:rsidR="003D6A63" w:rsidRDefault="00000000">
            <w:pPr>
              <w:adjustRightInd w:val="0"/>
              <w:snapToGrid w:val="0"/>
              <w:rPr>
                <w:szCs w:val="21"/>
              </w:rPr>
            </w:pPr>
            <w:r>
              <w:rPr>
                <w:rFonts w:hint="eastAsia"/>
                <w:szCs w:val="21"/>
              </w:rPr>
              <w:t>计量站内设置有“严禁烟火”等标识。</w:t>
            </w:r>
          </w:p>
        </w:tc>
        <w:tc>
          <w:tcPr>
            <w:tcW w:w="405" w:type="pct"/>
            <w:tcBorders>
              <w:tl2br w:val="nil"/>
              <w:tr2bl w:val="nil"/>
            </w:tcBorders>
            <w:vAlign w:val="center"/>
          </w:tcPr>
          <w:p w14:paraId="23340839" w14:textId="77777777" w:rsidR="003D6A63" w:rsidRDefault="00000000">
            <w:pPr>
              <w:adjustRightInd w:val="0"/>
              <w:snapToGrid w:val="0"/>
              <w:jc w:val="center"/>
              <w:rPr>
                <w:szCs w:val="21"/>
              </w:rPr>
            </w:pPr>
            <w:r>
              <w:rPr>
                <w:rFonts w:hint="eastAsia"/>
                <w:szCs w:val="21"/>
              </w:rPr>
              <w:t>√</w:t>
            </w:r>
          </w:p>
        </w:tc>
      </w:tr>
    </w:tbl>
    <w:p w14:paraId="22EC1AC5" w14:textId="77777777" w:rsidR="003D6A63" w:rsidRDefault="00000000">
      <w:pPr>
        <w:pStyle w:val="nlw3"/>
        <w:adjustRightInd/>
        <w:snapToGrid/>
        <w:spacing w:after="0" w:line="360" w:lineRule="auto"/>
        <w:rPr>
          <w:sz w:val="24"/>
          <w:szCs w:val="24"/>
        </w:rPr>
      </w:pPr>
      <w:r>
        <w:rPr>
          <w:rFonts w:hint="eastAsia"/>
          <w:sz w:val="24"/>
          <w:szCs w:val="24"/>
        </w:rPr>
        <w:t xml:space="preserve">5.3.2  </w:t>
      </w:r>
      <w:r>
        <w:rPr>
          <w:rFonts w:hint="eastAsia"/>
          <w:sz w:val="24"/>
          <w:szCs w:val="24"/>
        </w:rPr>
        <w:t>单元小结</w:t>
      </w:r>
    </w:p>
    <w:p w14:paraId="56CBB036" w14:textId="77777777" w:rsidR="003D6A63" w:rsidRDefault="00000000">
      <w:pPr>
        <w:spacing w:line="360" w:lineRule="auto"/>
        <w:ind w:firstLineChars="200" w:firstLine="480"/>
        <w:rPr>
          <w:sz w:val="24"/>
        </w:rPr>
      </w:pPr>
      <w:r>
        <w:rPr>
          <w:rFonts w:hint="eastAsia"/>
          <w:sz w:val="24"/>
        </w:rPr>
        <w:t>本次对油气集输管理中心对照标准进行了</w:t>
      </w:r>
      <w:r>
        <w:rPr>
          <w:rFonts w:hint="eastAsia"/>
          <w:sz w:val="24"/>
        </w:rPr>
        <w:t>74</w:t>
      </w:r>
      <w:r>
        <w:rPr>
          <w:rFonts w:hint="eastAsia"/>
          <w:sz w:val="24"/>
        </w:rPr>
        <w:t>项检查，其中</w:t>
      </w:r>
      <w:r>
        <w:rPr>
          <w:rFonts w:hint="eastAsia"/>
          <w:sz w:val="24"/>
        </w:rPr>
        <w:t>65</w:t>
      </w:r>
      <w:r>
        <w:rPr>
          <w:rFonts w:hint="eastAsia"/>
          <w:sz w:val="24"/>
        </w:rPr>
        <w:t>项符合要求，</w:t>
      </w:r>
      <w:r>
        <w:rPr>
          <w:rFonts w:hint="eastAsia"/>
          <w:sz w:val="24"/>
        </w:rPr>
        <w:t>8</w:t>
      </w:r>
      <w:r>
        <w:rPr>
          <w:rFonts w:hint="eastAsia"/>
          <w:sz w:val="24"/>
        </w:rPr>
        <w:t>项不符合要求，</w:t>
      </w:r>
      <w:r>
        <w:rPr>
          <w:rFonts w:hint="eastAsia"/>
          <w:sz w:val="24"/>
        </w:rPr>
        <w:t>1</w:t>
      </w:r>
      <w:r>
        <w:rPr>
          <w:rFonts w:hint="eastAsia"/>
          <w:sz w:val="24"/>
        </w:rPr>
        <w:t>项风险可接受。不符合项如下：</w:t>
      </w:r>
    </w:p>
    <w:p w14:paraId="5F33EDBE" w14:textId="77777777" w:rsidR="003D6A63" w:rsidRDefault="00000000">
      <w:pPr>
        <w:spacing w:line="360" w:lineRule="auto"/>
        <w:ind w:firstLineChars="100" w:firstLine="240"/>
        <w:rPr>
          <w:sz w:val="24"/>
        </w:rPr>
      </w:pPr>
      <w:r>
        <w:rPr>
          <w:rFonts w:hint="eastAsia"/>
          <w:sz w:val="24"/>
        </w:rPr>
        <w:t>（</w:t>
      </w:r>
      <w:r>
        <w:rPr>
          <w:rFonts w:hint="eastAsia"/>
          <w:sz w:val="24"/>
        </w:rPr>
        <w:t>1</w:t>
      </w:r>
      <w:r>
        <w:rPr>
          <w:rFonts w:hint="eastAsia"/>
          <w:sz w:val="24"/>
        </w:rPr>
        <w:t>）林东</w:t>
      </w:r>
      <w:r>
        <w:rPr>
          <w:rFonts w:hint="eastAsia"/>
          <w:sz w:val="24"/>
        </w:rPr>
        <w:t>11</w:t>
      </w:r>
      <w:r>
        <w:rPr>
          <w:rFonts w:hint="eastAsia"/>
          <w:sz w:val="24"/>
        </w:rPr>
        <w:t>号站计量间压力表未设置上下限标识，林东</w:t>
      </w:r>
      <w:r>
        <w:rPr>
          <w:rFonts w:hint="eastAsia"/>
          <w:sz w:val="24"/>
        </w:rPr>
        <w:t>15</w:t>
      </w:r>
      <w:r>
        <w:rPr>
          <w:rFonts w:hint="eastAsia"/>
          <w:sz w:val="24"/>
        </w:rPr>
        <w:t>号站计量间压力表及加热炉压力表未设置上下限标识；</w:t>
      </w:r>
    </w:p>
    <w:p w14:paraId="663481F7" w14:textId="77777777" w:rsidR="003D6A63" w:rsidRDefault="00000000">
      <w:pPr>
        <w:spacing w:line="360" w:lineRule="auto"/>
        <w:ind w:firstLineChars="100" w:firstLine="240"/>
        <w:rPr>
          <w:sz w:val="24"/>
        </w:rPr>
      </w:pPr>
      <w:r>
        <w:rPr>
          <w:rFonts w:hint="eastAsia"/>
          <w:sz w:val="24"/>
        </w:rPr>
        <w:t>（</w:t>
      </w:r>
      <w:r>
        <w:rPr>
          <w:rFonts w:hint="eastAsia"/>
          <w:sz w:val="24"/>
        </w:rPr>
        <w:t>2</w:t>
      </w:r>
      <w:r>
        <w:rPr>
          <w:rFonts w:hint="eastAsia"/>
          <w:sz w:val="24"/>
        </w:rPr>
        <w:t>）滨</w:t>
      </w:r>
      <w:r>
        <w:rPr>
          <w:rFonts w:hint="eastAsia"/>
          <w:sz w:val="24"/>
        </w:rPr>
        <w:t>603-X13</w:t>
      </w:r>
      <w:r>
        <w:rPr>
          <w:rFonts w:hint="eastAsia"/>
          <w:sz w:val="24"/>
        </w:rPr>
        <w:t>井场、王</w:t>
      </w:r>
      <w:r>
        <w:rPr>
          <w:rFonts w:hint="eastAsia"/>
          <w:sz w:val="24"/>
        </w:rPr>
        <w:t>73-X3</w:t>
      </w:r>
      <w:r>
        <w:rPr>
          <w:rFonts w:hint="eastAsia"/>
          <w:sz w:val="24"/>
        </w:rPr>
        <w:t>井场、王</w:t>
      </w:r>
      <w:r>
        <w:rPr>
          <w:rFonts w:hint="eastAsia"/>
          <w:sz w:val="24"/>
        </w:rPr>
        <w:t>73-P6</w:t>
      </w:r>
      <w:r>
        <w:rPr>
          <w:rFonts w:hint="eastAsia"/>
          <w:sz w:val="24"/>
        </w:rPr>
        <w:t>井场高架油罐设置有液位计，但未设置高液位报警；</w:t>
      </w:r>
    </w:p>
    <w:p w14:paraId="076AC8CF" w14:textId="77777777" w:rsidR="003D6A63" w:rsidRDefault="00000000">
      <w:pPr>
        <w:spacing w:line="360" w:lineRule="auto"/>
        <w:ind w:firstLineChars="100" w:firstLine="240"/>
        <w:rPr>
          <w:sz w:val="24"/>
        </w:rPr>
      </w:pPr>
      <w:r>
        <w:rPr>
          <w:rFonts w:hint="eastAsia"/>
          <w:sz w:val="24"/>
        </w:rPr>
        <w:t>（</w:t>
      </w:r>
      <w:r>
        <w:rPr>
          <w:rFonts w:hint="eastAsia"/>
          <w:sz w:val="24"/>
        </w:rPr>
        <w:t>3</w:t>
      </w:r>
      <w:r>
        <w:rPr>
          <w:rFonts w:hint="eastAsia"/>
          <w:sz w:val="24"/>
        </w:rPr>
        <w:t>）王</w:t>
      </w:r>
      <w:r>
        <w:rPr>
          <w:rFonts w:hint="eastAsia"/>
          <w:sz w:val="24"/>
        </w:rPr>
        <w:t>73-X3</w:t>
      </w:r>
      <w:r>
        <w:rPr>
          <w:rFonts w:hint="eastAsia"/>
          <w:sz w:val="24"/>
        </w:rPr>
        <w:t>井场高架油罐静电接地报警仪失灵或损坏；</w:t>
      </w:r>
    </w:p>
    <w:p w14:paraId="26A66C24" w14:textId="77777777" w:rsidR="003D6A63" w:rsidRDefault="00000000">
      <w:pPr>
        <w:spacing w:line="360" w:lineRule="auto"/>
        <w:ind w:firstLineChars="100" w:firstLine="240"/>
        <w:rPr>
          <w:sz w:val="24"/>
        </w:rPr>
      </w:pPr>
      <w:r>
        <w:rPr>
          <w:rFonts w:hint="eastAsia"/>
          <w:sz w:val="24"/>
        </w:rPr>
        <w:t>（</w:t>
      </w:r>
      <w:r>
        <w:rPr>
          <w:rFonts w:hint="eastAsia"/>
          <w:sz w:val="24"/>
        </w:rPr>
        <w:t>4</w:t>
      </w:r>
      <w:r>
        <w:rPr>
          <w:rFonts w:hint="eastAsia"/>
          <w:sz w:val="24"/>
        </w:rPr>
        <w:t>）</w:t>
      </w:r>
      <w:r>
        <w:rPr>
          <w:rFonts w:hint="eastAsia"/>
          <w:sz w:val="24"/>
        </w:rPr>
        <w:t>G20-X1</w:t>
      </w:r>
      <w:r>
        <w:rPr>
          <w:rFonts w:hint="eastAsia"/>
          <w:sz w:val="24"/>
        </w:rPr>
        <w:t>井场三相分离器区未设置静电释放器；河</w:t>
      </w:r>
      <w:r>
        <w:rPr>
          <w:rFonts w:hint="eastAsia"/>
          <w:sz w:val="24"/>
        </w:rPr>
        <w:t>55</w:t>
      </w:r>
      <w:r>
        <w:rPr>
          <w:rFonts w:hint="eastAsia"/>
          <w:sz w:val="24"/>
        </w:rPr>
        <w:t>井场西侧设备区未设置静电释放器；</w:t>
      </w:r>
    </w:p>
    <w:p w14:paraId="598F6ABB" w14:textId="77777777" w:rsidR="003D6A63" w:rsidRDefault="00000000">
      <w:pPr>
        <w:spacing w:line="360" w:lineRule="auto"/>
        <w:ind w:firstLineChars="100" w:firstLine="240"/>
        <w:rPr>
          <w:sz w:val="24"/>
        </w:rPr>
      </w:pPr>
      <w:r>
        <w:rPr>
          <w:rFonts w:hint="eastAsia"/>
          <w:sz w:val="24"/>
        </w:rPr>
        <w:t>（</w:t>
      </w:r>
      <w:r>
        <w:rPr>
          <w:rFonts w:hint="eastAsia"/>
          <w:sz w:val="24"/>
        </w:rPr>
        <w:t>5</w:t>
      </w:r>
      <w:r>
        <w:rPr>
          <w:rFonts w:hint="eastAsia"/>
          <w:sz w:val="24"/>
        </w:rPr>
        <w:t>）滨</w:t>
      </w:r>
      <w:r>
        <w:rPr>
          <w:rFonts w:hint="eastAsia"/>
          <w:sz w:val="24"/>
        </w:rPr>
        <w:t>603-X13</w:t>
      </w:r>
      <w:r>
        <w:rPr>
          <w:rFonts w:hint="eastAsia"/>
          <w:sz w:val="24"/>
        </w:rPr>
        <w:t>高架拉油罐旁静电释放器为非防爆型；</w:t>
      </w:r>
    </w:p>
    <w:p w14:paraId="6DFE76FA" w14:textId="77777777" w:rsidR="003D6A63" w:rsidRDefault="00000000">
      <w:pPr>
        <w:spacing w:line="360" w:lineRule="auto"/>
        <w:ind w:firstLineChars="100" w:firstLine="240"/>
        <w:rPr>
          <w:sz w:val="24"/>
        </w:rPr>
      </w:pPr>
      <w:r>
        <w:rPr>
          <w:rFonts w:hint="eastAsia"/>
          <w:sz w:val="24"/>
        </w:rPr>
        <w:t>（</w:t>
      </w:r>
      <w:r>
        <w:rPr>
          <w:rFonts w:hint="eastAsia"/>
          <w:sz w:val="24"/>
        </w:rPr>
        <w:t>6</w:t>
      </w:r>
      <w:r>
        <w:rPr>
          <w:rFonts w:hint="eastAsia"/>
          <w:sz w:val="24"/>
        </w:rPr>
        <w:t>）河</w:t>
      </w:r>
      <w:r>
        <w:rPr>
          <w:rFonts w:hint="eastAsia"/>
          <w:sz w:val="24"/>
        </w:rPr>
        <w:t>67-8</w:t>
      </w:r>
      <w:r>
        <w:rPr>
          <w:rFonts w:hint="eastAsia"/>
          <w:sz w:val="24"/>
        </w:rPr>
        <w:t>站立式分离器接地线无断接卡；河</w:t>
      </w:r>
      <w:r>
        <w:rPr>
          <w:rFonts w:hint="eastAsia"/>
          <w:sz w:val="24"/>
        </w:rPr>
        <w:t>55</w:t>
      </w:r>
      <w:r>
        <w:rPr>
          <w:rFonts w:hint="eastAsia"/>
          <w:sz w:val="24"/>
        </w:rPr>
        <w:t>站立式分离器静电接地线无断接卡。</w:t>
      </w:r>
    </w:p>
    <w:p w14:paraId="56273600" w14:textId="77777777" w:rsidR="003D6A63" w:rsidRDefault="00000000">
      <w:pPr>
        <w:spacing w:line="360" w:lineRule="auto"/>
        <w:ind w:firstLineChars="100" w:firstLine="240"/>
        <w:rPr>
          <w:sz w:val="24"/>
        </w:rPr>
      </w:pPr>
      <w:r>
        <w:rPr>
          <w:rFonts w:hint="eastAsia"/>
          <w:sz w:val="24"/>
        </w:rPr>
        <w:t>（</w:t>
      </w:r>
      <w:r>
        <w:rPr>
          <w:rFonts w:hint="eastAsia"/>
          <w:sz w:val="24"/>
        </w:rPr>
        <w:t>7</w:t>
      </w:r>
      <w:r>
        <w:rPr>
          <w:rFonts w:hint="eastAsia"/>
          <w:sz w:val="24"/>
        </w:rPr>
        <w:t>）林东</w:t>
      </w:r>
      <w:r>
        <w:rPr>
          <w:rFonts w:hint="eastAsia"/>
          <w:sz w:val="24"/>
        </w:rPr>
        <w:t>11</w:t>
      </w:r>
      <w:r>
        <w:rPr>
          <w:rFonts w:hint="eastAsia"/>
          <w:sz w:val="24"/>
        </w:rPr>
        <w:t>号站计量站内灭火器末次检查时间为</w:t>
      </w:r>
      <w:r>
        <w:rPr>
          <w:rFonts w:hint="eastAsia"/>
          <w:sz w:val="24"/>
        </w:rPr>
        <w:t>1</w:t>
      </w:r>
      <w:r>
        <w:rPr>
          <w:rFonts w:hint="eastAsia"/>
          <w:sz w:val="24"/>
        </w:rPr>
        <w:t>月份，林东</w:t>
      </w:r>
      <w:r>
        <w:rPr>
          <w:rFonts w:hint="eastAsia"/>
          <w:sz w:val="24"/>
        </w:rPr>
        <w:t>15</w:t>
      </w:r>
      <w:r>
        <w:rPr>
          <w:rFonts w:hint="eastAsia"/>
          <w:sz w:val="24"/>
        </w:rPr>
        <w:t>号站计量间内灭火器末次检查日期为</w:t>
      </w:r>
      <w:r>
        <w:rPr>
          <w:rFonts w:hint="eastAsia"/>
          <w:sz w:val="24"/>
        </w:rPr>
        <w:t>2023.1.15</w:t>
      </w:r>
      <w:r>
        <w:rPr>
          <w:rFonts w:hint="eastAsia"/>
          <w:sz w:val="24"/>
        </w:rPr>
        <w:t>，未做到一个月检查一次的要求；</w:t>
      </w:r>
    </w:p>
    <w:p w14:paraId="394F8E78" w14:textId="77777777" w:rsidR="003D6A63" w:rsidRDefault="00000000">
      <w:pPr>
        <w:spacing w:line="360" w:lineRule="auto"/>
        <w:ind w:firstLineChars="100" w:firstLine="240"/>
        <w:rPr>
          <w:sz w:val="24"/>
        </w:rPr>
        <w:sectPr w:rsidR="003D6A63">
          <w:pgSz w:w="11906" w:h="16838"/>
          <w:pgMar w:top="1417" w:right="1417" w:bottom="1417" w:left="1417" w:header="964" w:footer="964" w:gutter="0"/>
          <w:cols w:space="425"/>
          <w:docGrid w:linePitch="312" w:charSpace="-1489"/>
        </w:sectPr>
      </w:pPr>
      <w:r>
        <w:rPr>
          <w:rFonts w:hint="eastAsia"/>
          <w:sz w:val="24"/>
        </w:rPr>
        <w:t>（</w:t>
      </w:r>
      <w:r>
        <w:rPr>
          <w:rFonts w:hint="eastAsia"/>
          <w:sz w:val="24"/>
        </w:rPr>
        <w:t>8</w:t>
      </w:r>
      <w:r>
        <w:rPr>
          <w:rFonts w:hint="eastAsia"/>
          <w:sz w:val="24"/>
        </w:rPr>
        <w:t>）滨</w:t>
      </w:r>
      <w:r>
        <w:rPr>
          <w:rFonts w:hint="eastAsia"/>
          <w:sz w:val="24"/>
        </w:rPr>
        <w:t>603-X13</w:t>
      </w:r>
      <w:r>
        <w:rPr>
          <w:rFonts w:hint="eastAsia"/>
          <w:sz w:val="24"/>
        </w:rPr>
        <w:t>井场高架罐旁灭火器上次检查日期为</w:t>
      </w:r>
      <w:r>
        <w:rPr>
          <w:rFonts w:hint="eastAsia"/>
          <w:sz w:val="24"/>
        </w:rPr>
        <w:t>2023.2.1</w:t>
      </w:r>
      <w:r>
        <w:rPr>
          <w:rFonts w:hint="eastAsia"/>
          <w:sz w:val="24"/>
        </w:rPr>
        <w:t>，未做到半个月检查一次的要求。</w:t>
      </w:r>
    </w:p>
    <w:p w14:paraId="3C195DB9" w14:textId="77777777" w:rsidR="003D6A63" w:rsidRDefault="00000000">
      <w:pPr>
        <w:pStyle w:val="1"/>
        <w:keepNext w:val="0"/>
        <w:keepLines w:val="0"/>
        <w:spacing w:beforeLines="100" w:before="240" w:afterLines="100" w:after="240" w:line="360" w:lineRule="auto"/>
        <w:ind w:firstLine="200"/>
        <w:rPr>
          <w:rFonts w:eastAsia="黑体"/>
          <w:b w:val="0"/>
          <w:spacing w:val="0"/>
        </w:rPr>
      </w:pPr>
      <w:bookmarkStart w:id="101" w:name="_Toc9813"/>
      <w:r>
        <w:rPr>
          <w:rFonts w:eastAsia="黑体" w:hint="eastAsia"/>
          <w:b w:val="0"/>
          <w:spacing w:val="0"/>
        </w:rPr>
        <w:lastRenderedPageBreak/>
        <w:t xml:space="preserve">6  </w:t>
      </w:r>
      <w:r>
        <w:rPr>
          <w:rFonts w:eastAsia="黑体" w:hint="eastAsia"/>
          <w:b w:val="0"/>
          <w:spacing w:val="0"/>
        </w:rPr>
        <w:t>安全管理单元评价</w:t>
      </w:r>
      <w:bookmarkEnd w:id="101"/>
    </w:p>
    <w:p w14:paraId="342D4AAA" w14:textId="77777777" w:rsidR="003D6A63" w:rsidRDefault="00000000">
      <w:pPr>
        <w:pStyle w:val="2"/>
        <w:keepNext w:val="0"/>
        <w:keepLines w:val="0"/>
        <w:spacing w:before="0" w:after="0" w:line="360" w:lineRule="auto"/>
        <w:ind w:firstLine="200"/>
        <w:rPr>
          <w:rFonts w:ascii="Times New Roman" w:hAnsi="Times New Roman"/>
          <w:b w:val="0"/>
          <w:spacing w:val="0"/>
          <w:sz w:val="28"/>
        </w:rPr>
      </w:pPr>
      <w:bookmarkStart w:id="102" w:name="_Toc12013"/>
      <w:r>
        <w:rPr>
          <w:rFonts w:ascii="Times New Roman" w:hAnsi="Times New Roman"/>
          <w:b w:val="0"/>
          <w:spacing w:val="0"/>
          <w:sz w:val="28"/>
        </w:rPr>
        <w:t xml:space="preserve">6.1 </w:t>
      </w:r>
      <w:r>
        <w:rPr>
          <w:rFonts w:ascii="Times New Roman" w:hAnsi="Times New Roman" w:hint="eastAsia"/>
          <w:b w:val="0"/>
          <w:spacing w:val="0"/>
          <w:sz w:val="28"/>
        </w:rPr>
        <w:t xml:space="preserve"> </w:t>
      </w:r>
      <w:r>
        <w:rPr>
          <w:rFonts w:ascii="Times New Roman" w:hAnsi="Times New Roman"/>
          <w:b w:val="0"/>
          <w:spacing w:val="0"/>
          <w:sz w:val="28"/>
        </w:rPr>
        <w:t>安全管理现状评价</w:t>
      </w:r>
      <w:bookmarkEnd w:id="102"/>
    </w:p>
    <w:p w14:paraId="48962809" w14:textId="77777777" w:rsidR="003D6A63" w:rsidRDefault="00000000">
      <w:pPr>
        <w:pStyle w:val="3"/>
        <w:keepNext w:val="0"/>
        <w:keepLines w:val="0"/>
        <w:spacing w:before="0" w:after="0" w:line="360" w:lineRule="auto"/>
        <w:ind w:firstLine="200"/>
        <w:rPr>
          <w:rFonts w:eastAsia="黑体"/>
          <w:b w:val="0"/>
          <w:spacing w:val="0"/>
          <w:sz w:val="24"/>
        </w:rPr>
      </w:pPr>
      <w:r>
        <w:rPr>
          <w:rFonts w:eastAsia="黑体"/>
          <w:b w:val="0"/>
          <w:spacing w:val="0"/>
          <w:sz w:val="24"/>
        </w:rPr>
        <w:t>6.1.</w:t>
      </w:r>
      <w:r>
        <w:rPr>
          <w:rFonts w:eastAsia="黑体" w:hint="eastAsia"/>
          <w:b w:val="0"/>
          <w:spacing w:val="0"/>
          <w:sz w:val="24"/>
        </w:rPr>
        <w:t>1</w:t>
      </w:r>
      <w:r>
        <w:rPr>
          <w:rFonts w:eastAsia="黑体"/>
          <w:b w:val="0"/>
          <w:spacing w:val="0"/>
          <w:sz w:val="24"/>
        </w:rPr>
        <w:t xml:space="preserve">  </w:t>
      </w:r>
      <w:r>
        <w:rPr>
          <w:rFonts w:eastAsia="黑体"/>
          <w:b w:val="0"/>
          <w:spacing w:val="0"/>
          <w:sz w:val="24"/>
        </w:rPr>
        <w:t>安全生产责任制</w:t>
      </w:r>
    </w:p>
    <w:p w14:paraId="438AB7A9" w14:textId="77777777" w:rsidR="003D6A63" w:rsidRDefault="00000000">
      <w:pPr>
        <w:pStyle w:val="4"/>
        <w:keepNext w:val="0"/>
        <w:keepLines w:val="0"/>
        <w:spacing w:before="0" w:after="0" w:line="360" w:lineRule="auto"/>
        <w:ind w:firstLine="200"/>
        <w:rPr>
          <w:rFonts w:ascii="Times New Roman" w:eastAsia="宋体" w:hAnsi="Times New Roman"/>
          <w:sz w:val="24"/>
        </w:rPr>
      </w:pPr>
      <w:r>
        <w:rPr>
          <w:rFonts w:ascii="Times New Roman" w:eastAsia="宋体" w:hAnsi="Times New Roman" w:hint="eastAsia"/>
          <w:sz w:val="24"/>
        </w:rPr>
        <w:t xml:space="preserve">6.1.1.1 </w:t>
      </w:r>
      <w:r>
        <w:rPr>
          <w:rFonts w:ascii="Times New Roman" w:eastAsia="宋体" w:hAnsi="Times New Roman" w:hint="eastAsia"/>
          <w:sz w:val="24"/>
        </w:rPr>
        <w:t>法规要求</w:t>
      </w:r>
    </w:p>
    <w:p w14:paraId="3BB4B8CB" w14:textId="77777777" w:rsidR="003D6A63" w:rsidRDefault="00000000">
      <w:pPr>
        <w:adjustRightInd w:val="0"/>
        <w:snapToGrid w:val="0"/>
        <w:spacing w:line="360" w:lineRule="auto"/>
        <w:ind w:firstLineChars="100" w:firstLine="240"/>
        <w:rPr>
          <w:kern w:val="0"/>
          <w:sz w:val="24"/>
        </w:rPr>
      </w:pPr>
      <w:r>
        <w:rPr>
          <w:rFonts w:hint="eastAsia"/>
          <w:kern w:val="0"/>
          <w:sz w:val="24"/>
        </w:rPr>
        <w:t>（</w:t>
      </w:r>
      <w:r>
        <w:rPr>
          <w:rFonts w:hint="eastAsia"/>
          <w:kern w:val="0"/>
          <w:sz w:val="24"/>
        </w:rPr>
        <w:t>1</w:t>
      </w:r>
      <w:r>
        <w:rPr>
          <w:rFonts w:hint="eastAsia"/>
          <w:kern w:val="0"/>
          <w:sz w:val="24"/>
        </w:rPr>
        <w:t>）《安全生产法》</w:t>
      </w:r>
    </w:p>
    <w:p w14:paraId="1F221AE4" w14:textId="77777777" w:rsidR="003D6A63" w:rsidRDefault="00000000">
      <w:pPr>
        <w:adjustRightInd w:val="0"/>
        <w:snapToGrid w:val="0"/>
        <w:spacing w:line="360" w:lineRule="auto"/>
        <w:ind w:firstLine="471"/>
        <w:rPr>
          <w:kern w:val="0"/>
          <w:sz w:val="24"/>
        </w:rPr>
      </w:pPr>
      <w:r>
        <w:rPr>
          <w:rFonts w:hint="eastAsia"/>
          <w:kern w:val="0"/>
          <w:sz w:val="24"/>
        </w:rPr>
        <w:t>第四条　生产经营单位必须遵守本法和其他有关安全生产的法律、法规，加强安全生产管理，建立健全全员安全生产责任制和安全生产规章制度。</w:t>
      </w:r>
    </w:p>
    <w:p w14:paraId="7A6E59D1" w14:textId="77777777" w:rsidR="003D6A63" w:rsidRDefault="00000000">
      <w:pPr>
        <w:adjustRightInd w:val="0"/>
        <w:snapToGrid w:val="0"/>
        <w:spacing w:line="360" w:lineRule="auto"/>
        <w:ind w:firstLine="471"/>
        <w:rPr>
          <w:kern w:val="0"/>
          <w:sz w:val="24"/>
        </w:rPr>
      </w:pPr>
      <w:r>
        <w:rPr>
          <w:rFonts w:hint="eastAsia"/>
          <w:kern w:val="0"/>
          <w:sz w:val="24"/>
        </w:rPr>
        <w:t>第二十二条　生产经营单位的全员安全生产责任制应当明确各岗位的责任人员、责任范围和考核标准等内容。</w:t>
      </w:r>
    </w:p>
    <w:p w14:paraId="7678A195" w14:textId="77777777" w:rsidR="003D6A63" w:rsidRDefault="00000000">
      <w:pPr>
        <w:adjustRightInd w:val="0"/>
        <w:snapToGrid w:val="0"/>
        <w:spacing w:line="360" w:lineRule="auto"/>
        <w:ind w:firstLineChars="100" w:firstLine="240"/>
        <w:rPr>
          <w:kern w:val="0"/>
          <w:sz w:val="24"/>
        </w:rPr>
      </w:pPr>
      <w:r>
        <w:rPr>
          <w:rFonts w:hint="eastAsia"/>
          <w:kern w:val="0"/>
          <w:sz w:val="24"/>
        </w:rPr>
        <w:t>（</w:t>
      </w:r>
      <w:r>
        <w:rPr>
          <w:rFonts w:hint="eastAsia"/>
          <w:kern w:val="0"/>
          <w:sz w:val="24"/>
        </w:rPr>
        <w:t>2</w:t>
      </w:r>
      <w:r>
        <w:rPr>
          <w:rFonts w:hint="eastAsia"/>
          <w:kern w:val="0"/>
          <w:sz w:val="24"/>
        </w:rPr>
        <w:t>）《非煤矿矿山企业安全生产许可证实施办法》</w:t>
      </w:r>
    </w:p>
    <w:p w14:paraId="0CDBB84F" w14:textId="77777777" w:rsidR="003D6A63" w:rsidRDefault="00000000">
      <w:pPr>
        <w:adjustRightInd w:val="0"/>
        <w:snapToGrid w:val="0"/>
        <w:spacing w:line="360" w:lineRule="auto"/>
        <w:ind w:firstLine="471"/>
        <w:rPr>
          <w:kern w:val="0"/>
          <w:sz w:val="24"/>
        </w:rPr>
      </w:pPr>
      <w:r>
        <w:rPr>
          <w:rFonts w:hint="eastAsia"/>
          <w:kern w:val="0"/>
          <w:sz w:val="24"/>
        </w:rPr>
        <w:t>第六条　建立健全主要负责人、分管负责人、安全生产管理人员、职能部门、岗位安全生产责任制。</w:t>
      </w:r>
    </w:p>
    <w:p w14:paraId="643A66D2" w14:textId="77777777" w:rsidR="003D6A63" w:rsidRDefault="00000000">
      <w:pPr>
        <w:adjustRightInd w:val="0"/>
        <w:snapToGrid w:val="0"/>
        <w:spacing w:line="360" w:lineRule="auto"/>
        <w:ind w:firstLineChars="100" w:firstLine="240"/>
        <w:rPr>
          <w:kern w:val="0"/>
          <w:sz w:val="24"/>
        </w:rPr>
      </w:pPr>
      <w:r>
        <w:rPr>
          <w:rFonts w:hint="eastAsia"/>
          <w:kern w:val="0"/>
          <w:sz w:val="24"/>
        </w:rPr>
        <w:t>（</w:t>
      </w:r>
      <w:r>
        <w:rPr>
          <w:rFonts w:hint="eastAsia"/>
          <w:kern w:val="0"/>
          <w:sz w:val="24"/>
        </w:rPr>
        <w:t>3</w:t>
      </w:r>
      <w:r>
        <w:rPr>
          <w:rFonts w:hint="eastAsia"/>
          <w:kern w:val="0"/>
          <w:sz w:val="24"/>
        </w:rPr>
        <w:t>）《山东省生产经营单位安全生产主体责任规定》</w:t>
      </w:r>
    </w:p>
    <w:p w14:paraId="2F876201" w14:textId="77777777" w:rsidR="003D6A63" w:rsidRDefault="00000000">
      <w:pPr>
        <w:adjustRightInd w:val="0"/>
        <w:snapToGrid w:val="0"/>
        <w:spacing w:line="360" w:lineRule="auto"/>
        <w:ind w:firstLine="471"/>
        <w:jc w:val="left"/>
        <w:rPr>
          <w:kern w:val="0"/>
          <w:sz w:val="24"/>
        </w:rPr>
      </w:pPr>
      <w:r>
        <w:rPr>
          <w:rFonts w:hint="eastAsia"/>
          <w:kern w:val="0"/>
          <w:sz w:val="24"/>
        </w:rPr>
        <w:t>第六条　生产经营单位应当建立、健全安全生产责任制度，实行全员安全生产责任制，明确生产经营单位主要负责人、其他负责人、职能部门负责人、生产车间（区队）负责人、生产班组负责人、一般从业人员等全体从业人员的安全生产责任，并逐级进行落实和考核。考核结果作为从业人员职务调整、收入分配等的重要依据。</w:t>
      </w:r>
    </w:p>
    <w:p w14:paraId="77C7806D" w14:textId="77777777" w:rsidR="003D6A63" w:rsidRDefault="00000000">
      <w:pPr>
        <w:adjustRightInd w:val="0"/>
        <w:snapToGrid w:val="0"/>
        <w:spacing w:line="360" w:lineRule="auto"/>
        <w:ind w:firstLineChars="100" w:firstLine="240"/>
        <w:rPr>
          <w:kern w:val="0"/>
          <w:sz w:val="24"/>
        </w:rPr>
      </w:pPr>
      <w:r>
        <w:rPr>
          <w:rFonts w:hint="eastAsia"/>
          <w:kern w:val="0"/>
          <w:sz w:val="24"/>
        </w:rPr>
        <w:t>（</w:t>
      </w:r>
      <w:r>
        <w:rPr>
          <w:rFonts w:hint="eastAsia"/>
          <w:kern w:val="0"/>
          <w:sz w:val="24"/>
        </w:rPr>
        <w:t>4</w:t>
      </w:r>
      <w:r>
        <w:rPr>
          <w:rFonts w:hint="eastAsia"/>
          <w:kern w:val="0"/>
          <w:sz w:val="24"/>
        </w:rPr>
        <w:t>）《山东省生产经营单位全员安全生产责任清单》（全文）</w:t>
      </w:r>
    </w:p>
    <w:p w14:paraId="3B96BB0D" w14:textId="77777777" w:rsidR="003D6A63" w:rsidRDefault="00000000">
      <w:pPr>
        <w:pStyle w:val="4"/>
        <w:keepNext w:val="0"/>
        <w:keepLines w:val="0"/>
        <w:spacing w:before="0" w:after="0" w:line="360" w:lineRule="auto"/>
        <w:ind w:firstLine="200"/>
        <w:rPr>
          <w:rFonts w:ascii="Times New Roman" w:eastAsia="宋体" w:hAnsi="Times New Roman"/>
          <w:sz w:val="24"/>
        </w:rPr>
      </w:pPr>
      <w:r>
        <w:rPr>
          <w:rFonts w:ascii="Times New Roman" w:eastAsia="宋体" w:hAnsi="Times New Roman" w:hint="eastAsia"/>
          <w:sz w:val="24"/>
        </w:rPr>
        <w:t xml:space="preserve">6.1.1.2 </w:t>
      </w:r>
      <w:r>
        <w:rPr>
          <w:rFonts w:ascii="Times New Roman" w:eastAsia="宋体" w:hAnsi="Times New Roman" w:hint="eastAsia"/>
          <w:sz w:val="24"/>
        </w:rPr>
        <w:t>检查情况</w:t>
      </w:r>
    </w:p>
    <w:p w14:paraId="2092B977" w14:textId="77777777" w:rsidR="003D6A63" w:rsidRDefault="00000000">
      <w:pPr>
        <w:pStyle w:val="nlw1"/>
        <w:adjustRightInd w:val="0"/>
        <w:snapToGrid w:val="0"/>
        <w:spacing w:line="360" w:lineRule="auto"/>
        <w:ind w:firstLine="480"/>
        <w:rPr>
          <w:rFonts w:ascii="Times New Roman" w:hAnsi="Times New Roman"/>
          <w:sz w:val="24"/>
          <w:szCs w:val="24"/>
          <w:lang w:val="en-US"/>
        </w:rPr>
      </w:pPr>
      <w:r>
        <w:rPr>
          <w:rFonts w:ascii="Times New Roman" w:hAnsi="Times New Roman"/>
          <w:color w:val="000000" w:themeColor="text1"/>
          <w:sz w:val="24"/>
          <w:szCs w:val="24"/>
          <w:lang w:val="en-US"/>
        </w:rPr>
        <w:t>涉及企业机密，不予公开</w:t>
      </w:r>
      <w:r>
        <w:rPr>
          <w:rFonts w:ascii="Times New Roman" w:hAnsi="Times New Roman" w:hint="eastAsia"/>
          <w:sz w:val="24"/>
          <w:szCs w:val="24"/>
          <w:lang w:val="en-US"/>
        </w:rPr>
        <w:t>。</w:t>
      </w:r>
    </w:p>
    <w:p w14:paraId="37E1D89B" w14:textId="77777777" w:rsidR="003D6A63" w:rsidRDefault="00000000">
      <w:pPr>
        <w:pStyle w:val="4"/>
        <w:keepNext w:val="0"/>
        <w:keepLines w:val="0"/>
        <w:spacing w:beforeLines="50" w:before="120" w:after="0" w:line="360" w:lineRule="auto"/>
        <w:rPr>
          <w:rFonts w:ascii="Times New Roman" w:eastAsia="宋体" w:hAnsi="Times New Roman"/>
          <w:sz w:val="24"/>
        </w:rPr>
      </w:pPr>
      <w:r>
        <w:rPr>
          <w:rFonts w:ascii="Times New Roman" w:eastAsia="宋体" w:hAnsi="Times New Roman" w:hint="eastAsia"/>
          <w:sz w:val="24"/>
        </w:rPr>
        <w:t xml:space="preserve">6.1.1.3 </w:t>
      </w:r>
      <w:r>
        <w:rPr>
          <w:rFonts w:ascii="Times New Roman" w:eastAsia="宋体" w:hAnsi="Times New Roman" w:hint="eastAsia"/>
          <w:sz w:val="24"/>
        </w:rPr>
        <w:t>检查结果</w:t>
      </w:r>
    </w:p>
    <w:p w14:paraId="6E3F8BFF" w14:textId="77777777" w:rsidR="003D6A63" w:rsidRDefault="00000000">
      <w:pPr>
        <w:pStyle w:val="nlw1"/>
        <w:adjustRightInd w:val="0"/>
        <w:snapToGrid w:val="0"/>
        <w:spacing w:line="360" w:lineRule="auto"/>
        <w:ind w:firstLine="480"/>
        <w:rPr>
          <w:rFonts w:ascii="Times New Roman" w:hAnsi="Times New Roman"/>
          <w:b/>
          <w:lang w:val="en-US"/>
        </w:rPr>
      </w:pPr>
      <w:r>
        <w:rPr>
          <w:rFonts w:ascii="Times New Roman" w:hAnsi="Times New Roman" w:hint="eastAsia"/>
          <w:sz w:val="24"/>
          <w:szCs w:val="24"/>
          <w:lang w:val="en-US"/>
        </w:rPr>
        <w:t>中胜公司建立有全员</w:t>
      </w:r>
      <w:r>
        <w:rPr>
          <w:rFonts w:ascii="Times New Roman" w:hAnsi="Times New Roman"/>
          <w:sz w:val="24"/>
          <w:szCs w:val="24"/>
          <w:lang w:val="en-US"/>
        </w:rPr>
        <w:t>安全生产责任制</w:t>
      </w:r>
      <w:r>
        <w:rPr>
          <w:rFonts w:ascii="Times New Roman" w:hAnsi="Times New Roman" w:hint="eastAsia"/>
          <w:sz w:val="24"/>
          <w:szCs w:val="24"/>
          <w:lang w:val="en-US"/>
        </w:rPr>
        <w:t>并发布有《安全生产责任制汇编》，安全生产责任制由主要负责人签字下发，</w:t>
      </w:r>
      <w:r>
        <w:rPr>
          <w:rFonts w:ascii="Times New Roman" w:hAnsi="Times New Roman"/>
          <w:sz w:val="24"/>
          <w:szCs w:val="24"/>
          <w:lang w:val="en-US"/>
        </w:rPr>
        <w:t>安全生产责任制</w:t>
      </w:r>
      <w:r>
        <w:rPr>
          <w:rFonts w:ascii="Times New Roman" w:hAnsi="Times New Roman" w:hint="eastAsia"/>
          <w:sz w:val="24"/>
          <w:szCs w:val="24"/>
          <w:lang w:val="en-US"/>
        </w:rPr>
        <w:t>建立情况</w:t>
      </w:r>
      <w:r>
        <w:rPr>
          <w:rFonts w:ascii="Times New Roman" w:hAnsi="Times New Roman"/>
          <w:sz w:val="24"/>
          <w:szCs w:val="24"/>
          <w:lang w:val="en-US"/>
        </w:rPr>
        <w:t>符合</w:t>
      </w:r>
      <w:r>
        <w:rPr>
          <w:rFonts w:hint="eastAsia"/>
          <w:sz w:val="24"/>
          <w:szCs w:val="24"/>
        </w:rPr>
        <w:t>国家法律法规及其标准规范的要求</w:t>
      </w:r>
      <w:r>
        <w:rPr>
          <w:rFonts w:ascii="Times New Roman" w:hAnsi="Times New Roman" w:hint="eastAsia"/>
          <w:lang w:val="en-US"/>
        </w:rPr>
        <w:t>。</w:t>
      </w:r>
    </w:p>
    <w:p w14:paraId="16EA9FBD" w14:textId="77777777" w:rsidR="003D6A63" w:rsidRDefault="00000000">
      <w:pPr>
        <w:pStyle w:val="3"/>
        <w:keepNext w:val="0"/>
        <w:keepLines w:val="0"/>
        <w:spacing w:before="0" w:after="0" w:line="360" w:lineRule="auto"/>
        <w:rPr>
          <w:rFonts w:eastAsia="黑体"/>
          <w:b w:val="0"/>
          <w:spacing w:val="0"/>
          <w:sz w:val="24"/>
        </w:rPr>
      </w:pPr>
      <w:r>
        <w:rPr>
          <w:rFonts w:eastAsia="黑体" w:hint="eastAsia"/>
          <w:b w:val="0"/>
          <w:spacing w:val="0"/>
          <w:sz w:val="24"/>
        </w:rPr>
        <w:t xml:space="preserve">6.1.2  </w:t>
      </w:r>
      <w:r>
        <w:rPr>
          <w:rFonts w:eastAsia="黑体"/>
          <w:b w:val="0"/>
          <w:spacing w:val="0"/>
          <w:sz w:val="24"/>
        </w:rPr>
        <w:t>安全生产规章制度及操作规程</w:t>
      </w:r>
    </w:p>
    <w:p w14:paraId="41FED0EE" w14:textId="77777777" w:rsidR="003D6A63" w:rsidRDefault="00000000">
      <w:pPr>
        <w:pStyle w:val="4"/>
        <w:keepNext w:val="0"/>
        <w:keepLines w:val="0"/>
        <w:spacing w:before="0" w:after="0" w:line="360" w:lineRule="auto"/>
        <w:rPr>
          <w:rFonts w:ascii="Times New Roman" w:eastAsia="宋体" w:hAnsi="Times New Roman"/>
          <w:sz w:val="24"/>
        </w:rPr>
      </w:pPr>
      <w:r>
        <w:rPr>
          <w:rFonts w:ascii="Times New Roman" w:eastAsia="宋体" w:hAnsi="Times New Roman" w:hint="eastAsia"/>
          <w:sz w:val="24"/>
        </w:rPr>
        <w:t>6.1.2.1</w:t>
      </w:r>
      <w:r>
        <w:rPr>
          <w:rFonts w:ascii="Times New Roman" w:eastAsia="宋体" w:hAnsi="Times New Roman" w:hint="eastAsia"/>
          <w:sz w:val="24"/>
        </w:rPr>
        <w:t>法规要求</w:t>
      </w:r>
    </w:p>
    <w:p w14:paraId="67A207EF"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）《非煤矿矿山企业安全生产许可证实施办法》</w:t>
      </w:r>
    </w:p>
    <w:p w14:paraId="4E1754FC" w14:textId="77777777" w:rsidR="003D6A63" w:rsidRDefault="00000000">
      <w:pPr>
        <w:adjustRightInd w:val="0"/>
        <w:snapToGrid w:val="0"/>
        <w:spacing w:line="360" w:lineRule="auto"/>
        <w:ind w:firstLineChars="200" w:firstLine="480"/>
        <w:rPr>
          <w:sz w:val="24"/>
        </w:rPr>
      </w:pPr>
      <w:r>
        <w:rPr>
          <w:rFonts w:hint="eastAsia"/>
          <w:sz w:val="24"/>
        </w:rPr>
        <w:t>第六条　制定安全检查制度、职业危害预防制度、安全教育培训制度、生产安全事</w:t>
      </w:r>
      <w:r>
        <w:rPr>
          <w:rFonts w:hint="eastAsia"/>
          <w:sz w:val="24"/>
        </w:rPr>
        <w:lastRenderedPageBreak/>
        <w:t>故管理制度、重大危险源监控和重大隐患整改制度、设备安全管理制度、安全生产档案管理制度、安全生产奖惩制度等规章制度；制定作业安全规程和各工种操作规程。</w:t>
      </w:r>
    </w:p>
    <w:p w14:paraId="7024165E"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）《特种设备安全法》</w:t>
      </w:r>
    </w:p>
    <w:p w14:paraId="337B17A6" w14:textId="77777777" w:rsidR="003D6A63" w:rsidRDefault="00000000">
      <w:pPr>
        <w:adjustRightInd w:val="0"/>
        <w:snapToGrid w:val="0"/>
        <w:spacing w:line="360" w:lineRule="auto"/>
        <w:ind w:firstLineChars="200" w:firstLine="480"/>
        <w:rPr>
          <w:sz w:val="24"/>
        </w:rPr>
      </w:pPr>
      <w:r>
        <w:rPr>
          <w:rFonts w:hint="eastAsia"/>
          <w:sz w:val="24"/>
        </w:rPr>
        <w:t>第三十四条　特种设备使用单位应当建立岗位责任、隐患治理、应急救援等安全管理制度，制定操作规程，保证特种设备安全运行。</w:t>
      </w:r>
    </w:p>
    <w:p w14:paraId="14470CC1"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3</w:t>
      </w:r>
      <w:r>
        <w:rPr>
          <w:rFonts w:hint="eastAsia"/>
          <w:sz w:val="24"/>
        </w:rPr>
        <w:t>）《山东省安全生产条例》</w:t>
      </w:r>
    </w:p>
    <w:p w14:paraId="04C10C9A" w14:textId="77777777" w:rsidR="003D6A63" w:rsidRDefault="00000000">
      <w:pPr>
        <w:adjustRightInd w:val="0"/>
        <w:snapToGrid w:val="0"/>
        <w:spacing w:line="360" w:lineRule="auto"/>
        <w:ind w:firstLineChars="200" w:firstLine="480"/>
        <w:rPr>
          <w:sz w:val="24"/>
        </w:rPr>
      </w:pPr>
      <w:r>
        <w:rPr>
          <w:rFonts w:hint="eastAsia"/>
          <w:sz w:val="24"/>
        </w:rPr>
        <w:t>第十五条　安全生产规章制度应当包括安全生产资金投入、劳动防护用品管理、安全设施和设备管理、安全生产教育和培训、安全生产检查、风险分级管控、隐患排查治理、危险作业管理、安全生产奖惩、应急预案管理、事故报告和事故应急救援等制度。</w:t>
      </w:r>
    </w:p>
    <w:p w14:paraId="7D0D242B"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4</w:t>
      </w:r>
      <w:r>
        <w:rPr>
          <w:rFonts w:hint="eastAsia"/>
          <w:sz w:val="24"/>
        </w:rPr>
        <w:t>）《山东省生产经营单位安全生产主体责任规定》</w:t>
      </w:r>
    </w:p>
    <w:p w14:paraId="7C31769C" w14:textId="77777777" w:rsidR="003D6A63" w:rsidRDefault="00000000">
      <w:pPr>
        <w:adjustRightInd w:val="0"/>
        <w:snapToGrid w:val="0"/>
        <w:spacing w:line="360" w:lineRule="auto"/>
        <w:ind w:firstLineChars="200" w:firstLine="480"/>
        <w:rPr>
          <w:sz w:val="24"/>
        </w:rPr>
      </w:pPr>
      <w:r>
        <w:rPr>
          <w:rFonts w:hint="eastAsia"/>
          <w:sz w:val="24"/>
        </w:rPr>
        <w:t>第七条　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p w14:paraId="10A03B95" w14:textId="77777777" w:rsidR="003D6A63" w:rsidRDefault="00000000">
      <w:pPr>
        <w:pStyle w:val="4"/>
        <w:keepNext w:val="0"/>
        <w:keepLines w:val="0"/>
        <w:spacing w:before="0" w:after="0" w:line="360" w:lineRule="auto"/>
        <w:rPr>
          <w:rFonts w:ascii="Times New Roman" w:eastAsia="宋体" w:hAnsi="Times New Roman"/>
          <w:sz w:val="24"/>
        </w:rPr>
      </w:pPr>
      <w:r>
        <w:rPr>
          <w:rFonts w:ascii="Times New Roman" w:eastAsia="宋体" w:hAnsi="Times New Roman" w:hint="eastAsia"/>
          <w:sz w:val="24"/>
        </w:rPr>
        <w:t>6.1.2.2</w:t>
      </w:r>
      <w:r>
        <w:rPr>
          <w:rFonts w:ascii="Times New Roman" w:eastAsia="宋体" w:hAnsi="Times New Roman" w:hint="eastAsia"/>
          <w:sz w:val="24"/>
        </w:rPr>
        <w:t>检查情况</w:t>
      </w:r>
    </w:p>
    <w:p w14:paraId="6E1A6ECF" w14:textId="77777777" w:rsidR="003D6A63" w:rsidRDefault="00000000">
      <w:pPr>
        <w:adjustRightInd w:val="0"/>
        <w:snapToGrid w:val="0"/>
        <w:spacing w:line="360" w:lineRule="auto"/>
        <w:ind w:firstLineChars="100" w:firstLine="240"/>
        <w:rPr>
          <w:bCs/>
          <w:sz w:val="24"/>
        </w:rPr>
      </w:pPr>
      <w:r>
        <w:rPr>
          <w:rFonts w:hint="eastAsia"/>
          <w:bCs/>
          <w:sz w:val="24"/>
        </w:rPr>
        <w:t>（</w:t>
      </w:r>
      <w:r>
        <w:rPr>
          <w:rFonts w:hint="eastAsia"/>
          <w:bCs/>
          <w:sz w:val="24"/>
        </w:rPr>
        <w:t>1</w:t>
      </w:r>
      <w:r>
        <w:rPr>
          <w:rFonts w:hint="eastAsia"/>
          <w:bCs/>
          <w:sz w:val="24"/>
        </w:rPr>
        <w:t>）安全生产规章制度</w:t>
      </w:r>
    </w:p>
    <w:p w14:paraId="0719F76F" w14:textId="77777777" w:rsidR="003D6A63" w:rsidRDefault="00000000">
      <w:pPr>
        <w:pStyle w:val="nlw1"/>
        <w:adjustRightInd w:val="0"/>
        <w:snapToGrid w:val="0"/>
        <w:spacing w:line="360" w:lineRule="auto"/>
        <w:ind w:firstLine="480"/>
        <w:rPr>
          <w:rFonts w:ascii="Times New Roman" w:hAnsi="Times New Roman"/>
          <w:sz w:val="24"/>
          <w:szCs w:val="24"/>
          <w:lang w:val="en-US"/>
        </w:rPr>
      </w:pPr>
      <w:r>
        <w:rPr>
          <w:rFonts w:ascii="Times New Roman" w:hAnsi="Times New Roman"/>
          <w:color w:val="000000" w:themeColor="text1"/>
          <w:sz w:val="24"/>
          <w:szCs w:val="24"/>
          <w:lang w:val="en-US"/>
        </w:rPr>
        <w:t>涉及企业机密，不予公开</w:t>
      </w:r>
      <w:r>
        <w:rPr>
          <w:rFonts w:ascii="Times New Roman" w:hAnsi="Times New Roman" w:hint="eastAsia"/>
          <w:sz w:val="24"/>
          <w:szCs w:val="24"/>
          <w:lang w:val="en-US"/>
        </w:rPr>
        <w:t>。</w:t>
      </w:r>
    </w:p>
    <w:p w14:paraId="0A361719" w14:textId="77777777" w:rsidR="003D6A63" w:rsidRDefault="00000000">
      <w:pPr>
        <w:pStyle w:val="46"/>
        <w:adjustRightInd w:val="0"/>
        <w:snapToGrid w:val="0"/>
        <w:ind w:firstLineChars="100" w:firstLine="240"/>
        <w:outlineLvl w:val="9"/>
        <w:rPr>
          <w:rFonts w:cs="Times New Roman"/>
          <w:kern w:val="2"/>
          <w:sz w:val="24"/>
          <w:szCs w:val="24"/>
        </w:rPr>
      </w:pPr>
      <w:r>
        <w:rPr>
          <w:rFonts w:cs="Times New Roman" w:hint="eastAsia"/>
          <w:kern w:val="2"/>
          <w:sz w:val="24"/>
          <w:szCs w:val="24"/>
        </w:rPr>
        <w:t>（</w:t>
      </w:r>
      <w:r>
        <w:rPr>
          <w:rFonts w:cs="Times New Roman" w:hint="eastAsia"/>
          <w:kern w:val="2"/>
          <w:sz w:val="24"/>
          <w:szCs w:val="24"/>
        </w:rPr>
        <w:t>2</w:t>
      </w:r>
      <w:r>
        <w:rPr>
          <w:rFonts w:cs="Times New Roman" w:hint="eastAsia"/>
          <w:kern w:val="2"/>
          <w:sz w:val="24"/>
          <w:szCs w:val="24"/>
        </w:rPr>
        <w:t>）操作规程</w:t>
      </w:r>
    </w:p>
    <w:p w14:paraId="5820CF48" w14:textId="77777777" w:rsidR="003D6A63" w:rsidRDefault="00000000">
      <w:pPr>
        <w:pStyle w:val="nlw1"/>
        <w:adjustRightInd w:val="0"/>
        <w:snapToGrid w:val="0"/>
        <w:spacing w:line="360" w:lineRule="auto"/>
        <w:ind w:firstLine="480"/>
        <w:rPr>
          <w:color w:val="000000" w:themeColor="text1"/>
          <w:sz w:val="24"/>
          <w:szCs w:val="24"/>
        </w:rPr>
      </w:pPr>
      <w:r>
        <w:rPr>
          <w:rFonts w:ascii="Times New Roman" w:hAnsi="Times New Roman"/>
          <w:color w:val="000000" w:themeColor="text1"/>
          <w:sz w:val="24"/>
          <w:szCs w:val="24"/>
          <w:lang w:val="en-US"/>
        </w:rPr>
        <w:t>涉及企业机密，不予公开</w:t>
      </w:r>
      <w:r>
        <w:rPr>
          <w:rFonts w:hint="eastAsia"/>
          <w:color w:val="000000" w:themeColor="text1"/>
          <w:sz w:val="24"/>
          <w:szCs w:val="24"/>
        </w:rPr>
        <w:t>。</w:t>
      </w:r>
    </w:p>
    <w:p w14:paraId="7DBCD5A5" w14:textId="77777777" w:rsidR="003D6A63" w:rsidRDefault="00000000">
      <w:pPr>
        <w:pStyle w:val="4"/>
        <w:keepNext w:val="0"/>
        <w:keepLines w:val="0"/>
        <w:spacing w:before="0" w:after="0" w:line="360" w:lineRule="auto"/>
        <w:rPr>
          <w:rFonts w:ascii="Times New Roman" w:eastAsia="宋体" w:hAnsi="Times New Roman"/>
          <w:sz w:val="24"/>
        </w:rPr>
      </w:pPr>
      <w:r>
        <w:rPr>
          <w:rFonts w:ascii="Times New Roman" w:eastAsia="宋体" w:hAnsi="Times New Roman" w:hint="eastAsia"/>
          <w:sz w:val="24"/>
        </w:rPr>
        <w:t>6.1.2.3</w:t>
      </w:r>
      <w:r>
        <w:rPr>
          <w:rFonts w:ascii="Times New Roman" w:eastAsia="宋体" w:hAnsi="Times New Roman" w:hint="eastAsia"/>
          <w:sz w:val="24"/>
        </w:rPr>
        <w:t>检查结果</w:t>
      </w:r>
    </w:p>
    <w:p w14:paraId="505D08A3" w14:textId="77777777" w:rsidR="003D6A63" w:rsidRDefault="00000000">
      <w:pPr>
        <w:pStyle w:val="nlw1"/>
        <w:adjustRightInd w:val="0"/>
        <w:snapToGrid w:val="0"/>
        <w:spacing w:line="360" w:lineRule="auto"/>
        <w:ind w:firstLine="480"/>
        <w:rPr>
          <w:rFonts w:ascii="Times New Roman" w:hAnsi="Times New Roman"/>
          <w:sz w:val="24"/>
          <w:szCs w:val="24"/>
          <w:lang w:val="en-US"/>
        </w:rPr>
      </w:pPr>
      <w:r>
        <w:rPr>
          <w:rFonts w:ascii="Times New Roman" w:hAnsi="Times New Roman" w:hint="eastAsia"/>
          <w:sz w:val="24"/>
          <w:szCs w:val="24"/>
        </w:rPr>
        <w:t>中胜公司</w:t>
      </w:r>
      <w:r>
        <w:rPr>
          <w:rFonts w:ascii="Times New Roman" w:hAnsi="Times New Roman" w:hint="eastAsia"/>
          <w:sz w:val="24"/>
          <w:szCs w:val="24"/>
          <w:lang w:val="en-US"/>
        </w:rPr>
        <w:t>制定的安全生产规章制度和操作规程符合</w:t>
      </w:r>
      <w:r>
        <w:rPr>
          <w:rFonts w:hint="eastAsia"/>
          <w:sz w:val="24"/>
          <w:szCs w:val="24"/>
        </w:rPr>
        <w:t>国家法律法规及其标准规范</w:t>
      </w:r>
      <w:r>
        <w:rPr>
          <w:rFonts w:ascii="Times New Roman" w:hAnsi="Times New Roman" w:hint="eastAsia"/>
          <w:sz w:val="24"/>
          <w:szCs w:val="24"/>
          <w:lang w:val="en-US"/>
        </w:rPr>
        <w:t>的要求。</w:t>
      </w:r>
    </w:p>
    <w:p w14:paraId="1C212C0F" w14:textId="77777777" w:rsidR="003D6A63" w:rsidRDefault="00000000">
      <w:pPr>
        <w:pStyle w:val="3"/>
        <w:keepNext w:val="0"/>
        <w:keepLines w:val="0"/>
        <w:spacing w:before="0" w:after="0" w:line="360" w:lineRule="auto"/>
        <w:rPr>
          <w:rFonts w:eastAsia="黑体"/>
          <w:b w:val="0"/>
          <w:spacing w:val="0"/>
          <w:sz w:val="24"/>
        </w:rPr>
      </w:pPr>
      <w:r>
        <w:rPr>
          <w:rFonts w:eastAsia="黑体"/>
          <w:b w:val="0"/>
          <w:spacing w:val="0"/>
          <w:sz w:val="24"/>
        </w:rPr>
        <w:t>6.1.</w:t>
      </w:r>
      <w:r>
        <w:rPr>
          <w:rFonts w:eastAsia="黑体" w:hint="eastAsia"/>
          <w:b w:val="0"/>
          <w:spacing w:val="0"/>
          <w:sz w:val="24"/>
        </w:rPr>
        <w:t>3</w:t>
      </w:r>
      <w:r>
        <w:rPr>
          <w:rFonts w:eastAsia="黑体"/>
          <w:b w:val="0"/>
          <w:spacing w:val="0"/>
          <w:sz w:val="24"/>
        </w:rPr>
        <w:t xml:space="preserve">  </w:t>
      </w:r>
      <w:r>
        <w:rPr>
          <w:rFonts w:eastAsia="黑体" w:hint="eastAsia"/>
          <w:b w:val="0"/>
          <w:spacing w:val="0"/>
          <w:sz w:val="24"/>
        </w:rPr>
        <w:t>安全管理机构及安全管理人员</w:t>
      </w:r>
    </w:p>
    <w:p w14:paraId="3FA402EE" w14:textId="77777777" w:rsidR="003D6A63" w:rsidRDefault="00000000">
      <w:pPr>
        <w:pStyle w:val="4"/>
        <w:keepNext w:val="0"/>
        <w:keepLines w:val="0"/>
        <w:spacing w:before="0" w:after="0" w:line="360" w:lineRule="auto"/>
        <w:rPr>
          <w:rFonts w:ascii="Times New Roman" w:eastAsia="宋体" w:hAnsi="Times New Roman"/>
          <w:sz w:val="24"/>
        </w:rPr>
      </w:pPr>
      <w:r>
        <w:rPr>
          <w:rFonts w:ascii="Times New Roman" w:eastAsia="宋体" w:hAnsi="Times New Roman" w:hint="eastAsia"/>
          <w:sz w:val="24"/>
        </w:rPr>
        <w:t xml:space="preserve">6.1.3.1  </w:t>
      </w:r>
      <w:r>
        <w:rPr>
          <w:rFonts w:ascii="Times New Roman" w:eastAsia="宋体" w:hAnsi="Times New Roman" w:hint="eastAsia"/>
          <w:sz w:val="24"/>
        </w:rPr>
        <w:t>法规要求</w:t>
      </w:r>
    </w:p>
    <w:p w14:paraId="1211493E"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）《中华人民共和国安全生产法》</w:t>
      </w:r>
    </w:p>
    <w:p w14:paraId="3C338EC3" w14:textId="77777777" w:rsidR="003D6A63" w:rsidRDefault="00000000">
      <w:pPr>
        <w:pStyle w:val="nlw1"/>
        <w:adjustRightInd w:val="0"/>
        <w:snapToGrid w:val="0"/>
        <w:spacing w:line="360" w:lineRule="auto"/>
        <w:ind w:firstLine="480"/>
        <w:rPr>
          <w:sz w:val="24"/>
          <w:szCs w:val="24"/>
        </w:rPr>
      </w:pPr>
      <w:r>
        <w:rPr>
          <w:rFonts w:ascii="Times New Roman" w:hAnsi="Times New Roman"/>
          <w:sz w:val="24"/>
          <w:szCs w:val="24"/>
        </w:rPr>
        <w:t>第二十</w:t>
      </w:r>
      <w:r>
        <w:rPr>
          <w:rFonts w:ascii="Times New Roman" w:hAnsi="Times New Roman"/>
          <w:sz w:val="24"/>
          <w:szCs w:val="24"/>
          <w:lang w:val="en-US"/>
        </w:rPr>
        <w:t>四</w:t>
      </w:r>
      <w:r>
        <w:rPr>
          <w:rFonts w:ascii="Times New Roman" w:hAnsi="Times New Roman"/>
          <w:sz w:val="24"/>
          <w:szCs w:val="24"/>
        </w:rPr>
        <w:t>条，矿山、金属冶炼、建筑施工、运输单位和危险物品的生产、经营、储存、</w:t>
      </w:r>
      <w:r>
        <w:rPr>
          <w:rFonts w:ascii="Times New Roman" w:hAnsi="Times New Roman"/>
          <w:sz w:val="24"/>
          <w:szCs w:val="24"/>
          <w:lang w:val="en-US"/>
        </w:rPr>
        <w:t>装卸</w:t>
      </w:r>
      <w:r>
        <w:rPr>
          <w:rFonts w:ascii="Times New Roman" w:hAnsi="Times New Roman"/>
          <w:sz w:val="24"/>
          <w:szCs w:val="24"/>
        </w:rPr>
        <w:t>单位，应当设置安全生产管理机构或者配备专职安全生产管理人员。</w:t>
      </w:r>
    </w:p>
    <w:p w14:paraId="20F8B45F"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）《非煤矿矿山企业安全生产许可证实施办法》</w:t>
      </w:r>
    </w:p>
    <w:p w14:paraId="002C58B6" w14:textId="77777777" w:rsidR="003D6A63" w:rsidRDefault="00000000">
      <w:pPr>
        <w:adjustRightInd w:val="0"/>
        <w:snapToGrid w:val="0"/>
        <w:spacing w:line="360" w:lineRule="auto"/>
        <w:ind w:firstLineChars="200" w:firstLine="480"/>
        <w:rPr>
          <w:sz w:val="24"/>
        </w:rPr>
      </w:pPr>
      <w:r>
        <w:rPr>
          <w:rFonts w:hint="eastAsia"/>
          <w:sz w:val="24"/>
        </w:rPr>
        <w:t>第六条　设置安全生产管理机构，或者配备专职安全生产管理人员。</w:t>
      </w:r>
    </w:p>
    <w:p w14:paraId="4053FA6F"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3</w:t>
      </w:r>
      <w:r>
        <w:rPr>
          <w:rFonts w:hint="eastAsia"/>
          <w:sz w:val="24"/>
        </w:rPr>
        <w:t>）《山东省安全生产条例》</w:t>
      </w:r>
    </w:p>
    <w:p w14:paraId="70BB56A1" w14:textId="77777777" w:rsidR="003D6A63" w:rsidRDefault="00000000">
      <w:pPr>
        <w:adjustRightInd w:val="0"/>
        <w:snapToGrid w:val="0"/>
        <w:spacing w:line="360" w:lineRule="auto"/>
        <w:ind w:firstLineChars="200" w:firstLine="480"/>
        <w:rPr>
          <w:sz w:val="24"/>
        </w:rPr>
      </w:pPr>
      <w:r>
        <w:rPr>
          <w:rFonts w:hint="eastAsia"/>
          <w:sz w:val="24"/>
        </w:rPr>
        <w:lastRenderedPageBreak/>
        <w:t>第二十一条　从业人员一百人以上的高危生产经营单位，应当依法设置安全总监。</w:t>
      </w:r>
      <w:r>
        <w:rPr>
          <w:rFonts w:ascii="宋体" w:hAnsi="宋体" w:cs="宋体" w:hint="eastAsia"/>
          <w:color w:val="000000"/>
          <w:sz w:val="24"/>
        </w:rPr>
        <w:t>鼓励、支持前款规定以外的生产经营单位，根据生产经营规模、安全风险等情况，设置安全总监。</w:t>
      </w:r>
    </w:p>
    <w:p w14:paraId="5DF752B3"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4</w:t>
      </w:r>
      <w:r>
        <w:rPr>
          <w:rFonts w:hint="eastAsia"/>
          <w:sz w:val="24"/>
        </w:rPr>
        <w:t>）《山东省生产经营单位安全生产主体责任规定》</w:t>
      </w:r>
    </w:p>
    <w:p w14:paraId="742C92BD" w14:textId="77777777" w:rsidR="003D6A63" w:rsidRDefault="00000000">
      <w:pPr>
        <w:adjustRightInd w:val="0"/>
        <w:snapToGrid w:val="0"/>
        <w:spacing w:line="360" w:lineRule="auto"/>
        <w:ind w:firstLineChars="200" w:firstLine="480"/>
        <w:rPr>
          <w:sz w:val="24"/>
        </w:rPr>
      </w:pPr>
      <w:r>
        <w:rPr>
          <w:rFonts w:hint="eastAsia"/>
          <w:sz w:val="24"/>
        </w:rPr>
        <w:t>第九条　从业人员在</w:t>
      </w:r>
      <w:r>
        <w:rPr>
          <w:rFonts w:hint="eastAsia"/>
          <w:sz w:val="24"/>
        </w:rPr>
        <w:t>100</w:t>
      </w:r>
      <w:r>
        <w:rPr>
          <w:rFonts w:hint="eastAsia"/>
          <w:sz w:val="24"/>
        </w:rPr>
        <w:t>人以上不足</w:t>
      </w:r>
      <w:r>
        <w:rPr>
          <w:rFonts w:hint="eastAsia"/>
          <w:sz w:val="24"/>
        </w:rPr>
        <w:t>300</w:t>
      </w:r>
      <w:r>
        <w:rPr>
          <w:rFonts w:hint="eastAsia"/>
          <w:sz w:val="24"/>
        </w:rPr>
        <w:t>人的，应当设置安全生产管理机构，并配备</w:t>
      </w:r>
      <w:r>
        <w:rPr>
          <w:rFonts w:hint="eastAsia"/>
          <w:sz w:val="24"/>
        </w:rPr>
        <w:t>2</w:t>
      </w:r>
      <w:r>
        <w:rPr>
          <w:rFonts w:hint="eastAsia"/>
          <w:sz w:val="24"/>
        </w:rPr>
        <w:t>名以上专职安全生产管理人员，其中至少应当有</w:t>
      </w:r>
      <w:r>
        <w:rPr>
          <w:rFonts w:hint="eastAsia"/>
          <w:sz w:val="24"/>
        </w:rPr>
        <w:t>1</w:t>
      </w:r>
      <w:r>
        <w:rPr>
          <w:rFonts w:hint="eastAsia"/>
          <w:sz w:val="24"/>
        </w:rPr>
        <w:t>名注册安全工程师。</w:t>
      </w:r>
    </w:p>
    <w:p w14:paraId="6D064435"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6.1.3.2  </w:t>
      </w:r>
      <w:r>
        <w:rPr>
          <w:rFonts w:ascii="Times New Roman" w:eastAsia="宋体" w:hAnsi="Times New Roman" w:hint="eastAsia"/>
          <w:sz w:val="24"/>
          <w:szCs w:val="24"/>
        </w:rPr>
        <w:t>检查情况</w:t>
      </w:r>
    </w:p>
    <w:p w14:paraId="2473A6A8" w14:textId="77777777" w:rsidR="003D6A63" w:rsidRDefault="00000000">
      <w:pPr>
        <w:pStyle w:val="nlw1"/>
        <w:adjustRightInd w:val="0"/>
        <w:snapToGrid w:val="0"/>
        <w:spacing w:line="360" w:lineRule="auto"/>
        <w:ind w:firstLine="480"/>
        <w:rPr>
          <w:rFonts w:ascii="Times New Roman" w:hAnsi="Times New Roman"/>
          <w:sz w:val="24"/>
          <w:szCs w:val="24"/>
          <w:lang w:val="en-US"/>
        </w:rPr>
      </w:pPr>
      <w:r>
        <w:rPr>
          <w:rFonts w:ascii="Times New Roman" w:hAnsi="Times New Roman" w:hint="eastAsia"/>
          <w:sz w:val="24"/>
          <w:szCs w:val="24"/>
          <w:lang w:val="en-US"/>
        </w:rPr>
        <w:t>中胜公司</w:t>
      </w:r>
      <w:r>
        <w:rPr>
          <w:rFonts w:ascii="Times New Roman" w:hAnsi="Times New Roman"/>
          <w:sz w:val="24"/>
          <w:szCs w:val="24"/>
          <w:lang w:val="en-US"/>
        </w:rPr>
        <w:t>设有</w:t>
      </w:r>
      <w:r>
        <w:rPr>
          <w:rFonts w:ascii="Times New Roman" w:hAnsi="Times New Roman" w:hint="eastAsia"/>
          <w:sz w:val="24"/>
          <w:szCs w:val="24"/>
          <w:lang w:val="en-US"/>
        </w:rPr>
        <w:t>安全生产领导小组</w:t>
      </w:r>
      <w:r>
        <w:rPr>
          <w:rFonts w:ascii="Times New Roman" w:hAnsi="Times New Roman"/>
          <w:sz w:val="24"/>
          <w:szCs w:val="24"/>
          <w:lang w:val="en-US"/>
        </w:rPr>
        <w:t>，对公司进行全面管理</w:t>
      </w:r>
      <w:r>
        <w:rPr>
          <w:rFonts w:ascii="Times New Roman" w:hAnsi="Times New Roman" w:hint="eastAsia"/>
          <w:sz w:val="24"/>
          <w:szCs w:val="24"/>
          <w:lang w:val="en-US"/>
        </w:rPr>
        <w:t>，安全生产管理机构</w:t>
      </w:r>
      <w:r>
        <w:rPr>
          <w:rFonts w:ascii="Times New Roman" w:hAnsi="Times New Roman"/>
          <w:sz w:val="24"/>
          <w:szCs w:val="24"/>
          <w:lang w:val="en-US"/>
        </w:rPr>
        <w:t>设在公司</w:t>
      </w:r>
      <w:r>
        <w:rPr>
          <w:rFonts w:ascii="Times New Roman" w:hAnsi="Times New Roman" w:hint="eastAsia"/>
          <w:sz w:val="24"/>
          <w:szCs w:val="24"/>
          <w:lang w:val="en-US"/>
        </w:rPr>
        <w:t>安全（</w:t>
      </w:r>
      <w:r>
        <w:rPr>
          <w:rFonts w:ascii="Times New Roman" w:hAnsi="Times New Roman" w:hint="eastAsia"/>
          <w:sz w:val="24"/>
          <w:szCs w:val="24"/>
          <w:lang w:val="en-US"/>
        </w:rPr>
        <w:t>QHSE</w:t>
      </w:r>
      <w:r>
        <w:rPr>
          <w:rFonts w:ascii="Times New Roman" w:hAnsi="Times New Roman" w:hint="eastAsia"/>
          <w:sz w:val="24"/>
          <w:szCs w:val="24"/>
          <w:lang w:val="en-US"/>
        </w:rPr>
        <w:t>）管理办公室</w:t>
      </w:r>
      <w:r>
        <w:rPr>
          <w:rFonts w:ascii="Times New Roman" w:hAnsi="Times New Roman"/>
          <w:sz w:val="24"/>
          <w:szCs w:val="24"/>
          <w:lang w:val="en-US"/>
        </w:rPr>
        <w:t>。</w:t>
      </w:r>
      <w:r>
        <w:rPr>
          <w:rFonts w:ascii="Times New Roman" w:hAnsi="Times New Roman" w:hint="eastAsia"/>
          <w:sz w:val="24"/>
          <w:szCs w:val="24"/>
          <w:lang w:val="en-US"/>
        </w:rPr>
        <w:t>中胜</w:t>
      </w:r>
      <w:r>
        <w:rPr>
          <w:rFonts w:ascii="Times New Roman" w:hAnsi="Times New Roman"/>
          <w:sz w:val="24"/>
          <w:szCs w:val="24"/>
          <w:lang w:val="en-US"/>
        </w:rPr>
        <w:t>公司</w:t>
      </w:r>
      <w:r>
        <w:rPr>
          <w:rFonts w:ascii="Times New Roman" w:hAnsi="Times New Roman" w:hint="eastAsia"/>
          <w:sz w:val="24"/>
          <w:szCs w:val="24"/>
          <w:lang w:val="en-US"/>
        </w:rPr>
        <w:t>安全生产领导小组及安全生产管理机构</w:t>
      </w:r>
      <w:r>
        <w:rPr>
          <w:rFonts w:ascii="Times New Roman" w:hAnsi="Times New Roman"/>
          <w:sz w:val="24"/>
          <w:szCs w:val="24"/>
          <w:lang w:val="en-US"/>
        </w:rPr>
        <w:t>设置文件见附件</w:t>
      </w:r>
      <w:r>
        <w:rPr>
          <w:rFonts w:ascii="Times New Roman" w:hAnsi="Times New Roman" w:hint="eastAsia"/>
          <w:sz w:val="24"/>
          <w:szCs w:val="24"/>
          <w:lang w:val="en-US"/>
        </w:rPr>
        <w:t>4</w:t>
      </w:r>
      <w:r>
        <w:rPr>
          <w:rFonts w:ascii="Times New Roman" w:hAnsi="Times New Roman" w:hint="eastAsia"/>
          <w:sz w:val="24"/>
          <w:szCs w:val="24"/>
          <w:lang w:val="en-US"/>
        </w:rPr>
        <w:t>。</w:t>
      </w:r>
    </w:p>
    <w:p w14:paraId="03CD492F" w14:textId="77777777" w:rsidR="003D6A63" w:rsidRDefault="00000000">
      <w:pPr>
        <w:pStyle w:val="nlw1"/>
        <w:adjustRightInd w:val="0"/>
        <w:snapToGrid w:val="0"/>
        <w:spacing w:beforeLines="50" w:before="120" w:line="360" w:lineRule="auto"/>
        <w:ind w:firstLine="480"/>
        <w:rPr>
          <w:rFonts w:ascii="Times New Roman" w:hAnsi="Times New Roman"/>
          <w:sz w:val="24"/>
          <w:szCs w:val="24"/>
          <w:lang w:val="en-US"/>
        </w:rPr>
      </w:pPr>
      <w:r>
        <w:rPr>
          <w:rFonts w:ascii="Times New Roman" w:hAnsi="Times New Roman" w:hint="eastAsia"/>
          <w:sz w:val="24"/>
          <w:szCs w:val="24"/>
          <w:lang w:val="en-US"/>
        </w:rPr>
        <w:t>中胜公司用工总量</w:t>
      </w:r>
      <w:r>
        <w:rPr>
          <w:rFonts w:ascii="Times New Roman" w:hAnsi="Times New Roman" w:hint="eastAsia"/>
          <w:sz w:val="24"/>
          <w:szCs w:val="24"/>
          <w:lang w:val="en-US"/>
        </w:rPr>
        <w:t>132</w:t>
      </w:r>
      <w:r>
        <w:rPr>
          <w:rFonts w:ascii="Times New Roman" w:hAnsi="Times New Roman" w:hint="eastAsia"/>
          <w:sz w:val="24"/>
          <w:szCs w:val="24"/>
          <w:lang w:val="en-US"/>
        </w:rPr>
        <w:t>人，设置有专职安全管理人员</w:t>
      </w:r>
      <w:r>
        <w:rPr>
          <w:rFonts w:ascii="Times New Roman" w:hAnsi="Times New Roman" w:hint="eastAsia"/>
          <w:sz w:val="24"/>
          <w:szCs w:val="24"/>
          <w:lang w:val="en-US"/>
        </w:rPr>
        <w:t>2</w:t>
      </w:r>
      <w:r>
        <w:rPr>
          <w:rFonts w:ascii="Times New Roman" w:hAnsi="Times New Roman" w:hint="eastAsia"/>
          <w:sz w:val="24"/>
          <w:szCs w:val="24"/>
          <w:lang w:val="en-US"/>
        </w:rPr>
        <w:t>人。中胜公司设</w:t>
      </w:r>
      <w:r>
        <w:rPr>
          <w:rFonts w:ascii="Times New Roman" w:hAnsi="Times New Roman" w:hint="eastAsia"/>
          <w:sz w:val="24"/>
          <w:szCs w:val="24"/>
        </w:rPr>
        <w:t>安全总监</w:t>
      </w:r>
      <w:r>
        <w:rPr>
          <w:rFonts w:ascii="Times New Roman" w:hAnsi="Times New Roman" w:hint="eastAsia"/>
          <w:sz w:val="24"/>
          <w:szCs w:val="24"/>
        </w:rPr>
        <w:t>1</w:t>
      </w:r>
      <w:r>
        <w:rPr>
          <w:rFonts w:ascii="Times New Roman" w:hAnsi="Times New Roman" w:hint="eastAsia"/>
          <w:sz w:val="24"/>
          <w:szCs w:val="24"/>
        </w:rPr>
        <w:t>名。</w:t>
      </w:r>
      <w:r>
        <w:rPr>
          <w:rFonts w:ascii="Times New Roman" w:hAnsi="Times New Roman" w:hint="eastAsia"/>
          <w:sz w:val="24"/>
          <w:szCs w:val="24"/>
          <w:lang w:val="en-US"/>
        </w:rPr>
        <w:t>安全总监孙丙运，高级工程师职称，从事安全生产工作</w:t>
      </w:r>
      <w:r>
        <w:rPr>
          <w:rFonts w:ascii="Times New Roman" w:hAnsi="Times New Roman" w:hint="eastAsia"/>
          <w:sz w:val="24"/>
          <w:szCs w:val="24"/>
          <w:lang w:val="en-US"/>
        </w:rPr>
        <w:t>24</w:t>
      </w:r>
      <w:r>
        <w:rPr>
          <w:rFonts w:ascii="Times New Roman" w:hAnsi="Times New Roman" w:hint="eastAsia"/>
          <w:sz w:val="24"/>
          <w:szCs w:val="24"/>
          <w:lang w:val="en-US"/>
        </w:rPr>
        <w:t>年，于</w:t>
      </w:r>
      <w:r>
        <w:rPr>
          <w:rFonts w:ascii="Times New Roman" w:hAnsi="Times New Roman" w:hint="eastAsia"/>
          <w:sz w:val="24"/>
          <w:szCs w:val="24"/>
          <w:lang w:val="en-US"/>
        </w:rPr>
        <w:t>2022</w:t>
      </w:r>
      <w:r>
        <w:rPr>
          <w:rFonts w:ascii="Times New Roman" w:hAnsi="Times New Roman" w:hint="eastAsia"/>
          <w:sz w:val="24"/>
          <w:szCs w:val="24"/>
          <w:lang w:val="en-US"/>
        </w:rPr>
        <w:t>年</w:t>
      </w:r>
      <w:r>
        <w:rPr>
          <w:rFonts w:ascii="Times New Roman" w:hAnsi="Times New Roman" w:hint="eastAsia"/>
          <w:sz w:val="24"/>
          <w:szCs w:val="24"/>
          <w:lang w:val="en-US"/>
        </w:rPr>
        <w:t>3</w:t>
      </w:r>
      <w:r>
        <w:rPr>
          <w:rFonts w:ascii="Times New Roman" w:hAnsi="Times New Roman" w:hint="eastAsia"/>
          <w:sz w:val="24"/>
          <w:szCs w:val="24"/>
          <w:lang w:val="en-US"/>
        </w:rPr>
        <w:t>月</w:t>
      </w:r>
      <w:r>
        <w:rPr>
          <w:rFonts w:ascii="Times New Roman" w:hAnsi="Times New Roman" w:hint="eastAsia"/>
          <w:sz w:val="24"/>
          <w:szCs w:val="24"/>
          <w:lang w:val="en-US"/>
        </w:rPr>
        <w:t>17</w:t>
      </w:r>
      <w:r>
        <w:rPr>
          <w:rFonts w:ascii="Times New Roman" w:hAnsi="Times New Roman" w:hint="eastAsia"/>
          <w:sz w:val="24"/>
          <w:szCs w:val="24"/>
          <w:lang w:val="en-US"/>
        </w:rPr>
        <w:t>日书面备案东营市应急管理局。中胜公司安全总监具备条件满足《山东省人民政府办公厅关于印发山东省生产经营单位安全总监制度实施办法（试行）的通知》（鲁政办字〔</w:t>
      </w:r>
      <w:r>
        <w:rPr>
          <w:rFonts w:ascii="Times New Roman" w:hAnsi="Times New Roman" w:hint="eastAsia"/>
          <w:sz w:val="24"/>
          <w:szCs w:val="24"/>
          <w:lang w:val="en-US"/>
        </w:rPr>
        <w:t>2021</w:t>
      </w:r>
      <w:r>
        <w:rPr>
          <w:rFonts w:ascii="Times New Roman" w:hAnsi="Times New Roman" w:hint="eastAsia"/>
          <w:sz w:val="24"/>
          <w:szCs w:val="24"/>
          <w:lang w:val="en-US"/>
        </w:rPr>
        <w:t>〕</w:t>
      </w:r>
      <w:r>
        <w:rPr>
          <w:rFonts w:ascii="Times New Roman" w:hAnsi="Times New Roman" w:hint="eastAsia"/>
          <w:sz w:val="24"/>
          <w:szCs w:val="24"/>
          <w:lang w:val="en-US"/>
        </w:rPr>
        <w:t>60</w:t>
      </w:r>
      <w:r>
        <w:rPr>
          <w:rFonts w:ascii="Times New Roman" w:hAnsi="Times New Roman" w:hint="eastAsia"/>
          <w:sz w:val="24"/>
          <w:szCs w:val="24"/>
          <w:lang w:val="en-US"/>
        </w:rPr>
        <w:t>号）的规定。安全总监书面备案文件详见附件</w:t>
      </w:r>
      <w:r>
        <w:rPr>
          <w:rFonts w:ascii="Times New Roman" w:hAnsi="Times New Roman" w:hint="eastAsia"/>
          <w:sz w:val="24"/>
          <w:szCs w:val="24"/>
          <w:lang w:val="en-US"/>
        </w:rPr>
        <w:t>5</w:t>
      </w:r>
      <w:r>
        <w:rPr>
          <w:rFonts w:ascii="Times New Roman" w:hAnsi="Times New Roman" w:hint="eastAsia"/>
          <w:sz w:val="24"/>
          <w:szCs w:val="24"/>
          <w:lang w:val="en-US"/>
        </w:rPr>
        <w:t>。</w:t>
      </w:r>
    </w:p>
    <w:p w14:paraId="757D54DB" w14:textId="77777777" w:rsidR="003D6A63" w:rsidRDefault="00000000">
      <w:pPr>
        <w:pStyle w:val="nlw1"/>
        <w:adjustRightInd w:val="0"/>
        <w:snapToGrid w:val="0"/>
        <w:spacing w:line="360" w:lineRule="auto"/>
        <w:ind w:firstLine="480"/>
        <w:rPr>
          <w:rFonts w:ascii="Times New Roman" w:hAnsi="Times New Roman"/>
          <w:sz w:val="24"/>
          <w:szCs w:val="24"/>
          <w:lang w:val="en-US"/>
        </w:rPr>
      </w:pPr>
      <w:r>
        <w:rPr>
          <w:rFonts w:ascii="Times New Roman" w:hAnsi="Times New Roman" w:hint="eastAsia"/>
          <w:sz w:val="24"/>
          <w:szCs w:val="24"/>
          <w:lang w:val="en-US"/>
        </w:rPr>
        <w:t>专职安全管理人员中</w:t>
      </w:r>
      <w:r>
        <w:rPr>
          <w:rFonts w:ascii="Times New Roman" w:hAnsi="Times New Roman" w:hint="eastAsia"/>
          <w:sz w:val="24"/>
          <w:szCs w:val="24"/>
          <w:lang w:val="en-US"/>
        </w:rPr>
        <w:t>1</w:t>
      </w:r>
      <w:r>
        <w:rPr>
          <w:rFonts w:ascii="Times New Roman" w:hAnsi="Times New Roman" w:hint="eastAsia"/>
          <w:sz w:val="24"/>
          <w:szCs w:val="24"/>
          <w:lang w:val="en-US"/>
        </w:rPr>
        <w:t>人持有注册安全工程师证（注册类别为其他安全），注册安全工程师证书</w:t>
      </w:r>
      <w:r>
        <w:rPr>
          <w:rFonts w:ascii="Times New Roman" w:hAnsi="Times New Roman" w:hint="eastAsia"/>
          <w:sz w:val="24"/>
          <w:szCs w:val="24"/>
        </w:rPr>
        <w:t>见附件</w:t>
      </w:r>
      <w:r>
        <w:rPr>
          <w:rFonts w:ascii="Times New Roman" w:hAnsi="Times New Roman" w:hint="eastAsia"/>
          <w:sz w:val="24"/>
          <w:szCs w:val="24"/>
          <w:lang w:val="en-US"/>
        </w:rPr>
        <w:t>6</w:t>
      </w:r>
      <w:r>
        <w:rPr>
          <w:rFonts w:ascii="Times New Roman" w:hAnsi="Times New Roman" w:hint="eastAsia"/>
          <w:sz w:val="24"/>
          <w:szCs w:val="24"/>
          <w:lang w:val="en-US"/>
        </w:rPr>
        <w:t>。</w:t>
      </w:r>
      <w:r>
        <w:rPr>
          <w:rFonts w:ascii="Times New Roman" w:hAnsi="Times New Roman"/>
          <w:sz w:val="24"/>
          <w:szCs w:val="24"/>
          <w:lang w:val="en-US"/>
        </w:rPr>
        <w:t>综上，该公司安全生产管理机构的设置和专职安全生产管理人员、注册安全工程师的配备情况符合相关要求</w:t>
      </w:r>
      <w:r>
        <w:rPr>
          <w:rFonts w:ascii="Times New Roman" w:hAnsi="Times New Roman" w:hint="eastAsia"/>
          <w:sz w:val="24"/>
          <w:szCs w:val="24"/>
          <w:lang w:val="en-US"/>
        </w:rPr>
        <w:t>。</w:t>
      </w:r>
    </w:p>
    <w:p w14:paraId="642D4C05"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6.1.3.3  </w:t>
      </w:r>
      <w:r>
        <w:rPr>
          <w:rFonts w:ascii="Times New Roman" w:eastAsia="宋体" w:hAnsi="Times New Roman" w:hint="eastAsia"/>
          <w:sz w:val="24"/>
          <w:szCs w:val="24"/>
        </w:rPr>
        <w:t>检查结果</w:t>
      </w:r>
    </w:p>
    <w:p w14:paraId="38CA3C66" w14:textId="77777777" w:rsidR="003D6A63" w:rsidRDefault="00000000">
      <w:pPr>
        <w:adjustRightInd w:val="0"/>
        <w:snapToGrid w:val="0"/>
        <w:spacing w:line="360" w:lineRule="auto"/>
        <w:ind w:firstLineChars="200" w:firstLine="480"/>
        <w:rPr>
          <w:sz w:val="24"/>
        </w:rPr>
      </w:pPr>
      <w:r>
        <w:rPr>
          <w:rFonts w:hint="eastAsia"/>
          <w:sz w:val="24"/>
        </w:rPr>
        <w:t>中胜公司设置有安全管理机构并配备专职安全管理人员，配备有注册安全工程师，设置有安全总监。安全管理机构及安全管理人员设置符合国家法律法规及其标准规范的要求。</w:t>
      </w:r>
    </w:p>
    <w:p w14:paraId="417BF410" w14:textId="77777777" w:rsidR="003D6A63" w:rsidRDefault="00000000">
      <w:pPr>
        <w:pStyle w:val="3"/>
        <w:keepNext w:val="0"/>
        <w:keepLines w:val="0"/>
        <w:spacing w:before="0" w:after="0" w:line="360" w:lineRule="auto"/>
        <w:rPr>
          <w:rFonts w:eastAsia="黑体"/>
          <w:b w:val="0"/>
          <w:spacing w:val="0"/>
          <w:sz w:val="24"/>
        </w:rPr>
      </w:pPr>
      <w:r>
        <w:rPr>
          <w:rFonts w:eastAsia="黑体" w:hint="eastAsia"/>
          <w:b w:val="0"/>
          <w:spacing w:val="0"/>
          <w:sz w:val="24"/>
        </w:rPr>
        <w:t xml:space="preserve">6.1.4  </w:t>
      </w:r>
      <w:r>
        <w:rPr>
          <w:rFonts w:eastAsia="黑体" w:hint="eastAsia"/>
          <w:b w:val="0"/>
          <w:spacing w:val="0"/>
          <w:sz w:val="24"/>
        </w:rPr>
        <w:t>主要负责人和安全生产管理人员安全合格证</w:t>
      </w:r>
    </w:p>
    <w:p w14:paraId="4B4EEFF0"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6.1.4.1  </w:t>
      </w:r>
      <w:r>
        <w:rPr>
          <w:rFonts w:ascii="Times New Roman" w:eastAsia="宋体" w:hAnsi="Times New Roman" w:hint="eastAsia"/>
          <w:sz w:val="24"/>
          <w:szCs w:val="24"/>
        </w:rPr>
        <w:t>法规要求</w:t>
      </w:r>
    </w:p>
    <w:p w14:paraId="2E57BA22"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）《非煤矿矿山企业安全生产许可证实施办法》</w:t>
      </w:r>
    </w:p>
    <w:p w14:paraId="768C6C10" w14:textId="77777777" w:rsidR="003D6A63" w:rsidRDefault="00000000">
      <w:pPr>
        <w:adjustRightInd w:val="0"/>
        <w:snapToGrid w:val="0"/>
        <w:spacing w:line="360" w:lineRule="auto"/>
        <w:ind w:firstLineChars="200" w:firstLine="480"/>
        <w:rPr>
          <w:sz w:val="24"/>
        </w:rPr>
      </w:pPr>
      <w:r>
        <w:rPr>
          <w:rFonts w:hint="eastAsia"/>
          <w:sz w:val="24"/>
        </w:rPr>
        <w:t>第六条　主要负责人和安全生产管理人员经安全生产监督管理部门考核合格，取得安全资格证书。</w:t>
      </w:r>
    </w:p>
    <w:p w14:paraId="041A871F"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）《安全生产法》</w:t>
      </w:r>
    </w:p>
    <w:p w14:paraId="08BE538F" w14:textId="77777777" w:rsidR="003D6A63" w:rsidRDefault="00000000">
      <w:pPr>
        <w:adjustRightInd w:val="0"/>
        <w:snapToGrid w:val="0"/>
        <w:spacing w:line="360" w:lineRule="auto"/>
        <w:ind w:firstLineChars="200" w:firstLine="480"/>
        <w:rPr>
          <w:sz w:val="24"/>
        </w:rPr>
      </w:pPr>
      <w:r>
        <w:rPr>
          <w:rFonts w:hint="eastAsia"/>
          <w:sz w:val="24"/>
        </w:rPr>
        <w:t>第二十七条　危险物品的生产、经营、储存、装卸单位以及矿山、金属冶炼、建筑施工、运输单位的主要负责人和安全生产管理人员，应当由主管的负有安全生产监督管</w:t>
      </w:r>
      <w:r>
        <w:rPr>
          <w:rFonts w:hint="eastAsia"/>
          <w:sz w:val="24"/>
        </w:rPr>
        <w:lastRenderedPageBreak/>
        <w:t>理职责的部门对其安全生产知识和管理能力考核合格。</w:t>
      </w:r>
    </w:p>
    <w:p w14:paraId="08983745"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3</w:t>
      </w:r>
      <w:r>
        <w:rPr>
          <w:rFonts w:hint="eastAsia"/>
          <w:sz w:val="24"/>
        </w:rPr>
        <w:t>）《生产经营单位安全培训规定》</w:t>
      </w:r>
    </w:p>
    <w:p w14:paraId="528D0CE2" w14:textId="77777777" w:rsidR="003D6A63" w:rsidRDefault="00000000">
      <w:pPr>
        <w:adjustRightInd w:val="0"/>
        <w:snapToGrid w:val="0"/>
        <w:spacing w:line="360" w:lineRule="auto"/>
        <w:ind w:firstLineChars="200" w:firstLine="480"/>
        <w:rPr>
          <w:sz w:val="24"/>
        </w:rPr>
      </w:pPr>
      <w:r>
        <w:rPr>
          <w:rFonts w:hint="eastAsia"/>
          <w:sz w:val="24"/>
        </w:rPr>
        <w:t>第二十四条　煤矿、非煤矿山、危险化学品、烟花爆竹、金属冶炼等生产经营单位主要负责人和安全生产管理人员，自任职之日起</w:t>
      </w:r>
      <w:r>
        <w:rPr>
          <w:rFonts w:hint="eastAsia"/>
          <w:sz w:val="24"/>
        </w:rPr>
        <w:t>6</w:t>
      </w:r>
      <w:r>
        <w:rPr>
          <w:rFonts w:hint="eastAsia"/>
          <w:sz w:val="24"/>
        </w:rPr>
        <w:t>个月内，必须经安全生产监管监察部门对其安全生产知识和管理能力考核合格。</w:t>
      </w:r>
    </w:p>
    <w:p w14:paraId="08342A7F"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6.1.4.2  </w:t>
      </w:r>
      <w:r>
        <w:rPr>
          <w:rFonts w:ascii="Times New Roman" w:eastAsia="宋体" w:hAnsi="Times New Roman" w:hint="eastAsia"/>
          <w:sz w:val="24"/>
          <w:szCs w:val="24"/>
        </w:rPr>
        <w:t>检查情况</w:t>
      </w:r>
    </w:p>
    <w:p w14:paraId="544F0F4B" w14:textId="77777777" w:rsidR="003D6A63" w:rsidRDefault="00000000">
      <w:pPr>
        <w:adjustRightInd w:val="0"/>
        <w:snapToGrid w:val="0"/>
        <w:spacing w:line="360" w:lineRule="auto"/>
        <w:ind w:firstLineChars="200" w:firstLine="480"/>
        <w:rPr>
          <w:sz w:val="24"/>
        </w:rPr>
      </w:pPr>
      <w:r>
        <w:rPr>
          <w:rFonts w:hint="eastAsia"/>
          <w:sz w:val="24"/>
        </w:rPr>
        <w:t>中胜公司董事长、总经理均取得山东省应急管理厅颁发的陆上石油天然气开采主要负责人安全生产知识与管理能力考核合格证书。</w:t>
      </w:r>
    </w:p>
    <w:p w14:paraId="780AA32F" w14:textId="77777777" w:rsidR="003D6A63" w:rsidRDefault="00000000">
      <w:pPr>
        <w:adjustRightInd w:val="0"/>
        <w:snapToGrid w:val="0"/>
        <w:spacing w:line="360" w:lineRule="auto"/>
        <w:ind w:firstLineChars="200" w:firstLine="480"/>
        <w:rPr>
          <w:sz w:val="24"/>
        </w:rPr>
      </w:pPr>
      <w:r>
        <w:rPr>
          <w:rFonts w:hint="eastAsia"/>
          <w:sz w:val="24"/>
        </w:rPr>
        <w:t>中胜公司分管安全的副总经理、安全总监和其他专职安全管理人员均取得山东省应急管理厅颁发的陆上石油天然气开采安全生产管理人员安全生产知识与管理能力考核合格证书。</w:t>
      </w:r>
    </w:p>
    <w:p w14:paraId="4B233457" w14:textId="77777777" w:rsidR="003D6A63" w:rsidRDefault="00000000">
      <w:pPr>
        <w:pStyle w:val="nlw1"/>
        <w:adjustRightInd w:val="0"/>
        <w:snapToGrid w:val="0"/>
        <w:spacing w:line="360" w:lineRule="auto"/>
        <w:ind w:firstLine="480"/>
        <w:rPr>
          <w:rFonts w:ascii="Times New Roman" w:hAnsi="Times New Roman"/>
          <w:sz w:val="24"/>
          <w:szCs w:val="24"/>
          <w:lang w:val="en-US"/>
        </w:rPr>
      </w:pPr>
      <w:r>
        <w:rPr>
          <w:rFonts w:ascii="Times New Roman" w:hAnsi="Times New Roman" w:hint="eastAsia"/>
          <w:sz w:val="24"/>
          <w:szCs w:val="24"/>
          <w:lang w:val="en-US"/>
        </w:rPr>
        <w:t>中胜公司主要负责人及安全管理人员</w:t>
      </w:r>
      <w:r>
        <w:rPr>
          <w:rFonts w:ascii="Times New Roman" w:hAnsi="Times New Roman"/>
          <w:sz w:val="24"/>
          <w:szCs w:val="24"/>
        </w:rPr>
        <w:t>取证台账见</w:t>
      </w:r>
      <w:r>
        <w:rPr>
          <w:rFonts w:ascii="Times New Roman" w:hAnsi="Times New Roman" w:hint="eastAsia"/>
          <w:sz w:val="24"/>
          <w:szCs w:val="24"/>
          <w:lang w:val="en-US"/>
        </w:rPr>
        <w:t>表</w:t>
      </w:r>
      <w:r>
        <w:rPr>
          <w:rFonts w:ascii="Times New Roman" w:hAnsi="Times New Roman" w:hint="eastAsia"/>
          <w:sz w:val="24"/>
          <w:szCs w:val="24"/>
          <w:lang w:val="en-US"/>
        </w:rPr>
        <w:t>6.1-5</w:t>
      </w:r>
      <w:r>
        <w:rPr>
          <w:rFonts w:ascii="Times New Roman" w:hAnsi="Times New Roman" w:hint="eastAsia"/>
          <w:sz w:val="24"/>
          <w:szCs w:val="24"/>
        </w:rPr>
        <w:t>，</w:t>
      </w:r>
      <w:r>
        <w:rPr>
          <w:rFonts w:ascii="Times New Roman" w:hAnsi="Times New Roman" w:hint="eastAsia"/>
          <w:sz w:val="24"/>
          <w:szCs w:val="24"/>
          <w:lang w:val="en-US"/>
        </w:rPr>
        <w:t>主要负责人及安全管理人员</w:t>
      </w:r>
      <w:r>
        <w:rPr>
          <w:rFonts w:ascii="Times New Roman" w:hAnsi="Times New Roman" w:hint="eastAsia"/>
          <w:sz w:val="24"/>
          <w:szCs w:val="24"/>
        </w:rPr>
        <w:t>合格证书见附件</w:t>
      </w:r>
      <w:r>
        <w:rPr>
          <w:rFonts w:ascii="Times New Roman" w:hAnsi="Times New Roman" w:hint="eastAsia"/>
          <w:sz w:val="24"/>
          <w:szCs w:val="24"/>
          <w:lang w:val="en-US"/>
        </w:rPr>
        <w:t>7</w:t>
      </w:r>
      <w:r>
        <w:rPr>
          <w:rFonts w:ascii="Times New Roman" w:hAnsi="Times New Roman" w:hint="eastAsia"/>
          <w:sz w:val="24"/>
          <w:szCs w:val="24"/>
          <w:lang w:val="en-US"/>
        </w:rPr>
        <w:t>。</w:t>
      </w:r>
    </w:p>
    <w:p w14:paraId="209BC799" w14:textId="77777777" w:rsidR="003D6A63" w:rsidRDefault="00000000">
      <w:pPr>
        <w:adjustRightInd w:val="0"/>
        <w:snapToGrid w:val="0"/>
        <w:spacing w:line="360" w:lineRule="auto"/>
        <w:jc w:val="center"/>
        <w:rPr>
          <w:rFonts w:eastAsia="黑体"/>
          <w:szCs w:val="20"/>
        </w:rPr>
      </w:pPr>
      <w:r>
        <w:rPr>
          <w:rFonts w:eastAsia="黑体" w:hint="eastAsia"/>
          <w:szCs w:val="20"/>
        </w:rPr>
        <w:t>表</w:t>
      </w:r>
      <w:r>
        <w:rPr>
          <w:rFonts w:eastAsia="黑体" w:hint="eastAsia"/>
          <w:szCs w:val="20"/>
        </w:rPr>
        <w:t xml:space="preserve">6.1-5  </w:t>
      </w:r>
      <w:r>
        <w:rPr>
          <w:rFonts w:eastAsia="黑体" w:hint="eastAsia"/>
          <w:szCs w:val="20"/>
        </w:rPr>
        <w:t>主要负责人、安全管理人员证书台账</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95"/>
        <w:gridCol w:w="923"/>
        <w:gridCol w:w="1200"/>
        <w:gridCol w:w="2224"/>
        <w:gridCol w:w="1800"/>
        <w:gridCol w:w="1479"/>
        <w:gridCol w:w="1267"/>
      </w:tblGrid>
      <w:tr w:rsidR="003D6A63" w14:paraId="38F37EEB" w14:textId="77777777">
        <w:trPr>
          <w:trHeight w:val="340"/>
          <w:tblHeader/>
          <w:jc w:val="center"/>
        </w:trPr>
        <w:tc>
          <w:tcPr>
            <w:tcW w:w="213" w:type="pct"/>
            <w:tcBorders>
              <w:tl2br w:val="nil"/>
              <w:tr2bl w:val="nil"/>
            </w:tcBorders>
            <w:shd w:val="clear" w:color="auto" w:fill="auto"/>
            <w:vAlign w:val="center"/>
          </w:tcPr>
          <w:p w14:paraId="1344F1D5" w14:textId="77777777" w:rsidR="003D6A63" w:rsidRDefault="00000000">
            <w:pPr>
              <w:widowControl/>
              <w:adjustRightInd w:val="0"/>
              <w:snapToGrid w:val="0"/>
              <w:jc w:val="center"/>
              <w:textAlignment w:val="center"/>
              <w:rPr>
                <w:b/>
                <w:bCs/>
                <w:color w:val="000000"/>
                <w:szCs w:val="21"/>
              </w:rPr>
            </w:pPr>
            <w:r>
              <w:rPr>
                <w:b/>
                <w:bCs/>
                <w:color w:val="000000"/>
                <w:kern w:val="0"/>
                <w:szCs w:val="21"/>
                <w:lang w:bidi="ar"/>
              </w:rPr>
              <w:t>序号</w:t>
            </w:r>
          </w:p>
        </w:tc>
        <w:tc>
          <w:tcPr>
            <w:tcW w:w="497" w:type="pct"/>
            <w:tcBorders>
              <w:tl2br w:val="nil"/>
              <w:tr2bl w:val="nil"/>
            </w:tcBorders>
            <w:shd w:val="clear" w:color="auto" w:fill="auto"/>
            <w:vAlign w:val="center"/>
          </w:tcPr>
          <w:p w14:paraId="56FE2329" w14:textId="77777777" w:rsidR="003D6A63" w:rsidRDefault="00000000">
            <w:pPr>
              <w:widowControl/>
              <w:adjustRightInd w:val="0"/>
              <w:snapToGrid w:val="0"/>
              <w:jc w:val="center"/>
              <w:textAlignment w:val="center"/>
              <w:rPr>
                <w:b/>
                <w:bCs/>
                <w:color w:val="000000"/>
                <w:szCs w:val="21"/>
              </w:rPr>
            </w:pPr>
            <w:r>
              <w:rPr>
                <w:b/>
                <w:bCs/>
                <w:color w:val="000000"/>
                <w:kern w:val="0"/>
                <w:szCs w:val="21"/>
                <w:lang w:bidi="ar"/>
              </w:rPr>
              <w:t>姓名</w:t>
            </w:r>
          </w:p>
        </w:tc>
        <w:tc>
          <w:tcPr>
            <w:tcW w:w="645" w:type="pct"/>
            <w:tcBorders>
              <w:tl2br w:val="nil"/>
              <w:tr2bl w:val="nil"/>
            </w:tcBorders>
            <w:shd w:val="clear" w:color="auto" w:fill="auto"/>
            <w:vAlign w:val="center"/>
          </w:tcPr>
          <w:p w14:paraId="6E97D13B" w14:textId="77777777" w:rsidR="003D6A63" w:rsidRDefault="00000000">
            <w:pPr>
              <w:widowControl/>
              <w:adjustRightInd w:val="0"/>
              <w:snapToGrid w:val="0"/>
              <w:jc w:val="center"/>
              <w:textAlignment w:val="center"/>
              <w:rPr>
                <w:b/>
                <w:bCs/>
                <w:color w:val="000000"/>
                <w:kern w:val="0"/>
                <w:szCs w:val="21"/>
                <w:lang w:bidi="ar"/>
              </w:rPr>
            </w:pPr>
            <w:r>
              <w:rPr>
                <w:rFonts w:hint="eastAsia"/>
                <w:b/>
                <w:bCs/>
                <w:color w:val="000000"/>
                <w:kern w:val="0"/>
                <w:szCs w:val="21"/>
                <w:lang w:bidi="ar"/>
              </w:rPr>
              <w:t>职务</w:t>
            </w:r>
          </w:p>
        </w:tc>
        <w:tc>
          <w:tcPr>
            <w:tcW w:w="1196" w:type="pct"/>
            <w:tcBorders>
              <w:tl2br w:val="nil"/>
              <w:tr2bl w:val="nil"/>
            </w:tcBorders>
            <w:shd w:val="clear" w:color="auto" w:fill="auto"/>
            <w:vAlign w:val="center"/>
          </w:tcPr>
          <w:p w14:paraId="5142AF81" w14:textId="77777777" w:rsidR="003D6A63" w:rsidRDefault="00000000">
            <w:pPr>
              <w:widowControl/>
              <w:adjustRightInd w:val="0"/>
              <w:snapToGrid w:val="0"/>
              <w:jc w:val="center"/>
              <w:textAlignment w:val="center"/>
              <w:rPr>
                <w:b/>
                <w:bCs/>
                <w:color w:val="000000"/>
                <w:szCs w:val="21"/>
              </w:rPr>
            </w:pPr>
            <w:r>
              <w:rPr>
                <w:b/>
                <w:bCs/>
                <w:color w:val="000000"/>
                <w:kern w:val="0"/>
                <w:szCs w:val="21"/>
                <w:lang w:bidi="ar"/>
              </w:rPr>
              <w:t>证号</w:t>
            </w:r>
          </w:p>
        </w:tc>
        <w:tc>
          <w:tcPr>
            <w:tcW w:w="968" w:type="pct"/>
            <w:tcBorders>
              <w:tl2br w:val="nil"/>
              <w:tr2bl w:val="nil"/>
            </w:tcBorders>
            <w:shd w:val="clear" w:color="auto" w:fill="auto"/>
            <w:vAlign w:val="center"/>
          </w:tcPr>
          <w:p w14:paraId="0653D76F" w14:textId="77777777" w:rsidR="003D6A63" w:rsidRDefault="00000000">
            <w:pPr>
              <w:widowControl/>
              <w:adjustRightInd w:val="0"/>
              <w:snapToGrid w:val="0"/>
              <w:jc w:val="center"/>
              <w:textAlignment w:val="center"/>
              <w:rPr>
                <w:b/>
                <w:bCs/>
                <w:color w:val="000000"/>
                <w:szCs w:val="21"/>
              </w:rPr>
            </w:pPr>
            <w:r>
              <w:rPr>
                <w:b/>
                <w:bCs/>
                <w:color w:val="000000"/>
                <w:kern w:val="0"/>
                <w:szCs w:val="21"/>
                <w:lang w:bidi="ar"/>
              </w:rPr>
              <w:t>人员类型</w:t>
            </w:r>
          </w:p>
        </w:tc>
        <w:tc>
          <w:tcPr>
            <w:tcW w:w="795" w:type="pct"/>
            <w:tcBorders>
              <w:tl2br w:val="nil"/>
              <w:tr2bl w:val="nil"/>
            </w:tcBorders>
            <w:shd w:val="clear" w:color="auto" w:fill="auto"/>
            <w:vAlign w:val="center"/>
          </w:tcPr>
          <w:p w14:paraId="597C828F" w14:textId="77777777" w:rsidR="003D6A63" w:rsidRDefault="00000000">
            <w:pPr>
              <w:widowControl/>
              <w:adjustRightInd w:val="0"/>
              <w:snapToGrid w:val="0"/>
              <w:jc w:val="center"/>
              <w:textAlignment w:val="center"/>
              <w:rPr>
                <w:b/>
                <w:bCs/>
                <w:color w:val="000000"/>
                <w:szCs w:val="21"/>
              </w:rPr>
            </w:pPr>
            <w:r>
              <w:rPr>
                <w:b/>
                <w:bCs/>
                <w:color w:val="000000"/>
                <w:kern w:val="0"/>
                <w:szCs w:val="21"/>
                <w:lang w:bidi="ar"/>
              </w:rPr>
              <w:t>证件类型</w:t>
            </w:r>
          </w:p>
        </w:tc>
        <w:tc>
          <w:tcPr>
            <w:tcW w:w="681" w:type="pct"/>
            <w:tcBorders>
              <w:tl2br w:val="nil"/>
              <w:tr2bl w:val="nil"/>
            </w:tcBorders>
            <w:shd w:val="clear" w:color="auto" w:fill="auto"/>
            <w:vAlign w:val="center"/>
          </w:tcPr>
          <w:p w14:paraId="18A97B7F" w14:textId="77777777" w:rsidR="003D6A63" w:rsidRDefault="00000000">
            <w:pPr>
              <w:widowControl/>
              <w:adjustRightInd w:val="0"/>
              <w:snapToGrid w:val="0"/>
              <w:jc w:val="center"/>
              <w:textAlignment w:val="center"/>
              <w:rPr>
                <w:b/>
                <w:bCs/>
                <w:color w:val="000000"/>
                <w:szCs w:val="21"/>
              </w:rPr>
            </w:pPr>
            <w:r>
              <w:rPr>
                <w:rFonts w:hint="eastAsia"/>
                <w:b/>
                <w:bCs/>
                <w:color w:val="000000"/>
                <w:kern w:val="0"/>
                <w:szCs w:val="21"/>
                <w:lang w:bidi="ar"/>
              </w:rPr>
              <w:t>证件有效期限</w:t>
            </w:r>
          </w:p>
        </w:tc>
      </w:tr>
      <w:tr w:rsidR="003D6A63" w14:paraId="6D47F643" w14:textId="77777777">
        <w:trPr>
          <w:trHeight w:val="340"/>
          <w:jc w:val="center"/>
        </w:trPr>
        <w:tc>
          <w:tcPr>
            <w:tcW w:w="213" w:type="pct"/>
            <w:tcBorders>
              <w:tl2br w:val="nil"/>
              <w:tr2bl w:val="nil"/>
            </w:tcBorders>
            <w:shd w:val="clear" w:color="auto" w:fill="auto"/>
            <w:vAlign w:val="center"/>
          </w:tcPr>
          <w:p w14:paraId="7058D7A8" w14:textId="77777777" w:rsidR="003D6A63" w:rsidRDefault="003D6A63">
            <w:pPr>
              <w:widowControl/>
              <w:numPr>
                <w:ilvl w:val="0"/>
                <w:numId w:val="20"/>
              </w:numPr>
              <w:adjustRightInd w:val="0"/>
              <w:snapToGrid w:val="0"/>
              <w:jc w:val="center"/>
              <w:textAlignment w:val="center"/>
              <w:rPr>
                <w:b/>
                <w:bCs/>
                <w:color w:val="000000"/>
                <w:szCs w:val="21"/>
              </w:rPr>
            </w:pPr>
          </w:p>
        </w:tc>
        <w:tc>
          <w:tcPr>
            <w:tcW w:w="497" w:type="pct"/>
            <w:tcBorders>
              <w:tl2br w:val="nil"/>
              <w:tr2bl w:val="nil"/>
            </w:tcBorders>
            <w:shd w:val="clear" w:color="auto" w:fill="auto"/>
            <w:noWrap/>
            <w:vAlign w:val="center"/>
          </w:tcPr>
          <w:p w14:paraId="1B564384"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刘青峰</w:t>
            </w:r>
          </w:p>
        </w:tc>
        <w:tc>
          <w:tcPr>
            <w:tcW w:w="645" w:type="pct"/>
            <w:tcBorders>
              <w:tl2br w:val="nil"/>
              <w:tr2bl w:val="nil"/>
            </w:tcBorders>
            <w:shd w:val="clear" w:color="auto" w:fill="auto"/>
            <w:noWrap/>
            <w:vAlign w:val="center"/>
          </w:tcPr>
          <w:p w14:paraId="5768DF9D"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董事长</w:t>
            </w:r>
          </w:p>
        </w:tc>
        <w:tc>
          <w:tcPr>
            <w:tcW w:w="1196" w:type="pct"/>
            <w:tcBorders>
              <w:tl2br w:val="nil"/>
              <w:tr2bl w:val="nil"/>
            </w:tcBorders>
            <w:shd w:val="clear" w:color="auto" w:fill="auto"/>
            <w:noWrap/>
            <w:vAlign w:val="center"/>
          </w:tcPr>
          <w:p w14:paraId="6D5780DE" w14:textId="77777777" w:rsidR="003D6A63" w:rsidRDefault="00000000">
            <w:pPr>
              <w:widowControl/>
              <w:adjustRightInd w:val="0"/>
              <w:snapToGrid w:val="0"/>
              <w:jc w:val="center"/>
              <w:textAlignment w:val="bottom"/>
              <w:rPr>
                <w:color w:val="000000"/>
                <w:kern w:val="0"/>
                <w:szCs w:val="21"/>
                <w:lang w:bidi="ar"/>
              </w:rPr>
            </w:pPr>
            <w:r>
              <w:rPr>
                <w:color w:val="000000"/>
                <w:kern w:val="0"/>
                <w:szCs w:val="21"/>
                <w:lang w:bidi="ar"/>
              </w:rPr>
              <w:t>3705</w:t>
            </w:r>
            <w:r>
              <w:rPr>
                <w:rFonts w:hint="eastAsia"/>
                <w:color w:val="000000"/>
                <w:kern w:val="0"/>
                <w:szCs w:val="21"/>
                <w:lang w:bidi="ar"/>
              </w:rPr>
              <w:t>21198207162015</w:t>
            </w:r>
          </w:p>
        </w:tc>
        <w:tc>
          <w:tcPr>
            <w:tcW w:w="968" w:type="pct"/>
            <w:tcBorders>
              <w:tl2br w:val="nil"/>
              <w:tr2bl w:val="nil"/>
            </w:tcBorders>
            <w:shd w:val="clear" w:color="auto" w:fill="auto"/>
            <w:noWrap/>
            <w:vAlign w:val="center"/>
          </w:tcPr>
          <w:p w14:paraId="50F7C7FF" w14:textId="77777777" w:rsidR="003D6A63" w:rsidRDefault="00000000">
            <w:pPr>
              <w:widowControl/>
              <w:adjustRightInd w:val="0"/>
              <w:snapToGrid w:val="0"/>
              <w:jc w:val="center"/>
              <w:textAlignment w:val="bottom"/>
              <w:rPr>
                <w:color w:val="000000"/>
                <w:kern w:val="0"/>
                <w:szCs w:val="21"/>
                <w:lang w:bidi="ar"/>
              </w:rPr>
            </w:pPr>
            <w:r>
              <w:rPr>
                <w:color w:val="000000"/>
                <w:kern w:val="0"/>
                <w:szCs w:val="21"/>
                <w:lang w:bidi="ar"/>
              </w:rPr>
              <w:t>主要负责人</w:t>
            </w:r>
          </w:p>
        </w:tc>
        <w:tc>
          <w:tcPr>
            <w:tcW w:w="795" w:type="pct"/>
            <w:tcBorders>
              <w:tl2br w:val="nil"/>
              <w:tr2bl w:val="nil"/>
            </w:tcBorders>
            <w:shd w:val="clear" w:color="auto" w:fill="auto"/>
            <w:noWrap/>
            <w:vAlign w:val="center"/>
          </w:tcPr>
          <w:p w14:paraId="4CC06B83" w14:textId="77777777" w:rsidR="003D6A63" w:rsidRDefault="00000000">
            <w:pPr>
              <w:widowControl/>
              <w:adjustRightInd w:val="0"/>
              <w:snapToGrid w:val="0"/>
              <w:jc w:val="center"/>
              <w:textAlignment w:val="bottom"/>
              <w:rPr>
                <w:color w:val="000000"/>
                <w:kern w:val="0"/>
                <w:szCs w:val="21"/>
                <w:lang w:bidi="ar"/>
              </w:rPr>
            </w:pPr>
            <w:r>
              <w:rPr>
                <w:color w:val="000000"/>
                <w:kern w:val="0"/>
                <w:szCs w:val="21"/>
                <w:lang w:bidi="ar"/>
              </w:rPr>
              <w:t>陆上石油天然气开采</w:t>
            </w:r>
          </w:p>
        </w:tc>
        <w:tc>
          <w:tcPr>
            <w:tcW w:w="681" w:type="pct"/>
            <w:tcBorders>
              <w:tl2br w:val="nil"/>
              <w:tr2bl w:val="nil"/>
            </w:tcBorders>
            <w:shd w:val="clear" w:color="auto" w:fill="auto"/>
            <w:noWrap/>
            <w:vAlign w:val="center"/>
          </w:tcPr>
          <w:p w14:paraId="0CE94D52" w14:textId="77777777" w:rsidR="003D6A63" w:rsidRDefault="00000000">
            <w:pPr>
              <w:widowControl/>
              <w:adjustRightInd w:val="0"/>
              <w:snapToGrid w:val="0"/>
              <w:jc w:val="center"/>
              <w:textAlignment w:val="bottom"/>
              <w:rPr>
                <w:color w:val="000000"/>
                <w:kern w:val="0"/>
                <w:szCs w:val="21"/>
                <w:lang w:bidi="ar"/>
              </w:rPr>
            </w:pPr>
            <w:r>
              <w:rPr>
                <w:color w:val="000000"/>
                <w:kern w:val="0"/>
                <w:szCs w:val="21"/>
                <w:lang w:bidi="ar"/>
              </w:rPr>
              <w:t>2025.03.0</w:t>
            </w:r>
            <w:r>
              <w:rPr>
                <w:rFonts w:hint="eastAsia"/>
                <w:color w:val="000000"/>
                <w:kern w:val="0"/>
                <w:szCs w:val="21"/>
                <w:lang w:bidi="ar"/>
              </w:rPr>
              <w:t>9</w:t>
            </w:r>
          </w:p>
        </w:tc>
      </w:tr>
      <w:tr w:rsidR="003D6A63" w14:paraId="6693122B" w14:textId="77777777">
        <w:trPr>
          <w:trHeight w:val="340"/>
          <w:jc w:val="center"/>
        </w:trPr>
        <w:tc>
          <w:tcPr>
            <w:tcW w:w="213" w:type="pct"/>
            <w:tcBorders>
              <w:tl2br w:val="nil"/>
              <w:tr2bl w:val="nil"/>
            </w:tcBorders>
            <w:shd w:val="clear" w:color="auto" w:fill="auto"/>
            <w:vAlign w:val="center"/>
          </w:tcPr>
          <w:p w14:paraId="7CBF605F" w14:textId="77777777" w:rsidR="003D6A63" w:rsidRDefault="003D6A63">
            <w:pPr>
              <w:widowControl/>
              <w:numPr>
                <w:ilvl w:val="0"/>
                <w:numId w:val="20"/>
              </w:numPr>
              <w:adjustRightInd w:val="0"/>
              <w:snapToGrid w:val="0"/>
              <w:jc w:val="center"/>
              <w:textAlignment w:val="center"/>
              <w:rPr>
                <w:b/>
                <w:bCs/>
                <w:color w:val="000000"/>
                <w:szCs w:val="21"/>
              </w:rPr>
            </w:pPr>
          </w:p>
        </w:tc>
        <w:tc>
          <w:tcPr>
            <w:tcW w:w="497" w:type="pct"/>
            <w:tcBorders>
              <w:tl2br w:val="nil"/>
              <w:tr2bl w:val="nil"/>
            </w:tcBorders>
            <w:shd w:val="clear" w:color="auto" w:fill="auto"/>
            <w:noWrap/>
            <w:vAlign w:val="center"/>
          </w:tcPr>
          <w:p w14:paraId="54E11C6A"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刘继水</w:t>
            </w:r>
          </w:p>
        </w:tc>
        <w:tc>
          <w:tcPr>
            <w:tcW w:w="645" w:type="pct"/>
            <w:tcBorders>
              <w:tl2br w:val="nil"/>
              <w:tr2bl w:val="nil"/>
            </w:tcBorders>
            <w:shd w:val="clear" w:color="auto" w:fill="auto"/>
            <w:noWrap/>
            <w:vAlign w:val="center"/>
          </w:tcPr>
          <w:p w14:paraId="5B0BEABE"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总经理</w:t>
            </w:r>
          </w:p>
        </w:tc>
        <w:tc>
          <w:tcPr>
            <w:tcW w:w="1196" w:type="pct"/>
            <w:tcBorders>
              <w:tl2br w:val="nil"/>
              <w:tr2bl w:val="nil"/>
            </w:tcBorders>
            <w:shd w:val="clear" w:color="auto" w:fill="auto"/>
            <w:noWrap/>
            <w:vAlign w:val="center"/>
          </w:tcPr>
          <w:p w14:paraId="73396BDD" w14:textId="77777777" w:rsidR="003D6A63" w:rsidRDefault="00000000">
            <w:pPr>
              <w:widowControl/>
              <w:adjustRightInd w:val="0"/>
              <w:snapToGrid w:val="0"/>
              <w:jc w:val="center"/>
              <w:textAlignment w:val="bottom"/>
              <w:rPr>
                <w:color w:val="000000"/>
                <w:kern w:val="0"/>
                <w:szCs w:val="21"/>
                <w:lang w:bidi="ar"/>
              </w:rPr>
            </w:pPr>
            <w:r>
              <w:rPr>
                <w:color w:val="000000"/>
                <w:kern w:val="0"/>
                <w:szCs w:val="21"/>
                <w:lang w:bidi="ar"/>
              </w:rPr>
              <w:t>370502</w:t>
            </w:r>
            <w:r>
              <w:rPr>
                <w:rFonts w:hint="eastAsia"/>
                <w:color w:val="000000"/>
                <w:kern w:val="0"/>
                <w:szCs w:val="21"/>
                <w:lang w:bidi="ar"/>
              </w:rPr>
              <w:t>197405254013</w:t>
            </w:r>
          </w:p>
        </w:tc>
        <w:tc>
          <w:tcPr>
            <w:tcW w:w="968" w:type="pct"/>
            <w:tcBorders>
              <w:tl2br w:val="nil"/>
              <w:tr2bl w:val="nil"/>
            </w:tcBorders>
            <w:shd w:val="clear" w:color="auto" w:fill="auto"/>
            <w:noWrap/>
            <w:vAlign w:val="center"/>
          </w:tcPr>
          <w:p w14:paraId="7CEBEC40"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主要负责人</w:t>
            </w:r>
          </w:p>
        </w:tc>
        <w:tc>
          <w:tcPr>
            <w:tcW w:w="795" w:type="pct"/>
            <w:tcBorders>
              <w:tl2br w:val="nil"/>
              <w:tr2bl w:val="nil"/>
            </w:tcBorders>
            <w:shd w:val="clear" w:color="auto" w:fill="auto"/>
            <w:noWrap/>
            <w:vAlign w:val="center"/>
          </w:tcPr>
          <w:p w14:paraId="01D353E8" w14:textId="77777777" w:rsidR="003D6A63" w:rsidRDefault="00000000">
            <w:pPr>
              <w:widowControl/>
              <w:adjustRightInd w:val="0"/>
              <w:snapToGrid w:val="0"/>
              <w:jc w:val="center"/>
              <w:textAlignment w:val="center"/>
              <w:rPr>
                <w:color w:val="000000"/>
                <w:kern w:val="0"/>
                <w:szCs w:val="21"/>
                <w:lang w:bidi="ar"/>
              </w:rPr>
            </w:pPr>
            <w:r>
              <w:rPr>
                <w:rFonts w:ascii="宋体" w:hAnsi="宋体" w:cs="宋体" w:hint="eastAsia"/>
                <w:color w:val="000000"/>
                <w:kern w:val="0"/>
                <w:szCs w:val="21"/>
                <w:lang w:bidi="ar"/>
              </w:rPr>
              <w:t>陆上石油天然气开采</w:t>
            </w:r>
          </w:p>
        </w:tc>
        <w:tc>
          <w:tcPr>
            <w:tcW w:w="681" w:type="pct"/>
            <w:tcBorders>
              <w:tl2br w:val="nil"/>
              <w:tr2bl w:val="nil"/>
            </w:tcBorders>
            <w:shd w:val="clear" w:color="auto" w:fill="auto"/>
            <w:noWrap/>
            <w:vAlign w:val="center"/>
          </w:tcPr>
          <w:p w14:paraId="23469A1D"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2024.09.12</w:t>
            </w:r>
          </w:p>
        </w:tc>
      </w:tr>
      <w:tr w:rsidR="003D6A63" w14:paraId="1CD0B71A" w14:textId="77777777">
        <w:trPr>
          <w:trHeight w:val="340"/>
          <w:jc w:val="center"/>
        </w:trPr>
        <w:tc>
          <w:tcPr>
            <w:tcW w:w="213" w:type="pct"/>
            <w:tcBorders>
              <w:tl2br w:val="nil"/>
              <w:tr2bl w:val="nil"/>
            </w:tcBorders>
            <w:shd w:val="clear" w:color="auto" w:fill="auto"/>
            <w:vAlign w:val="center"/>
          </w:tcPr>
          <w:p w14:paraId="332CDEFA" w14:textId="77777777" w:rsidR="003D6A63" w:rsidRDefault="003D6A63">
            <w:pPr>
              <w:widowControl/>
              <w:numPr>
                <w:ilvl w:val="0"/>
                <w:numId w:val="20"/>
              </w:numPr>
              <w:adjustRightInd w:val="0"/>
              <w:snapToGrid w:val="0"/>
              <w:jc w:val="center"/>
              <w:textAlignment w:val="center"/>
              <w:rPr>
                <w:b/>
                <w:bCs/>
                <w:color w:val="000000"/>
                <w:szCs w:val="21"/>
              </w:rPr>
            </w:pPr>
          </w:p>
        </w:tc>
        <w:tc>
          <w:tcPr>
            <w:tcW w:w="497" w:type="pct"/>
            <w:tcBorders>
              <w:tl2br w:val="nil"/>
              <w:tr2bl w:val="nil"/>
            </w:tcBorders>
            <w:shd w:val="clear" w:color="auto" w:fill="auto"/>
            <w:noWrap/>
            <w:vAlign w:val="center"/>
          </w:tcPr>
          <w:p w14:paraId="5B72F11D"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任强</w:t>
            </w:r>
          </w:p>
        </w:tc>
        <w:tc>
          <w:tcPr>
            <w:tcW w:w="645" w:type="pct"/>
            <w:tcBorders>
              <w:tl2br w:val="nil"/>
              <w:tr2bl w:val="nil"/>
            </w:tcBorders>
            <w:shd w:val="clear" w:color="auto" w:fill="auto"/>
            <w:noWrap/>
            <w:vAlign w:val="center"/>
          </w:tcPr>
          <w:p w14:paraId="6398CCA2"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副总经理</w:t>
            </w:r>
          </w:p>
        </w:tc>
        <w:tc>
          <w:tcPr>
            <w:tcW w:w="1196" w:type="pct"/>
            <w:tcBorders>
              <w:tl2br w:val="nil"/>
              <w:tr2bl w:val="nil"/>
            </w:tcBorders>
            <w:shd w:val="clear" w:color="auto" w:fill="auto"/>
            <w:noWrap/>
            <w:vAlign w:val="center"/>
          </w:tcPr>
          <w:p w14:paraId="77EF60A7" w14:textId="77777777" w:rsidR="003D6A63" w:rsidRDefault="00000000">
            <w:pPr>
              <w:widowControl/>
              <w:adjustRightInd w:val="0"/>
              <w:snapToGrid w:val="0"/>
              <w:jc w:val="center"/>
              <w:textAlignment w:val="bottom"/>
              <w:rPr>
                <w:color w:val="000000"/>
                <w:kern w:val="0"/>
                <w:szCs w:val="21"/>
                <w:lang w:bidi="ar"/>
              </w:rPr>
            </w:pPr>
            <w:r>
              <w:rPr>
                <w:color w:val="000000"/>
                <w:kern w:val="0"/>
                <w:szCs w:val="21"/>
                <w:lang w:bidi="ar"/>
              </w:rPr>
              <w:t>370502</w:t>
            </w:r>
            <w:r>
              <w:rPr>
                <w:rFonts w:hint="eastAsia"/>
                <w:color w:val="000000"/>
                <w:kern w:val="0"/>
                <w:szCs w:val="21"/>
                <w:lang w:bidi="ar"/>
              </w:rPr>
              <w:t>197406060018</w:t>
            </w:r>
          </w:p>
        </w:tc>
        <w:tc>
          <w:tcPr>
            <w:tcW w:w="968" w:type="pct"/>
            <w:tcBorders>
              <w:tl2br w:val="nil"/>
              <w:tr2bl w:val="nil"/>
            </w:tcBorders>
            <w:shd w:val="clear" w:color="auto" w:fill="auto"/>
            <w:noWrap/>
            <w:vAlign w:val="center"/>
          </w:tcPr>
          <w:p w14:paraId="355BE5E6" w14:textId="77777777" w:rsidR="003D6A63" w:rsidRDefault="00000000">
            <w:pPr>
              <w:widowControl/>
              <w:adjustRightInd w:val="0"/>
              <w:snapToGrid w:val="0"/>
              <w:jc w:val="center"/>
              <w:textAlignment w:val="bottom"/>
              <w:rPr>
                <w:color w:val="000000"/>
                <w:kern w:val="0"/>
                <w:szCs w:val="21"/>
                <w:lang w:bidi="ar"/>
              </w:rPr>
            </w:pPr>
            <w:r>
              <w:rPr>
                <w:color w:val="000000"/>
                <w:kern w:val="0"/>
                <w:szCs w:val="21"/>
                <w:lang w:bidi="ar"/>
              </w:rPr>
              <w:t>安全生产管理人员</w:t>
            </w:r>
          </w:p>
        </w:tc>
        <w:tc>
          <w:tcPr>
            <w:tcW w:w="795" w:type="pct"/>
            <w:tcBorders>
              <w:tl2br w:val="nil"/>
              <w:tr2bl w:val="nil"/>
            </w:tcBorders>
            <w:shd w:val="clear" w:color="auto" w:fill="auto"/>
            <w:noWrap/>
            <w:vAlign w:val="center"/>
          </w:tcPr>
          <w:p w14:paraId="218F6C84" w14:textId="77777777" w:rsidR="003D6A63" w:rsidRDefault="00000000">
            <w:pPr>
              <w:widowControl/>
              <w:adjustRightInd w:val="0"/>
              <w:snapToGrid w:val="0"/>
              <w:jc w:val="center"/>
              <w:textAlignment w:val="center"/>
              <w:rPr>
                <w:color w:val="000000"/>
                <w:kern w:val="0"/>
                <w:szCs w:val="21"/>
                <w:lang w:bidi="ar"/>
              </w:rPr>
            </w:pPr>
            <w:r>
              <w:rPr>
                <w:rFonts w:ascii="宋体" w:hAnsi="宋体" w:cs="宋体" w:hint="eastAsia"/>
                <w:color w:val="000000"/>
                <w:kern w:val="0"/>
                <w:szCs w:val="21"/>
                <w:lang w:bidi="ar"/>
              </w:rPr>
              <w:t>陆上石油天然气开采</w:t>
            </w:r>
          </w:p>
        </w:tc>
        <w:tc>
          <w:tcPr>
            <w:tcW w:w="681" w:type="pct"/>
            <w:tcBorders>
              <w:tl2br w:val="nil"/>
              <w:tr2bl w:val="nil"/>
            </w:tcBorders>
            <w:shd w:val="clear" w:color="auto" w:fill="auto"/>
            <w:noWrap/>
            <w:vAlign w:val="center"/>
          </w:tcPr>
          <w:p w14:paraId="1642D421"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2024.09.12</w:t>
            </w:r>
          </w:p>
        </w:tc>
      </w:tr>
      <w:tr w:rsidR="003D6A63" w14:paraId="41AC1F78" w14:textId="77777777">
        <w:trPr>
          <w:trHeight w:val="340"/>
          <w:jc w:val="center"/>
        </w:trPr>
        <w:tc>
          <w:tcPr>
            <w:tcW w:w="213" w:type="pct"/>
            <w:tcBorders>
              <w:tl2br w:val="nil"/>
              <w:tr2bl w:val="nil"/>
            </w:tcBorders>
            <w:shd w:val="clear" w:color="auto" w:fill="auto"/>
            <w:vAlign w:val="center"/>
          </w:tcPr>
          <w:p w14:paraId="0E0D345E" w14:textId="77777777" w:rsidR="003D6A63" w:rsidRDefault="003D6A63">
            <w:pPr>
              <w:widowControl/>
              <w:numPr>
                <w:ilvl w:val="0"/>
                <w:numId w:val="20"/>
              </w:numPr>
              <w:adjustRightInd w:val="0"/>
              <w:snapToGrid w:val="0"/>
              <w:jc w:val="center"/>
              <w:textAlignment w:val="center"/>
              <w:rPr>
                <w:b/>
                <w:bCs/>
                <w:color w:val="000000"/>
                <w:szCs w:val="21"/>
              </w:rPr>
            </w:pPr>
          </w:p>
        </w:tc>
        <w:tc>
          <w:tcPr>
            <w:tcW w:w="497" w:type="pct"/>
            <w:tcBorders>
              <w:tl2br w:val="nil"/>
              <w:tr2bl w:val="nil"/>
            </w:tcBorders>
            <w:shd w:val="clear" w:color="auto" w:fill="auto"/>
            <w:noWrap/>
            <w:vAlign w:val="center"/>
          </w:tcPr>
          <w:p w14:paraId="2B9EBE69"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孙丙运</w:t>
            </w:r>
          </w:p>
        </w:tc>
        <w:tc>
          <w:tcPr>
            <w:tcW w:w="645" w:type="pct"/>
            <w:tcBorders>
              <w:tl2br w:val="nil"/>
              <w:tr2bl w:val="nil"/>
            </w:tcBorders>
            <w:shd w:val="clear" w:color="auto" w:fill="auto"/>
            <w:noWrap/>
            <w:vAlign w:val="center"/>
          </w:tcPr>
          <w:p w14:paraId="03FB87D5"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安全总监</w:t>
            </w:r>
          </w:p>
        </w:tc>
        <w:tc>
          <w:tcPr>
            <w:tcW w:w="1196" w:type="pct"/>
            <w:tcBorders>
              <w:tl2br w:val="nil"/>
              <w:tr2bl w:val="nil"/>
            </w:tcBorders>
            <w:shd w:val="clear" w:color="auto" w:fill="auto"/>
            <w:noWrap/>
            <w:vAlign w:val="center"/>
          </w:tcPr>
          <w:p w14:paraId="6396A701" w14:textId="77777777" w:rsidR="003D6A63" w:rsidRDefault="00000000">
            <w:pPr>
              <w:widowControl/>
              <w:adjustRightInd w:val="0"/>
              <w:snapToGrid w:val="0"/>
              <w:jc w:val="center"/>
              <w:textAlignment w:val="bottom"/>
              <w:rPr>
                <w:color w:val="000000"/>
                <w:kern w:val="0"/>
                <w:szCs w:val="21"/>
                <w:lang w:bidi="ar"/>
              </w:rPr>
            </w:pPr>
            <w:r>
              <w:rPr>
                <w:color w:val="000000"/>
                <w:kern w:val="0"/>
                <w:szCs w:val="21"/>
                <w:lang w:bidi="ar"/>
              </w:rPr>
              <w:t>370502</w:t>
            </w:r>
            <w:r>
              <w:rPr>
                <w:rFonts w:hint="eastAsia"/>
                <w:color w:val="000000"/>
                <w:kern w:val="0"/>
                <w:szCs w:val="21"/>
                <w:lang w:bidi="ar"/>
              </w:rPr>
              <w:t>197309292810</w:t>
            </w:r>
          </w:p>
        </w:tc>
        <w:tc>
          <w:tcPr>
            <w:tcW w:w="968" w:type="pct"/>
            <w:tcBorders>
              <w:tl2br w:val="nil"/>
              <w:tr2bl w:val="nil"/>
            </w:tcBorders>
            <w:shd w:val="clear" w:color="auto" w:fill="auto"/>
            <w:noWrap/>
            <w:vAlign w:val="center"/>
          </w:tcPr>
          <w:p w14:paraId="2591CD26" w14:textId="77777777" w:rsidR="003D6A63" w:rsidRDefault="00000000">
            <w:pPr>
              <w:widowControl/>
              <w:adjustRightInd w:val="0"/>
              <w:snapToGrid w:val="0"/>
              <w:jc w:val="center"/>
              <w:textAlignment w:val="bottom"/>
              <w:rPr>
                <w:color w:val="000000"/>
                <w:kern w:val="0"/>
                <w:szCs w:val="21"/>
                <w:lang w:bidi="ar"/>
              </w:rPr>
            </w:pPr>
            <w:r>
              <w:rPr>
                <w:color w:val="000000"/>
                <w:kern w:val="0"/>
                <w:szCs w:val="21"/>
                <w:lang w:bidi="ar"/>
              </w:rPr>
              <w:t>安全生产管理人员</w:t>
            </w:r>
          </w:p>
        </w:tc>
        <w:tc>
          <w:tcPr>
            <w:tcW w:w="795" w:type="pct"/>
            <w:tcBorders>
              <w:tl2br w:val="nil"/>
              <w:tr2bl w:val="nil"/>
            </w:tcBorders>
            <w:shd w:val="clear" w:color="auto" w:fill="auto"/>
            <w:noWrap/>
            <w:vAlign w:val="center"/>
          </w:tcPr>
          <w:p w14:paraId="6577E0FA" w14:textId="77777777" w:rsidR="003D6A63" w:rsidRDefault="00000000">
            <w:pPr>
              <w:widowControl/>
              <w:adjustRightInd w:val="0"/>
              <w:snapToGrid w:val="0"/>
              <w:jc w:val="center"/>
              <w:textAlignment w:val="center"/>
              <w:rPr>
                <w:color w:val="000000"/>
                <w:kern w:val="0"/>
                <w:szCs w:val="21"/>
                <w:lang w:bidi="ar"/>
              </w:rPr>
            </w:pPr>
            <w:r>
              <w:rPr>
                <w:rFonts w:ascii="宋体" w:hAnsi="宋体" w:cs="宋体" w:hint="eastAsia"/>
                <w:color w:val="000000"/>
                <w:kern w:val="0"/>
                <w:szCs w:val="21"/>
                <w:lang w:bidi="ar"/>
              </w:rPr>
              <w:t>陆上石油天然气开采</w:t>
            </w:r>
          </w:p>
        </w:tc>
        <w:tc>
          <w:tcPr>
            <w:tcW w:w="681" w:type="pct"/>
            <w:tcBorders>
              <w:tl2br w:val="nil"/>
              <w:tr2bl w:val="nil"/>
            </w:tcBorders>
            <w:shd w:val="clear" w:color="auto" w:fill="auto"/>
            <w:noWrap/>
            <w:vAlign w:val="center"/>
          </w:tcPr>
          <w:p w14:paraId="42FEBD2C"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2025.10.18</w:t>
            </w:r>
          </w:p>
        </w:tc>
      </w:tr>
      <w:tr w:rsidR="003D6A63" w14:paraId="2BA698DF" w14:textId="77777777">
        <w:trPr>
          <w:trHeight w:val="340"/>
          <w:jc w:val="center"/>
        </w:trPr>
        <w:tc>
          <w:tcPr>
            <w:tcW w:w="213" w:type="pct"/>
            <w:tcBorders>
              <w:tl2br w:val="nil"/>
              <w:tr2bl w:val="nil"/>
            </w:tcBorders>
            <w:shd w:val="clear" w:color="auto" w:fill="auto"/>
            <w:vAlign w:val="center"/>
          </w:tcPr>
          <w:p w14:paraId="03401A4F" w14:textId="77777777" w:rsidR="003D6A63" w:rsidRDefault="003D6A63">
            <w:pPr>
              <w:widowControl/>
              <w:numPr>
                <w:ilvl w:val="0"/>
                <w:numId w:val="20"/>
              </w:numPr>
              <w:adjustRightInd w:val="0"/>
              <w:snapToGrid w:val="0"/>
              <w:jc w:val="center"/>
              <w:textAlignment w:val="center"/>
              <w:rPr>
                <w:b/>
                <w:bCs/>
                <w:color w:val="000000"/>
                <w:szCs w:val="21"/>
              </w:rPr>
            </w:pPr>
          </w:p>
        </w:tc>
        <w:tc>
          <w:tcPr>
            <w:tcW w:w="497" w:type="pct"/>
            <w:tcBorders>
              <w:tl2br w:val="nil"/>
              <w:tr2bl w:val="nil"/>
            </w:tcBorders>
            <w:shd w:val="clear" w:color="auto" w:fill="auto"/>
            <w:noWrap/>
            <w:vAlign w:val="center"/>
          </w:tcPr>
          <w:p w14:paraId="4D3E08C3"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张秀波</w:t>
            </w:r>
          </w:p>
        </w:tc>
        <w:tc>
          <w:tcPr>
            <w:tcW w:w="645" w:type="pct"/>
            <w:tcBorders>
              <w:tl2br w:val="nil"/>
              <w:tr2bl w:val="nil"/>
            </w:tcBorders>
            <w:shd w:val="clear" w:color="auto" w:fill="auto"/>
            <w:noWrap/>
            <w:vAlign w:val="center"/>
          </w:tcPr>
          <w:p w14:paraId="5FE3064B"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专职安全管理人员</w:t>
            </w:r>
          </w:p>
        </w:tc>
        <w:tc>
          <w:tcPr>
            <w:tcW w:w="1196" w:type="pct"/>
            <w:tcBorders>
              <w:tl2br w:val="nil"/>
              <w:tr2bl w:val="nil"/>
            </w:tcBorders>
            <w:shd w:val="clear" w:color="auto" w:fill="auto"/>
            <w:noWrap/>
            <w:vAlign w:val="center"/>
          </w:tcPr>
          <w:p w14:paraId="237559D8"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370502198207262818</w:t>
            </w:r>
          </w:p>
        </w:tc>
        <w:tc>
          <w:tcPr>
            <w:tcW w:w="968" w:type="pct"/>
            <w:tcBorders>
              <w:tl2br w:val="nil"/>
              <w:tr2bl w:val="nil"/>
            </w:tcBorders>
            <w:shd w:val="clear" w:color="auto" w:fill="auto"/>
            <w:noWrap/>
            <w:vAlign w:val="center"/>
          </w:tcPr>
          <w:p w14:paraId="68046AD7" w14:textId="77777777" w:rsidR="003D6A63" w:rsidRDefault="00000000">
            <w:pPr>
              <w:widowControl/>
              <w:adjustRightInd w:val="0"/>
              <w:snapToGrid w:val="0"/>
              <w:jc w:val="center"/>
              <w:textAlignment w:val="bottom"/>
              <w:rPr>
                <w:color w:val="000000"/>
                <w:kern w:val="0"/>
                <w:szCs w:val="21"/>
                <w:lang w:bidi="ar"/>
              </w:rPr>
            </w:pPr>
            <w:r>
              <w:rPr>
                <w:color w:val="000000"/>
                <w:kern w:val="0"/>
                <w:szCs w:val="21"/>
                <w:lang w:bidi="ar"/>
              </w:rPr>
              <w:t>安全生产管理人员</w:t>
            </w:r>
          </w:p>
        </w:tc>
        <w:tc>
          <w:tcPr>
            <w:tcW w:w="795" w:type="pct"/>
            <w:tcBorders>
              <w:tl2br w:val="nil"/>
              <w:tr2bl w:val="nil"/>
            </w:tcBorders>
            <w:shd w:val="clear" w:color="auto" w:fill="auto"/>
            <w:noWrap/>
            <w:vAlign w:val="center"/>
          </w:tcPr>
          <w:p w14:paraId="0C839CDD" w14:textId="77777777" w:rsidR="003D6A63" w:rsidRDefault="00000000">
            <w:pPr>
              <w:widowControl/>
              <w:adjustRightInd w:val="0"/>
              <w:snapToGrid w:val="0"/>
              <w:jc w:val="center"/>
              <w:textAlignment w:val="center"/>
              <w:rPr>
                <w:color w:val="000000"/>
                <w:kern w:val="0"/>
                <w:szCs w:val="21"/>
                <w:lang w:bidi="ar"/>
              </w:rPr>
            </w:pPr>
            <w:r>
              <w:rPr>
                <w:rFonts w:ascii="宋体" w:hAnsi="宋体" w:cs="宋体" w:hint="eastAsia"/>
                <w:color w:val="000000"/>
                <w:kern w:val="0"/>
                <w:szCs w:val="21"/>
                <w:lang w:bidi="ar"/>
              </w:rPr>
              <w:t>陆上石油天然气开采</w:t>
            </w:r>
          </w:p>
        </w:tc>
        <w:tc>
          <w:tcPr>
            <w:tcW w:w="681" w:type="pct"/>
            <w:tcBorders>
              <w:tl2br w:val="nil"/>
              <w:tr2bl w:val="nil"/>
            </w:tcBorders>
            <w:shd w:val="clear" w:color="auto" w:fill="auto"/>
            <w:noWrap/>
            <w:vAlign w:val="center"/>
          </w:tcPr>
          <w:p w14:paraId="30258D33"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2025.03.09</w:t>
            </w:r>
          </w:p>
        </w:tc>
      </w:tr>
      <w:tr w:rsidR="003D6A63" w14:paraId="72980ED3" w14:textId="77777777">
        <w:trPr>
          <w:trHeight w:val="340"/>
          <w:jc w:val="center"/>
        </w:trPr>
        <w:tc>
          <w:tcPr>
            <w:tcW w:w="213" w:type="pct"/>
            <w:tcBorders>
              <w:tl2br w:val="nil"/>
              <w:tr2bl w:val="nil"/>
            </w:tcBorders>
            <w:shd w:val="clear" w:color="auto" w:fill="auto"/>
            <w:vAlign w:val="center"/>
          </w:tcPr>
          <w:p w14:paraId="31437775" w14:textId="77777777" w:rsidR="003D6A63" w:rsidRDefault="003D6A63">
            <w:pPr>
              <w:widowControl/>
              <w:numPr>
                <w:ilvl w:val="0"/>
                <w:numId w:val="20"/>
              </w:numPr>
              <w:adjustRightInd w:val="0"/>
              <w:snapToGrid w:val="0"/>
              <w:jc w:val="center"/>
              <w:textAlignment w:val="center"/>
              <w:rPr>
                <w:b/>
                <w:bCs/>
                <w:color w:val="000000"/>
                <w:szCs w:val="21"/>
              </w:rPr>
            </w:pPr>
          </w:p>
        </w:tc>
        <w:tc>
          <w:tcPr>
            <w:tcW w:w="497" w:type="pct"/>
            <w:tcBorders>
              <w:tl2br w:val="nil"/>
              <w:tr2bl w:val="nil"/>
            </w:tcBorders>
            <w:shd w:val="clear" w:color="auto" w:fill="auto"/>
            <w:noWrap/>
            <w:vAlign w:val="center"/>
          </w:tcPr>
          <w:p w14:paraId="044A922F"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王伟平</w:t>
            </w:r>
          </w:p>
        </w:tc>
        <w:tc>
          <w:tcPr>
            <w:tcW w:w="645" w:type="pct"/>
            <w:tcBorders>
              <w:tl2br w:val="nil"/>
              <w:tr2bl w:val="nil"/>
            </w:tcBorders>
            <w:shd w:val="clear" w:color="auto" w:fill="auto"/>
            <w:noWrap/>
            <w:vAlign w:val="center"/>
          </w:tcPr>
          <w:p w14:paraId="3BD6BDE9"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专职安全管理人员</w:t>
            </w:r>
          </w:p>
        </w:tc>
        <w:tc>
          <w:tcPr>
            <w:tcW w:w="1196" w:type="pct"/>
            <w:tcBorders>
              <w:tl2br w:val="nil"/>
              <w:tr2bl w:val="nil"/>
            </w:tcBorders>
            <w:shd w:val="clear" w:color="auto" w:fill="auto"/>
            <w:noWrap/>
            <w:vAlign w:val="center"/>
          </w:tcPr>
          <w:p w14:paraId="38406D42" w14:textId="77777777" w:rsidR="003D6A63" w:rsidRDefault="00000000">
            <w:pPr>
              <w:widowControl/>
              <w:adjustRightInd w:val="0"/>
              <w:snapToGrid w:val="0"/>
              <w:jc w:val="center"/>
              <w:textAlignment w:val="bottom"/>
              <w:rPr>
                <w:color w:val="000000"/>
                <w:kern w:val="0"/>
                <w:szCs w:val="21"/>
                <w:lang w:bidi="ar"/>
              </w:rPr>
            </w:pPr>
            <w:r>
              <w:rPr>
                <w:color w:val="000000"/>
                <w:kern w:val="0"/>
                <w:szCs w:val="21"/>
                <w:lang w:bidi="ar"/>
              </w:rPr>
              <w:t>37050219</w:t>
            </w:r>
            <w:r>
              <w:rPr>
                <w:rFonts w:hint="eastAsia"/>
                <w:color w:val="000000"/>
                <w:kern w:val="0"/>
                <w:szCs w:val="21"/>
                <w:lang w:bidi="ar"/>
              </w:rPr>
              <w:t>7503054437</w:t>
            </w:r>
          </w:p>
        </w:tc>
        <w:tc>
          <w:tcPr>
            <w:tcW w:w="968" w:type="pct"/>
            <w:tcBorders>
              <w:tl2br w:val="nil"/>
              <w:tr2bl w:val="nil"/>
            </w:tcBorders>
            <w:shd w:val="clear" w:color="auto" w:fill="auto"/>
            <w:noWrap/>
            <w:vAlign w:val="center"/>
          </w:tcPr>
          <w:p w14:paraId="1AAC601C" w14:textId="77777777" w:rsidR="003D6A63" w:rsidRDefault="00000000">
            <w:pPr>
              <w:widowControl/>
              <w:adjustRightInd w:val="0"/>
              <w:snapToGrid w:val="0"/>
              <w:jc w:val="center"/>
              <w:textAlignment w:val="bottom"/>
              <w:rPr>
                <w:color w:val="000000"/>
                <w:kern w:val="0"/>
                <w:szCs w:val="21"/>
                <w:lang w:bidi="ar"/>
              </w:rPr>
            </w:pPr>
            <w:r>
              <w:rPr>
                <w:color w:val="000000"/>
                <w:kern w:val="0"/>
                <w:szCs w:val="21"/>
                <w:lang w:bidi="ar"/>
              </w:rPr>
              <w:t>安全生产管理人员</w:t>
            </w:r>
          </w:p>
        </w:tc>
        <w:tc>
          <w:tcPr>
            <w:tcW w:w="795" w:type="pct"/>
            <w:tcBorders>
              <w:tl2br w:val="nil"/>
              <w:tr2bl w:val="nil"/>
            </w:tcBorders>
            <w:shd w:val="clear" w:color="auto" w:fill="auto"/>
            <w:noWrap/>
            <w:vAlign w:val="center"/>
          </w:tcPr>
          <w:p w14:paraId="61EFD18F" w14:textId="77777777" w:rsidR="003D6A63" w:rsidRDefault="00000000">
            <w:pPr>
              <w:widowControl/>
              <w:adjustRightInd w:val="0"/>
              <w:snapToGrid w:val="0"/>
              <w:jc w:val="center"/>
              <w:textAlignment w:val="center"/>
              <w:rPr>
                <w:color w:val="000000"/>
                <w:kern w:val="0"/>
                <w:szCs w:val="21"/>
                <w:lang w:bidi="ar"/>
              </w:rPr>
            </w:pPr>
            <w:r>
              <w:rPr>
                <w:rFonts w:ascii="宋体" w:hAnsi="宋体" w:cs="宋体" w:hint="eastAsia"/>
                <w:color w:val="000000"/>
                <w:kern w:val="0"/>
                <w:szCs w:val="21"/>
                <w:lang w:bidi="ar"/>
              </w:rPr>
              <w:t>陆上石油天然气开采+注安（其他安全）</w:t>
            </w:r>
          </w:p>
        </w:tc>
        <w:tc>
          <w:tcPr>
            <w:tcW w:w="681" w:type="pct"/>
            <w:tcBorders>
              <w:tl2br w:val="nil"/>
              <w:tr2bl w:val="nil"/>
            </w:tcBorders>
            <w:shd w:val="clear" w:color="auto" w:fill="auto"/>
            <w:noWrap/>
            <w:vAlign w:val="center"/>
          </w:tcPr>
          <w:p w14:paraId="48474E6A" w14:textId="77777777" w:rsidR="003D6A63" w:rsidRDefault="00000000">
            <w:pPr>
              <w:widowControl/>
              <w:adjustRightInd w:val="0"/>
              <w:snapToGrid w:val="0"/>
              <w:jc w:val="center"/>
              <w:textAlignment w:val="bottom"/>
              <w:rPr>
                <w:color w:val="000000"/>
                <w:kern w:val="0"/>
                <w:szCs w:val="21"/>
                <w:lang w:bidi="ar"/>
              </w:rPr>
            </w:pPr>
            <w:r>
              <w:rPr>
                <w:rFonts w:hint="eastAsia"/>
                <w:color w:val="000000"/>
                <w:kern w:val="0"/>
                <w:szCs w:val="21"/>
                <w:lang w:bidi="ar"/>
              </w:rPr>
              <w:t>2024.09.12</w:t>
            </w:r>
          </w:p>
        </w:tc>
      </w:tr>
    </w:tbl>
    <w:p w14:paraId="4E7D9815" w14:textId="77777777" w:rsidR="003D6A63" w:rsidRDefault="00000000">
      <w:pPr>
        <w:pStyle w:val="4"/>
        <w:keepNext w:val="0"/>
        <w:keepLines w:val="0"/>
        <w:spacing w:beforeLines="50" w:before="12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6.1.4.3  </w:t>
      </w:r>
      <w:r>
        <w:rPr>
          <w:rFonts w:ascii="Times New Roman" w:eastAsia="宋体" w:hAnsi="Times New Roman" w:hint="eastAsia"/>
          <w:sz w:val="24"/>
          <w:szCs w:val="24"/>
        </w:rPr>
        <w:t>检查结果</w:t>
      </w:r>
    </w:p>
    <w:p w14:paraId="434038F7" w14:textId="77777777" w:rsidR="003D6A63" w:rsidRDefault="00000000">
      <w:pPr>
        <w:pStyle w:val="nlw1"/>
        <w:adjustRightInd w:val="0"/>
        <w:snapToGrid w:val="0"/>
        <w:spacing w:line="360" w:lineRule="auto"/>
        <w:ind w:firstLine="480"/>
        <w:rPr>
          <w:rFonts w:ascii="Times New Roman" w:hAnsi="Times New Roman"/>
          <w:sz w:val="24"/>
          <w:szCs w:val="24"/>
          <w:lang w:val="en-US"/>
        </w:rPr>
      </w:pPr>
      <w:r>
        <w:rPr>
          <w:rFonts w:ascii="Times New Roman" w:hAnsi="Times New Roman" w:hint="eastAsia"/>
          <w:sz w:val="24"/>
          <w:szCs w:val="24"/>
          <w:lang w:val="en-US"/>
        </w:rPr>
        <w:t>中胜公司主要负责人和安全生产管理人员证书，符合国家法律法规及其标准规范的要求。</w:t>
      </w:r>
    </w:p>
    <w:p w14:paraId="11D645AF" w14:textId="77777777" w:rsidR="003D6A63" w:rsidRDefault="00000000">
      <w:pPr>
        <w:pStyle w:val="3e"/>
        <w:rPr>
          <w:rFonts w:eastAsia="黑体"/>
          <w:b w:val="0"/>
          <w:spacing w:val="0"/>
          <w:sz w:val="24"/>
        </w:rPr>
      </w:pPr>
      <w:r>
        <w:rPr>
          <w:rFonts w:eastAsia="黑体" w:hint="eastAsia"/>
          <w:b w:val="0"/>
          <w:spacing w:val="0"/>
          <w:sz w:val="24"/>
        </w:rPr>
        <w:t xml:space="preserve">6.1.5  </w:t>
      </w:r>
      <w:r>
        <w:rPr>
          <w:rFonts w:eastAsia="黑体" w:hint="eastAsia"/>
          <w:b w:val="0"/>
          <w:spacing w:val="0"/>
          <w:sz w:val="24"/>
        </w:rPr>
        <w:t>特种作业人员操作资格证书</w:t>
      </w:r>
    </w:p>
    <w:p w14:paraId="643BF7E7"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6.1.5.1  </w:t>
      </w:r>
      <w:r>
        <w:rPr>
          <w:rFonts w:ascii="Times New Roman" w:eastAsia="宋体" w:hAnsi="Times New Roman" w:hint="eastAsia"/>
          <w:sz w:val="24"/>
          <w:szCs w:val="24"/>
        </w:rPr>
        <w:t>法规要求</w:t>
      </w:r>
    </w:p>
    <w:p w14:paraId="6BA254FF"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）《非煤矿矿山企业安全生产许可证实施办法》</w:t>
      </w:r>
    </w:p>
    <w:p w14:paraId="4DA3B30C" w14:textId="77777777" w:rsidR="003D6A63" w:rsidRDefault="00000000">
      <w:pPr>
        <w:adjustRightInd w:val="0"/>
        <w:snapToGrid w:val="0"/>
        <w:spacing w:line="360" w:lineRule="auto"/>
        <w:ind w:firstLineChars="200" w:firstLine="480"/>
        <w:rPr>
          <w:sz w:val="24"/>
        </w:rPr>
      </w:pPr>
      <w:r>
        <w:rPr>
          <w:rFonts w:hint="eastAsia"/>
          <w:sz w:val="24"/>
        </w:rPr>
        <w:t>第六条　特种作业人员经有关业务主管部门考核合格，取得特种作业操作资格证书。</w:t>
      </w:r>
    </w:p>
    <w:p w14:paraId="1C18A94E" w14:textId="77777777" w:rsidR="003D6A63" w:rsidRDefault="00000000">
      <w:pPr>
        <w:adjustRightInd w:val="0"/>
        <w:snapToGrid w:val="0"/>
        <w:spacing w:line="360" w:lineRule="auto"/>
        <w:ind w:firstLineChars="100" w:firstLine="240"/>
        <w:rPr>
          <w:sz w:val="24"/>
        </w:rPr>
      </w:pPr>
      <w:r>
        <w:rPr>
          <w:rFonts w:hint="eastAsia"/>
          <w:sz w:val="24"/>
        </w:rPr>
        <w:lastRenderedPageBreak/>
        <w:t>（</w:t>
      </w:r>
      <w:r>
        <w:rPr>
          <w:rFonts w:hint="eastAsia"/>
          <w:sz w:val="24"/>
        </w:rPr>
        <w:t>2</w:t>
      </w:r>
      <w:r>
        <w:rPr>
          <w:rFonts w:hint="eastAsia"/>
          <w:sz w:val="24"/>
        </w:rPr>
        <w:t>）《特种作业人员安全技术培训考核管理规定》（国家安全生产监督管理总局令第</w:t>
      </w:r>
      <w:r>
        <w:rPr>
          <w:rFonts w:hint="eastAsia"/>
          <w:sz w:val="24"/>
        </w:rPr>
        <w:t>30</w:t>
      </w:r>
      <w:r>
        <w:rPr>
          <w:rFonts w:hint="eastAsia"/>
          <w:sz w:val="24"/>
        </w:rPr>
        <w:t>号）</w:t>
      </w:r>
    </w:p>
    <w:p w14:paraId="7923D5EC" w14:textId="77777777" w:rsidR="003D6A63" w:rsidRDefault="00000000">
      <w:pPr>
        <w:adjustRightInd w:val="0"/>
        <w:snapToGrid w:val="0"/>
        <w:spacing w:line="360" w:lineRule="auto"/>
        <w:ind w:firstLineChars="200" w:firstLine="480"/>
        <w:rPr>
          <w:sz w:val="24"/>
        </w:rPr>
      </w:pPr>
      <w:r>
        <w:rPr>
          <w:rFonts w:hint="eastAsia"/>
          <w:sz w:val="24"/>
        </w:rPr>
        <w:t>第五条</w:t>
      </w:r>
      <w:r>
        <w:rPr>
          <w:rFonts w:hint="eastAsia"/>
          <w:sz w:val="24"/>
        </w:rPr>
        <w:t xml:space="preserve"> </w:t>
      </w:r>
      <w:r>
        <w:rPr>
          <w:rFonts w:hint="eastAsia"/>
          <w:sz w:val="24"/>
        </w:rPr>
        <w:t>特种作业人员必须经专门的安全技术培训并考核合格，取得《中华人民共和国特种作业操作证》（以下简称特种作业操作证）后，方可上岗作业。</w:t>
      </w:r>
    </w:p>
    <w:p w14:paraId="6ED2AE9A"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6.1.5.2  </w:t>
      </w:r>
      <w:r>
        <w:rPr>
          <w:rFonts w:ascii="Times New Roman" w:eastAsia="宋体" w:hAnsi="Times New Roman" w:hint="eastAsia"/>
          <w:sz w:val="24"/>
          <w:szCs w:val="24"/>
        </w:rPr>
        <w:t>检查情况</w:t>
      </w:r>
    </w:p>
    <w:p w14:paraId="23812B21" w14:textId="77777777" w:rsidR="003D6A63" w:rsidRDefault="00000000">
      <w:pPr>
        <w:adjustRightInd w:val="0"/>
        <w:snapToGrid w:val="0"/>
        <w:spacing w:line="360" w:lineRule="auto"/>
        <w:ind w:firstLineChars="200" w:firstLine="480"/>
        <w:rPr>
          <w:sz w:val="24"/>
        </w:rPr>
      </w:pPr>
      <w:r>
        <w:rPr>
          <w:rFonts w:hint="eastAsia"/>
          <w:sz w:val="24"/>
        </w:rPr>
        <w:t>根据胜利油田安全生产（</w:t>
      </w:r>
      <w:r>
        <w:rPr>
          <w:rFonts w:hint="eastAsia"/>
          <w:sz w:val="24"/>
        </w:rPr>
        <w:t>QHSE</w:t>
      </w:r>
      <w:r>
        <w:rPr>
          <w:rFonts w:hint="eastAsia"/>
          <w:sz w:val="24"/>
        </w:rPr>
        <w:t>）委员会办公室发布的《专业化单位与开发单位安全责任指导意见》（胜油</w:t>
      </w:r>
      <w:r>
        <w:rPr>
          <w:rFonts w:hint="eastAsia"/>
          <w:sz w:val="24"/>
        </w:rPr>
        <w:t>QHSE</w:t>
      </w:r>
      <w:r>
        <w:rPr>
          <w:rFonts w:hint="eastAsia"/>
          <w:sz w:val="24"/>
        </w:rPr>
        <w:t>〔</w:t>
      </w:r>
      <w:r>
        <w:rPr>
          <w:rFonts w:hint="eastAsia"/>
          <w:sz w:val="24"/>
        </w:rPr>
        <w:t>2022</w:t>
      </w:r>
      <w:r>
        <w:rPr>
          <w:rFonts w:hint="eastAsia"/>
          <w:sz w:val="24"/>
        </w:rPr>
        <w:t>〕</w:t>
      </w:r>
      <w:r>
        <w:rPr>
          <w:rFonts w:hint="eastAsia"/>
          <w:sz w:val="24"/>
        </w:rPr>
        <w:t>77</w:t>
      </w:r>
      <w:r>
        <w:rPr>
          <w:rFonts w:hint="eastAsia"/>
          <w:sz w:val="24"/>
        </w:rPr>
        <w:t>号），胜利油田地面工程维修中心承揽中胜公司地面工程建设、维修、抢修等地面工程维修服务，包括地面工程建设、维修、抢修等；胜利油田电力分公司承揽中胜公司电力运维服务业务，包括电力设施运行维护和电力配套施工等。</w:t>
      </w:r>
    </w:p>
    <w:p w14:paraId="2D605B18" w14:textId="77777777" w:rsidR="003D6A63" w:rsidRDefault="00000000">
      <w:pPr>
        <w:adjustRightInd w:val="0"/>
        <w:snapToGrid w:val="0"/>
        <w:spacing w:line="360" w:lineRule="auto"/>
        <w:ind w:firstLineChars="200" w:firstLine="480"/>
        <w:rPr>
          <w:sz w:val="24"/>
        </w:rPr>
      </w:pPr>
      <w:r>
        <w:rPr>
          <w:rFonts w:hint="eastAsia"/>
          <w:sz w:val="24"/>
        </w:rPr>
        <w:t>中胜公司地面工程维修、电力运维等业务所涉及的电工、焊接与热切割、高处作业等特种作业均由相关专业化单位负责实施。</w:t>
      </w:r>
    </w:p>
    <w:p w14:paraId="649373D8" w14:textId="77777777" w:rsidR="003D6A63" w:rsidRDefault="00000000">
      <w:pPr>
        <w:adjustRightInd w:val="0"/>
        <w:snapToGrid w:val="0"/>
        <w:spacing w:line="360" w:lineRule="auto"/>
        <w:ind w:firstLineChars="200" w:firstLine="480"/>
        <w:rPr>
          <w:sz w:val="24"/>
        </w:rPr>
      </w:pPr>
      <w:r>
        <w:rPr>
          <w:rFonts w:hint="eastAsia"/>
          <w:sz w:val="24"/>
        </w:rPr>
        <w:t>相关证明文件及专业化队伍在中胜公司的特种作业人员证件见附件</w:t>
      </w:r>
      <w:r>
        <w:rPr>
          <w:rFonts w:hint="eastAsia"/>
          <w:sz w:val="24"/>
        </w:rPr>
        <w:t>15</w:t>
      </w:r>
      <w:r>
        <w:rPr>
          <w:rFonts w:hint="eastAsia"/>
          <w:sz w:val="24"/>
        </w:rPr>
        <w:t>。</w:t>
      </w:r>
    </w:p>
    <w:p w14:paraId="07D0144B"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6.1.5.3  </w:t>
      </w:r>
      <w:r>
        <w:rPr>
          <w:rFonts w:ascii="Times New Roman" w:eastAsia="宋体" w:hAnsi="Times New Roman" w:hint="eastAsia"/>
          <w:sz w:val="24"/>
          <w:szCs w:val="24"/>
        </w:rPr>
        <w:t>检查情况</w:t>
      </w:r>
    </w:p>
    <w:p w14:paraId="54A72729" w14:textId="77777777" w:rsidR="003D6A63" w:rsidRDefault="00000000">
      <w:pPr>
        <w:adjustRightInd w:val="0"/>
        <w:snapToGrid w:val="0"/>
        <w:spacing w:line="360" w:lineRule="auto"/>
        <w:ind w:firstLineChars="200" w:firstLine="480"/>
        <w:rPr>
          <w:sz w:val="24"/>
        </w:rPr>
      </w:pPr>
      <w:r>
        <w:rPr>
          <w:rFonts w:hint="eastAsia"/>
          <w:sz w:val="24"/>
        </w:rPr>
        <w:t>专业化队伍特种作业人员均持证上岗，符合国家法律法规及其标准规范的要求。</w:t>
      </w:r>
    </w:p>
    <w:p w14:paraId="2B96264A" w14:textId="77777777" w:rsidR="003D6A63" w:rsidRDefault="00000000">
      <w:pPr>
        <w:pStyle w:val="3"/>
        <w:keepNext w:val="0"/>
        <w:keepLines w:val="0"/>
        <w:spacing w:before="0" w:after="0" w:line="360" w:lineRule="auto"/>
        <w:rPr>
          <w:rFonts w:eastAsia="黑体"/>
          <w:b w:val="0"/>
          <w:spacing w:val="0"/>
          <w:sz w:val="24"/>
        </w:rPr>
      </w:pPr>
      <w:r>
        <w:rPr>
          <w:rFonts w:eastAsia="黑体" w:hint="eastAsia"/>
          <w:b w:val="0"/>
          <w:spacing w:val="0"/>
          <w:sz w:val="24"/>
        </w:rPr>
        <w:t xml:space="preserve">6.1.6  </w:t>
      </w:r>
      <w:r>
        <w:rPr>
          <w:rFonts w:eastAsia="黑体" w:hint="eastAsia"/>
          <w:b w:val="0"/>
          <w:spacing w:val="0"/>
          <w:sz w:val="24"/>
        </w:rPr>
        <w:t>其他从业人员教育培训</w:t>
      </w:r>
    </w:p>
    <w:p w14:paraId="3A47A8EB"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6.1.6.1  </w:t>
      </w:r>
      <w:r>
        <w:rPr>
          <w:rFonts w:ascii="Times New Roman" w:eastAsia="宋体" w:hAnsi="Times New Roman" w:hint="eastAsia"/>
          <w:sz w:val="24"/>
          <w:szCs w:val="24"/>
        </w:rPr>
        <w:t>法规要求</w:t>
      </w:r>
    </w:p>
    <w:p w14:paraId="6A281683"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）《非煤矿矿山企业安全生产许可证实施办法》</w:t>
      </w:r>
    </w:p>
    <w:p w14:paraId="1EF482F2" w14:textId="77777777" w:rsidR="003D6A63" w:rsidRDefault="00000000">
      <w:pPr>
        <w:adjustRightInd w:val="0"/>
        <w:snapToGrid w:val="0"/>
        <w:spacing w:line="360" w:lineRule="auto"/>
        <w:ind w:firstLineChars="200" w:firstLine="480"/>
        <w:rPr>
          <w:sz w:val="24"/>
        </w:rPr>
      </w:pPr>
      <w:r>
        <w:rPr>
          <w:rFonts w:hint="eastAsia"/>
          <w:sz w:val="24"/>
        </w:rPr>
        <w:t>第六条　其他从业人员依照规定接受安全生产教育和培训，并经考试合格。</w:t>
      </w:r>
    </w:p>
    <w:p w14:paraId="25505236"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）《生产经营单位安全培训规定》</w:t>
      </w:r>
    </w:p>
    <w:p w14:paraId="156EA25C" w14:textId="77777777" w:rsidR="003D6A63" w:rsidRDefault="00000000">
      <w:pPr>
        <w:adjustRightInd w:val="0"/>
        <w:snapToGrid w:val="0"/>
        <w:spacing w:line="360" w:lineRule="auto"/>
        <w:ind w:firstLineChars="200" w:firstLine="480"/>
        <w:rPr>
          <w:sz w:val="24"/>
        </w:rPr>
      </w:pPr>
      <w:r>
        <w:rPr>
          <w:rFonts w:hint="eastAsia"/>
          <w:sz w:val="24"/>
        </w:rPr>
        <w:t>第十三条　煤矿、非煤矿山、危险化学品、烟花爆竹、金属冶炼等生产经营单位新上岗的从业人员安全培训时间不得少于</w:t>
      </w:r>
      <w:r>
        <w:rPr>
          <w:rFonts w:hint="eastAsia"/>
          <w:sz w:val="24"/>
        </w:rPr>
        <w:t>72</w:t>
      </w:r>
      <w:r>
        <w:rPr>
          <w:rFonts w:hint="eastAsia"/>
          <w:sz w:val="24"/>
        </w:rPr>
        <w:t>学时，每年再培训的时间不得少于</w:t>
      </w:r>
      <w:r>
        <w:rPr>
          <w:rFonts w:hint="eastAsia"/>
          <w:sz w:val="24"/>
        </w:rPr>
        <w:t>20</w:t>
      </w:r>
      <w:r>
        <w:rPr>
          <w:rFonts w:hint="eastAsia"/>
          <w:sz w:val="24"/>
        </w:rPr>
        <w:t>学时。</w:t>
      </w:r>
    </w:p>
    <w:p w14:paraId="50575480"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3</w:t>
      </w:r>
      <w:r>
        <w:rPr>
          <w:rFonts w:hint="eastAsia"/>
          <w:sz w:val="24"/>
        </w:rPr>
        <w:t>）《山东省生产经营单位安全生产主体责任规定》</w:t>
      </w:r>
    </w:p>
    <w:p w14:paraId="41518B5D" w14:textId="77777777" w:rsidR="003D6A63" w:rsidRDefault="00000000">
      <w:pPr>
        <w:adjustRightInd w:val="0"/>
        <w:snapToGrid w:val="0"/>
        <w:spacing w:line="360" w:lineRule="auto"/>
        <w:ind w:firstLineChars="200" w:firstLine="480"/>
        <w:rPr>
          <w:sz w:val="24"/>
        </w:rPr>
      </w:pPr>
      <w:r>
        <w:rPr>
          <w:rFonts w:hint="eastAsia"/>
          <w:sz w:val="24"/>
        </w:rPr>
        <w:t>第二十四条　生产经营单位应当定期组织全员安全生产教育培训。对新进从业人员、离岗</w:t>
      </w:r>
      <w:r>
        <w:rPr>
          <w:rFonts w:hint="eastAsia"/>
          <w:sz w:val="24"/>
        </w:rPr>
        <w:t>6</w:t>
      </w:r>
      <w:r>
        <w:rPr>
          <w:rFonts w:hint="eastAsia"/>
          <w:sz w:val="24"/>
        </w:rPr>
        <w:t>个月以上的或者换岗的从业人员，以及采用新工艺、新技术、新材料或者使用新设备后的有关从业人员，及时进行上岗前安全生产教育和培训；对在岗人员应当定期组织安全生产再教育培训活动。教育培训情况应当记录备查。</w:t>
      </w:r>
    </w:p>
    <w:p w14:paraId="705C58F5"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4</w:t>
      </w:r>
      <w:r>
        <w:rPr>
          <w:rFonts w:hint="eastAsia"/>
          <w:sz w:val="24"/>
        </w:rPr>
        <w:t>）《特种设备安全法》</w:t>
      </w:r>
    </w:p>
    <w:p w14:paraId="21CD979B" w14:textId="77777777" w:rsidR="003D6A63" w:rsidRDefault="00000000">
      <w:pPr>
        <w:adjustRightInd w:val="0"/>
        <w:snapToGrid w:val="0"/>
        <w:spacing w:line="360" w:lineRule="auto"/>
        <w:ind w:firstLineChars="200" w:firstLine="480"/>
        <w:rPr>
          <w:sz w:val="24"/>
        </w:rPr>
      </w:pPr>
      <w:r>
        <w:rPr>
          <w:rFonts w:hint="eastAsia"/>
          <w:sz w:val="24"/>
        </w:rPr>
        <w:t>第十四条　特种设备安全管理人员、检测人员和作业人员应当按照国家有关规定取得相应资格，方可从事相关工作。</w:t>
      </w:r>
    </w:p>
    <w:p w14:paraId="673DDEA9" w14:textId="77777777" w:rsidR="003D6A63" w:rsidRDefault="00000000">
      <w:pPr>
        <w:adjustRightInd w:val="0"/>
        <w:snapToGrid w:val="0"/>
        <w:spacing w:line="360" w:lineRule="auto"/>
        <w:ind w:firstLineChars="100" w:firstLine="240"/>
        <w:rPr>
          <w:sz w:val="24"/>
        </w:rPr>
      </w:pPr>
      <w:r>
        <w:rPr>
          <w:rFonts w:hint="eastAsia"/>
          <w:sz w:val="24"/>
        </w:rPr>
        <w:lastRenderedPageBreak/>
        <w:t>（</w:t>
      </w:r>
      <w:r>
        <w:rPr>
          <w:rFonts w:hint="eastAsia"/>
          <w:sz w:val="24"/>
        </w:rPr>
        <w:t>5</w:t>
      </w:r>
      <w:r>
        <w:rPr>
          <w:rFonts w:hint="eastAsia"/>
          <w:sz w:val="24"/>
        </w:rPr>
        <w:t>）《山东省特种设备安全条例》</w:t>
      </w:r>
    </w:p>
    <w:p w14:paraId="4B93F2EE" w14:textId="77777777" w:rsidR="003D6A63" w:rsidRDefault="00000000">
      <w:pPr>
        <w:adjustRightInd w:val="0"/>
        <w:snapToGrid w:val="0"/>
        <w:spacing w:line="360" w:lineRule="auto"/>
        <w:ind w:firstLineChars="200" w:firstLine="480"/>
        <w:rPr>
          <w:sz w:val="24"/>
        </w:rPr>
      </w:pPr>
      <w:r>
        <w:rPr>
          <w:rFonts w:hint="eastAsia"/>
          <w:sz w:val="24"/>
        </w:rPr>
        <w:t>第十七条</w:t>
      </w:r>
      <w:r>
        <w:rPr>
          <w:rFonts w:hint="eastAsia"/>
          <w:sz w:val="24"/>
        </w:rPr>
        <w:t xml:space="preserve">  </w:t>
      </w:r>
      <w:r>
        <w:rPr>
          <w:rFonts w:hint="eastAsia"/>
          <w:sz w:val="24"/>
        </w:rPr>
        <w:t>电站锅炉、石油天然气管道、石油加工与化工成套装置使用单位，移动式压力容器、气瓶充装单位，以及起重机械、场（厂）内专用机动车辆的数量大于五十台的特种设备使用单位应当配备特种设备安全管理负责人；电梯、客运索道、大型游乐设施等为公众提供服务的特种设备的运营使用单位应当配备专职安全管理人员。</w:t>
      </w:r>
    </w:p>
    <w:p w14:paraId="05DB5FC5"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6</w:t>
      </w:r>
      <w:r>
        <w:rPr>
          <w:rFonts w:hint="eastAsia"/>
          <w:sz w:val="24"/>
        </w:rPr>
        <w:t>）《石油与天然气井井控安全技术考核管理规则》（</w:t>
      </w:r>
      <w:r>
        <w:rPr>
          <w:rFonts w:hint="eastAsia"/>
          <w:sz w:val="24"/>
        </w:rPr>
        <w:t>SY/T5742-2019</w:t>
      </w:r>
      <w:r>
        <w:rPr>
          <w:rFonts w:hint="eastAsia"/>
          <w:sz w:val="24"/>
        </w:rPr>
        <w:t>）</w:t>
      </w:r>
    </w:p>
    <w:p w14:paraId="4BF5AABC" w14:textId="77777777" w:rsidR="003D6A63" w:rsidRDefault="00000000">
      <w:pPr>
        <w:adjustRightInd w:val="0"/>
        <w:snapToGrid w:val="0"/>
        <w:spacing w:line="360" w:lineRule="auto"/>
        <w:ind w:firstLineChars="200" w:firstLine="480"/>
        <w:rPr>
          <w:sz w:val="24"/>
        </w:rPr>
      </w:pPr>
      <w:r>
        <w:rPr>
          <w:rFonts w:hint="eastAsia"/>
          <w:sz w:val="24"/>
        </w:rPr>
        <w:t>第</w:t>
      </w:r>
      <w:r>
        <w:rPr>
          <w:rFonts w:hint="eastAsia"/>
          <w:sz w:val="24"/>
        </w:rPr>
        <w:t>3</w:t>
      </w:r>
      <w:r>
        <w:rPr>
          <w:rFonts w:hint="eastAsia"/>
          <w:sz w:val="24"/>
        </w:rPr>
        <w:t>条　井控培训合格证取证的人员范围</w:t>
      </w:r>
      <w:r>
        <w:rPr>
          <w:rFonts w:hint="eastAsia"/>
          <w:sz w:val="24"/>
        </w:rPr>
        <w:t xml:space="preserve"> </w:t>
      </w:r>
    </w:p>
    <w:p w14:paraId="2AA3C18B" w14:textId="77777777" w:rsidR="003D6A63" w:rsidRDefault="00000000">
      <w:pPr>
        <w:adjustRightInd w:val="0"/>
        <w:snapToGrid w:val="0"/>
        <w:spacing w:line="360" w:lineRule="auto"/>
        <w:ind w:firstLineChars="200" w:firstLine="480"/>
        <w:rPr>
          <w:sz w:val="24"/>
        </w:rPr>
      </w:pPr>
      <w:r>
        <w:rPr>
          <w:rFonts w:hint="eastAsia"/>
          <w:sz w:val="24"/>
        </w:rPr>
        <w:t>油气生产单位、工程施工单位的领导及管理人员：主管生产、技术和安全工作的领导，正副总工程师；技术和安全管理部门领导、主管井控设计、审批领导及参与井控管理的人员。</w:t>
      </w:r>
    </w:p>
    <w:p w14:paraId="6744C3C4"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6.1.6.2  </w:t>
      </w:r>
      <w:r>
        <w:rPr>
          <w:rFonts w:ascii="Times New Roman" w:eastAsia="宋体" w:hAnsi="Times New Roman" w:hint="eastAsia"/>
          <w:sz w:val="24"/>
          <w:szCs w:val="24"/>
        </w:rPr>
        <w:t>检查情况</w:t>
      </w:r>
    </w:p>
    <w:p w14:paraId="541720FA"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）在岗培训</w:t>
      </w:r>
    </w:p>
    <w:p w14:paraId="1658EA71" w14:textId="77777777" w:rsidR="003D6A63" w:rsidRDefault="00000000">
      <w:pPr>
        <w:adjustRightInd w:val="0"/>
        <w:snapToGrid w:val="0"/>
        <w:spacing w:line="360" w:lineRule="auto"/>
        <w:ind w:firstLineChars="200" w:firstLine="480"/>
        <w:rPr>
          <w:sz w:val="24"/>
        </w:rPr>
      </w:pPr>
      <w:r>
        <w:rPr>
          <w:rFonts w:hint="eastAsia"/>
          <w:sz w:val="24"/>
        </w:rPr>
        <w:t>中胜公司每年通过对职工培训需求进行调研分析，制定年度培训计划。相关教育培训材料详见报告附件</w:t>
      </w:r>
      <w:r>
        <w:rPr>
          <w:rFonts w:hint="eastAsia"/>
          <w:sz w:val="24"/>
        </w:rPr>
        <w:t>24</w:t>
      </w:r>
      <w:r>
        <w:rPr>
          <w:rFonts w:hint="eastAsia"/>
          <w:sz w:val="24"/>
        </w:rPr>
        <w:t>。</w:t>
      </w:r>
    </w:p>
    <w:p w14:paraId="6C26BFCC" w14:textId="77777777" w:rsidR="003D6A63" w:rsidRDefault="00000000">
      <w:pPr>
        <w:adjustRightInd w:val="0"/>
        <w:snapToGrid w:val="0"/>
        <w:spacing w:line="360" w:lineRule="auto"/>
        <w:ind w:firstLineChars="200" w:firstLine="480"/>
        <w:rPr>
          <w:sz w:val="24"/>
        </w:rPr>
      </w:pPr>
      <w:r>
        <w:rPr>
          <w:rFonts w:hint="eastAsia"/>
          <w:sz w:val="24"/>
        </w:rPr>
        <w:t>中胜公司对新上岗的员工进行</w:t>
      </w:r>
      <w:r>
        <w:rPr>
          <w:rFonts w:hint="eastAsia"/>
          <w:sz w:val="24"/>
        </w:rPr>
        <w:t>72</w:t>
      </w:r>
      <w:r>
        <w:rPr>
          <w:rFonts w:hint="eastAsia"/>
          <w:sz w:val="24"/>
        </w:rPr>
        <w:t>学时安全培训，考试合格后安排上岗；对于调整工作岗位或离岗</w:t>
      </w:r>
      <w:r>
        <w:rPr>
          <w:rFonts w:hint="eastAsia"/>
          <w:sz w:val="24"/>
        </w:rPr>
        <w:t>6</w:t>
      </w:r>
      <w:r>
        <w:rPr>
          <w:rFonts w:hint="eastAsia"/>
          <w:sz w:val="24"/>
        </w:rPr>
        <w:t>个月以上重新上岗的人员，重新接受管理区和班站的培训，培训时间不少于</w:t>
      </w:r>
      <w:r>
        <w:rPr>
          <w:rFonts w:hint="eastAsia"/>
          <w:sz w:val="24"/>
        </w:rPr>
        <w:t>48</w:t>
      </w:r>
      <w:r>
        <w:rPr>
          <w:rFonts w:hint="eastAsia"/>
          <w:sz w:val="24"/>
        </w:rPr>
        <w:t>学时。</w:t>
      </w:r>
    </w:p>
    <w:p w14:paraId="2598F1A4" w14:textId="77777777" w:rsidR="003D6A63" w:rsidRDefault="00000000">
      <w:pPr>
        <w:adjustRightInd w:val="0"/>
        <w:snapToGrid w:val="0"/>
        <w:spacing w:line="360" w:lineRule="auto"/>
        <w:ind w:firstLineChars="200" w:firstLine="480"/>
        <w:rPr>
          <w:sz w:val="24"/>
        </w:rPr>
      </w:pPr>
      <w:r>
        <w:rPr>
          <w:rFonts w:hint="eastAsia"/>
          <w:sz w:val="24"/>
        </w:rPr>
        <w:t>中胜公司开展多种形式的培训，在岗员工参加在岗安全培训。基层员工在岗安全培训时间不少于</w:t>
      </w:r>
      <w:r>
        <w:rPr>
          <w:rFonts w:hint="eastAsia"/>
          <w:sz w:val="24"/>
        </w:rPr>
        <w:t>20</w:t>
      </w:r>
      <w:r>
        <w:rPr>
          <w:rFonts w:hint="eastAsia"/>
          <w:sz w:val="24"/>
        </w:rPr>
        <w:t>学时</w:t>
      </w:r>
      <w:r>
        <w:rPr>
          <w:rFonts w:hint="eastAsia"/>
          <w:sz w:val="24"/>
        </w:rPr>
        <w:t>/</w:t>
      </w:r>
      <w:r>
        <w:rPr>
          <w:rFonts w:hint="eastAsia"/>
          <w:sz w:val="24"/>
        </w:rPr>
        <w:t>年，班组长不少于</w:t>
      </w:r>
      <w:r>
        <w:rPr>
          <w:rFonts w:hint="eastAsia"/>
          <w:sz w:val="24"/>
        </w:rPr>
        <w:t>24</w:t>
      </w:r>
      <w:r>
        <w:rPr>
          <w:rFonts w:hint="eastAsia"/>
          <w:sz w:val="24"/>
        </w:rPr>
        <w:t>学时</w:t>
      </w:r>
      <w:r>
        <w:rPr>
          <w:rFonts w:hint="eastAsia"/>
          <w:sz w:val="24"/>
        </w:rPr>
        <w:t>/</w:t>
      </w:r>
      <w:r>
        <w:rPr>
          <w:rFonts w:hint="eastAsia"/>
          <w:sz w:val="24"/>
        </w:rPr>
        <w:t>年。主要负责人在春节、元旦、国庆等节假日后开展开工第一课，通过政策形势宣讲、安全生产法律法规、上级下发文件、思想动员、警示教育、安全部署等，收拢人员思想、强化全员安全意识、落实安全措施、迅速恢复正常工作状态。</w:t>
      </w:r>
    </w:p>
    <w:p w14:paraId="777AF638"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）取证</w:t>
      </w:r>
      <w:r>
        <w:rPr>
          <w:sz w:val="24"/>
        </w:rPr>
        <w:t>持证</w:t>
      </w:r>
    </w:p>
    <w:p w14:paraId="4344B3C9" w14:textId="77777777" w:rsidR="003D6A63" w:rsidRDefault="00000000">
      <w:pPr>
        <w:adjustRightInd w:val="0"/>
        <w:snapToGrid w:val="0"/>
        <w:spacing w:line="360" w:lineRule="auto"/>
        <w:ind w:firstLineChars="200" w:firstLine="480"/>
        <w:rPr>
          <w:color w:val="FF0000"/>
          <w:sz w:val="24"/>
        </w:rPr>
      </w:pPr>
      <w:r>
        <w:rPr>
          <w:rFonts w:hint="eastAsia"/>
          <w:sz w:val="24"/>
        </w:rPr>
        <w:t>中胜公司其它证书主要包括特种设备安全管理、操作人员证和企业内部取证要求。特种设备安全管理、操作人员主要包括特种设备安全管理（</w:t>
      </w:r>
      <w:r>
        <w:rPr>
          <w:rFonts w:hint="eastAsia"/>
          <w:sz w:val="24"/>
        </w:rPr>
        <w:t>A</w:t>
      </w:r>
      <w:r>
        <w:rPr>
          <w:rFonts w:hint="eastAsia"/>
          <w:sz w:val="24"/>
        </w:rPr>
        <w:t>）共</w:t>
      </w:r>
      <w:r>
        <w:rPr>
          <w:rFonts w:hint="eastAsia"/>
          <w:sz w:val="24"/>
        </w:rPr>
        <w:t>4</w:t>
      </w:r>
      <w:r>
        <w:rPr>
          <w:rFonts w:hint="eastAsia"/>
          <w:sz w:val="24"/>
        </w:rPr>
        <w:t>人。另外还包括井控培训合格证（</w:t>
      </w:r>
      <w:r>
        <w:rPr>
          <w:rFonts w:hint="eastAsia"/>
          <w:sz w:val="24"/>
        </w:rPr>
        <w:t>67</w:t>
      </w:r>
      <w:r>
        <w:rPr>
          <w:rFonts w:hint="eastAsia"/>
          <w:sz w:val="24"/>
        </w:rPr>
        <w:t>人）、硫化氢防护培训合格证（</w:t>
      </w:r>
      <w:r>
        <w:rPr>
          <w:rFonts w:hint="eastAsia"/>
          <w:sz w:val="24"/>
        </w:rPr>
        <w:t>28</w:t>
      </w:r>
      <w:r>
        <w:rPr>
          <w:rFonts w:hint="eastAsia"/>
          <w:sz w:val="24"/>
        </w:rPr>
        <w:t>人）</w:t>
      </w:r>
      <w:r>
        <w:rPr>
          <w:sz w:val="24"/>
        </w:rPr>
        <w:t>。</w:t>
      </w:r>
      <w:r>
        <w:rPr>
          <w:rFonts w:hint="eastAsia"/>
          <w:sz w:val="24"/>
        </w:rPr>
        <w:t>井控证书及特种设备安全管理证书见附件</w:t>
      </w:r>
      <w:r>
        <w:rPr>
          <w:rFonts w:hint="eastAsia"/>
          <w:sz w:val="24"/>
        </w:rPr>
        <w:t>17</w:t>
      </w:r>
      <w:r>
        <w:rPr>
          <w:rFonts w:hint="eastAsia"/>
          <w:sz w:val="24"/>
        </w:rPr>
        <w:t>、</w:t>
      </w:r>
      <w:r>
        <w:rPr>
          <w:rFonts w:hint="eastAsia"/>
          <w:sz w:val="24"/>
        </w:rPr>
        <w:t>18</w:t>
      </w:r>
      <w:r>
        <w:rPr>
          <w:rFonts w:hint="eastAsia"/>
          <w:sz w:val="24"/>
        </w:rPr>
        <w:t>。</w:t>
      </w:r>
    </w:p>
    <w:p w14:paraId="3DB20029" w14:textId="77777777" w:rsidR="003D6A63" w:rsidRDefault="00000000">
      <w:pPr>
        <w:adjustRightInd w:val="0"/>
        <w:snapToGrid w:val="0"/>
        <w:spacing w:line="360" w:lineRule="auto"/>
        <w:jc w:val="center"/>
        <w:rPr>
          <w:rFonts w:eastAsia="黑体"/>
          <w:szCs w:val="20"/>
        </w:rPr>
      </w:pPr>
      <w:r>
        <w:rPr>
          <w:rFonts w:eastAsia="黑体" w:hint="eastAsia"/>
          <w:szCs w:val="20"/>
        </w:rPr>
        <w:t>表</w:t>
      </w:r>
      <w:r>
        <w:rPr>
          <w:rFonts w:eastAsia="黑体" w:hint="eastAsia"/>
          <w:szCs w:val="20"/>
        </w:rPr>
        <w:t xml:space="preserve">6.1-6  </w:t>
      </w:r>
      <w:r>
        <w:rPr>
          <w:rFonts w:eastAsia="黑体" w:hint="eastAsia"/>
          <w:szCs w:val="20"/>
        </w:rPr>
        <w:t>其他从业人员证书统计表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97"/>
        <w:gridCol w:w="4431"/>
        <w:gridCol w:w="1732"/>
        <w:gridCol w:w="2028"/>
      </w:tblGrid>
      <w:tr w:rsidR="003D6A63" w14:paraId="0672D932" w14:textId="77777777">
        <w:trPr>
          <w:trHeight w:val="340"/>
        </w:trPr>
        <w:tc>
          <w:tcPr>
            <w:tcW w:w="590" w:type="pct"/>
            <w:tcBorders>
              <w:tl2br w:val="nil"/>
              <w:tr2bl w:val="nil"/>
            </w:tcBorders>
            <w:vAlign w:val="center"/>
          </w:tcPr>
          <w:p w14:paraId="70BCEC13" w14:textId="77777777" w:rsidR="003D6A63" w:rsidRDefault="00000000">
            <w:pPr>
              <w:widowControl/>
              <w:jc w:val="center"/>
              <w:rPr>
                <w:b/>
                <w:kern w:val="0"/>
                <w:szCs w:val="21"/>
              </w:rPr>
            </w:pPr>
            <w:r>
              <w:rPr>
                <w:b/>
                <w:kern w:val="0"/>
                <w:szCs w:val="21"/>
              </w:rPr>
              <w:t>序号</w:t>
            </w:r>
          </w:p>
        </w:tc>
        <w:tc>
          <w:tcPr>
            <w:tcW w:w="2384" w:type="pct"/>
            <w:tcBorders>
              <w:tl2br w:val="nil"/>
              <w:tr2bl w:val="nil"/>
            </w:tcBorders>
            <w:vAlign w:val="center"/>
          </w:tcPr>
          <w:p w14:paraId="1AB9842C" w14:textId="77777777" w:rsidR="003D6A63" w:rsidRDefault="00000000">
            <w:pPr>
              <w:widowControl/>
              <w:jc w:val="center"/>
              <w:rPr>
                <w:b/>
                <w:kern w:val="0"/>
                <w:szCs w:val="21"/>
              </w:rPr>
            </w:pPr>
            <w:r>
              <w:rPr>
                <w:b/>
                <w:kern w:val="0"/>
                <w:szCs w:val="21"/>
              </w:rPr>
              <w:t>证书类型</w:t>
            </w:r>
          </w:p>
        </w:tc>
        <w:tc>
          <w:tcPr>
            <w:tcW w:w="932" w:type="pct"/>
            <w:tcBorders>
              <w:tl2br w:val="nil"/>
              <w:tr2bl w:val="nil"/>
            </w:tcBorders>
            <w:vAlign w:val="center"/>
          </w:tcPr>
          <w:p w14:paraId="5A105BC8" w14:textId="77777777" w:rsidR="003D6A63" w:rsidRDefault="00000000">
            <w:pPr>
              <w:widowControl/>
              <w:jc w:val="center"/>
              <w:rPr>
                <w:b/>
                <w:kern w:val="0"/>
                <w:szCs w:val="21"/>
              </w:rPr>
            </w:pPr>
            <w:r>
              <w:rPr>
                <w:b/>
                <w:kern w:val="0"/>
                <w:szCs w:val="21"/>
              </w:rPr>
              <w:t>取证人员</w:t>
            </w:r>
          </w:p>
        </w:tc>
        <w:tc>
          <w:tcPr>
            <w:tcW w:w="1092" w:type="pct"/>
            <w:tcBorders>
              <w:tl2br w:val="nil"/>
              <w:tr2bl w:val="nil"/>
            </w:tcBorders>
            <w:noWrap/>
            <w:vAlign w:val="center"/>
          </w:tcPr>
          <w:p w14:paraId="409DF2A7" w14:textId="77777777" w:rsidR="003D6A63" w:rsidRDefault="00000000">
            <w:pPr>
              <w:widowControl/>
              <w:jc w:val="center"/>
              <w:rPr>
                <w:b/>
                <w:kern w:val="0"/>
                <w:szCs w:val="21"/>
              </w:rPr>
            </w:pPr>
            <w:r>
              <w:rPr>
                <w:b/>
                <w:kern w:val="0"/>
                <w:szCs w:val="21"/>
              </w:rPr>
              <w:t>备注</w:t>
            </w:r>
          </w:p>
        </w:tc>
      </w:tr>
      <w:tr w:rsidR="003D6A63" w14:paraId="25468AE9" w14:textId="77777777">
        <w:trPr>
          <w:trHeight w:val="340"/>
        </w:trPr>
        <w:tc>
          <w:tcPr>
            <w:tcW w:w="590" w:type="pct"/>
            <w:tcBorders>
              <w:tl2br w:val="nil"/>
              <w:tr2bl w:val="nil"/>
            </w:tcBorders>
            <w:vAlign w:val="center"/>
          </w:tcPr>
          <w:p w14:paraId="7F03158C" w14:textId="77777777" w:rsidR="003D6A63" w:rsidRDefault="00000000">
            <w:pPr>
              <w:widowControl/>
              <w:jc w:val="center"/>
              <w:rPr>
                <w:bCs/>
                <w:kern w:val="0"/>
                <w:szCs w:val="21"/>
              </w:rPr>
            </w:pPr>
            <w:r>
              <w:rPr>
                <w:rFonts w:hint="eastAsia"/>
                <w:bCs/>
                <w:kern w:val="0"/>
                <w:szCs w:val="21"/>
              </w:rPr>
              <w:t>1</w:t>
            </w:r>
          </w:p>
        </w:tc>
        <w:tc>
          <w:tcPr>
            <w:tcW w:w="2384" w:type="pct"/>
            <w:tcBorders>
              <w:tl2br w:val="nil"/>
              <w:tr2bl w:val="nil"/>
            </w:tcBorders>
            <w:vAlign w:val="center"/>
          </w:tcPr>
          <w:p w14:paraId="345E9984" w14:textId="77777777" w:rsidR="003D6A63" w:rsidRDefault="00000000">
            <w:pPr>
              <w:widowControl/>
              <w:jc w:val="center"/>
              <w:rPr>
                <w:bCs/>
                <w:kern w:val="0"/>
                <w:szCs w:val="21"/>
              </w:rPr>
            </w:pPr>
            <w:r>
              <w:rPr>
                <w:bCs/>
                <w:kern w:val="0"/>
                <w:szCs w:val="21"/>
              </w:rPr>
              <w:t>井控</w:t>
            </w:r>
            <w:r>
              <w:rPr>
                <w:rFonts w:hint="eastAsia"/>
                <w:bCs/>
                <w:kern w:val="0"/>
                <w:szCs w:val="21"/>
              </w:rPr>
              <w:t>培训合格证</w:t>
            </w:r>
          </w:p>
        </w:tc>
        <w:tc>
          <w:tcPr>
            <w:tcW w:w="932" w:type="pct"/>
            <w:tcBorders>
              <w:tl2br w:val="nil"/>
              <w:tr2bl w:val="nil"/>
            </w:tcBorders>
            <w:vAlign w:val="center"/>
          </w:tcPr>
          <w:p w14:paraId="2C3427F5" w14:textId="77777777" w:rsidR="003D6A63" w:rsidRDefault="00000000">
            <w:pPr>
              <w:widowControl/>
              <w:jc w:val="center"/>
              <w:rPr>
                <w:bCs/>
                <w:kern w:val="0"/>
                <w:szCs w:val="21"/>
              </w:rPr>
            </w:pPr>
            <w:r>
              <w:rPr>
                <w:rFonts w:hint="eastAsia"/>
                <w:bCs/>
                <w:kern w:val="0"/>
                <w:szCs w:val="21"/>
              </w:rPr>
              <w:t>67</w:t>
            </w:r>
          </w:p>
        </w:tc>
        <w:tc>
          <w:tcPr>
            <w:tcW w:w="1092" w:type="pct"/>
            <w:tcBorders>
              <w:tl2br w:val="nil"/>
              <w:tr2bl w:val="nil"/>
            </w:tcBorders>
            <w:noWrap/>
            <w:vAlign w:val="center"/>
          </w:tcPr>
          <w:p w14:paraId="67EDB506" w14:textId="77777777" w:rsidR="003D6A63" w:rsidRDefault="00000000">
            <w:pPr>
              <w:widowControl/>
              <w:jc w:val="center"/>
              <w:rPr>
                <w:bCs/>
                <w:kern w:val="0"/>
                <w:szCs w:val="21"/>
              </w:rPr>
            </w:pPr>
            <w:r>
              <w:rPr>
                <w:bCs/>
                <w:kern w:val="0"/>
                <w:szCs w:val="21"/>
              </w:rPr>
              <w:t>有效期内</w:t>
            </w:r>
          </w:p>
        </w:tc>
      </w:tr>
      <w:tr w:rsidR="003D6A63" w14:paraId="7181925B" w14:textId="77777777">
        <w:trPr>
          <w:trHeight w:val="340"/>
        </w:trPr>
        <w:tc>
          <w:tcPr>
            <w:tcW w:w="590" w:type="pct"/>
            <w:tcBorders>
              <w:tl2br w:val="nil"/>
              <w:tr2bl w:val="nil"/>
            </w:tcBorders>
            <w:vAlign w:val="center"/>
          </w:tcPr>
          <w:p w14:paraId="1E4BDD6B" w14:textId="77777777" w:rsidR="003D6A63" w:rsidRDefault="00000000">
            <w:pPr>
              <w:widowControl/>
              <w:jc w:val="center"/>
              <w:rPr>
                <w:bCs/>
                <w:kern w:val="0"/>
                <w:szCs w:val="21"/>
              </w:rPr>
            </w:pPr>
            <w:r>
              <w:rPr>
                <w:rFonts w:hint="eastAsia"/>
                <w:bCs/>
                <w:kern w:val="0"/>
                <w:szCs w:val="21"/>
              </w:rPr>
              <w:lastRenderedPageBreak/>
              <w:t>2</w:t>
            </w:r>
          </w:p>
        </w:tc>
        <w:tc>
          <w:tcPr>
            <w:tcW w:w="2384" w:type="pct"/>
            <w:tcBorders>
              <w:tl2br w:val="nil"/>
              <w:tr2bl w:val="nil"/>
            </w:tcBorders>
            <w:vAlign w:val="center"/>
          </w:tcPr>
          <w:p w14:paraId="5F7A245E" w14:textId="77777777" w:rsidR="003D6A63" w:rsidRDefault="00000000">
            <w:pPr>
              <w:widowControl/>
              <w:jc w:val="center"/>
              <w:rPr>
                <w:bCs/>
                <w:kern w:val="0"/>
                <w:szCs w:val="21"/>
              </w:rPr>
            </w:pPr>
            <w:r>
              <w:rPr>
                <w:rFonts w:hint="eastAsia"/>
                <w:bCs/>
                <w:kern w:val="0"/>
                <w:szCs w:val="21"/>
              </w:rPr>
              <w:t>特种设备安全管理证书</w:t>
            </w:r>
          </w:p>
        </w:tc>
        <w:tc>
          <w:tcPr>
            <w:tcW w:w="932" w:type="pct"/>
            <w:tcBorders>
              <w:tl2br w:val="nil"/>
              <w:tr2bl w:val="nil"/>
            </w:tcBorders>
            <w:vAlign w:val="center"/>
          </w:tcPr>
          <w:p w14:paraId="6BD20376" w14:textId="77777777" w:rsidR="003D6A63" w:rsidRDefault="00000000">
            <w:pPr>
              <w:widowControl/>
              <w:jc w:val="center"/>
              <w:rPr>
                <w:bCs/>
                <w:kern w:val="0"/>
                <w:szCs w:val="21"/>
              </w:rPr>
            </w:pPr>
            <w:r>
              <w:rPr>
                <w:rFonts w:hint="eastAsia"/>
                <w:bCs/>
                <w:kern w:val="0"/>
                <w:szCs w:val="21"/>
              </w:rPr>
              <w:t>4</w:t>
            </w:r>
          </w:p>
        </w:tc>
        <w:tc>
          <w:tcPr>
            <w:tcW w:w="1092" w:type="pct"/>
            <w:tcBorders>
              <w:tl2br w:val="nil"/>
              <w:tr2bl w:val="nil"/>
            </w:tcBorders>
            <w:noWrap/>
            <w:vAlign w:val="center"/>
          </w:tcPr>
          <w:p w14:paraId="72DBB37C" w14:textId="77777777" w:rsidR="003D6A63" w:rsidRDefault="00000000">
            <w:pPr>
              <w:widowControl/>
              <w:jc w:val="center"/>
              <w:rPr>
                <w:bCs/>
                <w:kern w:val="0"/>
                <w:szCs w:val="21"/>
              </w:rPr>
            </w:pPr>
            <w:r>
              <w:rPr>
                <w:bCs/>
                <w:kern w:val="0"/>
                <w:szCs w:val="21"/>
              </w:rPr>
              <w:t>有效期内</w:t>
            </w:r>
          </w:p>
        </w:tc>
      </w:tr>
      <w:tr w:rsidR="003D6A63" w14:paraId="49CB442D" w14:textId="77777777">
        <w:trPr>
          <w:trHeight w:val="340"/>
        </w:trPr>
        <w:tc>
          <w:tcPr>
            <w:tcW w:w="590" w:type="pct"/>
            <w:tcBorders>
              <w:tl2br w:val="nil"/>
              <w:tr2bl w:val="nil"/>
            </w:tcBorders>
            <w:vAlign w:val="center"/>
          </w:tcPr>
          <w:p w14:paraId="12D8A612" w14:textId="77777777" w:rsidR="003D6A63" w:rsidRDefault="00000000">
            <w:pPr>
              <w:widowControl/>
              <w:jc w:val="center"/>
              <w:rPr>
                <w:bCs/>
                <w:kern w:val="0"/>
                <w:szCs w:val="21"/>
              </w:rPr>
            </w:pPr>
            <w:r>
              <w:rPr>
                <w:rFonts w:hint="eastAsia"/>
                <w:bCs/>
                <w:kern w:val="0"/>
                <w:szCs w:val="21"/>
              </w:rPr>
              <w:t>3</w:t>
            </w:r>
          </w:p>
        </w:tc>
        <w:tc>
          <w:tcPr>
            <w:tcW w:w="2384" w:type="pct"/>
            <w:tcBorders>
              <w:tl2br w:val="nil"/>
              <w:tr2bl w:val="nil"/>
            </w:tcBorders>
            <w:vAlign w:val="center"/>
          </w:tcPr>
          <w:p w14:paraId="1C67C181" w14:textId="77777777" w:rsidR="003D6A63" w:rsidRDefault="00000000">
            <w:pPr>
              <w:widowControl/>
              <w:jc w:val="center"/>
              <w:rPr>
                <w:bCs/>
                <w:kern w:val="0"/>
                <w:szCs w:val="21"/>
              </w:rPr>
            </w:pPr>
            <w:r>
              <w:rPr>
                <w:rFonts w:hint="eastAsia"/>
                <w:bCs/>
                <w:kern w:val="0"/>
                <w:szCs w:val="21"/>
              </w:rPr>
              <w:t>硫化氢防护培训合格证</w:t>
            </w:r>
          </w:p>
        </w:tc>
        <w:tc>
          <w:tcPr>
            <w:tcW w:w="932" w:type="pct"/>
            <w:tcBorders>
              <w:tl2br w:val="nil"/>
              <w:tr2bl w:val="nil"/>
            </w:tcBorders>
            <w:vAlign w:val="center"/>
          </w:tcPr>
          <w:p w14:paraId="537737D8" w14:textId="77777777" w:rsidR="003D6A63" w:rsidRDefault="00000000">
            <w:pPr>
              <w:widowControl/>
              <w:jc w:val="center"/>
              <w:rPr>
                <w:bCs/>
                <w:kern w:val="0"/>
                <w:szCs w:val="21"/>
              </w:rPr>
            </w:pPr>
            <w:r>
              <w:rPr>
                <w:rFonts w:hint="eastAsia"/>
                <w:bCs/>
                <w:kern w:val="0"/>
                <w:szCs w:val="21"/>
              </w:rPr>
              <w:t>28</w:t>
            </w:r>
          </w:p>
        </w:tc>
        <w:tc>
          <w:tcPr>
            <w:tcW w:w="1092" w:type="pct"/>
            <w:tcBorders>
              <w:tl2br w:val="nil"/>
              <w:tr2bl w:val="nil"/>
            </w:tcBorders>
            <w:noWrap/>
            <w:vAlign w:val="center"/>
          </w:tcPr>
          <w:p w14:paraId="1FA64C56" w14:textId="77777777" w:rsidR="003D6A63" w:rsidRDefault="00000000">
            <w:pPr>
              <w:widowControl/>
              <w:jc w:val="center"/>
              <w:rPr>
                <w:bCs/>
                <w:kern w:val="0"/>
                <w:szCs w:val="21"/>
              </w:rPr>
            </w:pPr>
            <w:r>
              <w:rPr>
                <w:rFonts w:hint="eastAsia"/>
                <w:bCs/>
                <w:kern w:val="0"/>
                <w:szCs w:val="21"/>
              </w:rPr>
              <w:t>有效期内</w:t>
            </w:r>
          </w:p>
        </w:tc>
      </w:tr>
    </w:tbl>
    <w:p w14:paraId="16035063" w14:textId="77777777" w:rsidR="003D6A63" w:rsidRDefault="00000000">
      <w:pPr>
        <w:pStyle w:val="4"/>
        <w:keepNext w:val="0"/>
        <w:keepLines w:val="0"/>
        <w:spacing w:beforeLines="50" w:before="12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6.1.6.3  </w:t>
      </w:r>
      <w:r>
        <w:rPr>
          <w:rFonts w:ascii="Times New Roman" w:eastAsia="宋体" w:hAnsi="Times New Roman" w:hint="eastAsia"/>
          <w:sz w:val="24"/>
          <w:szCs w:val="24"/>
        </w:rPr>
        <w:t>检查结果</w:t>
      </w:r>
    </w:p>
    <w:p w14:paraId="182F97DF" w14:textId="77777777" w:rsidR="003D6A63" w:rsidRDefault="00000000">
      <w:pPr>
        <w:adjustRightInd w:val="0"/>
        <w:snapToGrid w:val="0"/>
        <w:spacing w:line="360" w:lineRule="auto"/>
        <w:ind w:firstLineChars="200" w:firstLine="480"/>
        <w:rPr>
          <w:sz w:val="24"/>
        </w:rPr>
      </w:pPr>
      <w:r>
        <w:rPr>
          <w:rFonts w:hint="eastAsia"/>
          <w:sz w:val="24"/>
        </w:rPr>
        <w:t>中胜公司对其从业人员进行安全教育培训的时间和内容，符合国家法律法规及其标准规范的要求。</w:t>
      </w:r>
    </w:p>
    <w:p w14:paraId="74E1F870" w14:textId="77777777" w:rsidR="003D6A63" w:rsidRDefault="00000000">
      <w:pPr>
        <w:pStyle w:val="3e"/>
        <w:rPr>
          <w:rFonts w:eastAsia="黑体"/>
          <w:b w:val="0"/>
          <w:spacing w:val="0"/>
          <w:sz w:val="24"/>
        </w:rPr>
      </w:pPr>
      <w:r>
        <w:rPr>
          <w:rFonts w:eastAsia="黑体" w:hint="eastAsia"/>
          <w:b w:val="0"/>
          <w:spacing w:val="0"/>
          <w:sz w:val="24"/>
        </w:rPr>
        <w:t xml:space="preserve">6.1.7  </w:t>
      </w:r>
      <w:r>
        <w:rPr>
          <w:rFonts w:eastAsia="黑体" w:hint="eastAsia"/>
          <w:b w:val="0"/>
          <w:spacing w:val="0"/>
          <w:sz w:val="24"/>
        </w:rPr>
        <w:t>安全生产投入</w:t>
      </w:r>
    </w:p>
    <w:p w14:paraId="1C04C3E5"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6.1.7.1  </w:t>
      </w:r>
      <w:r>
        <w:rPr>
          <w:rFonts w:ascii="Times New Roman" w:eastAsia="宋体" w:hAnsi="Times New Roman" w:hint="eastAsia"/>
          <w:sz w:val="24"/>
          <w:szCs w:val="24"/>
        </w:rPr>
        <w:t>法规要求</w:t>
      </w:r>
    </w:p>
    <w:p w14:paraId="7DDBEE8C"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）《非煤矿矿山企业安全生产许可证实施办法》</w:t>
      </w:r>
    </w:p>
    <w:p w14:paraId="795B6033" w14:textId="77777777" w:rsidR="003D6A63" w:rsidRDefault="00000000">
      <w:pPr>
        <w:adjustRightInd w:val="0"/>
        <w:snapToGrid w:val="0"/>
        <w:spacing w:line="360" w:lineRule="auto"/>
        <w:ind w:firstLineChars="200" w:firstLine="480"/>
        <w:rPr>
          <w:sz w:val="24"/>
        </w:rPr>
      </w:pPr>
      <w:r>
        <w:rPr>
          <w:rFonts w:hint="eastAsia"/>
          <w:sz w:val="24"/>
        </w:rPr>
        <w:t>第六条　安全投入应符合安全生产要求，依照国家有关规定足额提取安全生产费用。</w:t>
      </w:r>
    </w:p>
    <w:p w14:paraId="418681BC"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）《企业安全生产费用提取和使用管理办法》（财资〔</w:t>
      </w:r>
      <w:r>
        <w:rPr>
          <w:rFonts w:hint="eastAsia"/>
          <w:sz w:val="24"/>
        </w:rPr>
        <w:t>2022</w:t>
      </w:r>
      <w:r>
        <w:rPr>
          <w:rFonts w:hint="eastAsia"/>
          <w:sz w:val="24"/>
        </w:rPr>
        <w:t>〕</w:t>
      </w:r>
      <w:r>
        <w:rPr>
          <w:rFonts w:hint="eastAsia"/>
          <w:sz w:val="24"/>
        </w:rPr>
        <w:t>136</w:t>
      </w:r>
      <w:r>
        <w:rPr>
          <w:rFonts w:hint="eastAsia"/>
          <w:sz w:val="24"/>
        </w:rPr>
        <w:t>号）</w:t>
      </w:r>
    </w:p>
    <w:p w14:paraId="602BD0DA" w14:textId="77777777" w:rsidR="003D6A63" w:rsidRDefault="00000000">
      <w:pPr>
        <w:adjustRightInd w:val="0"/>
        <w:snapToGrid w:val="0"/>
        <w:spacing w:line="360" w:lineRule="auto"/>
        <w:ind w:firstLineChars="200" w:firstLine="480"/>
        <w:rPr>
          <w:sz w:val="24"/>
        </w:rPr>
      </w:pPr>
      <w:r>
        <w:rPr>
          <w:rFonts w:hint="eastAsia"/>
          <w:sz w:val="24"/>
        </w:rPr>
        <w:t>第十四条　陆上采油企业依据当月开采的石油、天然气产量，于月末提取企业安全生产费用。其中每吨原油</w:t>
      </w:r>
      <w:r>
        <w:rPr>
          <w:rFonts w:hint="eastAsia"/>
          <w:sz w:val="24"/>
        </w:rPr>
        <w:t>20</w:t>
      </w:r>
      <w:r>
        <w:rPr>
          <w:rFonts w:hint="eastAsia"/>
          <w:sz w:val="24"/>
        </w:rPr>
        <w:t>元，每千立方米原气</w:t>
      </w:r>
      <w:r>
        <w:rPr>
          <w:rFonts w:hint="eastAsia"/>
          <w:sz w:val="24"/>
        </w:rPr>
        <w:t>7.5</w:t>
      </w:r>
      <w:r>
        <w:rPr>
          <w:rFonts w:hint="eastAsia"/>
          <w:sz w:val="24"/>
        </w:rPr>
        <w:t>元。</w:t>
      </w:r>
    </w:p>
    <w:p w14:paraId="0BF826F2" w14:textId="77777777" w:rsidR="003D6A63" w:rsidRDefault="00000000">
      <w:pPr>
        <w:adjustRightInd w:val="0"/>
        <w:snapToGrid w:val="0"/>
        <w:spacing w:line="360" w:lineRule="auto"/>
        <w:ind w:firstLineChars="200" w:firstLine="480"/>
        <w:rPr>
          <w:sz w:val="24"/>
        </w:rPr>
      </w:pPr>
      <w:r>
        <w:rPr>
          <w:rFonts w:hint="eastAsia"/>
          <w:sz w:val="24"/>
        </w:rPr>
        <w:t>第十五条　石油天然气开采企业安全生产费用应当用于以下支出：</w:t>
      </w:r>
    </w:p>
    <w:p w14:paraId="49FACD08" w14:textId="77777777" w:rsidR="003D6A63" w:rsidRDefault="00000000">
      <w:pPr>
        <w:adjustRightInd w:val="0"/>
        <w:snapToGrid w:val="0"/>
        <w:spacing w:line="360" w:lineRule="auto"/>
        <w:ind w:firstLineChars="200" w:firstLine="480"/>
        <w:rPr>
          <w:sz w:val="24"/>
        </w:rPr>
      </w:pPr>
      <w:r>
        <w:rPr>
          <w:rFonts w:hint="eastAsia"/>
          <w:sz w:val="24"/>
        </w:rPr>
        <w:t>（一）完善、改造和维护安全防护设施设备支出（不含“三同时”要求初期投入的安全设施），包括油气井（场）、管道、站场、海洋石油生产设施、作业设施等设施设备的监测、监控、防井喷、防灭火、防坍塌、防爆炸、防泄漏、防腐蚀、防颠覆、防漂移、防雷、防静电、防台风、防中毒、防坠落等设施设备支出；</w:t>
      </w:r>
    </w:p>
    <w:p w14:paraId="359891CF" w14:textId="77777777" w:rsidR="003D6A63" w:rsidRDefault="00000000">
      <w:pPr>
        <w:adjustRightInd w:val="0"/>
        <w:snapToGrid w:val="0"/>
        <w:spacing w:line="360" w:lineRule="auto"/>
        <w:ind w:firstLineChars="200" w:firstLine="480"/>
        <w:rPr>
          <w:sz w:val="24"/>
        </w:rPr>
      </w:pPr>
      <w:r>
        <w:rPr>
          <w:rFonts w:hint="eastAsia"/>
          <w:sz w:val="24"/>
        </w:rPr>
        <w:t>（二）事故逃生和紧急避难设施设备的配置及维护保养支出，应急救援器材、设备配置及维护保养支出，应急救援队伍建设、应急预案制修订与应急演练支出；</w:t>
      </w:r>
    </w:p>
    <w:p w14:paraId="391E8D3D" w14:textId="77777777" w:rsidR="003D6A63" w:rsidRDefault="00000000">
      <w:pPr>
        <w:adjustRightInd w:val="0"/>
        <w:snapToGrid w:val="0"/>
        <w:spacing w:line="360" w:lineRule="auto"/>
        <w:ind w:firstLineChars="200" w:firstLine="480"/>
        <w:rPr>
          <w:sz w:val="24"/>
        </w:rPr>
      </w:pPr>
      <w:r>
        <w:rPr>
          <w:rFonts w:hint="eastAsia"/>
          <w:sz w:val="24"/>
        </w:rPr>
        <w:t>（三）开展重大危险源检测、评估、监控支出，安全风险分级管控和事故隐患排查整改支出，安全生产信息化、智能化建设、运维和网络安全支出；</w:t>
      </w:r>
    </w:p>
    <w:p w14:paraId="641D2B3C" w14:textId="77777777" w:rsidR="003D6A63" w:rsidRDefault="00000000">
      <w:pPr>
        <w:adjustRightInd w:val="0"/>
        <w:snapToGrid w:val="0"/>
        <w:spacing w:line="360" w:lineRule="auto"/>
        <w:ind w:firstLineChars="200" w:firstLine="480"/>
        <w:rPr>
          <w:sz w:val="24"/>
        </w:rPr>
      </w:pPr>
      <w:r>
        <w:rPr>
          <w:rFonts w:hint="eastAsia"/>
          <w:sz w:val="24"/>
        </w:rPr>
        <w:t>（四）安全生产检查、评估评价（不含新建、改建、扩建项目安全评价）、咨询、标准化建设支出；</w:t>
      </w:r>
    </w:p>
    <w:p w14:paraId="4E1080FA" w14:textId="77777777" w:rsidR="003D6A63" w:rsidRDefault="00000000">
      <w:pPr>
        <w:adjustRightInd w:val="0"/>
        <w:snapToGrid w:val="0"/>
        <w:spacing w:line="360" w:lineRule="auto"/>
        <w:ind w:firstLineChars="200" w:firstLine="480"/>
        <w:rPr>
          <w:sz w:val="24"/>
        </w:rPr>
      </w:pPr>
      <w:r>
        <w:rPr>
          <w:rFonts w:hint="eastAsia"/>
          <w:sz w:val="24"/>
        </w:rPr>
        <w:t>（五）配备和更新现场作业人员安全防护用品支出；</w:t>
      </w:r>
    </w:p>
    <w:p w14:paraId="6A30CB0A" w14:textId="77777777" w:rsidR="003D6A63" w:rsidRDefault="00000000">
      <w:pPr>
        <w:adjustRightInd w:val="0"/>
        <w:snapToGrid w:val="0"/>
        <w:spacing w:line="360" w:lineRule="auto"/>
        <w:ind w:firstLineChars="200" w:firstLine="480"/>
        <w:rPr>
          <w:sz w:val="24"/>
        </w:rPr>
      </w:pPr>
      <w:r>
        <w:rPr>
          <w:rFonts w:hint="eastAsia"/>
          <w:sz w:val="24"/>
        </w:rPr>
        <w:t>（六）安全生产宣传、教育、培训和从业人员发现并报告事故隐患的奖励支出；</w:t>
      </w:r>
    </w:p>
    <w:p w14:paraId="6CEA1EC3" w14:textId="77777777" w:rsidR="003D6A63" w:rsidRDefault="00000000">
      <w:pPr>
        <w:adjustRightInd w:val="0"/>
        <w:snapToGrid w:val="0"/>
        <w:spacing w:line="360" w:lineRule="auto"/>
        <w:ind w:firstLineChars="200" w:firstLine="480"/>
        <w:rPr>
          <w:sz w:val="24"/>
        </w:rPr>
      </w:pPr>
      <w:r>
        <w:rPr>
          <w:rFonts w:hint="eastAsia"/>
          <w:sz w:val="24"/>
        </w:rPr>
        <w:t>（七）安全生产适用的新技术、新标准、新工艺、新装备的推广应用支出；</w:t>
      </w:r>
    </w:p>
    <w:p w14:paraId="6CAB20C3" w14:textId="77777777" w:rsidR="003D6A63" w:rsidRDefault="00000000">
      <w:pPr>
        <w:adjustRightInd w:val="0"/>
        <w:snapToGrid w:val="0"/>
        <w:spacing w:line="360" w:lineRule="auto"/>
        <w:ind w:firstLineChars="200" w:firstLine="480"/>
        <w:rPr>
          <w:sz w:val="24"/>
        </w:rPr>
      </w:pPr>
      <w:r>
        <w:rPr>
          <w:rFonts w:hint="eastAsia"/>
          <w:sz w:val="24"/>
        </w:rPr>
        <w:t>（八）安全设施及特种设备检测检验、检定校准支出；</w:t>
      </w:r>
    </w:p>
    <w:p w14:paraId="7C14D7D7" w14:textId="77777777" w:rsidR="003D6A63" w:rsidRDefault="00000000">
      <w:pPr>
        <w:adjustRightInd w:val="0"/>
        <w:snapToGrid w:val="0"/>
        <w:spacing w:line="360" w:lineRule="auto"/>
        <w:ind w:firstLineChars="200" w:firstLine="480"/>
        <w:rPr>
          <w:sz w:val="24"/>
        </w:rPr>
      </w:pPr>
      <w:r>
        <w:rPr>
          <w:rFonts w:hint="eastAsia"/>
          <w:sz w:val="24"/>
        </w:rPr>
        <w:t>（九）野外或海上作业应急食品、应急器械、应急药品支出；</w:t>
      </w:r>
    </w:p>
    <w:p w14:paraId="46A94ED0" w14:textId="77777777" w:rsidR="003D6A63" w:rsidRDefault="00000000">
      <w:pPr>
        <w:adjustRightInd w:val="0"/>
        <w:snapToGrid w:val="0"/>
        <w:spacing w:line="360" w:lineRule="auto"/>
        <w:ind w:firstLineChars="200" w:firstLine="480"/>
        <w:rPr>
          <w:sz w:val="24"/>
        </w:rPr>
      </w:pPr>
      <w:r>
        <w:rPr>
          <w:rFonts w:hint="eastAsia"/>
          <w:sz w:val="24"/>
        </w:rPr>
        <w:t>（十）安全生产责任保险支出；</w:t>
      </w:r>
    </w:p>
    <w:p w14:paraId="68415734" w14:textId="77777777" w:rsidR="003D6A63" w:rsidRDefault="00000000">
      <w:pPr>
        <w:adjustRightInd w:val="0"/>
        <w:snapToGrid w:val="0"/>
        <w:spacing w:line="360" w:lineRule="auto"/>
        <w:ind w:firstLineChars="200" w:firstLine="480"/>
        <w:rPr>
          <w:sz w:val="24"/>
        </w:rPr>
      </w:pPr>
      <w:r>
        <w:rPr>
          <w:rFonts w:hint="eastAsia"/>
          <w:sz w:val="24"/>
        </w:rPr>
        <w:t>（十一）与安全生产直接相关的其他支出。</w:t>
      </w:r>
    </w:p>
    <w:p w14:paraId="2DBB5755"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lastRenderedPageBreak/>
        <w:t xml:space="preserve">6.1.7.2  </w:t>
      </w:r>
      <w:r>
        <w:rPr>
          <w:rFonts w:ascii="Times New Roman" w:eastAsia="宋体" w:hAnsi="Times New Roman" w:hint="eastAsia"/>
          <w:sz w:val="24"/>
          <w:szCs w:val="24"/>
        </w:rPr>
        <w:t>检查情况</w:t>
      </w:r>
    </w:p>
    <w:p w14:paraId="071231DF" w14:textId="77777777" w:rsidR="003D6A63" w:rsidRDefault="00000000">
      <w:pPr>
        <w:pStyle w:val="nlw1"/>
        <w:adjustRightInd w:val="0"/>
        <w:snapToGrid w:val="0"/>
        <w:spacing w:line="360" w:lineRule="auto"/>
        <w:ind w:firstLine="480"/>
        <w:rPr>
          <w:rFonts w:ascii="Times New Roman" w:hAnsi="Times New Roman"/>
          <w:sz w:val="24"/>
          <w:szCs w:val="24"/>
          <w:lang w:val="en-US"/>
        </w:rPr>
      </w:pPr>
      <w:r>
        <w:rPr>
          <w:rFonts w:ascii="Times New Roman" w:hAnsi="Times New Roman"/>
          <w:color w:val="000000" w:themeColor="text1"/>
          <w:sz w:val="24"/>
          <w:szCs w:val="24"/>
          <w:lang w:val="en-US"/>
        </w:rPr>
        <w:t>涉及企业机密，不予公开</w:t>
      </w:r>
      <w:r>
        <w:rPr>
          <w:rFonts w:ascii="Times New Roman" w:hAnsi="Times New Roman" w:hint="eastAsia"/>
          <w:sz w:val="24"/>
          <w:szCs w:val="24"/>
          <w:lang w:val="en-US"/>
        </w:rPr>
        <w:t>。</w:t>
      </w:r>
    </w:p>
    <w:p w14:paraId="600FF141"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6.1.7.3  </w:t>
      </w:r>
      <w:r>
        <w:rPr>
          <w:rFonts w:ascii="Times New Roman" w:eastAsia="宋体" w:hAnsi="Times New Roman" w:hint="eastAsia"/>
          <w:sz w:val="24"/>
          <w:szCs w:val="24"/>
        </w:rPr>
        <w:t>检查结果</w:t>
      </w:r>
    </w:p>
    <w:p w14:paraId="5EA7421F" w14:textId="77777777" w:rsidR="003D6A63" w:rsidRDefault="00000000">
      <w:pPr>
        <w:adjustRightInd w:val="0"/>
        <w:spacing w:line="360" w:lineRule="auto"/>
        <w:ind w:firstLine="560"/>
        <w:rPr>
          <w:sz w:val="24"/>
        </w:rPr>
      </w:pPr>
      <w:r>
        <w:rPr>
          <w:rFonts w:hint="eastAsia"/>
          <w:sz w:val="24"/>
        </w:rPr>
        <w:t>中胜公司</w:t>
      </w:r>
      <w:r>
        <w:rPr>
          <w:rFonts w:hint="eastAsia"/>
          <w:sz w:val="24"/>
        </w:rPr>
        <w:t>2020</w:t>
      </w:r>
      <w:r>
        <w:rPr>
          <w:rFonts w:hint="eastAsia"/>
          <w:sz w:val="24"/>
        </w:rPr>
        <w:t>～</w:t>
      </w:r>
      <w:r>
        <w:rPr>
          <w:rFonts w:hint="eastAsia"/>
          <w:sz w:val="24"/>
        </w:rPr>
        <w:t>2022</w:t>
      </w:r>
      <w:r>
        <w:rPr>
          <w:rFonts w:hint="eastAsia"/>
          <w:sz w:val="24"/>
        </w:rPr>
        <w:t>年安全生产费用的提取和使用情况及</w:t>
      </w:r>
      <w:r>
        <w:rPr>
          <w:rFonts w:hint="eastAsia"/>
          <w:sz w:val="24"/>
        </w:rPr>
        <w:t>2023</w:t>
      </w:r>
      <w:r>
        <w:rPr>
          <w:rFonts w:hint="eastAsia"/>
          <w:sz w:val="24"/>
        </w:rPr>
        <w:t>年</w:t>
      </w:r>
      <w:r>
        <w:rPr>
          <w:rFonts w:hint="eastAsia"/>
          <w:sz w:val="24"/>
        </w:rPr>
        <w:t>1-6</w:t>
      </w:r>
      <w:r>
        <w:rPr>
          <w:rFonts w:hint="eastAsia"/>
          <w:sz w:val="24"/>
        </w:rPr>
        <w:t>月安全生产费用计提情况符合国家法律法规及其标准规范的要求。</w:t>
      </w:r>
    </w:p>
    <w:p w14:paraId="51A09499" w14:textId="77777777" w:rsidR="003D6A63" w:rsidRDefault="00000000">
      <w:pPr>
        <w:pStyle w:val="3e"/>
        <w:rPr>
          <w:rFonts w:eastAsia="黑体"/>
          <w:b w:val="0"/>
          <w:spacing w:val="0"/>
          <w:sz w:val="24"/>
        </w:rPr>
      </w:pPr>
      <w:r>
        <w:rPr>
          <w:rFonts w:eastAsia="黑体" w:hint="eastAsia"/>
          <w:b w:val="0"/>
          <w:spacing w:val="0"/>
          <w:sz w:val="24"/>
        </w:rPr>
        <w:t xml:space="preserve">6.1.8  </w:t>
      </w:r>
      <w:r>
        <w:rPr>
          <w:rFonts w:eastAsia="黑体" w:hint="eastAsia"/>
          <w:b w:val="0"/>
          <w:spacing w:val="0"/>
          <w:sz w:val="24"/>
        </w:rPr>
        <w:t>工伤保险及安全生产责任险</w:t>
      </w:r>
    </w:p>
    <w:p w14:paraId="18719CA8"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6.1.8.1  </w:t>
      </w:r>
      <w:r>
        <w:rPr>
          <w:rFonts w:ascii="Times New Roman" w:eastAsia="宋体" w:hAnsi="Times New Roman" w:hint="eastAsia"/>
          <w:sz w:val="24"/>
          <w:szCs w:val="24"/>
        </w:rPr>
        <w:t>法规要求</w:t>
      </w:r>
    </w:p>
    <w:p w14:paraId="5993A229" w14:textId="77777777" w:rsidR="003D6A63" w:rsidRDefault="00000000">
      <w:pPr>
        <w:adjustRightInd w:val="0"/>
        <w:spacing w:line="360" w:lineRule="auto"/>
        <w:ind w:firstLineChars="100" w:firstLine="240"/>
        <w:rPr>
          <w:sz w:val="24"/>
        </w:rPr>
      </w:pPr>
      <w:r>
        <w:rPr>
          <w:rFonts w:hint="eastAsia"/>
          <w:sz w:val="24"/>
        </w:rPr>
        <w:t>（</w:t>
      </w:r>
      <w:r>
        <w:rPr>
          <w:rFonts w:hint="eastAsia"/>
          <w:sz w:val="24"/>
        </w:rPr>
        <w:t>1</w:t>
      </w:r>
      <w:r>
        <w:rPr>
          <w:rFonts w:hint="eastAsia"/>
          <w:sz w:val="24"/>
        </w:rPr>
        <w:t>）《非煤矿矿山企业安全生产许可证实施办法》</w:t>
      </w:r>
    </w:p>
    <w:p w14:paraId="0FC0E387" w14:textId="77777777" w:rsidR="003D6A63" w:rsidRDefault="00000000">
      <w:pPr>
        <w:adjustRightInd w:val="0"/>
        <w:spacing w:line="360" w:lineRule="auto"/>
        <w:ind w:firstLine="560"/>
        <w:rPr>
          <w:sz w:val="24"/>
        </w:rPr>
      </w:pPr>
      <w:r>
        <w:rPr>
          <w:rFonts w:hint="eastAsia"/>
          <w:sz w:val="24"/>
        </w:rPr>
        <w:t>第六条　依法参加工伤保险，为从业人员缴纳保险费。</w:t>
      </w:r>
    </w:p>
    <w:p w14:paraId="75E56358" w14:textId="77777777" w:rsidR="003D6A63" w:rsidRDefault="00000000">
      <w:pPr>
        <w:adjustRightInd w:val="0"/>
        <w:spacing w:line="360" w:lineRule="auto"/>
        <w:ind w:firstLineChars="100" w:firstLine="240"/>
        <w:rPr>
          <w:sz w:val="24"/>
        </w:rPr>
      </w:pPr>
      <w:r>
        <w:rPr>
          <w:rFonts w:hint="eastAsia"/>
          <w:sz w:val="24"/>
        </w:rPr>
        <w:t>（</w:t>
      </w:r>
      <w:r>
        <w:rPr>
          <w:rFonts w:hint="eastAsia"/>
          <w:sz w:val="24"/>
        </w:rPr>
        <w:t>2</w:t>
      </w:r>
      <w:r>
        <w:rPr>
          <w:rFonts w:hint="eastAsia"/>
          <w:sz w:val="24"/>
        </w:rPr>
        <w:t>）《工伤保险条例》</w:t>
      </w:r>
    </w:p>
    <w:p w14:paraId="7C2114BC" w14:textId="77777777" w:rsidR="003D6A63" w:rsidRDefault="00000000">
      <w:pPr>
        <w:adjustRightInd w:val="0"/>
        <w:spacing w:line="360" w:lineRule="auto"/>
        <w:ind w:firstLine="560"/>
        <w:rPr>
          <w:sz w:val="24"/>
        </w:rPr>
      </w:pPr>
      <w:r>
        <w:rPr>
          <w:rFonts w:hint="eastAsia"/>
          <w:sz w:val="24"/>
        </w:rPr>
        <w:t>第二条　用人单位应当依照本条例规定参加工伤保险，为本单位全部职工或者雇工缴纳工伤保险费。</w:t>
      </w:r>
    </w:p>
    <w:p w14:paraId="1C25748C" w14:textId="77777777" w:rsidR="003D6A63" w:rsidRDefault="00000000">
      <w:pPr>
        <w:adjustRightInd w:val="0"/>
        <w:spacing w:line="360" w:lineRule="auto"/>
        <w:ind w:firstLineChars="100" w:firstLine="240"/>
        <w:rPr>
          <w:sz w:val="24"/>
        </w:rPr>
      </w:pPr>
      <w:r>
        <w:rPr>
          <w:rFonts w:hint="eastAsia"/>
          <w:sz w:val="24"/>
        </w:rPr>
        <w:t>（</w:t>
      </w:r>
      <w:r>
        <w:rPr>
          <w:rFonts w:hint="eastAsia"/>
          <w:sz w:val="24"/>
        </w:rPr>
        <w:t>3</w:t>
      </w:r>
      <w:r>
        <w:rPr>
          <w:rFonts w:hint="eastAsia"/>
          <w:sz w:val="24"/>
        </w:rPr>
        <w:t>）《安全生产责任保险实施办法》</w:t>
      </w:r>
    </w:p>
    <w:p w14:paraId="63F4E943" w14:textId="77777777" w:rsidR="003D6A63" w:rsidRDefault="00000000">
      <w:pPr>
        <w:adjustRightInd w:val="0"/>
        <w:spacing w:line="360" w:lineRule="auto"/>
        <w:ind w:firstLine="560"/>
        <w:rPr>
          <w:sz w:val="24"/>
        </w:rPr>
      </w:pPr>
      <w:r>
        <w:rPr>
          <w:rFonts w:hint="eastAsia"/>
          <w:sz w:val="24"/>
        </w:rPr>
        <w:t>第六条　煤矿、非煤矿山、危险化学品、烟花爆竹、交通运输、建筑施工、民用爆炸物品、金属冶炼、渔业生产等高危行业领域的生产经营单位应当投保安全生产责任保险。</w:t>
      </w:r>
    </w:p>
    <w:p w14:paraId="45A59757"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6.1.8.2  </w:t>
      </w:r>
      <w:r>
        <w:rPr>
          <w:rFonts w:ascii="Times New Roman" w:eastAsia="宋体" w:hAnsi="Times New Roman" w:hint="eastAsia"/>
          <w:sz w:val="24"/>
          <w:szCs w:val="24"/>
        </w:rPr>
        <w:t>检查情况</w:t>
      </w:r>
    </w:p>
    <w:p w14:paraId="7CABC2F0" w14:textId="77777777" w:rsidR="003D6A63" w:rsidRDefault="00000000">
      <w:pPr>
        <w:adjustRightInd w:val="0"/>
        <w:spacing w:line="360" w:lineRule="auto"/>
        <w:ind w:firstLineChars="100" w:firstLine="240"/>
        <w:rPr>
          <w:sz w:val="24"/>
        </w:rPr>
      </w:pPr>
      <w:r>
        <w:rPr>
          <w:rFonts w:hint="eastAsia"/>
          <w:sz w:val="24"/>
        </w:rPr>
        <w:t>（</w:t>
      </w:r>
      <w:r>
        <w:rPr>
          <w:rFonts w:hint="eastAsia"/>
          <w:sz w:val="24"/>
        </w:rPr>
        <w:t>1</w:t>
      </w:r>
      <w:r>
        <w:rPr>
          <w:rFonts w:hint="eastAsia"/>
          <w:sz w:val="24"/>
        </w:rPr>
        <w:t>）工伤保险</w:t>
      </w:r>
    </w:p>
    <w:p w14:paraId="64626553" w14:textId="77777777" w:rsidR="003D6A63" w:rsidRDefault="00000000">
      <w:pPr>
        <w:adjustRightInd w:val="0"/>
        <w:snapToGrid w:val="0"/>
        <w:spacing w:line="360" w:lineRule="auto"/>
        <w:ind w:firstLineChars="200" w:firstLine="480"/>
        <w:rPr>
          <w:bCs/>
          <w:sz w:val="24"/>
        </w:rPr>
      </w:pPr>
      <w:r>
        <w:rPr>
          <w:rFonts w:hint="eastAsia"/>
          <w:bCs/>
          <w:sz w:val="24"/>
        </w:rPr>
        <w:t>中胜公司</w:t>
      </w:r>
      <w:r>
        <w:rPr>
          <w:rFonts w:hint="eastAsia"/>
          <w:bCs/>
          <w:sz w:val="24"/>
          <w:lang w:val="zh-CN"/>
        </w:rPr>
        <w:t>按照《工伤保险条例》（国务院令</w:t>
      </w:r>
      <w:r>
        <w:rPr>
          <w:rFonts w:hint="eastAsia"/>
          <w:sz w:val="24"/>
        </w:rPr>
        <w:t>〔</w:t>
      </w:r>
      <w:r>
        <w:rPr>
          <w:rFonts w:hint="eastAsia"/>
          <w:sz w:val="24"/>
        </w:rPr>
        <w:t>2010</w:t>
      </w:r>
      <w:r>
        <w:rPr>
          <w:rFonts w:hint="eastAsia"/>
          <w:sz w:val="24"/>
        </w:rPr>
        <w:t>〕</w:t>
      </w:r>
      <w:r>
        <w:rPr>
          <w:rFonts w:hint="eastAsia"/>
          <w:bCs/>
          <w:sz w:val="24"/>
          <w:lang w:val="zh-CN"/>
        </w:rPr>
        <w:t>第</w:t>
      </w:r>
      <w:r>
        <w:rPr>
          <w:rFonts w:hint="eastAsia"/>
          <w:bCs/>
          <w:sz w:val="24"/>
          <w:lang w:val="zh-CN"/>
        </w:rPr>
        <w:t>586</w:t>
      </w:r>
      <w:r>
        <w:rPr>
          <w:rFonts w:hint="eastAsia"/>
          <w:bCs/>
          <w:sz w:val="24"/>
          <w:lang w:val="zh-CN"/>
        </w:rPr>
        <w:t>号）的有关规定，为</w:t>
      </w:r>
      <w:r>
        <w:rPr>
          <w:rFonts w:hint="eastAsia"/>
          <w:bCs/>
          <w:sz w:val="24"/>
        </w:rPr>
        <w:t>油田</w:t>
      </w:r>
      <w:r>
        <w:rPr>
          <w:rFonts w:hint="eastAsia"/>
          <w:bCs/>
          <w:sz w:val="24"/>
          <w:lang w:val="zh-CN"/>
        </w:rPr>
        <w:t>职工缴纳了工伤保险</w:t>
      </w:r>
      <w:r>
        <w:rPr>
          <w:rFonts w:hint="eastAsia"/>
          <w:bCs/>
          <w:sz w:val="24"/>
        </w:rPr>
        <w:t>；中胜实业提供有实业所有员工的工伤保险缴纳证明，包括在中胜公司从业员工。相关</w:t>
      </w:r>
      <w:r>
        <w:rPr>
          <w:rFonts w:hint="eastAsia"/>
          <w:bCs/>
          <w:sz w:val="24"/>
          <w:lang w:val="zh-CN"/>
        </w:rPr>
        <w:t>缴费证明见附件</w:t>
      </w:r>
      <w:r>
        <w:rPr>
          <w:rFonts w:hint="eastAsia"/>
          <w:bCs/>
          <w:sz w:val="24"/>
        </w:rPr>
        <w:t>8</w:t>
      </w:r>
      <w:r>
        <w:rPr>
          <w:rFonts w:hint="eastAsia"/>
          <w:bCs/>
          <w:sz w:val="24"/>
        </w:rPr>
        <w:t>。</w:t>
      </w:r>
    </w:p>
    <w:p w14:paraId="2DD60FF9" w14:textId="77777777" w:rsidR="003D6A63" w:rsidRDefault="00000000">
      <w:pPr>
        <w:adjustRightInd w:val="0"/>
        <w:spacing w:line="360" w:lineRule="auto"/>
        <w:ind w:firstLineChars="100" w:firstLine="240"/>
        <w:rPr>
          <w:sz w:val="24"/>
        </w:rPr>
      </w:pPr>
      <w:r>
        <w:rPr>
          <w:rFonts w:hint="eastAsia"/>
          <w:sz w:val="24"/>
        </w:rPr>
        <w:t>（</w:t>
      </w:r>
      <w:r>
        <w:rPr>
          <w:rFonts w:hint="eastAsia"/>
          <w:sz w:val="24"/>
        </w:rPr>
        <w:t>2</w:t>
      </w:r>
      <w:r>
        <w:rPr>
          <w:rFonts w:hint="eastAsia"/>
          <w:sz w:val="24"/>
        </w:rPr>
        <w:t>）安全生产责任险</w:t>
      </w:r>
    </w:p>
    <w:p w14:paraId="082F8FBD" w14:textId="77777777" w:rsidR="003D6A63" w:rsidRDefault="00000000">
      <w:pPr>
        <w:pStyle w:val="28"/>
        <w:adjustRightInd w:val="0"/>
        <w:snapToGrid w:val="0"/>
        <w:ind w:left="0" w:firstLine="480"/>
        <w:rPr>
          <w:rFonts w:ascii="Times New Roman" w:hAnsi="Times New Roman"/>
          <w:bCs/>
          <w:szCs w:val="24"/>
        </w:rPr>
      </w:pPr>
      <w:r>
        <w:rPr>
          <w:rFonts w:ascii="Times New Roman" w:hAnsi="Times New Roman" w:hint="eastAsia"/>
          <w:bCs/>
          <w:szCs w:val="24"/>
        </w:rPr>
        <w:t>中胜公司</w:t>
      </w:r>
      <w:r>
        <w:rPr>
          <w:rFonts w:ascii="Times New Roman" w:hAnsi="Times New Roman" w:hint="eastAsia"/>
          <w:bCs/>
          <w:szCs w:val="24"/>
          <w:lang w:val="zh-CN"/>
        </w:rPr>
        <w:t>按照</w:t>
      </w:r>
      <w:r>
        <w:rPr>
          <w:rFonts w:ascii="Times New Roman" w:hAnsi="Times New Roman" w:hint="eastAsia"/>
          <w:bCs/>
          <w:szCs w:val="24"/>
        </w:rPr>
        <w:t>应急</w:t>
      </w:r>
      <w:r>
        <w:rPr>
          <w:rFonts w:ascii="Times New Roman" w:hAnsi="Times New Roman" w:hint="eastAsia"/>
          <w:bCs/>
          <w:szCs w:val="24"/>
          <w:lang w:val="zh-CN"/>
        </w:rPr>
        <w:t>管理部门要求，缴纳了安全生产责任险。</w:t>
      </w:r>
      <w:r>
        <w:rPr>
          <w:rFonts w:ascii="Times New Roman" w:hAnsi="Times New Roman" w:hint="eastAsia"/>
          <w:bCs/>
          <w:szCs w:val="24"/>
        </w:rPr>
        <w:t>其中油田职工由</w:t>
      </w:r>
      <w:r>
        <w:rPr>
          <w:rFonts w:ascii="Times New Roman" w:hAnsi="Times New Roman" w:hint="eastAsia"/>
          <w:bCs/>
          <w:szCs w:val="24"/>
          <w:lang w:val="zh-CN"/>
        </w:rPr>
        <w:t>中国石油化工股份有限公司胜利油田分公司统一缴纳，</w:t>
      </w:r>
      <w:r>
        <w:rPr>
          <w:rFonts w:ascii="Times New Roman" w:hAnsi="Times New Roman" w:hint="eastAsia"/>
          <w:bCs/>
          <w:szCs w:val="24"/>
        </w:rPr>
        <w:t>中胜实业员工由胜利油田中胜实业有限公司进行缴纳</w:t>
      </w:r>
      <w:r>
        <w:rPr>
          <w:rFonts w:ascii="Times New Roman" w:hAnsi="Times New Roman" w:hint="eastAsia"/>
          <w:bCs/>
          <w:szCs w:val="24"/>
          <w:lang w:val="zh-CN"/>
        </w:rPr>
        <w:t>。</w:t>
      </w:r>
      <w:r>
        <w:rPr>
          <w:rFonts w:ascii="Times New Roman" w:hAnsi="Times New Roman" w:hint="eastAsia"/>
          <w:bCs/>
          <w:szCs w:val="24"/>
        </w:rPr>
        <w:t>缴纳相关缴费证明见附件</w:t>
      </w:r>
      <w:r>
        <w:rPr>
          <w:rFonts w:ascii="Times New Roman" w:hAnsi="Times New Roman" w:hint="eastAsia"/>
          <w:bCs/>
          <w:szCs w:val="24"/>
        </w:rPr>
        <w:t>9</w:t>
      </w:r>
      <w:r>
        <w:rPr>
          <w:rFonts w:ascii="Times New Roman" w:hAnsi="Times New Roman" w:hint="eastAsia"/>
          <w:bCs/>
          <w:szCs w:val="24"/>
        </w:rPr>
        <w:t>。</w:t>
      </w:r>
    </w:p>
    <w:p w14:paraId="23A9F5B1"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6.1.8.3  </w:t>
      </w:r>
      <w:r>
        <w:rPr>
          <w:rFonts w:ascii="Times New Roman" w:eastAsia="宋体" w:hAnsi="Times New Roman" w:hint="eastAsia"/>
          <w:sz w:val="24"/>
          <w:szCs w:val="24"/>
        </w:rPr>
        <w:t>检查结果</w:t>
      </w:r>
    </w:p>
    <w:p w14:paraId="4A434B56" w14:textId="77777777" w:rsidR="003D6A63" w:rsidRDefault="00000000">
      <w:pPr>
        <w:pStyle w:val="28"/>
        <w:adjustRightInd w:val="0"/>
        <w:snapToGrid w:val="0"/>
        <w:ind w:left="0" w:firstLine="480"/>
        <w:rPr>
          <w:rFonts w:ascii="Times New Roman" w:hAnsi="Times New Roman"/>
          <w:bCs/>
          <w:szCs w:val="24"/>
        </w:rPr>
      </w:pPr>
      <w:r>
        <w:rPr>
          <w:rFonts w:ascii="Times New Roman" w:hAnsi="Times New Roman" w:hint="eastAsia"/>
          <w:bCs/>
          <w:szCs w:val="24"/>
        </w:rPr>
        <w:t>中胜公司</w:t>
      </w:r>
      <w:r>
        <w:rPr>
          <w:rFonts w:ascii="Times New Roman" w:hAnsi="Times New Roman" w:hint="eastAsia"/>
          <w:bCs/>
          <w:szCs w:val="24"/>
          <w:lang w:val="zh-CN"/>
        </w:rPr>
        <w:t>工伤保险及安全生产责任险的缴纳满足安全生产法等相关要求。</w:t>
      </w:r>
    </w:p>
    <w:p w14:paraId="12ADF963" w14:textId="77777777" w:rsidR="003D6A63" w:rsidRDefault="00000000">
      <w:pPr>
        <w:pStyle w:val="3"/>
        <w:keepNext w:val="0"/>
        <w:keepLines w:val="0"/>
        <w:spacing w:before="0" w:after="0" w:line="360" w:lineRule="auto"/>
        <w:rPr>
          <w:rFonts w:eastAsia="黑体"/>
          <w:b w:val="0"/>
          <w:spacing w:val="0"/>
          <w:sz w:val="24"/>
        </w:rPr>
      </w:pPr>
      <w:r>
        <w:rPr>
          <w:rFonts w:eastAsia="黑体" w:hint="eastAsia"/>
          <w:b w:val="0"/>
          <w:spacing w:val="0"/>
          <w:sz w:val="24"/>
        </w:rPr>
        <w:t xml:space="preserve">6.1.9  </w:t>
      </w:r>
      <w:r>
        <w:rPr>
          <w:rFonts w:eastAsia="黑体" w:hint="eastAsia"/>
          <w:b w:val="0"/>
          <w:spacing w:val="0"/>
          <w:sz w:val="24"/>
        </w:rPr>
        <w:t>职业病防护及劳动防护用品配备</w:t>
      </w:r>
    </w:p>
    <w:p w14:paraId="374507F5"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6.1.9.1  </w:t>
      </w:r>
      <w:r>
        <w:rPr>
          <w:rFonts w:ascii="Times New Roman" w:eastAsia="宋体" w:hAnsi="Times New Roman" w:hint="eastAsia"/>
          <w:sz w:val="24"/>
          <w:szCs w:val="24"/>
        </w:rPr>
        <w:t>法规要求</w:t>
      </w:r>
    </w:p>
    <w:p w14:paraId="6E4F164C"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）《非煤矿矿山企业安全生产许可证实施办法》</w:t>
      </w:r>
    </w:p>
    <w:p w14:paraId="6B1748B5" w14:textId="77777777" w:rsidR="003D6A63" w:rsidRDefault="00000000">
      <w:pPr>
        <w:adjustRightInd w:val="0"/>
        <w:snapToGrid w:val="0"/>
        <w:spacing w:line="360" w:lineRule="auto"/>
        <w:ind w:firstLineChars="200" w:firstLine="480"/>
        <w:rPr>
          <w:sz w:val="24"/>
        </w:rPr>
      </w:pPr>
      <w:r>
        <w:rPr>
          <w:rFonts w:hint="eastAsia"/>
          <w:sz w:val="24"/>
        </w:rPr>
        <w:lastRenderedPageBreak/>
        <w:t>第六条　制定防治职业危害的具体措施，并为从业人员配备符合国家标准或者行业标准的劳动防护用品。</w:t>
      </w:r>
    </w:p>
    <w:p w14:paraId="774D458E"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）《山东省安全生产条例》</w:t>
      </w:r>
    </w:p>
    <w:p w14:paraId="6A7257E3" w14:textId="77777777" w:rsidR="003D6A63" w:rsidRDefault="00000000">
      <w:pPr>
        <w:adjustRightInd w:val="0"/>
        <w:snapToGrid w:val="0"/>
        <w:spacing w:line="360" w:lineRule="auto"/>
        <w:ind w:firstLineChars="200" w:firstLine="480"/>
        <w:rPr>
          <w:sz w:val="24"/>
        </w:rPr>
      </w:pPr>
      <w:r>
        <w:rPr>
          <w:rFonts w:hint="eastAsia"/>
          <w:sz w:val="24"/>
        </w:rPr>
        <w:t>第二十五条　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p w14:paraId="3FA290AF"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3</w:t>
      </w:r>
      <w:r>
        <w:rPr>
          <w:rFonts w:hint="eastAsia"/>
          <w:sz w:val="24"/>
        </w:rPr>
        <w:t>）《山东省生产经营单位安全生产主体责任规定》</w:t>
      </w:r>
    </w:p>
    <w:p w14:paraId="5A954EA8" w14:textId="77777777" w:rsidR="003D6A63" w:rsidRDefault="00000000">
      <w:pPr>
        <w:adjustRightInd w:val="0"/>
        <w:snapToGrid w:val="0"/>
        <w:spacing w:line="360" w:lineRule="auto"/>
        <w:ind w:firstLineChars="200" w:firstLine="480"/>
        <w:rPr>
          <w:sz w:val="24"/>
        </w:rPr>
      </w:pPr>
      <w:r>
        <w:rPr>
          <w:rFonts w:hint="eastAsia"/>
          <w:sz w:val="24"/>
        </w:rPr>
        <w:t>第二十二条　存在职业病危害的生产经营单位，应当按照有关规定及时申报本单位的职业病危害因素，并定期检测、评价。</w:t>
      </w:r>
    </w:p>
    <w:p w14:paraId="2CF76F01" w14:textId="77777777" w:rsidR="003D6A63" w:rsidRDefault="00000000">
      <w:pPr>
        <w:adjustRightInd w:val="0"/>
        <w:snapToGrid w:val="0"/>
        <w:spacing w:line="360" w:lineRule="auto"/>
        <w:ind w:firstLineChars="200" w:firstLine="480"/>
        <w:rPr>
          <w:sz w:val="24"/>
        </w:rPr>
      </w:pPr>
      <w:r>
        <w:rPr>
          <w:rFonts w:hint="eastAsia"/>
          <w:sz w:val="24"/>
        </w:rPr>
        <w:t>对从事接触职业病危害的从业人员，生产经营单位应当按照有关规定组织上岗前、在岗期间和离岗时的职业健康检查，并将检查结果书面告知从业人员。职业健康检查费用由生产经营单位承担。</w:t>
      </w:r>
    </w:p>
    <w:p w14:paraId="2B6A4963"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4</w:t>
      </w:r>
      <w:r>
        <w:rPr>
          <w:rFonts w:hint="eastAsia"/>
          <w:sz w:val="24"/>
        </w:rPr>
        <w:t>）《用人单位职业病危害告知与警示标识管理规范》</w:t>
      </w:r>
    </w:p>
    <w:p w14:paraId="278E3482" w14:textId="77777777" w:rsidR="003D6A63" w:rsidRDefault="00000000">
      <w:pPr>
        <w:adjustRightInd w:val="0"/>
        <w:snapToGrid w:val="0"/>
        <w:spacing w:line="360" w:lineRule="auto"/>
        <w:ind w:firstLineChars="200" w:firstLine="480"/>
        <w:rPr>
          <w:sz w:val="24"/>
        </w:rPr>
      </w:pPr>
      <w:r>
        <w:rPr>
          <w:rFonts w:hint="eastAsia"/>
          <w:sz w:val="24"/>
        </w:rPr>
        <w:t>第四条　用人单位应将工作场所可能产生的职业病危害如实告知劳动者，在醒目位置设置职业病防治公告栏，并在可能产生严重职业病危害的作业岗位以及产生职业病危害的设备、材料、贮存场所等设置警示标识。</w:t>
      </w:r>
    </w:p>
    <w:p w14:paraId="15811507"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5</w:t>
      </w:r>
      <w:r>
        <w:rPr>
          <w:rFonts w:hint="eastAsia"/>
          <w:sz w:val="24"/>
        </w:rPr>
        <w:t>）《个体防护装备配备规范第</w:t>
      </w:r>
      <w:r>
        <w:rPr>
          <w:rFonts w:hint="eastAsia"/>
          <w:sz w:val="24"/>
        </w:rPr>
        <w:t>2</w:t>
      </w:r>
      <w:r>
        <w:rPr>
          <w:rFonts w:hint="eastAsia"/>
          <w:sz w:val="24"/>
        </w:rPr>
        <w:t>部分：石油、化工、天然气》（</w:t>
      </w:r>
      <w:r>
        <w:rPr>
          <w:rFonts w:hint="eastAsia"/>
          <w:sz w:val="24"/>
        </w:rPr>
        <w:t>GB39800.2-2020</w:t>
      </w:r>
      <w:r>
        <w:rPr>
          <w:rFonts w:hint="eastAsia"/>
          <w:sz w:val="24"/>
        </w:rPr>
        <w:t>）</w:t>
      </w:r>
    </w:p>
    <w:p w14:paraId="1410710E" w14:textId="77777777" w:rsidR="003D6A63" w:rsidRDefault="00000000">
      <w:pPr>
        <w:adjustRightInd w:val="0"/>
        <w:snapToGrid w:val="0"/>
        <w:spacing w:line="360" w:lineRule="auto"/>
        <w:ind w:firstLineChars="200" w:firstLine="480"/>
        <w:rPr>
          <w:sz w:val="24"/>
        </w:rPr>
      </w:pPr>
      <w:r>
        <w:rPr>
          <w:rFonts w:hint="eastAsia"/>
          <w:sz w:val="24"/>
        </w:rPr>
        <w:t>个体防护装备的配备及使用期限按照附录</w:t>
      </w:r>
      <w:r>
        <w:rPr>
          <w:rFonts w:hint="eastAsia"/>
          <w:sz w:val="24"/>
        </w:rPr>
        <w:t>B</w:t>
      </w:r>
      <w:r>
        <w:rPr>
          <w:rFonts w:hint="eastAsia"/>
          <w:sz w:val="24"/>
        </w:rPr>
        <w:t>的有关规定执行。采油工按照附录</w:t>
      </w:r>
      <w:r>
        <w:rPr>
          <w:rFonts w:hint="eastAsia"/>
          <w:sz w:val="24"/>
        </w:rPr>
        <w:t>B</w:t>
      </w:r>
      <w:r>
        <w:rPr>
          <w:rFonts w:hint="eastAsia"/>
          <w:sz w:val="24"/>
        </w:rPr>
        <w:t>中</w:t>
      </w:r>
      <w:r>
        <w:rPr>
          <w:rFonts w:hint="eastAsia"/>
          <w:sz w:val="24"/>
        </w:rPr>
        <w:t>SY-05-001</w:t>
      </w:r>
      <w:r>
        <w:rPr>
          <w:rFonts w:hint="eastAsia"/>
          <w:sz w:val="24"/>
        </w:rPr>
        <w:t>，注水工按照附录</w:t>
      </w:r>
      <w:r>
        <w:rPr>
          <w:rFonts w:hint="eastAsia"/>
          <w:sz w:val="24"/>
        </w:rPr>
        <w:t>B</w:t>
      </w:r>
      <w:r>
        <w:rPr>
          <w:rFonts w:hint="eastAsia"/>
          <w:sz w:val="24"/>
        </w:rPr>
        <w:t>中</w:t>
      </w:r>
      <w:r>
        <w:rPr>
          <w:rFonts w:hint="eastAsia"/>
          <w:sz w:val="24"/>
        </w:rPr>
        <w:t>SY-05-003</w:t>
      </w:r>
      <w:r>
        <w:rPr>
          <w:rFonts w:hint="eastAsia"/>
          <w:sz w:val="24"/>
        </w:rPr>
        <w:t>配备个体防护装备。</w:t>
      </w:r>
    </w:p>
    <w:p w14:paraId="55CDF2D0"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6.1.9.2  </w:t>
      </w:r>
      <w:r>
        <w:rPr>
          <w:rFonts w:ascii="Times New Roman" w:eastAsia="宋体" w:hAnsi="Times New Roman" w:hint="eastAsia"/>
          <w:sz w:val="24"/>
          <w:szCs w:val="24"/>
        </w:rPr>
        <w:t>检查情况</w:t>
      </w:r>
    </w:p>
    <w:p w14:paraId="58E8EF66" w14:textId="77777777" w:rsidR="003D6A63" w:rsidRDefault="00000000">
      <w:pPr>
        <w:adjustRightInd w:val="0"/>
        <w:snapToGrid w:val="0"/>
        <w:spacing w:line="360" w:lineRule="auto"/>
        <w:ind w:firstLineChars="200" w:firstLine="480"/>
        <w:rPr>
          <w:kern w:val="0"/>
          <w:sz w:val="24"/>
          <w:lang w:val="zh-CN"/>
        </w:rPr>
      </w:pPr>
      <w:r>
        <w:rPr>
          <w:rFonts w:hint="eastAsia"/>
          <w:kern w:val="0"/>
          <w:sz w:val="24"/>
        </w:rPr>
        <w:t>中胜公司</w:t>
      </w:r>
      <w:r>
        <w:rPr>
          <w:rFonts w:hint="eastAsia"/>
          <w:kern w:val="0"/>
          <w:sz w:val="24"/>
          <w:lang w:val="zh-CN"/>
        </w:rPr>
        <w:t>严格执行</w:t>
      </w:r>
      <w:r>
        <w:rPr>
          <w:rFonts w:hint="eastAsia"/>
          <w:kern w:val="0"/>
          <w:sz w:val="24"/>
        </w:rPr>
        <w:t>公司</w:t>
      </w:r>
      <w:r>
        <w:rPr>
          <w:rFonts w:hint="eastAsia"/>
          <w:kern w:val="0"/>
          <w:sz w:val="24"/>
          <w:lang w:val="zh-CN"/>
        </w:rPr>
        <w:t>《劳动防护用品</w:t>
      </w:r>
      <w:r>
        <w:rPr>
          <w:rFonts w:hint="eastAsia"/>
          <w:kern w:val="0"/>
          <w:sz w:val="24"/>
        </w:rPr>
        <w:t>发放管理制度</w:t>
      </w:r>
      <w:r>
        <w:rPr>
          <w:rFonts w:hint="eastAsia"/>
          <w:kern w:val="0"/>
          <w:sz w:val="24"/>
          <w:lang w:val="zh-CN"/>
        </w:rPr>
        <w:t>》相关要求，按时、按标准为职工配发劳动防护用品。查阅</w:t>
      </w:r>
      <w:r>
        <w:rPr>
          <w:rFonts w:hint="eastAsia"/>
          <w:kern w:val="0"/>
          <w:sz w:val="24"/>
        </w:rPr>
        <w:t>中胜公司劳动保护用品</w:t>
      </w:r>
      <w:r>
        <w:rPr>
          <w:rFonts w:hint="eastAsia"/>
          <w:kern w:val="0"/>
          <w:sz w:val="24"/>
          <w:lang w:val="zh-CN"/>
        </w:rPr>
        <w:t>发放记录，</w:t>
      </w:r>
      <w:r>
        <w:rPr>
          <w:rFonts w:hint="eastAsia"/>
          <w:kern w:val="0"/>
          <w:sz w:val="24"/>
        </w:rPr>
        <w:t>中胜公司</w:t>
      </w:r>
      <w:r>
        <w:rPr>
          <w:kern w:val="0"/>
          <w:sz w:val="24"/>
          <w:lang w:val="zh-CN"/>
        </w:rPr>
        <w:t>为每个人发放了单（棉）工鞋、工服、工帽等个体防护用品，相关岗位人员配备正压式空气呼吸器、耳塞、耳罩、面罩等职业健康防护用品。</w:t>
      </w:r>
      <w:r>
        <w:rPr>
          <w:kern w:val="0"/>
          <w:sz w:val="24"/>
          <w:lang w:val="zh-CN"/>
        </w:rPr>
        <w:t xml:space="preserve"> </w:t>
      </w:r>
    </w:p>
    <w:p w14:paraId="7B351416" w14:textId="77777777" w:rsidR="003D6A63" w:rsidRDefault="00000000">
      <w:pPr>
        <w:pStyle w:val="aff1"/>
        <w:tabs>
          <w:tab w:val="left" w:pos="377"/>
        </w:tabs>
        <w:adjustRightInd w:val="0"/>
        <w:snapToGrid w:val="0"/>
        <w:spacing w:line="360" w:lineRule="auto"/>
        <w:ind w:firstLine="480"/>
        <w:rPr>
          <w:kern w:val="0"/>
          <w:lang w:val="zh-CN"/>
        </w:rPr>
      </w:pPr>
      <w:r>
        <w:rPr>
          <w:rFonts w:hint="eastAsia"/>
          <w:kern w:val="0"/>
          <w:lang w:val="zh-CN"/>
        </w:rPr>
        <w:t>此外，</w:t>
      </w:r>
      <w:r>
        <w:rPr>
          <w:rFonts w:hint="eastAsia"/>
          <w:kern w:val="0"/>
        </w:rPr>
        <w:t>中胜公司</w:t>
      </w:r>
      <w:r>
        <w:rPr>
          <w:rFonts w:hint="eastAsia"/>
          <w:kern w:val="0"/>
          <w:lang w:val="zh-CN"/>
        </w:rPr>
        <w:t>定期进行员工职业健康体检，建有员工健康档案。职工个人劳动防护用品发放记录详见附件</w:t>
      </w:r>
      <w:r>
        <w:rPr>
          <w:rFonts w:hint="eastAsia"/>
          <w:kern w:val="0"/>
        </w:rPr>
        <w:t>20</w:t>
      </w:r>
      <w:r>
        <w:rPr>
          <w:rFonts w:hint="eastAsia"/>
          <w:kern w:val="0"/>
          <w:lang w:val="zh-CN"/>
        </w:rPr>
        <w:t>。</w:t>
      </w:r>
    </w:p>
    <w:p w14:paraId="3E508FBF"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6.1.9.3  </w:t>
      </w:r>
      <w:r>
        <w:rPr>
          <w:rFonts w:ascii="Times New Roman" w:eastAsia="宋体" w:hAnsi="Times New Roman" w:hint="eastAsia"/>
          <w:sz w:val="24"/>
          <w:szCs w:val="24"/>
        </w:rPr>
        <w:t>检查结果</w:t>
      </w:r>
    </w:p>
    <w:p w14:paraId="33A760B0" w14:textId="77777777" w:rsidR="003D6A63" w:rsidRDefault="00000000">
      <w:pPr>
        <w:adjustRightInd w:val="0"/>
        <w:snapToGrid w:val="0"/>
        <w:spacing w:line="360" w:lineRule="auto"/>
        <w:ind w:firstLineChars="200" w:firstLine="480"/>
        <w:rPr>
          <w:sz w:val="24"/>
        </w:rPr>
      </w:pPr>
      <w:r>
        <w:rPr>
          <w:rFonts w:hint="eastAsia"/>
          <w:sz w:val="24"/>
        </w:rPr>
        <w:t>中胜公司为员工配备的劳动防护用品，符合国家法律法规及其标准规范的要求。</w:t>
      </w:r>
    </w:p>
    <w:p w14:paraId="373512A9" w14:textId="77777777" w:rsidR="003D6A63" w:rsidRDefault="00000000">
      <w:pPr>
        <w:pStyle w:val="3"/>
        <w:keepNext w:val="0"/>
        <w:keepLines w:val="0"/>
        <w:spacing w:before="0" w:after="0" w:line="360" w:lineRule="auto"/>
        <w:rPr>
          <w:rFonts w:eastAsia="黑体"/>
          <w:b w:val="0"/>
          <w:spacing w:val="0"/>
          <w:sz w:val="24"/>
        </w:rPr>
      </w:pPr>
      <w:r>
        <w:rPr>
          <w:rFonts w:eastAsia="黑体" w:hint="eastAsia"/>
          <w:b w:val="0"/>
          <w:spacing w:val="0"/>
          <w:sz w:val="24"/>
        </w:rPr>
        <w:t xml:space="preserve">6.1.10  </w:t>
      </w:r>
      <w:r>
        <w:rPr>
          <w:rFonts w:eastAsia="黑体" w:hint="eastAsia"/>
          <w:b w:val="0"/>
          <w:spacing w:val="0"/>
          <w:sz w:val="24"/>
        </w:rPr>
        <w:t>建设项目安全设施“三同时”管理</w:t>
      </w:r>
    </w:p>
    <w:p w14:paraId="0A19A541"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lastRenderedPageBreak/>
        <w:t xml:space="preserve">6.1.10.1  </w:t>
      </w:r>
      <w:r>
        <w:rPr>
          <w:rFonts w:ascii="Times New Roman" w:eastAsia="宋体" w:hAnsi="Times New Roman" w:hint="eastAsia"/>
          <w:sz w:val="24"/>
          <w:szCs w:val="24"/>
        </w:rPr>
        <w:t>法规要求</w:t>
      </w:r>
    </w:p>
    <w:p w14:paraId="14E56983"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）《非煤矿矿山企业安全生产许可证实施办法》</w:t>
      </w:r>
    </w:p>
    <w:p w14:paraId="400D7139" w14:textId="77777777" w:rsidR="003D6A63" w:rsidRDefault="00000000">
      <w:pPr>
        <w:adjustRightInd w:val="0"/>
        <w:snapToGrid w:val="0"/>
        <w:spacing w:line="360" w:lineRule="auto"/>
        <w:ind w:firstLineChars="200" w:firstLine="480"/>
        <w:rPr>
          <w:sz w:val="24"/>
        </w:rPr>
      </w:pPr>
      <w:r>
        <w:rPr>
          <w:rFonts w:hint="eastAsia"/>
          <w:sz w:val="24"/>
        </w:rPr>
        <w:t>第六条　新建、改建、扩建工程项目依法进行安全评价，其安全设施经验收合格。</w:t>
      </w:r>
    </w:p>
    <w:p w14:paraId="5EBD7F1B"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 xml:space="preserve">）《安全生产法》　</w:t>
      </w:r>
    </w:p>
    <w:p w14:paraId="26C22220" w14:textId="77777777" w:rsidR="003D6A63" w:rsidRDefault="00000000">
      <w:pPr>
        <w:adjustRightInd w:val="0"/>
        <w:snapToGrid w:val="0"/>
        <w:spacing w:line="360" w:lineRule="auto"/>
        <w:ind w:firstLineChars="200" w:firstLine="480"/>
        <w:rPr>
          <w:sz w:val="24"/>
        </w:rPr>
      </w:pPr>
      <w:r>
        <w:rPr>
          <w:rFonts w:hint="eastAsia"/>
          <w:sz w:val="24"/>
        </w:rPr>
        <w:t>第三十一条　生产经营单位新建、改建、扩建工程项目（以下统称建设项目）的安全设施，必须与主体工程同时设计、同时施工、同时投入生产和使用。安全设施投资应当纳入建设项目概算。</w:t>
      </w:r>
    </w:p>
    <w:p w14:paraId="00A3EE03" w14:textId="77777777" w:rsidR="003D6A63" w:rsidRDefault="00000000">
      <w:pPr>
        <w:adjustRightInd w:val="0"/>
        <w:snapToGrid w:val="0"/>
        <w:spacing w:line="360" w:lineRule="auto"/>
        <w:ind w:firstLineChars="200" w:firstLine="480"/>
        <w:rPr>
          <w:sz w:val="24"/>
        </w:rPr>
      </w:pPr>
      <w:r>
        <w:rPr>
          <w:rFonts w:hint="eastAsia"/>
          <w:sz w:val="24"/>
        </w:rPr>
        <w:t>第三十二条　矿山、金属冶炼建设项目和用于生产、储存、装卸危险物品的建设项目，应当按照国家有关规定进行安全评价。</w:t>
      </w:r>
    </w:p>
    <w:p w14:paraId="2BEE8809" w14:textId="77777777" w:rsidR="003D6A63" w:rsidRDefault="00000000">
      <w:pPr>
        <w:adjustRightInd w:val="0"/>
        <w:snapToGrid w:val="0"/>
        <w:spacing w:line="360" w:lineRule="auto"/>
        <w:ind w:firstLineChars="200" w:firstLine="480"/>
        <w:rPr>
          <w:sz w:val="24"/>
        </w:rPr>
      </w:pPr>
      <w:r>
        <w:rPr>
          <w:rFonts w:hint="eastAsia"/>
          <w:sz w:val="24"/>
        </w:rPr>
        <w:t>第三十四条　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14:paraId="78E59BC8" w14:textId="77777777" w:rsidR="003D6A63" w:rsidRDefault="00000000">
      <w:pPr>
        <w:adjustRightInd w:val="0"/>
        <w:snapToGrid w:val="0"/>
        <w:spacing w:line="360" w:lineRule="auto"/>
        <w:ind w:firstLineChars="200" w:firstLine="480"/>
        <w:rPr>
          <w:sz w:val="24"/>
        </w:rPr>
      </w:pPr>
      <w:r>
        <w:rPr>
          <w:rFonts w:hint="eastAsia"/>
          <w:sz w:val="24"/>
        </w:rPr>
        <w:t>（</w:t>
      </w:r>
      <w:r>
        <w:rPr>
          <w:rFonts w:hint="eastAsia"/>
          <w:sz w:val="24"/>
        </w:rPr>
        <w:t>3</w:t>
      </w:r>
      <w:r>
        <w:rPr>
          <w:rFonts w:hint="eastAsia"/>
          <w:sz w:val="24"/>
        </w:rPr>
        <w:t>）《建设项目安全设施“三同时”监督管理办法》（全文）</w:t>
      </w:r>
    </w:p>
    <w:p w14:paraId="1B963D2F"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6.1.10.2  </w:t>
      </w:r>
      <w:r>
        <w:rPr>
          <w:rFonts w:ascii="Times New Roman" w:eastAsia="宋体" w:hAnsi="Times New Roman" w:hint="eastAsia"/>
          <w:sz w:val="24"/>
          <w:szCs w:val="24"/>
        </w:rPr>
        <w:t>检查情况</w:t>
      </w:r>
    </w:p>
    <w:p w14:paraId="6DB5F722" w14:textId="77777777" w:rsidR="003D6A63" w:rsidRDefault="00000000">
      <w:pPr>
        <w:adjustRightInd w:val="0"/>
        <w:snapToGrid w:val="0"/>
        <w:spacing w:line="360" w:lineRule="auto"/>
        <w:ind w:firstLineChars="200" w:firstLine="480"/>
        <w:rPr>
          <w:bCs/>
          <w:sz w:val="24"/>
        </w:rPr>
      </w:pPr>
      <w:r>
        <w:rPr>
          <w:rFonts w:hint="eastAsia"/>
          <w:bCs/>
          <w:sz w:val="24"/>
        </w:rPr>
        <w:t>中胜公司近三年内无新、改、扩建项目。</w:t>
      </w:r>
    </w:p>
    <w:p w14:paraId="78D6C2FE" w14:textId="77777777" w:rsidR="003D6A63" w:rsidRDefault="00000000">
      <w:pPr>
        <w:pStyle w:val="3"/>
        <w:keepNext w:val="0"/>
        <w:keepLines w:val="0"/>
        <w:spacing w:before="0" w:after="0" w:line="360" w:lineRule="auto"/>
        <w:rPr>
          <w:rFonts w:eastAsia="黑体"/>
          <w:b w:val="0"/>
          <w:spacing w:val="0"/>
          <w:sz w:val="24"/>
        </w:rPr>
      </w:pPr>
      <w:r>
        <w:rPr>
          <w:rFonts w:eastAsia="黑体"/>
          <w:b w:val="0"/>
          <w:spacing w:val="0"/>
          <w:sz w:val="24"/>
        </w:rPr>
        <w:t>6.1.</w:t>
      </w:r>
      <w:r>
        <w:rPr>
          <w:rFonts w:eastAsia="黑体" w:hint="eastAsia"/>
          <w:b w:val="0"/>
          <w:spacing w:val="0"/>
          <w:sz w:val="24"/>
        </w:rPr>
        <w:t>11</w:t>
      </w:r>
      <w:r>
        <w:rPr>
          <w:rFonts w:eastAsia="黑体"/>
          <w:b w:val="0"/>
          <w:spacing w:val="0"/>
          <w:sz w:val="24"/>
        </w:rPr>
        <w:t xml:space="preserve">  </w:t>
      </w:r>
      <w:r>
        <w:rPr>
          <w:rFonts w:eastAsia="黑体"/>
          <w:b w:val="0"/>
          <w:spacing w:val="0"/>
          <w:sz w:val="24"/>
        </w:rPr>
        <w:t>设备、设施检测检验情况</w:t>
      </w:r>
    </w:p>
    <w:p w14:paraId="62037CFD"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6.1.11.1  </w:t>
      </w:r>
      <w:r>
        <w:rPr>
          <w:rFonts w:ascii="Times New Roman" w:eastAsia="宋体" w:hAnsi="Times New Roman" w:hint="eastAsia"/>
          <w:sz w:val="24"/>
          <w:szCs w:val="24"/>
        </w:rPr>
        <w:t>法规要求</w:t>
      </w:r>
    </w:p>
    <w:p w14:paraId="3ADED359"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）《非煤矿矿山企业安全生产许可证实施办法》</w:t>
      </w:r>
    </w:p>
    <w:p w14:paraId="115EC438" w14:textId="77777777" w:rsidR="003D6A63" w:rsidRDefault="00000000">
      <w:pPr>
        <w:adjustRightInd w:val="0"/>
        <w:snapToGrid w:val="0"/>
        <w:spacing w:line="360" w:lineRule="auto"/>
        <w:ind w:firstLineChars="200" w:firstLine="480"/>
        <w:rPr>
          <w:sz w:val="24"/>
        </w:rPr>
      </w:pPr>
      <w:r>
        <w:rPr>
          <w:rFonts w:hint="eastAsia"/>
          <w:sz w:val="24"/>
        </w:rPr>
        <w:t>第六条　危险性较大的设备、设施按照国家有关规定进行定期检测检验。</w:t>
      </w:r>
    </w:p>
    <w:p w14:paraId="7B9A455F"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 xml:space="preserve">）《安全生产法》　</w:t>
      </w:r>
    </w:p>
    <w:p w14:paraId="68645415" w14:textId="77777777" w:rsidR="003D6A63" w:rsidRDefault="00000000">
      <w:pPr>
        <w:adjustRightInd w:val="0"/>
        <w:snapToGrid w:val="0"/>
        <w:spacing w:line="360" w:lineRule="auto"/>
        <w:ind w:firstLineChars="200" w:firstLine="480"/>
        <w:rPr>
          <w:sz w:val="24"/>
        </w:rPr>
      </w:pPr>
      <w:r>
        <w:rPr>
          <w:rFonts w:hint="eastAsia"/>
          <w:sz w:val="24"/>
        </w:rPr>
        <w:t>第三十七条　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w:t>
      </w:r>
    </w:p>
    <w:p w14:paraId="6BFA8C28"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3</w:t>
      </w:r>
      <w:r>
        <w:rPr>
          <w:rFonts w:hint="eastAsia"/>
          <w:sz w:val="24"/>
        </w:rPr>
        <w:t>）《特种设备安全法》</w:t>
      </w:r>
    </w:p>
    <w:p w14:paraId="05DFD545" w14:textId="77777777" w:rsidR="003D6A63" w:rsidRDefault="00000000">
      <w:pPr>
        <w:adjustRightInd w:val="0"/>
        <w:snapToGrid w:val="0"/>
        <w:spacing w:line="360" w:lineRule="auto"/>
        <w:ind w:firstLineChars="200" w:firstLine="480"/>
        <w:rPr>
          <w:sz w:val="24"/>
        </w:rPr>
      </w:pPr>
      <w:r>
        <w:rPr>
          <w:rFonts w:hint="eastAsia"/>
          <w:sz w:val="24"/>
        </w:rPr>
        <w:t>第四十条　特种设备使用单位应当按照安全技术规范的要求，在检验合格有效期届满前一个月向特种设备检验机构提出定期检验要求。</w:t>
      </w:r>
    </w:p>
    <w:p w14:paraId="7705598E" w14:textId="77777777" w:rsidR="003D6A63" w:rsidRDefault="00000000">
      <w:pPr>
        <w:adjustRightInd w:val="0"/>
        <w:snapToGrid w:val="0"/>
        <w:spacing w:line="360" w:lineRule="auto"/>
        <w:ind w:firstLineChars="200" w:firstLine="480"/>
        <w:rPr>
          <w:sz w:val="24"/>
        </w:rPr>
      </w:pPr>
      <w:r>
        <w:rPr>
          <w:rFonts w:hint="eastAsia"/>
          <w:sz w:val="24"/>
        </w:rPr>
        <w:t>未经定期检验或者检验不合格的特种设备，不得继续使用。</w:t>
      </w:r>
    </w:p>
    <w:p w14:paraId="2349A435"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6.1.11.2  </w:t>
      </w:r>
      <w:r>
        <w:rPr>
          <w:rFonts w:ascii="Times New Roman" w:eastAsia="宋体" w:hAnsi="Times New Roman" w:hint="eastAsia"/>
          <w:sz w:val="24"/>
          <w:szCs w:val="24"/>
        </w:rPr>
        <w:t>检查情况</w:t>
      </w:r>
    </w:p>
    <w:p w14:paraId="5B2D5666" w14:textId="77777777" w:rsidR="003D6A63" w:rsidRDefault="00000000">
      <w:pPr>
        <w:pStyle w:val="nlw1"/>
        <w:adjustRightInd w:val="0"/>
        <w:snapToGrid w:val="0"/>
        <w:spacing w:line="360" w:lineRule="auto"/>
        <w:ind w:firstLine="480"/>
        <w:rPr>
          <w:rFonts w:ascii="Times New Roman" w:hAnsi="Times New Roman"/>
          <w:sz w:val="24"/>
          <w:szCs w:val="24"/>
          <w:lang w:val="en-US"/>
        </w:rPr>
      </w:pPr>
      <w:r>
        <w:rPr>
          <w:rFonts w:ascii="Times New Roman" w:hAnsi="Times New Roman"/>
          <w:color w:val="000000" w:themeColor="text1"/>
          <w:sz w:val="24"/>
          <w:szCs w:val="24"/>
          <w:lang w:val="en-US"/>
        </w:rPr>
        <w:lastRenderedPageBreak/>
        <w:t>涉及企业机密，不予公开</w:t>
      </w:r>
      <w:r>
        <w:rPr>
          <w:rFonts w:ascii="Times New Roman" w:hAnsi="Times New Roman" w:hint="eastAsia"/>
          <w:sz w:val="24"/>
          <w:szCs w:val="24"/>
          <w:lang w:val="en-US"/>
        </w:rPr>
        <w:t>。</w:t>
      </w:r>
    </w:p>
    <w:p w14:paraId="75587C64"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6.1.11.3  </w:t>
      </w:r>
      <w:r>
        <w:rPr>
          <w:rFonts w:ascii="Times New Roman" w:eastAsia="宋体" w:hAnsi="Times New Roman" w:hint="eastAsia"/>
          <w:sz w:val="24"/>
          <w:szCs w:val="24"/>
        </w:rPr>
        <w:t>检查结果</w:t>
      </w:r>
    </w:p>
    <w:p w14:paraId="5EA8F366" w14:textId="77777777" w:rsidR="003D6A63" w:rsidRDefault="00000000">
      <w:pPr>
        <w:adjustRightInd w:val="0"/>
        <w:snapToGrid w:val="0"/>
        <w:spacing w:line="360" w:lineRule="auto"/>
        <w:ind w:firstLineChars="200" w:firstLine="480"/>
        <w:rPr>
          <w:sz w:val="24"/>
        </w:rPr>
      </w:pPr>
      <w:r>
        <w:rPr>
          <w:rFonts w:hint="eastAsia"/>
          <w:sz w:val="24"/>
        </w:rPr>
        <w:t>中胜公司危险性较大的设备、设施及安全附件、正压式空气呼吸器等均按照国家有关规定进行定期检测检验，符合国家法律法规及其标准规范的要求。</w:t>
      </w:r>
    </w:p>
    <w:p w14:paraId="128E7FA0" w14:textId="77777777" w:rsidR="003D6A63" w:rsidRDefault="00000000">
      <w:pPr>
        <w:pStyle w:val="3"/>
        <w:keepNext w:val="0"/>
        <w:keepLines w:val="0"/>
        <w:spacing w:before="0" w:after="0" w:line="360" w:lineRule="auto"/>
        <w:rPr>
          <w:rFonts w:eastAsia="黑体"/>
          <w:b w:val="0"/>
          <w:spacing w:val="0"/>
          <w:sz w:val="24"/>
        </w:rPr>
      </w:pPr>
      <w:r>
        <w:rPr>
          <w:rFonts w:eastAsia="黑体" w:hint="eastAsia"/>
          <w:b w:val="0"/>
          <w:spacing w:val="0"/>
          <w:sz w:val="24"/>
        </w:rPr>
        <w:t xml:space="preserve">6.1.12  </w:t>
      </w:r>
      <w:r>
        <w:rPr>
          <w:rFonts w:eastAsia="黑体" w:hint="eastAsia"/>
          <w:b w:val="0"/>
          <w:spacing w:val="0"/>
          <w:sz w:val="24"/>
        </w:rPr>
        <w:t>应急管理</w:t>
      </w:r>
    </w:p>
    <w:p w14:paraId="7FC2E25B"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6.1.12.1  </w:t>
      </w:r>
      <w:r>
        <w:rPr>
          <w:rFonts w:ascii="Times New Roman" w:eastAsia="宋体" w:hAnsi="Times New Roman" w:hint="eastAsia"/>
          <w:sz w:val="24"/>
          <w:szCs w:val="24"/>
        </w:rPr>
        <w:t>法规要求</w:t>
      </w:r>
    </w:p>
    <w:p w14:paraId="7272B6F7"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）《非煤矿矿山企业安全生产许可证实施办法》第六条</w:t>
      </w:r>
    </w:p>
    <w:p w14:paraId="35E20FF3" w14:textId="77777777" w:rsidR="003D6A63" w:rsidRDefault="00000000">
      <w:pPr>
        <w:adjustRightInd w:val="0"/>
        <w:snapToGrid w:val="0"/>
        <w:spacing w:line="360" w:lineRule="auto"/>
        <w:ind w:firstLineChars="200" w:firstLine="480"/>
        <w:rPr>
          <w:sz w:val="24"/>
        </w:rPr>
      </w:pPr>
      <w:r>
        <w:rPr>
          <w:rFonts w:hint="eastAsia"/>
          <w:sz w:val="24"/>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p w14:paraId="3C8ABE9C"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）《安全生产法》</w:t>
      </w:r>
    </w:p>
    <w:p w14:paraId="31BF3EA4" w14:textId="77777777" w:rsidR="003D6A63" w:rsidRDefault="00000000">
      <w:pPr>
        <w:adjustRightInd w:val="0"/>
        <w:snapToGrid w:val="0"/>
        <w:spacing w:line="360" w:lineRule="auto"/>
        <w:ind w:firstLineChars="200" w:firstLine="480"/>
        <w:rPr>
          <w:sz w:val="24"/>
        </w:rPr>
      </w:pPr>
      <w:r>
        <w:rPr>
          <w:rFonts w:hint="eastAsia"/>
          <w:sz w:val="24"/>
        </w:rPr>
        <w:t>第八十二条　危险物品的生产、经营、储存单位以及矿山、金属冶炼、城市轨道交通运营、建筑施工单位应当建立应急救援组织；生产经营规模较小的，可以不建立应急救援组织，但应当指定兼职的应急救援人员。</w:t>
      </w:r>
    </w:p>
    <w:p w14:paraId="10D2D67F" w14:textId="77777777" w:rsidR="003D6A63" w:rsidRDefault="00000000">
      <w:pPr>
        <w:adjustRightInd w:val="0"/>
        <w:snapToGrid w:val="0"/>
        <w:spacing w:line="360" w:lineRule="auto"/>
        <w:ind w:firstLineChars="200" w:firstLine="480"/>
        <w:rPr>
          <w:sz w:val="24"/>
        </w:rPr>
      </w:pPr>
      <w:r>
        <w:rPr>
          <w:rFonts w:hint="eastAsia"/>
          <w:sz w:val="24"/>
        </w:rPr>
        <w:t>危险物品的生产、经营、储存、运输单位以及矿山、金属冶炼、城市轨道交通运营、建筑施工单位应当配备必要的应急救援器材、设备和物资，并进行经常性维护、保养，保证正常运转。</w:t>
      </w:r>
    </w:p>
    <w:p w14:paraId="037B9377"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3</w:t>
      </w:r>
      <w:r>
        <w:rPr>
          <w:rFonts w:hint="eastAsia"/>
          <w:sz w:val="24"/>
        </w:rPr>
        <w:t>）《特种设备安全法》</w:t>
      </w:r>
    </w:p>
    <w:p w14:paraId="36D50117" w14:textId="77777777" w:rsidR="003D6A63" w:rsidRDefault="00000000">
      <w:pPr>
        <w:adjustRightInd w:val="0"/>
        <w:snapToGrid w:val="0"/>
        <w:spacing w:line="360" w:lineRule="auto"/>
        <w:ind w:firstLineChars="200" w:firstLine="480"/>
        <w:rPr>
          <w:sz w:val="24"/>
        </w:rPr>
      </w:pPr>
      <w:r>
        <w:rPr>
          <w:rFonts w:hint="eastAsia"/>
          <w:sz w:val="24"/>
        </w:rPr>
        <w:t>第六十九条　特种设备使用单位应当制定特种设备事故应急专项预案，并定期进行应急演练。</w:t>
      </w:r>
    </w:p>
    <w:p w14:paraId="2497A66D"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4</w:t>
      </w:r>
      <w:r>
        <w:rPr>
          <w:rFonts w:hint="eastAsia"/>
          <w:sz w:val="24"/>
        </w:rPr>
        <w:t>）《生产安全事故应急条例》（中华人民共和国国务院令第</w:t>
      </w:r>
      <w:r>
        <w:rPr>
          <w:rFonts w:hint="eastAsia"/>
          <w:sz w:val="24"/>
        </w:rPr>
        <w:t>708</w:t>
      </w:r>
      <w:r>
        <w:rPr>
          <w:rFonts w:hint="eastAsia"/>
          <w:sz w:val="24"/>
        </w:rPr>
        <w:t>号）</w:t>
      </w:r>
    </w:p>
    <w:p w14:paraId="68D8599E" w14:textId="77777777" w:rsidR="003D6A63" w:rsidRDefault="00000000">
      <w:pPr>
        <w:adjustRightInd w:val="0"/>
        <w:snapToGrid w:val="0"/>
        <w:spacing w:line="360" w:lineRule="auto"/>
        <w:ind w:firstLineChars="200" w:firstLine="480"/>
        <w:rPr>
          <w:sz w:val="24"/>
        </w:rPr>
      </w:pPr>
      <w:r>
        <w:rPr>
          <w:rFonts w:hint="eastAsia"/>
          <w:sz w:val="24"/>
        </w:rPr>
        <w:t>第十条　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人员，并且可以与邻近的应急救援队伍签订应急救援协议。</w:t>
      </w:r>
    </w:p>
    <w:p w14:paraId="4EF3012D"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5</w:t>
      </w:r>
      <w:r>
        <w:rPr>
          <w:rFonts w:hint="eastAsia"/>
          <w:sz w:val="24"/>
        </w:rPr>
        <w:t>）《生产安全事故应急预案管理办法》</w:t>
      </w:r>
    </w:p>
    <w:p w14:paraId="5B810213" w14:textId="77777777" w:rsidR="003D6A63" w:rsidRDefault="00000000">
      <w:pPr>
        <w:adjustRightInd w:val="0"/>
        <w:snapToGrid w:val="0"/>
        <w:spacing w:line="360" w:lineRule="auto"/>
        <w:ind w:firstLineChars="200" w:firstLine="480"/>
        <w:rPr>
          <w:sz w:val="24"/>
        </w:rPr>
      </w:pPr>
      <w:r>
        <w:rPr>
          <w:rFonts w:hint="eastAsia"/>
          <w:sz w:val="24"/>
        </w:rPr>
        <w:t>第二十六条　易燃易爆物品、危险化学品等危险物品的生产、经营、储存、运输单位，矿山、金属冶炼、城市轨道交通运营、建筑施工单位，以及宾馆、商场、娱乐场所、旅游景区等人员密集场所经营单位，应当在应急预案公布之日起</w:t>
      </w:r>
      <w:r>
        <w:rPr>
          <w:rFonts w:hint="eastAsia"/>
          <w:sz w:val="24"/>
        </w:rPr>
        <w:t>20</w:t>
      </w:r>
      <w:r>
        <w:rPr>
          <w:rFonts w:hint="eastAsia"/>
          <w:sz w:val="24"/>
        </w:rPr>
        <w:t>个工作日内，按照</w:t>
      </w:r>
      <w:r>
        <w:rPr>
          <w:rFonts w:hint="eastAsia"/>
          <w:sz w:val="24"/>
        </w:rPr>
        <w:lastRenderedPageBreak/>
        <w:t>分级属地原则，向县级以上人民政府应急管理部门和其他负有安全生产监督管理职责的部门进行备案，并依法向社会公布。</w:t>
      </w:r>
    </w:p>
    <w:p w14:paraId="7F396DDD" w14:textId="77777777" w:rsidR="003D6A63" w:rsidRDefault="00000000">
      <w:pPr>
        <w:adjustRightInd w:val="0"/>
        <w:snapToGrid w:val="0"/>
        <w:spacing w:line="360" w:lineRule="auto"/>
        <w:ind w:firstLineChars="200" w:firstLine="480"/>
        <w:rPr>
          <w:sz w:val="24"/>
        </w:rPr>
      </w:pPr>
      <w:r>
        <w:rPr>
          <w:rFonts w:hint="eastAsia"/>
          <w:sz w:val="24"/>
        </w:rPr>
        <w:t>前款所列单位属于中央企业的，其总部（上市公司）的应急预案，报国务院主管的负有安全生产监督管理职责的部门备案，并抄送应急管理部；其所属单位的应急预案报所在地的省、自治区、直辖市或者设区的市级人民政府主管的负有安全生产监督管理职责的部门备案，并抄送同级人民政府应急管理部门。</w:t>
      </w:r>
    </w:p>
    <w:p w14:paraId="5938A4C1"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6</w:t>
      </w:r>
      <w:r>
        <w:rPr>
          <w:rFonts w:hint="eastAsia"/>
          <w:sz w:val="24"/>
        </w:rPr>
        <w:t>）《山东省生产安全事故应急办法》</w:t>
      </w:r>
    </w:p>
    <w:p w14:paraId="6D15687C" w14:textId="77777777" w:rsidR="003D6A63" w:rsidRDefault="00000000">
      <w:pPr>
        <w:adjustRightInd w:val="0"/>
        <w:snapToGrid w:val="0"/>
        <w:spacing w:line="360" w:lineRule="auto"/>
        <w:ind w:firstLineChars="200" w:firstLine="480"/>
        <w:rPr>
          <w:sz w:val="24"/>
        </w:rPr>
      </w:pPr>
      <w:r>
        <w:rPr>
          <w:rFonts w:hint="eastAsia"/>
          <w:sz w:val="24"/>
        </w:rPr>
        <w:t>第十三条　高危和人员密集单位应当每半年至少组织</w:t>
      </w:r>
      <w:r>
        <w:rPr>
          <w:rFonts w:hint="eastAsia"/>
          <w:sz w:val="24"/>
        </w:rPr>
        <w:t>1</w:t>
      </w:r>
      <w:r>
        <w:rPr>
          <w:rFonts w:hint="eastAsia"/>
          <w:sz w:val="24"/>
        </w:rPr>
        <w:t>次综合或者专项应急预案演练，每</w:t>
      </w:r>
      <w:r>
        <w:rPr>
          <w:rFonts w:hint="eastAsia"/>
          <w:sz w:val="24"/>
        </w:rPr>
        <w:t>2</w:t>
      </w:r>
      <w:r>
        <w:rPr>
          <w:rFonts w:hint="eastAsia"/>
          <w:sz w:val="24"/>
        </w:rPr>
        <w:t>年对所有专项应急预案至少组织</w:t>
      </w:r>
      <w:r>
        <w:rPr>
          <w:rFonts w:hint="eastAsia"/>
          <w:sz w:val="24"/>
        </w:rPr>
        <w:t>1</w:t>
      </w:r>
      <w:r>
        <w:rPr>
          <w:rFonts w:hint="eastAsia"/>
          <w:sz w:val="24"/>
        </w:rPr>
        <w:t>次演练，每半年对所有现场处置方案至少组织</w:t>
      </w:r>
      <w:r>
        <w:rPr>
          <w:rFonts w:hint="eastAsia"/>
          <w:sz w:val="24"/>
        </w:rPr>
        <w:t>1</w:t>
      </w:r>
      <w:r>
        <w:rPr>
          <w:rFonts w:hint="eastAsia"/>
          <w:sz w:val="24"/>
        </w:rPr>
        <w:t>次演练。</w:t>
      </w:r>
    </w:p>
    <w:p w14:paraId="69565E39"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6.1.12.2  </w:t>
      </w:r>
      <w:r>
        <w:rPr>
          <w:rFonts w:ascii="Times New Roman" w:eastAsia="宋体" w:hAnsi="Times New Roman" w:hint="eastAsia"/>
          <w:sz w:val="24"/>
          <w:szCs w:val="24"/>
        </w:rPr>
        <w:t>检查情况</w:t>
      </w:r>
    </w:p>
    <w:p w14:paraId="3169903E" w14:textId="77777777" w:rsidR="003D6A63" w:rsidRDefault="00000000">
      <w:pPr>
        <w:pStyle w:val="nlw1"/>
        <w:adjustRightInd w:val="0"/>
        <w:snapToGrid w:val="0"/>
        <w:spacing w:line="360" w:lineRule="auto"/>
        <w:ind w:firstLine="480"/>
        <w:rPr>
          <w:rFonts w:ascii="Times New Roman" w:hAnsi="Times New Roman"/>
          <w:sz w:val="24"/>
          <w:szCs w:val="24"/>
          <w:lang w:val="en-US"/>
        </w:rPr>
      </w:pPr>
      <w:r>
        <w:rPr>
          <w:rFonts w:ascii="Times New Roman" w:hAnsi="Times New Roman"/>
          <w:color w:val="000000" w:themeColor="text1"/>
          <w:sz w:val="24"/>
          <w:szCs w:val="24"/>
          <w:lang w:val="en-US"/>
        </w:rPr>
        <w:t>涉及企业机密，不予公开</w:t>
      </w:r>
      <w:r>
        <w:rPr>
          <w:rFonts w:ascii="Times New Roman" w:hAnsi="Times New Roman" w:hint="eastAsia"/>
          <w:sz w:val="24"/>
          <w:szCs w:val="24"/>
          <w:lang w:val="en-US"/>
        </w:rPr>
        <w:t>。</w:t>
      </w:r>
    </w:p>
    <w:p w14:paraId="39CF64B4"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6.1.12.3  </w:t>
      </w:r>
      <w:r>
        <w:rPr>
          <w:rFonts w:ascii="Times New Roman" w:eastAsia="宋体" w:hAnsi="Times New Roman" w:hint="eastAsia"/>
          <w:sz w:val="24"/>
          <w:szCs w:val="24"/>
        </w:rPr>
        <w:t>检查结果</w:t>
      </w:r>
    </w:p>
    <w:p w14:paraId="6457207C" w14:textId="77777777" w:rsidR="003D6A63" w:rsidRDefault="00000000">
      <w:pPr>
        <w:pStyle w:val="affffd"/>
        <w:spacing w:line="360" w:lineRule="auto"/>
        <w:rPr>
          <w:bCs/>
          <w:sz w:val="24"/>
          <w:szCs w:val="24"/>
        </w:rPr>
      </w:pPr>
      <w:r>
        <w:rPr>
          <w:rFonts w:hint="eastAsia"/>
          <w:sz w:val="24"/>
          <w:szCs w:val="24"/>
        </w:rPr>
        <w:t>中胜公司应急管理符合国家法律法规及其标准规范的要求。</w:t>
      </w:r>
    </w:p>
    <w:p w14:paraId="7D861FBE" w14:textId="77777777" w:rsidR="003D6A63" w:rsidRDefault="00000000">
      <w:pPr>
        <w:pStyle w:val="3"/>
        <w:keepNext w:val="0"/>
        <w:keepLines w:val="0"/>
        <w:spacing w:before="0" w:after="0" w:line="360" w:lineRule="auto"/>
        <w:rPr>
          <w:rFonts w:eastAsia="黑体"/>
          <w:b w:val="0"/>
          <w:spacing w:val="0"/>
          <w:sz w:val="24"/>
          <w:szCs w:val="24"/>
        </w:rPr>
      </w:pPr>
      <w:r>
        <w:rPr>
          <w:rFonts w:eastAsia="黑体" w:hint="eastAsia"/>
          <w:b w:val="0"/>
          <w:spacing w:val="0"/>
          <w:sz w:val="24"/>
          <w:szCs w:val="24"/>
        </w:rPr>
        <w:t xml:space="preserve">6.1.13  </w:t>
      </w:r>
      <w:r>
        <w:rPr>
          <w:rFonts w:eastAsia="黑体" w:hint="eastAsia"/>
          <w:b w:val="0"/>
          <w:spacing w:val="0"/>
          <w:sz w:val="24"/>
          <w:szCs w:val="24"/>
        </w:rPr>
        <w:t>特殊作业</w:t>
      </w:r>
    </w:p>
    <w:p w14:paraId="1D7CAF0A"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6.1.13.1  </w:t>
      </w:r>
      <w:r>
        <w:rPr>
          <w:rFonts w:ascii="Times New Roman" w:eastAsia="宋体" w:hAnsi="Times New Roman" w:hint="eastAsia"/>
          <w:sz w:val="24"/>
          <w:szCs w:val="24"/>
        </w:rPr>
        <w:t>法规要求</w:t>
      </w:r>
    </w:p>
    <w:p w14:paraId="5353E594" w14:textId="77777777" w:rsidR="003D6A63" w:rsidRDefault="00000000">
      <w:pPr>
        <w:adjustRightInd w:val="0"/>
        <w:snapToGrid w:val="0"/>
        <w:spacing w:line="360" w:lineRule="auto"/>
        <w:ind w:firstLineChars="200" w:firstLine="480"/>
        <w:rPr>
          <w:sz w:val="24"/>
        </w:rPr>
      </w:pPr>
      <w:r>
        <w:rPr>
          <w:rFonts w:hint="eastAsia"/>
          <w:sz w:val="24"/>
        </w:rPr>
        <w:t>（</w:t>
      </w:r>
      <w:r>
        <w:rPr>
          <w:rFonts w:hint="eastAsia"/>
          <w:sz w:val="24"/>
        </w:rPr>
        <w:t>1</w:t>
      </w:r>
      <w:r>
        <w:rPr>
          <w:rFonts w:hint="eastAsia"/>
          <w:sz w:val="24"/>
        </w:rPr>
        <w:t>）《安全生产法》</w:t>
      </w:r>
    </w:p>
    <w:p w14:paraId="549B3B87" w14:textId="77777777" w:rsidR="003D6A63" w:rsidRDefault="00000000">
      <w:pPr>
        <w:adjustRightInd w:val="0"/>
        <w:snapToGrid w:val="0"/>
        <w:spacing w:line="360" w:lineRule="auto"/>
        <w:ind w:firstLineChars="200" w:firstLine="480"/>
        <w:rPr>
          <w:sz w:val="24"/>
        </w:rPr>
      </w:pPr>
      <w:r>
        <w:rPr>
          <w:rFonts w:hint="eastAsia"/>
          <w:sz w:val="24"/>
        </w:rPr>
        <w:t>第四十三条　生产经营单位进行爆破、吊装、动火、临时用电以及国务院应急管理部门会同国务院有关部门规定的其他危险作业，应当安排专门人员进行现场安全管理，确保操作规程的遵守和安全措施的落实。</w:t>
      </w:r>
    </w:p>
    <w:p w14:paraId="62477EEF" w14:textId="77777777" w:rsidR="003D6A63" w:rsidRDefault="00000000">
      <w:pPr>
        <w:adjustRightInd w:val="0"/>
        <w:snapToGrid w:val="0"/>
        <w:spacing w:line="360" w:lineRule="auto"/>
        <w:ind w:firstLineChars="200" w:firstLine="480"/>
        <w:rPr>
          <w:sz w:val="24"/>
        </w:rPr>
      </w:pPr>
      <w:r>
        <w:rPr>
          <w:rFonts w:hint="eastAsia"/>
          <w:sz w:val="24"/>
        </w:rPr>
        <w:t>第四十八条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14:paraId="6BDD8F4E" w14:textId="77777777" w:rsidR="003D6A63" w:rsidRDefault="00000000">
      <w:pPr>
        <w:adjustRightInd w:val="0"/>
        <w:snapToGrid w:val="0"/>
        <w:spacing w:line="360" w:lineRule="auto"/>
        <w:ind w:firstLineChars="200" w:firstLine="480"/>
        <w:rPr>
          <w:sz w:val="24"/>
        </w:rPr>
      </w:pPr>
      <w:r>
        <w:rPr>
          <w:rFonts w:hint="eastAsia"/>
          <w:sz w:val="24"/>
        </w:rPr>
        <w:t>（</w:t>
      </w:r>
      <w:r>
        <w:rPr>
          <w:rFonts w:hint="eastAsia"/>
          <w:sz w:val="24"/>
        </w:rPr>
        <w:t>2</w:t>
      </w:r>
      <w:r>
        <w:rPr>
          <w:rFonts w:hint="eastAsia"/>
          <w:sz w:val="24"/>
        </w:rPr>
        <w:t>）《山东省生产经营单位安全生产主体责任规定》</w:t>
      </w:r>
    </w:p>
    <w:p w14:paraId="2DCFA689" w14:textId="77777777" w:rsidR="003D6A63" w:rsidRDefault="00000000">
      <w:pPr>
        <w:adjustRightInd w:val="0"/>
        <w:snapToGrid w:val="0"/>
        <w:spacing w:line="360" w:lineRule="auto"/>
        <w:ind w:firstLineChars="200" w:firstLine="480"/>
        <w:rPr>
          <w:sz w:val="24"/>
        </w:rPr>
      </w:pPr>
      <w:r>
        <w:rPr>
          <w:rFonts w:hint="eastAsia"/>
          <w:sz w:val="24"/>
        </w:rPr>
        <w:t>第三十一条　生产经营单位进行爆破、悬挂、挖掘、大型设备（构件）吊装、危险装置设备试生产、危险场所动火、建筑物和构筑物拆除以及重大危险源、油气管道、有限空间、有毒有害、临近高压输电线路等作业的，应当按批准权限由相关负责人现场带班，确定专人进行现场作业的统一指挥，由专职安全生产管理人员进行现场安全检查和监督，并由具有专业资质的人员实施作业。</w:t>
      </w:r>
    </w:p>
    <w:p w14:paraId="1234B1B6" w14:textId="77777777" w:rsidR="003D6A63" w:rsidRDefault="00000000">
      <w:pPr>
        <w:adjustRightInd w:val="0"/>
        <w:snapToGrid w:val="0"/>
        <w:spacing w:line="360" w:lineRule="auto"/>
        <w:ind w:firstLineChars="200" w:firstLine="480"/>
        <w:rPr>
          <w:sz w:val="24"/>
        </w:rPr>
      </w:pPr>
      <w:r>
        <w:rPr>
          <w:rFonts w:hint="eastAsia"/>
          <w:sz w:val="24"/>
        </w:rPr>
        <w:t>生产经营单位委托其他有专业资质的单位进行危险作业的，应当在作业前与受托方</w:t>
      </w:r>
      <w:r>
        <w:rPr>
          <w:rFonts w:hint="eastAsia"/>
          <w:sz w:val="24"/>
        </w:rPr>
        <w:lastRenderedPageBreak/>
        <w:t>签订安全生产管理协议，明确各自的安全生产职责。</w:t>
      </w:r>
    </w:p>
    <w:p w14:paraId="0A9241BA"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6.1.13.2  </w:t>
      </w:r>
      <w:r>
        <w:rPr>
          <w:rFonts w:ascii="Times New Roman" w:eastAsia="宋体" w:hAnsi="Times New Roman" w:hint="eastAsia"/>
          <w:sz w:val="24"/>
          <w:szCs w:val="24"/>
        </w:rPr>
        <w:t>检查情况</w:t>
      </w:r>
    </w:p>
    <w:p w14:paraId="27F02F4C" w14:textId="77777777" w:rsidR="003D6A63" w:rsidRDefault="00000000">
      <w:pPr>
        <w:adjustRightInd w:val="0"/>
        <w:snapToGrid w:val="0"/>
        <w:spacing w:line="360" w:lineRule="auto"/>
        <w:ind w:firstLineChars="200" w:firstLine="480"/>
        <w:rPr>
          <w:bCs/>
          <w:sz w:val="24"/>
        </w:rPr>
      </w:pPr>
      <w:r>
        <w:rPr>
          <w:rFonts w:hint="eastAsia"/>
          <w:bCs/>
          <w:sz w:val="24"/>
        </w:rPr>
        <w:t>中胜公司严格执行胜利石油管理局《直接作业环节安全管理规定》《作业许可管理细则》的要求，落实安全防范措施，控制作业危害，降低安全风险。对施工作业中高风险作业实施作业许可管理，未经许可禁止相应作业。</w:t>
      </w:r>
    </w:p>
    <w:p w14:paraId="44534F53" w14:textId="77777777" w:rsidR="003D6A63" w:rsidRDefault="00000000">
      <w:pPr>
        <w:adjustRightInd w:val="0"/>
        <w:snapToGrid w:val="0"/>
        <w:spacing w:line="360" w:lineRule="auto"/>
        <w:ind w:firstLineChars="200" w:firstLine="480"/>
        <w:rPr>
          <w:bCs/>
          <w:sz w:val="24"/>
        </w:rPr>
      </w:pPr>
      <w:bookmarkStart w:id="103" w:name="_Hlk74251905"/>
      <w:r>
        <w:rPr>
          <w:rFonts w:hint="eastAsia"/>
          <w:bCs/>
          <w:sz w:val="24"/>
        </w:rPr>
        <w:t>中胜公司加强作业许可、方案审批，抓好风险源头控制。组织《中石化作业许可“</w:t>
      </w:r>
      <w:r>
        <w:rPr>
          <w:rFonts w:hint="eastAsia"/>
          <w:bCs/>
          <w:sz w:val="24"/>
        </w:rPr>
        <w:t>7+1</w:t>
      </w:r>
      <w:r>
        <w:rPr>
          <w:rFonts w:hint="eastAsia"/>
          <w:bCs/>
          <w:sz w:val="24"/>
        </w:rPr>
        <w:t>”安全管理制度》学习宣贯，提高现场直接作业环节风险管控及安全技术措施落实，确保现场安全生产。</w:t>
      </w:r>
      <w:bookmarkEnd w:id="103"/>
      <w:r>
        <w:rPr>
          <w:rFonts w:hint="eastAsia"/>
          <w:bCs/>
          <w:sz w:val="24"/>
        </w:rPr>
        <w:t>中胜公司对项目现场进行严格控制，涉及多个承包商作业的，一个承包商施工，其余作业必须等施工完成后方可开展，不涉及交叉作业。</w:t>
      </w:r>
    </w:p>
    <w:p w14:paraId="4B16FF64" w14:textId="77777777" w:rsidR="003D6A63" w:rsidRDefault="00000000">
      <w:pPr>
        <w:adjustRightInd w:val="0"/>
        <w:snapToGrid w:val="0"/>
        <w:spacing w:line="360" w:lineRule="auto"/>
        <w:ind w:firstLineChars="200" w:firstLine="480"/>
        <w:rPr>
          <w:bCs/>
          <w:sz w:val="24"/>
        </w:rPr>
      </w:pPr>
      <w:r>
        <w:rPr>
          <w:rFonts w:hint="eastAsia"/>
          <w:bCs/>
          <w:sz w:val="24"/>
        </w:rPr>
        <w:t>现场检查中胜公司部分作业许可票，审批签发规范，符合要求。特殊作业许可票证见附件</w:t>
      </w:r>
      <w:r>
        <w:rPr>
          <w:rFonts w:hint="eastAsia"/>
          <w:bCs/>
          <w:sz w:val="24"/>
        </w:rPr>
        <w:t>25</w:t>
      </w:r>
      <w:r>
        <w:rPr>
          <w:rFonts w:hint="eastAsia"/>
          <w:bCs/>
          <w:sz w:val="24"/>
        </w:rPr>
        <w:t>。</w:t>
      </w:r>
    </w:p>
    <w:p w14:paraId="4C5069CE"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6.1.13.3  </w:t>
      </w:r>
      <w:r>
        <w:rPr>
          <w:rFonts w:ascii="Times New Roman" w:eastAsia="宋体" w:hAnsi="Times New Roman" w:hint="eastAsia"/>
          <w:sz w:val="24"/>
          <w:szCs w:val="24"/>
        </w:rPr>
        <w:t>检查结果</w:t>
      </w:r>
    </w:p>
    <w:p w14:paraId="43F7F2CE" w14:textId="77777777" w:rsidR="003D6A63" w:rsidRDefault="00000000">
      <w:pPr>
        <w:adjustRightInd w:val="0"/>
        <w:snapToGrid w:val="0"/>
        <w:spacing w:line="360" w:lineRule="auto"/>
        <w:ind w:firstLineChars="200" w:firstLine="480"/>
        <w:rPr>
          <w:sz w:val="24"/>
        </w:rPr>
      </w:pPr>
      <w:r>
        <w:rPr>
          <w:rFonts w:hint="eastAsia"/>
          <w:sz w:val="24"/>
        </w:rPr>
        <w:t>中胜公司特殊作业管理，符合国家法律法规及其标准规范的要求。</w:t>
      </w:r>
    </w:p>
    <w:p w14:paraId="1A2AA30D" w14:textId="77777777" w:rsidR="003D6A63" w:rsidRDefault="00000000">
      <w:pPr>
        <w:pStyle w:val="3"/>
        <w:keepNext w:val="0"/>
        <w:keepLines w:val="0"/>
        <w:spacing w:before="0" w:after="0" w:line="360" w:lineRule="auto"/>
        <w:rPr>
          <w:rFonts w:eastAsia="黑体"/>
          <w:b w:val="0"/>
          <w:spacing w:val="0"/>
          <w:sz w:val="24"/>
          <w:szCs w:val="24"/>
        </w:rPr>
      </w:pPr>
      <w:r>
        <w:rPr>
          <w:rFonts w:eastAsia="黑体" w:hint="eastAsia"/>
          <w:b w:val="0"/>
          <w:spacing w:val="0"/>
          <w:sz w:val="24"/>
          <w:szCs w:val="24"/>
        </w:rPr>
        <w:t xml:space="preserve">6.1.14  </w:t>
      </w:r>
      <w:r>
        <w:rPr>
          <w:rFonts w:eastAsia="黑体" w:hint="eastAsia"/>
          <w:b w:val="0"/>
          <w:spacing w:val="0"/>
          <w:sz w:val="24"/>
          <w:szCs w:val="24"/>
        </w:rPr>
        <w:t>承包商管理</w:t>
      </w:r>
    </w:p>
    <w:p w14:paraId="70BDF7DF"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6.1.14.1  </w:t>
      </w:r>
      <w:r>
        <w:rPr>
          <w:rFonts w:ascii="Times New Roman" w:eastAsia="宋体" w:hAnsi="Times New Roman" w:hint="eastAsia"/>
          <w:sz w:val="24"/>
          <w:szCs w:val="24"/>
        </w:rPr>
        <w:t>法规要求</w:t>
      </w:r>
    </w:p>
    <w:p w14:paraId="42DB1129" w14:textId="77777777" w:rsidR="003D6A63" w:rsidRDefault="00000000">
      <w:pPr>
        <w:adjustRightInd w:val="0"/>
        <w:snapToGrid w:val="0"/>
        <w:spacing w:line="360" w:lineRule="auto"/>
        <w:ind w:firstLineChars="200" w:firstLine="480"/>
        <w:rPr>
          <w:sz w:val="24"/>
        </w:rPr>
      </w:pPr>
      <w:r>
        <w:rPr>
          <w:rFonts w:hint="eastAsia"/>
          <w:sz w:val="24"/>
        </w:rPr>
        <w:t>（</w:t>
      </w:r>
      <w:r>
        <w:rPr>
          <w:rFonts w:hint="eastAsia"/>
          <w:sz w:val="24"/>
        </w:rPr>
        <w:t>1</w:t>
      </w:r>
      <w:r>
        <w:rPr>
          <w:rFonts w:hint="eastAsia"/>
          <w:sz w:val="24"/>
        </w:rPr>
        <w:t>）《安全生产法》</w:t>
      </w:r>
    </w:p>
    <w:p w14:paraId="692E2224" w14:textId="77777777" w:rsidR="003D6A63" w:rsidRDefault="00000000">
      <w:pPr>
        <w:adjustRightInd w:val="0"/>
        <w:snapToGrid w:val="0"/>
        <w:spacing w:line="360" w:lineRule="auto"/>
        <w:ind w:firstLineChars="200" w:firstLine="480"/>
        <w:rPr>
          <w:sz w:val="24"/>
        </w:rPr>
      </w:pPr>
      <w:r>
        <w:rPr>
          <w:rFonts w:hint="eastAsia"/>
          <w:sz w:val="24"/>
        </w:rPr>
        <w:t>第四十九条　生产经营单位不得将生产经营项目、场所、设备发包或者出租给不具备安全生产条件或者相应资质的单位或者个人。</w:t>
      </w:r>
    </w:p>
    <w:p w14:paraId="29E0AD86" w14:textId="77777777" w:rsidR="003D6A63" w:rsidRDefault="00000000">
      <w:pPr>
        <w:adjustRightInd w:val="0"/>
        <w:snapToGrid w:val="0"/>
        <w:spacing w:line="360" w:lineRule="auto"/>
        <w:ind w:firstLineChars="200" w:firstLine="480"/>
        <w:rPr>
          <w:sz w:val="24"/>
        </w:rPr>
      </w:pPr>
      <w:r>
        <w:rPr>
          <w:rFonts w:hint="eastAsia"/>
          <w:sz w:val="24"/>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14:paraId="2B6DBD7B" w14:textId="77777777" w:rsidR="003D6A63" w:rsidRDefault="00000000">
      <w:pPr>
        <w:adjustRightInd w:val="0"/>
        <w:snapToGrid w:val="0"/>
        <w:spacing w:line="360" w:lineRule="auto"/>
        <w:ind w:firstLineChars="200" w:firstLine="480"/>
        <w:rPr>
          <w:sz w:val="24"/>
        </w:rPr>
      </w:pPr>
      <w:r>
        <w:rPr>
          <w:rFonts w:hint="eastAsia"/>
          <w:sz w:val="24"/>
        </w:rPr>
        <w:t>（</w:t>
      </w:r>
      <w:r>
        <w:rPr>
          <w:rFonts w:hint="eastAsia"/>
          <w:sz w:val="24"/>
        </w:rPr>
        <w:t>2</w:t>
      </w:r>
      <w:r>
        <w:rPr>
          <w:rFonts w:hint="eastAsia"/>
          <w:sz w:val="24"/>
        </w:rPr>
        <w:t>）《山东省安全生产条例》</w:t>
      </w:r>
    </w:p>
    <w:p w14:paraId="2C0ADC52" w14:textId="77777777" w:rsidR="003D6A63" w:rsidRDefault="00000000">
      <w:pPr>
        <w:adjustRightInd w:val="0"/>
        <w:snapToGrid w:val="0"/>
        <w:spacing w:line="360" w:lineRule="auto"/>
        <w:ind w:firstLineChars="200" w:firstLine="480"/>
        <w:rPr>
          <w:sz w:val="24"/>
        </w:rPr>
      </w:pPr>
      <w:r>
        <w:rPr>
          <w:rFonts w:hint="eastAsia"/>
          <w:sz w:val="24"/>
        </w:rPr>
        <w:t>第三十四条　生产经营单位应当对生产经营区域内常驻协作单位的安全生产工作进行统一协调管理，明确生产作业风险和安全管理要求，督促其健全落实安全生产规章制度和安全措施，组织其参加本单位的生产安全事故应急救援演练。</w:t>
      </w:r>
    </w:p>
    <w:p w14:paraId="37B2F7F4" w14:textId="77777777" w:rsidR="003D6A63" w:rsidRDefault="00000000">
      <w:pPr>
        <w:adjustRightInd w:val="0"/>
        <w:snapToGrid w:val="0"/>
        <w:spacing w:line="360" w:lineRule="auto"/>
        <w:ind w:firstLineChars="200" w:firstLine="480"/>
        <w:rPr>
          <w:sz w:val="24"/>
        </w:rPr>
      </w:pPr>
      <w:r>
        <w:rPr>
          <w:rFonts w:hint="eastAsia"/>
          <w:sz w:val="24"/>
        </w:rPr>
        <w:t>常驻协作单位入驻前，生产经营单位应当对其安全生产条件、资质和有关人员从业资格进行审查，组织开展安全生产教育和培训，并建立常驻协作单位安全生产管理档案。</w:t>
      </w:r>
    </w:p>
    <w:p w14:paraId="67DF0E06" w14:textId="77777777" w:rsidR="003D6A63" w:rsidRDefault="00000000">
      <w:pPr>
        <w:adjustRightInd w:val="0"/>
        <w:snapToGrid w:val="0"/>
        <w:spacing w:line="360" w:lineRule="auto"/>
        <w:ind w:firstLineChars="200" w:firstLine="480"/>
        <w:rPr>
          <w:sz w:val="24"/>
        </w:rPr>
      </w:pPr>
      <w:r>
        <w:rPr>
          <w:rFonts w:hint="eastAsia"/>
          <w:sz w:val="24"/>
        </w:rPr>
        <w:t>常驻协作单位入驻后，生产经营单位应当对其作业活动、有关人员从业资格、作业方案和安全措施等内容进行经常性检查。</w:t>
      </w:r>
    </w:p>
    <w:p w14:paraId="7329F9D5" w14:textId="77777777" w:rsidR="003D6A63" w:rsidRDefault="00000000">
      <w:pPr>
        <w:pStyle w:val="4"/>
        <w:keepNext w:val="0"/>
        <w:keepLines w:val="0"/>
        <w:spacing w:before="0" w:after="0" w:line="360" w:lineRule="auto"/>
        <w:rPr>
          <w:rFonts w:ascii="Times New Roman" w:eastAsia="宋体" w:hAnsi="Times New Roman"/>
          <w:sz w:val="24"/>
          <w:szCs w:val="24"/>
          <w:lang w:val="zh-CN"/>
        </w:rPr>
      </w:pPr>
      <w:r>
        <w:rPr>
          <w:rFonts w:ascii="Times New Roman" w:eastAsia="宋体" w:hAnsi="Times New Roman" w:hint="eastAsia"/>
          <w:sz w:val="24"/>
          <w:szCs w:val="24"/>
        </w:rPr>
        <w:lastRenderedPageBreak/>
        <w:t xml:space="preserve">6.1.14.2  </w:t>
      </w:r>
      <w:r>
        <w:rPr>
          <w:rFonts w:ascii="Times New Roman" w:eastAsia="宋体" w:hAnsi="Times New Roman" w:hint="eastAsia"/>
          <w:sz w:val="24"/>
          <w:szCs w:val="24"/>
        </w:rPr>
        <w:t>检查情况</w:t>
      </w:r>
    </w:p>
    <w:p w14:paraId="2C6251AC" w14:textId="77777777" w:rsidR="003D6A63" w:rsidRDefault="00000000">
      <w:pPr>
        <w:pStyle w:val="nlw1"/>
        <w:adjustRightInd w:val="0"/>
        <w:snapToGrid w:val="0"/>
        <w:spacing w:line="360" w:lineRule="auto"/>
        <w:ind w:firstLine="480"/>
        <w:rPr>
          <w:rFonts w:ascii="Times New Roman" w:hAnsi="Times New Roman"/>
          <w:sz w:val="24"/>
          <w:szCs w:val="24"/>
          <w:lang w:val="en-US"/>
        </w:rPr>
      </w:pPr>
      <w:r>
        <w:rPr>
          <w:rFonts w:ascii="Times New Roman" w:hAnsi="Times New Roman"/>
          <w:color w:val="000000" w:themeColor="text1"/>
          <w:sz w:val="24"/>
          <w:szCs w:val="24"/>
          <w:lang w:val="en-US"/>
        </w:rPr>
        <w:t>涉及企业机密，不予公开</w:t>
      </w:r>
      <w:r>
        <w:rPr>
          <w:rFonts w:ascii="Times New Roman" w:hAnsi="Times New Roman" w:hint="eastAsia"/>
          <w:sz w:val="24"/>
          <w:szCs w:val="24"/>
          <w:lang w:val="en-US"/>
        </w:rPr>
        <w:t>。</w:t>
      </w:r>
    </w:p>
    <w:p w14:paraId="52E3FF89"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6.1.14.3  </w:t>
      </w:r>
      <w:r>
        <w:rPr>
          <w:rFonts w:ascii="Times New Roman" w:eastAsia="宋体" w:hAnsi="Times New Roman" w:hint="eastAsia"/>
          <w:sz w:val="24"/>
          <w:szCs w:val="24"/>
        </w:rPr>
        <w:t>检查结果</w:t>
      </w:r>
    </w:p>
    <w:p w14:paraId="0FCF12A0" w14:textId="77777777" w:rsidR="003D6A63" w:rsidRDefault="00000000">
      <w:pPr>
        <w:adjustRightInd w:val="0"/>
        <w:snapToGrid w:val="0"/>
        <w:spacing w:line="360" w:lineRule="auto"/>
        <w:ind w:firstLineChars="200" w:firstLine="480"/>
        <w:rPr>
          <w:bCs/>
          <w:sz w:val="24"/>
        </w:rPr>
      </w:pPr>
      <w:r>
        <w:rPr>
          <w:rFonts w:hint="eastAsia"/>
          <w:bCs/>
          <w:sz w:val="24"/>
        </w:rPr>
        <w:t>中胜公司</w:t>
      </w:r>
      <w:r>
        <w:rPr>
          <w:rFonts w:hint="eastAsia"/>
          <w:bCs/>
          <w:sz w:val="24"/>
          <w:lang w:val="zh-CN"/>
        </w:rPr>
        <w:t>对承包商的管理能够满足</w:t>
      </w:r>
      <w:r>
        <w:rPr>
          <w:rFonts w:hint="eastAsia"/>
          <w:bCs/>
          <w:sz w:val="24"/>
        </w:rPr>
        <w:t>法律法规</w:t>
      </w:r>
      <w:r>
        <w:rPr>
          <w:rFonts w:hint="eastAsia"/>
          <w:bCs/>
          <w:sz w:val="24"/>
          <w:lang w:val="zh-CN"/>
        </w:rPr>
        <w:t>的要求。</w:t>
      </w:r>
    </w:p>
    <w:p w14:paraId="160A2E2A" w14:textId="77777777" w:rsidR="003D6A63" w:rsidRDefault="00000000">
      <w:pPr>
        <w:pStyle w:val="3"/>
        <w:keepNext w:val="0"/>
        <w:keepLines w:val="0"/>
        <w:spacing w:before="0" w:after="0" w:line="360" w:lineRule="auto"/>
        <w:rPr>
          <w:rFonts w:eastAsia="黑体"/>
          <w:b w:val="0"/>
          <w:spacing w:val="0"/>
          <w:sz w:val="24"/>
          <w:szCs w:val="24"/>
        </w:rPr>
      </w:pPr>
      <w:r>
        <w:rPr>
          <w:rFonts w:eastAsia="黑体" w:hint="eastAsia"/>
          <w:b w:val="0"/>
          <w:spacing w:val="0"/>
          <w:sz w:val="24"/>
          <w:szCs w:val="24"/>
        </w:rPr>
        <w:t xml:space="preserve">6.1.15  </w:t>
      </w:r>
      <w:r>
        <w:rPr>
          <w:rFonts w:eastAsia="黑体" w:hint="eastAsia"/>
          <w:b w:val="0"/>
          <w:spacing w:val="0"/>
          <w:sz w:val="24"/>
          <w:szCs w:val="24"/>
        </w:rPr>
        <w:t>变更管理</w:t>
      </w:r>
    </w:p>
    <w:p w14:paraId="1F99B0EA"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6.1.15.1  </w:t>
      </w:r>
      <w:r>
        <w:rPr>
          <w:rFonts w:ascii="Times New Roman" w:eastAsia="宋体" w:hAnsi="Times New Roman" w:hint="eastAsia"/>
          <w:sz w:val="24"/>
          <w:szCs w:val="24"/>
        </w:rPr>
        <w:t>标准要求</w:t>
      </w:r>
    </w:p>
    <w:p w14:paraId="6624C890"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）《企业安全生产标准化基本规范》（</w:t>
      </w:r>
      <w:r>
        <w:rPr>
          <w:rFonts w:hint="eastAsia"/>
          <w:sz w:val="24"/>
        </w:rPr>
        <w:t>GB/T33000-2016</w:t>
      </w:r>
      <w:r>
        <w:rPr>
          <w:rFonts w:hint="eastAsia"/>
          <w:sz w:val="24"/>
        </w:rPr>
        <w:t>）</w:t>
      </w:r>
    </w:p>
    <w:p w14:paraId="2C2F2810" w14:textId="77777777" w:rsidR="003D6A63" w:rsidRDefault="00000000">
      <w:pPr>
        <w:adjustRightInd w:val="0"/>
        <w:snapToGrid w:val="0"/>
        <w:spacing w:line="360" w:lineRule="auto"/>
        <w:ind w:firstLineChars="200" w:firstLine="480"/>
        <w:rPr>
          <w:bCs/>
          <w:sz w:val="24"/>
        </w:rPr>
      </w:pPr>
      <w:r>
        <w:rPr>
          <w:rFonts w:hint="eastAsia"/>
          <w:sz w:val="24"/>
        </w:rPr>
        <w:t>第</w:t>
      </w:r>
      <w:r>
        <w:rPr>
          <w:rFonts w:hint="eastAsia"/>
          <w:sz w:val="24"/>
        </w:rPr>
        <w:t>5.5.1.4</w:t>
      </w:r>
      <w:r>
        <w:rPr>
          <w:rFonts w:hint="eastAsia"/>
          <w:sz w:val="24"/>
        </w:rPr>
        <w:t>条</w:t>
      </w:r>
      <w:r>
        <w:rPr>
          <w:rFonts w:hint="eastAsia"/>
          <w:sz w:val="24"/>
        </w:rPr>
        <w:t xml:space="preserve"> </w:t>
      </w:r>
      <w:r>
        <w:rPr>
          <w:rFonts w:hint="eastAsia"/>
          <w:sz w:val="24"/>
        </w:rPr>
        <w:t>企业应制定变更管理制度，变更前应对变更过程及变更后可能产生的安全风险进行分析，制定控制措施，履行审批及验收程序，并告知和培训相关从业人员。</w:t>
      </w:r>
    </w:p>
    <w:p w14:paraId="2820A8EF"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6.1.15.2 </w:t>
      </w:r>
      <w:r>
        <w:rPr>
          <w:rFonts w:ascii="Times New Roman" w:eastAsia="宋体" w:hAnsi="Times New Roman" w:hint="eastAsia"/>
          <w:sz w:val="24"/>
          <w:szCs w:val="24"/>
        </w:rPr>
        <w:t>检查情况</w:t>
      </w:r>
    </w:p>
    <w:p w14:paraId="07FD985E" w14:textId="77777777" w:rsidR="003D6A63" w:rsidRDefault="00000000">
      <w:pPr>
        <w:adjustRightInd w:val="0"/>
        <w:snapToGrid w:val="0"/>
        <w:spacing w:line="360" w:lineRule="auto"/>
        <w:ind w:firstLineChars="200" w:firstLine="480"/>
        <w:rPr>
          <w:sz w:val="24"/>
        </w:rPr>
      </w:pPr>
      <w:r>
        <w:rPr>
          <w:rFonts w:hint="eastAsia"/>
          <w:sz w:val="24"/>
        </w:rPr>
        <w:t>中胜公司</w:t>
      </w:r>
      <w:r>
        <w:rPr>
          <w:sz w:val="24"/>
        </w:rPr>
        <w:t>制定</w:t>
      </w:r>
      <w:r>
        <w:rPr>
          <w:rFonts w:hint="eastAsia"/>
          <w:sz w:val="24"/>
        </w:rPr>
        <w:t>有</w:t>
      </w:r>
      <w:r>
        <w:rPr>
          <w:sz w:val="24"/>
        </w:rPr>
        <w:t>《生产变更安全管理</w:t>
      </w:r>
      <w:r>
        <w:rPr>
          <w:rFonts w:hint="eastAsia"/>
          <w:sz w:val="24"/>
        </w:rPr>
        <w:t>规定</w:t>
      </w:r>
      <w:r>
        <w:rPr>
          <w:sz w:val="24"/>
        </w:rPr>
        <w:t>》</w:t>
      </w:r>
      <w:r>
        <w:rPr>
          <w:rFonts w:hint="eastAsia"/>
          <w:sz w:val="24"/>
        </w:rPr>
        <w:t>，变更主要包括生产工艺变更、设备设施变更和劳动组织变更，按一般、较大和重大变更分级管理。实施细则规定了生产过程中工艺技术、设备设施、管理、人员的变更类型，明确了变更申请、变更实施、变更关闭等变更程序。坚持评估和批准的原则，未经风险评估不得实施变更，风险没有得到有效控制不得实施变更，未经批准不得实施变更。</w:t>
      </w:r>
    </w:p>
    <w:p w14:paraId="26CB02D3" w14:textId="77777777" w:rsidR="003D6A63" w:rsidRDefault="00000000">
      <w:pPr>
        <w:adjustRightInd w:val="0"/>
        <w:snapToGrid w:val="0"/>
        <w:spacing w:line="360" w:lineRule="auto"/>
        <w:ind w:firstLineChars="200" w:firstLine="480"/>
        <w:rPr>
          <w:kern w:val="0"/>
          <w:sz w:val="24"/>
          <w:lang w:val="zh-CN"/>
        </w:rPr>
      </w:pPr>
      <w:r>
        <w:rPr>
          <w:rFonts w:hint="eastAsia"/>
          <w:sz w:val="24"/>
        </w:rPr>
        <w:t>中胜公司严格履行</w:t>
      </w:r>
      <w:r>
        <w:rPr>
          <w:sz w:val="24"/>
        </w:rPr>
        <w:t>《生产变更安全管理</w:t>
      </w:r>
      <w:r>
        <w:rPr>
          <w:rFonts w:hint="eastAsia"/>
          <w:sz w:val="24"/>
        </w:rPr>
        <w:t>规定</w:t>
      </w:r>
      <w:r>
        <w:rPr>
          <w:sz w:val="24"/>
        </w:rPr>
        <w:t>》</w:t>
      </w:r>
      <w:r>
        <w:rPr>
          <w:rFonts w:hint="eastAsia"/>
          <w:sz w:val="24"/>
        </w:rPr>
        <w:t>，按现行制度标准和流程执行变更，近三年来，对中胜公司的劳动组织变更、设备设施变更、生产工艺变更均实行闭环管理。</w:t>
      </w:r>
      <w:r>
        <w:rPr>
          <w:kern w:val="0"/>
          <w:sz w:val="24"/>
          <w:lang w:val="zh-CN"/>
        </w:rPr>
        <w:t>近三年</w:t>
      </w:r>
      <w:r>
        <w:rPr>
          <w:rFonts w:hint="eastAsia"/>
          <w:kern w:val="0"/>
          <w:sz w:val="24"/>
          <w:lang w:val="zh-CN"/>
        </w:rPr>
        <w:t>中胜公司</w:t>
      </w:r>
      <w:r>
        <w:rPr>
          <w:kern w:val="0"/>
          <w:sz w:val="24"/>
          <w:lang w:val="zh-CN"/>
        </w:rPr>
        <w:t>各采油生产单位采油及油气集输工艺、设施和设备无其他重大变更。</w:t>
      </w:r>
    </w:p>
    <w:p w14:paraId="553826BA"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6.1.15.3  </w:t>
      </w:r>
      <w:r>
        <w:rPr>
          <w:rFonts w:ascii="Times New Roman" w:eastAsia="宋体" w:hAnsi="Times New Roman" w:hint="eastAsia"/>
          <w:sz w:val="24"/>
          <w:szCs w:val="24"/>
        </w:rPr>
        <w:t>检查结果</w:t>
      </w:r>
    </w:p>
    <w:p w14:paraId="663291BF" w14:textId="77777777" w:rsidR="003D6A63" w:rsidRDefault="00000000">
      <w:pPr>
        <w:pStyle w:val="aff3"/>
        <w:adjustRightInd w:val="0"/>
        <w:snapToGrid w:val="0"/>
        <w:spacing w:line="360" w:lineRule="auto"/>
        <w:ind w:firstLineChars="200" w:firstLine="480"/>
        <w:rPr>
          <w:color w:val="auto"/>
          <w:spacing w:val="0"/>
          <w:sz w:val="24"/>
          <w:lang w:val="zh-CN"/>
        </w:rPr>
      </w:pPr>
      <w:r>
        <w:rPr>
          <w:rFonts w:hint="eastAsia"/>
          <w:color w:val="auto"/>
          <w:spacing w:val="0"/>
          <w:sz w:val="24"/>
        </w:rPr>
        <w:t>中胜公司变更管理符合《企业安全生产标准化基本规范》的要求。</w:t>
      </w:r>
    </w:p>
    <w:p w14:paraId="3D0E46F8" w14:textId="77777777" w:rsidR="003D6A63" w:rsidRDefault="00000000">
      <w:pPr>
        <w:pStyle w:val="3"/>
        <w:keepNext w:val="0"/>
        <w:keepLines w:val="0"/>
        <w:spacing w:before="0" w:after="0" w:line="360" w:lineRule="auto"/>
        <w:rPr>
          <w:rFonts w:eastAsia="黑体"/>
          <w:b w:val="0"/>
          <w:spacing w:val="0"/>
          <w:sz w:val="24"/>
          <w:szCs w:val="24"/>
        </w:rPr>
      </w:pPr>
      <w:r>
        <w:rPr>
          <w:rFonts w:eastAsia="黑体" w:hint="eastAsia"/>
          <w:b w:val="0"/>
          <w:spacing w:val="0"/>
          <w:sz w:val="24"/>
          <w:szCs w:val="24"/>
        </w:rPr>
        <w:t xml:space="preserve">6.1.16  </w:t>
      </w:r>
      <w:r>
        <w:rPr>
          <w:rFonts w:eastAsia="黑体" w:hint="eastAsia"/>
          <w:b w:val="0"/>
          <w:spacing w:val="0"/>
          <w:sz w:val="24"/>
          <w:szCs w:val="24"/>
        </w:rPr>
        <w:t>安全生产标准化及“双重预防体系”建设、运行</w:t>
      </w:r>
    </w:p>
    <w:p w14:paraId="67C5783A" w14:textId="77777777" w:rsidR="003D6A63" w:rsidRDefault="00000000">
      <w:pPr>
        <w:pStyle w:val="4"/>
        <w:keepNext w:val="0"/>
        <w:keepLines w:val="0"/>
        <w:spacing w:before="0" w:after="0" w:line="360" w:lineRule="auto"/>
        <w:rPr>
          <w:rFonts w:ascii="Times New Roman" w:eastAsia="宋体" w:hAnsi="Times New Roman"/>
          <w:sz w:val="24"/>
          <w:szCs w:val="24"/>
        </w:rPr>
      </w:pPr>
      <w:bookmarkStart w:id="104" w:name="OLE_LINK8"/>
      <w:bookmarkStart w:id="105" w:name="OLE_LINK7"/>
      <w:r>
        <w:rPr>
          <w:rFonts w:ascii="Times New Roman" w:eastAsia="宋体" w:hAnsi="Times New Roman" w:hint="eastAsia"/>
          <w:sz w:val="24"/>
          <w:szCs w:val="24"/>
        </w:rPr>
        <w:t xml:space="preserve">6.1.16.1  </w:t>
      </w:r>
      <w:r>
        <w:rPr>
          <w:rFonts w:ascii="Times New Roman" w:eastAsia="宋体" w:hAnsi="Times New Roman" w:hint="eastAsia"/>
          <w:sz w:val="24"/>
          <w:szCs w:val="24"/>
        </w:rPr>
        <w:t>法规要求</w:t>
      </w:r>
    </w:p>
    <w:p w14:paraId="1DA224A3"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）《安全生产法》</w:t>
      </w:r>
    </w:p>
    <w:p w14:paraId="70643357" w14:textId="77777777" w:rsidR="003D6A63" w:rsidRDefault="00000000">
      <w:pPr>
        <w:adjustRightInd w:val="0"/>
        <w:snapToGrid w:val="0"/>
        <w:spacing w:line="360" w:lineRule="auto"/>
        <w:ind w:firstLineChars="200" w:firstLine="480"/>
        <w:rPr>
          <w:sz w:val="24"/>
        </w:rPr>
      </w:pPr>
      <w:r>
        <w:rPr>
          <w:rFonts w:hint="eastAsia"/>
          <w:sz w:val="24"/>
        </w:rPr>
        <w:t>第四条</w:t>
      </w:r>
      <w:r>
        <w:rPr>
          <w:rFonts w:hint="eastAsia"/>
          <w:sz w:val="24"/>
        </w:rPr>
        <w:t xml:space="preserve">  </w:t>
      </w:r>
      <w:r>
        <w:rPr>
          <w:rFonts w:hint="eastAsia"/>
          <w:sz w:val="24"/>
        </w:rPr>
        <w:t>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4F127E4D"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）《山东省生产经营单位安全生产主体责任规定》</w:t>
      </w:r>
    </w:p>
    <w:p w14:paraId="138426D1" w14:textId="77777777" w:rsidR="003D6A63" w:rsidRDefault="00000000">
      <w:pPr>
        <w:adjustRightInd w:val="0"/>
        <w:snapToGrid w:val="0"/>
        <w:spacing w:line="360" w:lineRule="auto"/>
        <w:ind w:firstLineChars="200" w:firstLine="480"/>
        <w:rPr>
          <w:rFonts w:eastAsiaTheme="minorEastAsia"/>
          <w:bCs/>
          <w:color w:val="000000" w:themeColor="text1"/>
          <w:sz w:val="24"/>
        </w:rPr>
      </w:pPr>
      <w:r>
        <w:rPr>
          <w:rFonts w:hint="eastAsia"/>
          <w:sz w:val="24"/>
        </w:rPr>
        <w:t>第二十六条</w:t>
      </w:r>
      <w:r>
        <w:rPr>
          <w:rFonts w:hint="eastAsia"/>
          <w:sz w:val="24"/>
        </w:rPr>
        <w:t xml:space="preserve">  </w:t>
      </w:r>
      <w:r>
        <w:rPr>
          <w:rFonts w:hint="eastAsia"/>
          <w:sz w:val="24"/>
        </w:rPr>
        <w:t>生产经营单位应当按照国家有关规定，开展以岗位达标、专业达标和</w:t>
      </w:r>
      <w:r>
        <w:rPr>
          <w:rFonts w:hint="eastAsia"/>
          <w:sz w:val="24"/>
        </w:rPr>
        <w:lastRenderedPageBreak/>
        <w:t>企业达标为主要内容的安全生产标准化建设。</w:t>
      </w:r>
    </w:p>
    <w:p w14:paraId="4FD1E768"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3</w:t>
      </w:r>
      <w:r>
        <w:rPr>
          <w:rFonts w:hint="eastAsia"/>
          <w:sz w:val="24"/>
        </w:rPr>
        <w:t>）《山东省安全生产条例》</w:t>
      </w:r>
    </w:p>
    <w:p w14:paraId="42A7658F" w14:textId="77777777" w:rsidR="003D6A63" w:rsidRDefault="00000000">
      <w:pPr>
        <w:adjustRightInd w:val="0"/>
        <w:snapToGrid w:val="0"/>
        <w:spacing w:line="360" w:lineRule="auto"/>
        <w:ind w:firstLineChars="200" w:firstLine="480"/>
        <w:rPr>
          <w:sz w:val="24"/>
        </w:rPr>
      </w:pPr>
      <w:r>
        <w:rPr>
          <w:rFonts w:hint="eastAsia"/>
          <w:sz w:val="24"/>
        </w:rPr>
        <w:t>第三十一条</w:t>
      </w:r>
      <w:r>
        <w:rPr>
          <w:rFonts w:hint="eastAsia"/>
          <w:sz w:val="24"/>
        </w:rPr>
        <w:t xml:space="preserve">  </w:t>
      </w:r>
      <w:r>
        <w:rPr>
          <w:rFonts w:hint="eastAsia"/>
          <w:sz w:val="24"/>
        </w:rPr>
        <w:t>生产经营单位应当建立健全安全风险分级管控制度，明确风险点排查、风险评价、风险等级评定的程序、方法和标准，编制风险分级管控清单，列明管控重点、管控机构、责任人员、监督管理、安全防护和应急处置等安全风险管控措施。</w:t>
      </w:r>
    </w:p>
    <w:p w14:paraId="2AF0048E" w14:textId="77777777" w:rsidR="003D6A63" w:rsidRDefault="00000000">
      <w:pPr>
        <w:adjustRightInd w:val="0"/>
        <w:snapToGrid w:val="0"/>
        <w:spacing w:line="360" w:lineRule="auto"/>
        <w:ind w:firstLineChars="200" w:firstLine="480"/>
        <w:rPr>
          <w:sz w:val="24"/>
        </w:rPr>
      </w:pPr>
      <w:r>
        <w:rPr>
          <w:rFonts w:hint="eastAsia"/>
          <w:sz w:val="24"/>
        </w:rPr>
        <w:t>第三十二条</w:t>
      </w:r>
      <w:r>
        <w:rPr>
          <w:rFonts w:hint="eastAsia"/>
          <w:sz w:val="24"/>
        </w:rPr>
        <w:t xml:space="preserve">  </w:t>
      </w:r>
      <w:r>
        <w:rPr>
          <w:rFonts w:hint="eastAsia"/>
          <w:sz w:val="24"/>
        </w:rPr>
        <w:t>生产经营单位应当建立健全生产安全事故隐患排查治理制度，对事故隐患进行排查并及时采取措施予以消除；事故隐患排除前和排除过程中无法保证安全的，应当从危险区域内撤出人员，疏散周边可能危及的其他人员，并设置警戒标志。生产经营单位应当将事故隐患排查治理情况向从业人员通报。</w:t>
      </w:r>
    </w:p>
    <w:p w14:paraId="54EB7AC0"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6.1.16.2 </w:t>
      </w:r>
      <w:r>
        <w:rPr>
          <w:rFonts w:ascii="Times New Roman" w:eastAsia="宋体" w:hAnsi="Times New Roman" w:hint="eastAsia"/>
          <w:sz w:val="24"/>
          <w:szCs w:val="24"/>
        </w:rPr>
        <w:t>检查情况</w:t>
      </w:r>
    </w:p>
    <w:p w14:paraId="68D0F64F" w14:textId="77777777" w:rsidR="003D6A63" w:rsidRDefault="00000000">
      <w:pPr>
        <w:pStyle w:val="nlw1"/>
        <w:adjustRightInd w:val="0"/>
        <w:snapToGrid w:val="0"/>
        <w:spacing w:line="360" w:lineRule="auto"/>
        <w:ind w:firstLine="480"/>
        <w:rPr>
          <w:rFonts w:ascii="Times New Roman" w:hAnsi="Times New Roman"/>
          <w:sz w:val="24"/>
          <w:szCs w:val="24"/>
          <w:lang w:val="en-US"/>
        </w:rPr>
      </w:pPr>
      <w:r>
        <w:rPr>
          <w:rFonts w:ascii="Times New Roman" w:hAnsi="Times New Roman"/>
          <w:color w:val="000000" w:themeColor="text1"/>
          <w:sz w:val="24"/>
          <w:szCs w:val="24"/>
          <w:lang w:val="en-US"/>
        </w:rPr>
        <w:t>涉及企业机密，不予公开</w:t>
      </w:r>
      <w:r>
        <w:rPr>
          <w:rFonts w:ascii="Times New Roman" w:hAnsi="Times New Roman" w:hint="eastAsia"/>
          <w:sz w:val="24"/>
          <w:szCs w:val="24"/>
          <w:lang w:val="en-US"/>
        </w:rPr>
        <w:t>。</w:t>
      </w:r>
    </w:p>
    <w:p w14:paraId="33861762"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6.1.16.3  </w:t>
      </w:r>
      <w:r>
        <w:rPr>
          <w:rFonts w:ascii="Times New Roman" w:eastAsia="宋体" w:hAnsi="Times New Roman" w:hint="eastAsia"/>
          <w:sz w:val="24"/>
          <w:szCs w:val="24"/>
        </w:rPr>
        <w:t>检查结果</w:t>
      </w:r>
    </w:p>
    <w:p w14:paraId="3A3BC68B" w14:textId="77777777" w:rsidR="003D6A63" w:rsidRDefault="00000000">
      <w:pPr>
        <w:adjustRightInd w:val="0"/>
        <w:snapToGrid w:val="0"/>
        <w:spacing w:line="360" w:lineRule="auto"/>
        <w:ind w:firstLineChars="200" w:firstLine="480"/>
        <w:rPr>
          <w:sz w:val="24"/>
        </w:rPr>
      </w:pPr>
      <w:r>
        <w:rPr>
          <w:rFonts w:hint="eastAsia"/>
          <w:sz w:val="24"/>
        </w:rPr>
        <w:t>中胜公司</w:t>
      </w:r>
      <w:r>
        <w:rPr>
          <w:sz w:val="24"/>
        </w:rPr>
        <w:t>按照山东省及胜利油田陆上石油和天然气企业安全风险分级管控和隐患排查治理体系建设工作要求，开展了</w:t>
      </w:r>
      <w:r>
        <w:rPr>
          <w:rFonts w:hint="eastAsia"/>
          <w:sz w:val="24"/>
        </w:rPr>
        <w:t>“</w:t>
      </w:r>
      <w:r>
        <w:rPr>
          <w:sz w:val="24"/>
        </w:rPr>
        <w:t>双重预防体系</w:t>
      </w:r>
      <w:r>
        <w:rPr>
          <w:rFonts w:hint="eastAsia"/>
          <w:sz w:val="24"/>
        </w:rPr>
        <w:t>”</w:t>
      </w:r>
      <w:r>
        <w:rPr>
          <w:sz w:val="24"/>
        </w:rPr>
        <w:t>建设工作。采取的风险控制措施全面</w:t>
      </w:r>
      <w:r>
        <w:rPr>
          <w:rFonts w:hint="eastAsia"/>
          <w:sz w:val="24"/>
        </w:rPr>
        <w:t>、</w:t>
      </w:r>
      <w:r>
        <w:rPr>
          <w:sz w:val="24"/>
        </w:rPr>
        <w:t>隐患排查实施过程、</w:t>
      </w:r>
      <w:bookmarkStart w:id="106" w:name="_bookmark28"/>
      <w:bookmarkEnd w:id="106"/>
      <w:r>
        <w:rPr>
          <w:sz w:val="24"/>
        </w:rPr>
        <w:t>整改治理措施以及相应奖惩情况执行到位</w:t>
      </w:r>
      <w:r>
        <w:rPr>
          <w:rFonts w:hint="eastAsia"/>
          <w:sz w:val="24"/>
        </w:rPr>
        <w:t>，</w:t>
      </w:r>
      <w:r>
        <w:rPr>
          <w:rFonts w:hAnsi="宋体" w:hint="eastAsia"/>
          <w:sz w:val="24"/>
        </w:rPr>
        <w:t>符合国家法律法规及其标准规范的要求。</w:t>
      </w:r>
    </w:p>
    <w:bookmarkEnd w:id="104"/>
    <w:bookmarkEnd w:id="105"/>
    <w:p w14:paraId="223CA853" w14:textId="77777777" w:rsidR="003D6A63" w:rsidRDefault="00000000">
      <w:pPr>
        <w:pStyle w:val="3"/>
        <w:keepNext w:val="0"/>
        <w:keepLines w:val="0"/>
        <w:spacing w:before="0" w:after="0" w:line="360" w:lineRule="auto"/>
        <w:rPr>
          <w:rFonts w:eastAsia="黑体"/>
          <w:b w:val="0"/>
          <w:spacing w:val="0"/>
          <w:sz w:val="24"/>
        </w:rPr>
      </w:pPr>
      <w:r>
        <w:rPr>
          <w:rFonts w:eastAsia="黑体" w:hint="eastAsia"/>
          <w:b w:val="0"/>
          <w:spacing w:val="0"/>
          <w:sz w:val="24"/>
        </w:rPr>
        <w:t xml:space="preserve">6.1.17 </w:t>
      </w:r>
      <w:r>
        <w:rPr>
          <w:rFonts w:eastAsia="黑体" w:hint="eastAsia"/>
          <w:b w:val="0"/>
          <w:spacing w:val="0"/>
          <w:sz w:val="24"/>
        </w:rPr>
        <w:t>信息化建设</w:t>
      </w:r>
    </w:p>
    <w:p w14:paraId="0C124C3A"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6.1.17.1 </w:t>
      </w:r>
      <w:r>
        <w:rPr>
          <w:rFonts w:ascii="Times New Roman" w:eastAsia="宋体" w:hAnsi="Times New Roman" w:hint="eastAsia"/>
          <w:sz w:val="24"/>
          <w:szCs w:val="24"/>
        </w:rPr>
        <w:t>法规要求</w:t>
      </w:r>
    </w:p>
    <w:p w14:paraId="3502F8E8"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）《安全生产法》</w:t>
      </w:r>
    </w:p>
    <w:p w14:paraId="4E1399B9" w14:textId="77777777" w:rsidR="003D6A63" w:rsidRDefault="00000000">
      <w:pPr>
        <w:adjustRightInd w:val="0"/>
        <w:snapToGrid w:val="0"/>
        <w:spacing w:line="360" w:lineRule="auto"/>
        <w:ind w:firstLineChars="200" w:firstLine="480"/>
        <w:rPr>
          <w:sz w:val="24"/>
        </w:rPr>
      </w:pPr>
      <w:r>
        <w:rPr>
          <w:rFonts w:hint="eastAsia"/>
          <w:sz w:val="24"/>
        </w:rPr>
        <w:t>第四条</w:t>
      </w:r>
      <w:r>
        <w:rPr>
          <w:rFonts w:hint="eastAsia"/>
          <w:sz w:val="24"/>
        </w:rPr>
        <w:t xml:space="preserve">  </w:t>
      </w:r>
      <w:r>
        <w:rPr>
          <w:rFonts w:hint="eastAsia"/>
          <w:sz w:val="24"/>
        </w:rPr>
        <w:t>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60FD25F2"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）《山东省安全生产条例》</w:t>
      </w:r>
    </w:p>
    <w:p w14:paraId="6AA5A9A6" w14:textId="77777777" w:rsidR="003D6A63" w:rsidRDefault="00000000">
      <w:pPr>
        <w:adjustRightInd w:val="0"/>
        <w:snapToGrid w:val="0"/>
        <w:spacing w:line="360" w:lineRule="auto"/>
        <w:ind w:firstLineChars="200" w:firstLine="480"/>
        <w:rPr>
          <w:sz w:val="24"/>
        </w:rPr>
      </w:pPr>
      <w:r>
        <w:rPr>
          <w:rFonts w:hint="eastAsia"/>
          <w:sz w:val="24"/>
        </w:rPr>
        <w:t>第四条</w:t>
      </w:r>
      <w:r>
        <w:rPr>
          <w:rFonts w:hint="eastAsia"/>
          <w:sz w:val="24"/>
        </w:rPr>
        <w:t xml:space="preserve">  </w:t>
      </w:r>
      <w:r>
        <w:rPr>
          <w:rFonts w:hint="eastAsia"/>
          <w:sz w:val="24"/>
        </w:rPr>
        <w:t>生产经营单位对本单位的安全生产承担主体责任。</w:t>
      </w:r>
    </w:p>
    <w:p w14:paraId="706A455B" w14:textId="77777777" w:rsidR="003D6A63" w:rsidRDefault="00000000">
      <w:pPr>
        <w:adjustRightInd w:val="0"/>
        <w:snapToGrid w:val="0"/>
        <w:spacing w:line="360" w:lineRule="auto"/>
        <w:ind w:firstLineChars="200" w:firstLine="480"/>
        <w:rPr>
          <w:sz w:val="24"/>
        </w:rPr>
      </w:pPr>
      <w:r>
        <w:rPr>
          <w:rFonts w:hint="eastAsia"/>
          <w:sz w:val="24"/>
        </w:rPr>
        <w:t>生产经营单位应当建立健全全员安全生产责任制和安全生产规章制度，加大安全生产资金、物资、技术、人员的投入保障力度，改善安全生产条件，加强安全生产标准化、信息化建设，构建安全风险分级管控和隐患排查治理双重预防机制。</w:t>
      </w:r>
    </w:p>
    <w:p w14:paraId="37F39E28"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6.1.17.2  </w:t>
      </w:r>
      <w:r>
        <w:rPr>
          <w:rFonts w:ascii="Times New Roman" w:eastAsia="宋体" w:hAnsi="Times New Roman" w:hint="eastAsia"/>
          <w:sz w:val="24"/>
          <w:szCs w:val="24"/>
        </w:rPr>
        <w:t>检查情况</w:t>
      </w:r>
    </w:p>
    <w:p w14:paraId="1807462A" w14:textId="77777777" w:rsidR="003D6A63" w:rsidRDefault="00000000">
      <w:pPr>
        <w:pStyle w:val="nlw1"/>
        <w:adjustRightInd w:val="0"/>
        <w:snapToGrid w:val="0"/>
        <w:spacing w:line="360" w:lineRule="auto"/>
        <w:ind w:firstLine="480"/>
        <w:rPr>
          <w:rFonts w:ascii="Times New Roman" w:hAnsi="Times New Roman"/>
          <w:sz w:val="24"/>
          <w:szCs w:val="24"/>
          <w:lang w:val="en-US"/>
        </w:rPr>
      </w:pPr>
      <w:r>
        <w:rPr>
          <w:rFonts w:ascii="Times New Roman" w:hAnsi="Times New Roman"/>
          <w:color w:val="000000" w:themeColor="text1"/>
          <w:sz w:val="24"/>
          <w:szCs w:val="24"/>
          <w:lang w:val="en-US"/>
        </w:rPr>
        <w:lastRenderedPageBreak/>
        <w:t>涉及企业机密，不予公开</w:t>
      </w:r>
      <w:r>
        <w:rPr>
          <w:rFonts w:ascii="Times New Roman" w:hAnsi="Times New Roman" w:hint="eastAsia"/>
          <w:sz w:val="24"/>
          <w:szCs w:val="24"/>
          <w:lang w:val="en-US"/>
        </w:rPr>
        <w:t>。</w:t>
      </w:r>
    </w:p>
    <w:p w14:paraId="6A1B86BB"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6.1.17.3  </w:t>
      </w:r>
      <w:r>
        <w:rPr>
          <w:rFonts w:ascii="Times New Roman" w:eastAsia="宋体" w:hAnsi="Times New Roman" w:hint="eastAsia"/>
          <w:sz w:val="24"/>
          <w:szCs w:val="24"/>
        </w:rPr>
        <w:t>检查结果</w:t>
      </w:r>
    </w:p>
    <w:p w14:paraId="3D0CAD18" w14:textId="77777777" w:rsidR="003D6A63" w:rsidRDefault="00000000">
      <w:pPr>
        <w:adjustRightInd w:val="0"/>
        <w:snapToGrid w:val="0"/>
        <w:spacing w:line="360" w:lineRule="auto"/>
        <w:ind w:firstLineChars="200" w:firstLine="480"/>
        <w:rPr>
          <w:rFonts w:ascii="宋体" w:hAnsi="宋体" w:cs="宋体"/>
          <w:sz w:val="24"/>
        </w:rPr>
      </w:pPr>
      <w:r>
        <w:rPr>
          <w:rFonts w:hint="eastAsia"/>
          <w:sz w:val="24"/>
        </w:rPr>
        <w:t>中胜公司信息化建设</w:t>
      </w:r>
      <w:r>
        <w:rPr>
          <w:rFonts w:hAnsi="宋体" w:hint="eastAsia"/>
          <w:sz w:val="24"/>
        </w:rPr>
        <w:t>符合国家法律法规及其标准规范的要求。</w:t>
      </w:r>
    </w:p>
    <w:p w14:paraId="2A59408C" w14:textId="77777777" w:rsidR="003D6A63" w:rsidRDefault="00000000">
      <w:pPr>
        <w:pStyle w:val="3"/>
        <w:keepNext w:val="0"/>
        <w:keepLines w:val="0"/>
        <w:spacing w:before="0" w:after="0" w:line="360" w:lineRule="auto"/>
        <w:rPr>
          <w:rFonts w:eastAsia="黑体"/>
          <w:b w:val="0"/>
          <w:spacing w:val="0"/>
          <w:sz w:val="24"/>
          <w:szCs w:val="24"/>
        </w:rPr>
      </w:pPr>
      <w:r>
        <w:rPr>
          <w:rFonts w:eastAsia="黑体" w:hint="eastAsia"/>
          <w:b w:val="0"/>
          <w:spacing w:val="0"/>
          <w:sz w:val="24"/>
          <w:szCs w:val="24"/>
        </w:rPr>
        <w:t xml:space="preserve">6.1.18  </w:t>
      </w:r>
      <w:r>
        <w:rPr>
          <w:rFonts w:eastAsia="黑体" w:hint="eastAsia"/>
          <w:b w:val="0"/>
          <w:spacing w:val="0"/>
          <w:sz w:val="24"/>
          <w:szCs w:val="24"/>
        </w:rPr>
        <w:t>井控管理</w:t>
      </w:r>
    </w:p>
    <w:p w14:paraId="3D0DF1A2" w14:textId="77777777" w:rsidR="003D6A63" w:rsidRDefault="00000000">
      <w:pPr>
        <w:spacing w:line="360" w:lineRule="auto"/>
        <w:ind w:firstLineChars="200" w:firstLine="480"/>
        <w:rPr>
          <w:kern w:val="0"/>
          <w:sz w:val="24"/>
        </w:rPr>
      </w:pPr>
      <w:r>
        <w:rPr>
          <w:rFonts w:hint="eastAsia"/>
          <w:kern w:val="0"/>
          <w:sz w:val="24"/>
        </w:rPr>
        <w:t>中胜公司为加强井控管理工作，成立了董事长、总经理担任组长的井控工作领导小组，分级负责井控管理工作；对作业过程中井控风险识别，确定井控风险提示模板，并在设计运行过程中严格执行；结合岗位设置及人员需求，实现岗位人员井控持证率</w:t>
      </w:r>
      <w:r>
        <w:rPr>
          <w:rFonts w:hint="eastAsia"/>
          <w:kern w:val="0"/>
          <w:sz w:val="24"/>
        </w:rPr>
        <w:t>100%</w:t>
      </w:r>
      <w:r>
        <w:rPr>
          <w:rFonts w:hint="eastAsia"/>
          <w:kern w:val="0"/>
          <w:sz w:val="24"/>
        </w:rPr>
        <w:t>；定期召开井控例会、开展井控工作检查。公司每季度</w:t>
      </w:r>
      <w:r>
        <w:rPr>
          <w:rFonts w:hint="eastAsia"/>
          <w:kern w:val="0"/>
          <w:sz w:val="24"/>
        </w:rPr>
        <w:t>1</w:t>
      </w:r>
      <w:r>
        <w:rPr>
          <w:rFonts w:hint="eastAsia"/>
          <w:kern w:val="0"/>
          <w:sz w:val="24"/>
        </w:rPr>
        <w:t>次，基础单位每月</w:t>
      </w:r>
      <w:r>
        <w:rPr>
          <w:rFonts w:hint="eastAsia"/>
          <w:kern w:val="0"/>
          <w:sz w:val="24"/>
        </w:rPr>
        <w:t>1</w:t>
      </w:r>
      <w:r>
        <w:rPr>
          <w:rFonts w:hint="eastAsia"/>
          <w:kern w:val="0"/>
          <w:sz w:val="24"/>
        </w:rPr>
        <w:t>次召开一次井控例会，建立专项井控检查及常态化检查相结合的检查体系。强化开工验收及钻开油气层审批。严防井控事故的发生。</w:t>
      </w:r>
    </w:p>
    <w:p w14:paraId="5AFBA539" w14:textId="77777777" w:rsidR="003D6A63" w:rsidRDefault="00000000">
      <w:pPr>
        <w:pStyle w:val="3"/>
        <w:keepNext w:val="0"/>
        <w:keepLines w:val="0"/>
        <w:spacing w:before="0" w:after="0" w:line="360" w:lineRule="auto"/>
        <w:rPr>
          <w:rFonts w:eastAsia="黑体"/>
          <w:b w:val="0"/>
          <w:spacing w:val="0"/>
          <w:sz w:val="24"/>
          <w:szCs w:val="24"/>
        </w:rPr>
      </w:pPr>
      <w:r>
        <w:rPr>
          <w:rFonts w:eastAsia="黑体" w:hint="eastAsia"/>
          <w:b w:val="0"/>
          <w:spacing w:val="0"/>
          <w:sz w:val="24"/>
          <w:szCs w:val="24"/>
        </w:rPr>
        <w:t xml:space="preserve">6.1.19  </w:t>
      </w:r>
      <w:r>
        <w:rPr>
          <w:rFonts w:eastAsia="黑体" w:hint="eastAsia"/>
          <w:b w:val="0"/>
          <w:spacing w:val="0"/>
          <w:sz w:val="24"/>
          <w:szCs w:val="24"/>
        </w:rPr>
        <w:t>长停井、废弃井管理</w:t>
      </w:r>
    </w:p>
    <w:p w14:paraId="02FE5F97" w14:textId="77777777" w:rsidR="003D6A63" w:rsidRDefault="00000000">
      <w:pPr>
        <w:spacing w:line="360" w:lineRule="auto"/>
        <w:ind w:firstLineChars="200" w:firstLine="480"/>
        <w:rPr>
          <w:kern w:val="0"/>
          <w:sz w:val="24"/>
          <w:lang w:val="zh-CN"/>
        </w:rPr>
      </w:pPr>
      <w:r>
        <w:rPr>
          <w:rFonts w:hint="eastAsia"/>
          <w:kern w:val="0"/>
          <w:sz w:val="24"/>
        </w:rPr>
        <w:t>中胜公司现有废弃井</w:t>
      </w:r>
      <w:r>
        <w:rPr>
          <w:rFonts w:hint="eastAsia"/>
          <w:kern w:val="0"/>
          <w:sz w:val="24"/>
        </w:rPr>
        <w:t>46</w:t>
      </w:r>
      <w:r>
        <w:rPr>
          <w:rFonts w:hint="eastAsia"/>
          <w:kern w:val="0"/>
          <w:sz w:val="24"/>
        </w:rPr>
        <w:t>口、长停井</w:t>
      </w:r>
      <w:r>
        <w:rPr>
          <w:rFonts w:hint="eastAsia"/>
          <w:kern w:val="0"/>
          <w:sz w:val="24"/>
        </w:rPr>
        <w:t>35</w:t>
      </w:r>
      <w:r>
        <w:rPr>
          <w:rFonts w:hint="eastAsia"/>
          <w:kern w:val="0"/>
          <w:sz w:val="24"/>
        </w:rPr>
        <w:t>口。中胜公司</w:t>
      </w:r>
      <w:r>
        <w:rPr>
          <w:rFonts w:hint="eastAsia"/>
          <w:kern w:val="0"/>
          <w:sz w:val="24"/>
          <w:lang w:val="zh-CN"/>
        </w:rPr>
        <w:t>扎实推进长停报废井的精细管理。长停、报废井等井控隐患井是系统内井控管理的重点，在今年的工作中持续做好长停井、废弃井的巡护和巡查工作，针对重点井、高风险井充分发挥信息化的优势，采取远程电子巡检与人工巡检相结合的方式实现生产现场实时管控，做到全过程监控到位，重点把关。同时与井控管理办公室和作业中心积极沟通，进一步加强对长停井的梳理和摸排，更加精准地对无利用价值的长停井进行报废、封井处置，从而减少风险点，整体上降低</w:t>
      </w:r>
      <w:r>
        <w:rPr>
          <w:rFonts w:hint="eastAsia"/>
          <w:kern w:val="0"/>
          <w:sz w:val="24"/>
        </w:rPr>
        <w:t>公司</w:t>
      </w:r>
      <w:r>
        <w:rPr>
          <w:rFonts w:hint="eastAsia"/>
          <w:kern w:val="0"/>
          <w:sz w:val="24"/>
          <w:lang w:val="zh-CN"/>
        </w:rPr>
        <w:t>的管控风险。同时同信息部门沟通，加快推进长停报废井压力四化监控的建设，从而保证井口压力的实时监控，确保异常情况的早发现、早处置。</w:t>
      </w:r>
    </w:p>
    <w:p w14:paraId="73A5DC33" w14:textId="77777777" w:rsidR="003D6A63" w:rsidRDefault="00000000">
      <w:pPr>
        <w:pStyle w:val="3"/>
        <w:keepNext w:val="0"/>
        <w:keepLines w:val="0"/>
        <w:spacing w:before="0" w:after="0" w:line="360" w:lineRule="auto"/>
        <w:rPr>
          <w:rFonts w:eastAsia="黑体"/>
          <w:b w:val="0"/>
          <w:spacing w:val="0"/>
          <w:sz w:val="24"/>
          <w:szCs w:val="24"/>
        </w:rPr>
      </w:pPr>
      <w:r>
        <w:rPr>
          <w:rFonts w:eastAsia="黑体" w:hint="eastAsia"/>
          <w:b w:val="0"/>
          <w:spacing w:val="0"/>
          <w:sz w:val="24"/>
          <w:szCs w:val="24"/>
        </w:rPr>
        <w:t xml:space="preserve">6.1.20  </w:t>
      </w:r>
      <w:r>
        <w:rPr>
          <w:rFonts w:eastAsia="黑体" w:hint="eastAsia"/>
          <w:b w:val="0"/>
          <w:spacing w:val="0"/>
          <w:sz w:val="24"/>
          <w:szCs w:val="24"/>
        </w:rPr>
        <w:t>生产安全事故管理</w:t>
      </w:r>
    </w:p>
    <w:p w14:paraId="3CFD8126"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6.1.20.1  </w:t>
      </w:r>
      <w:r>
        <w:rPr>
          <w:rFonts w:ascii="Times New Roman" w:eastAsia="宋体" w:hAnsi="Times New Roman" w:hint="eastAsia"/>
          <w:sz w:val="24"/>
          <w:szCs w:val="24"/>
        </w:rPr>
        <w:t>法规</w:t>
      </w:r>
    </w:p>
    <w:p w14:paraId="64505982"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）《安全生产法》</w:t>
      </w:r>
    </w:p>
    <w:p w14:paraId="7986ADBC" w14:textId="77777777" w:rsidR="003D6A63" w:rsidRDefault="00000000">
      <w:pPr>
        <w:adjustRightInd w:val="0"/>
        <w:snapToGrid w:val="0"/>
        <w:spacing w:line="360" w:lineRule="auto"/>
        <w:ind w:firstLineChars="200" w:firstLine="480"/>
        <w:rPr>
          <w:sz w:val="24"/>
        </w:rPr>
      </w:pPr>
      <w:r>
        <w:rPr>
          <w:rFonts w:hint="eastAsia"/>
          <w:sz w:val="24"/>
        </w:rPr>
        <w:t>第八十三条　生产经营单位发生生产安全事故后，事故现场有关人员应当立即报告本单位负责人。</w:t>
      </w:r>
    </w:p>
    <w:p w14:paraId="3EC3F983"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）《生产安全事故报告和调查处理条例》</w:t>
      </w:r>
    </w:p>
    <w:p w14:paraId="7F47E5EF" w14:textId="77777777" w:rsidR="003D6A63" w:rsidRDefault="00000000">
      <w:pPr>
        <w:adjustRightInd w:val="0"/>
        <w:snapToGrid w:val="0"/>
        <w:spacing w:line="360" w:lineRule="auto"/>
        <w:ind w:firstLineChars="200" w:firstLine="480"/>
        <w:rPr>
          <w:sz w:val="24"/>
        </w:rPr>
      </w:pPr>
      <w:r>
        <w:rPr>
          <w:rFonts w:hint="eastAsia"/>
          <w:sz w:val="24"/>
        </w:rPr>
        <w:t>第九条　事故发生后，事故现场有关人员应当立即向本单位负责人报告；单位负责人接到报告后，应当于</w:t>
      </w:r>
      <w:r>
        <w:rPr>
          <w:rFonts w:hint="eastAsia"/>
          <w:sz w:val="24"/>
        </w:rPr>
        <w:t>1</w:t>
      </w:r>
      <w:r>
        <w:rPr>
          <w:rFonts w:hint="eastAsia"/>
          <w:sz w:val="24"/>
        </w:rPr>
        <w:t>小时内向事故发生地县级以上人民政府安全生产监督管理部门和负有安全生产监督管理职责的有关部门报告。</w:t>
      </w:r>
    </w:p>
    <w:p w14:paraId="044D0FBE" w14:textId="77777777" w:rsidR="003D6A63" w:rsidRDefault="00000000">
      <w:pPr>
        <w:adjustRightInd w:val="0"/>
        <w:snapToGrid w:val="0"/>
        <w:spacing w:line="360" w:lineRule="auto"/>
        <w:ind w:firstLineChars="200" w:firstLine="480"/>
        <w:rPr>
          <w:sz w:val="24"/>
        </w:rPr>
      </w:pPr>
      <w:r>
        <w:rPr>
          <w:rFonts w:hint="eastAsia"/>
          <w:sz w:val="24"/>
        </w:rPr>
        <w:t>情况紧急时，事故现场有关人员可以直接向事故发生地县级以上人民政府安全生产监督管理部门和负有安全生产监督管理职责的有关部门报告。</w:t>
      </w:r>
    </w:p>
    <w:p w14:paraId="1B61A0B3" w14:textId="77777777" w:rsidR="003D6A63" w:rsidRDefault="00000000">
      <w:pPr>
        <w:adjustRightInd w:val="0"/>
        <w:snapToGrid w:val="0"/>
        <w:spacing w:line="360" w:lineRule="auto"/>
        <w:ind w:firstLineChars="100" w:firstLine="240"/>
        <w:rPr>
          <w:sz w:val="24"/>
        </w:rPr>
      </w:pPr>
      <w:r>
        <w:rPr>
          <w:rFonts w:hint="eastAsia"/>
          <w:sz w:val="24"/>
        </w:rPr>
        <w:lastRenderedPageBreak/>
        <w:t>（</w:t>
      </w:r>
      <w:r>
        <w:rPr>
          <w:rFonts w:hint="eastAsia"/>
          <w:sz w:val="24"/>
        </w:rPr>
        <w:t>3</w:t>
      </w:r>
      <w:r>
        <w:rPr>
          <w:rFonts w:hint="eastAsia"/>
          <w:sz w:val="24"/>
        </w:rPr>
        <w:t>）《山东省生产安全事故报告和调查处理办法》（山东省人民政府令第</w:t>
      </w:r>
      <w:r>
        <w:rPr>
          <w:rFonts w:hint="eastAsia"/>
          <w:sz w:val="24"/>
        </w:rPr>
        <w:t>236</w:t>
      </w:r>
      <w:r>
        <w:rPr>
          <w:rFonts w:hint="eastAsia"/>
          <w:sz w:val="24"/>
        </w:rPr>
        <w:t>号公布，第</w:t>
      </w:r>
      <w:r>
        <w:rPr>
          <w:rFonts w:hint="eastAsia"/>
          <w:sz w:val="24"/>
        </w:rPr>
        <w:t>349</w:t>
      </w:r>
      <w:r>
        <w:rPr>
          <w:rFonts w:hint="eastAsia"/>
          <w:sz w:val="24"/>
        </w:rPr>
        <w:t>号修正）</w:t>
      </w:r>
    </w:p>
    <w:p w14:paraId="0B5EC11B" w14:textId="77777777" w:rsidR="003D6A63" w:rsidRDefault="00000000">
      <w:pPr>
        <w:adjustRightInd w:val="0"/>
        <w:snapToGrid w:val="0"/>
        <w:spacing w:line="360" w:lineRule="auto"/>
        <w:ind w:firstLineChars="200" w:firstLine="480"/>
        <w:rPr>
          <w:sz w:val="24"/>
        </w:rPr>
      </w:pPr>
      <w:r>
        <w:rPr>
          <w:rFonts w:hint="eastAsia"/>
          <w:sz w:val="24"/>
        </w:rPr>
        <w:t>第六条  事故发生后，事故现场有关人员应当立即向本单位负责人报告；单位负责人接到报告后，应当于</w:t>
      </w:r>
      <w:r>
        <w:rPr>
          <w:rFonts w:hint="eastAsia"/>
          <w:sz w:val="24"/>
        </w:rPr>
        <w:t>1</w:t>
      </w:r>
      <w:r>
        <w:rPr>
          <w:rFonts w:hint="eastAsia"/>
          <w:sz w:val="24"/>
        </w:rPr>
        <w:t>小时内报告事故发生地县（市、区）人民政府应急管理部门和负有安全生产监督管理职责的有关部门。</w:t>
      </w:r>
    </w:p>
    <w:p w14:paraId="4D22E6A0" w14:textId="77777777" w:rsidR="003D6A63" w:rsidRDefault="00000000">
      <w:pPr>
        <w:adjustRightInd w:val="0"/>
        <w:snapToGrid w:val="0"/>
        <w:spacing w:line="360" w:lineRule="auto"/>
        <w:ind w:firstLineChars="200" w:firstLine="480"/>
        <w:rPr>
          <w:sz w:val="24"/>
        </w:rPr>
      </w:pPr>
      <w:r>
        <w:rPr>
          <w:rFonts w:hint="eastAsia"/>
          <w:sz w:val="24"/>
        </w:rPr>
        <w:t>情况紧急或者本单位负责人无法联络时，事故现场有关人员可以直接向事故发生地县级以上人民政府应急管理部门和负有安全生产监督管理职责的有关部门报告。</w:t>
      </w:r>
    </w:p>
    <w:p w14:paraId="4EF65C58"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6.1.20.2  </w:t>
      </w:r>
      <w:r>
        <w:rPr>
          <w:rFonts w:ascii="Times New Roman" w:eastAsia="宋体" w:hAnsi="Times New Roman" w:hint="eastAsia"/>
          <w:sz w:val="24"/>
          <w:szCs w:val="24"/>
        </w:rPr>
        <w:t>检查情况</w:t>
      </w:r>
    </w:p>
    <w:p w14:paraId="5C417C1A" w14:textId="77777777" w:rsidR="003D6A63" w:rsidRDefault="00000000">
      <w:pPr>
        <w:adjustRightInd w:val="0"/>
        <w:snapToGrid w:val="0"/>
        <w:spacing w:line="360" w:lineRule="auto"/>
        <w:ind w:firstLineChars="200" w:firstLine="480"/>
        <w:rPr>
          <w:sz w:val="24"/>
        </w:rPr>
      </w:pPr>
      <w:r>
        <w:rPr>
          <w:rFonts w:hint="eastAsia"/>
          <w:sz w:val="24"/>
        </w:rPr>
        <w:t>中胜公司制定有《生产安全事故管理办法》并严格按照该办法进行事故管理。公司安全（</w:t>
      </w:r>
      <w:r>
        <w:rPr>
          <w:rFonts w:hint="eastAsia"/>
          <w:sz w:val="24"/>
        </w:rPr>
        <w:t>QHSE</w:t>
      </w:r>
      <w:r>
        <w:rPr>
          <w:rFonts w:hint="eastAsia"/>
          <w:sz w:val="24"/>
        </w:rPr>
        <w:t>）管理办公室负责生产安全事故（事件）的收集、核实、汇总、分析和上报工作，专业部门协助对业务范围内事故（事件）进行分析。建立</w:t>
      </w:r>
      <w:r>
        <w:rPr>
          <w:rFonts w:hint="eastAsia"/>
          <w:sz w:val="24"/>
        </w:rPr>
        <w:t>HSE</w:t>
      </w:r>
      <w:r>
        <w:rPr>
          <w:rFonts w:hint="eastAsia"/>
          <w:sz w:val="24"/>
        </w:rPr>
        <w:t>事故（事件）库和分享机制。鼓励员工及时上报有关事件，加强各类事故（事件）的统计分析，找规律、查漏洞，防范事故（事件）发生。</w:t>
      </w:r>
    </w:p>
    <w:p w14:paraId="5742CD02" w14:textId="77777777" w:rsidR="003D6A63" w:rsidRDefault="00000000">
      <w:pPr>
        <w:pStyle w:val="4"/>
        <w:keepNext w:val="0"/>
        <w:keepLines w:val="0"/>
        <w:spacing w:before="0" w:after="0" w:line="360" w:lineRule="auto"/>
        <w:rPr>
          <w:rFonts w:ascii="Times New Roman" w:eastAsia="宋体" w:hAnsi="Times New Roman"/>
          <w:sz w:val="24"/>
          <w:szCs w:val="24"/>
        </w:rPr>
      </w:pPr>
      <w:r>
        <w:rPr>
          <w:rFonts w:ascii="Times New Roman" w:eastAsia="宋体" w:hAnsi="Times New Roman" w:hint="eastAsia"/>
          <w:sz w:val="24"/>
          <w:szCs w:val="24"/>
        </w:rPr>
        <w:t xml:space="preserve">6.1.20.3  </w:t>
      </w:r>
      <w:r>
        <w:rPr>
          <w:rFonts w:ascii="Times New Roman" w:eastAsia="宋体" w:hAnsi="Times New Roman" w:hint="eastAsia"/>
          <w:sz w:val="24"/>
          <w:szCs w:val="24"/>
        </w:rPr>
        <w:t>检查结果</w:t>
      </w:r>
    </w:p>
    <w:p w14:paraId="38BF9E38" w14:textId="77777777" w:rsidR="003D6A63" w:rsidRDefault="00000000">
      <w:pPr>
        <w:spacing w:line="360" w:lineRule="auto"/>
        <w:ind w:firstLineChars="200" w:firstLine="480"/>
        <w:rPr>
          <w:sz w:val="24"/>
        </w:rPr>
      </w:pPr>
      <w:r>
        <w:rPr>
          <w:rFonts w:hint="eastAsia"/>
          <w:kern w:val="0"/>
          <w:sz w:val="24"/>
        </w:rPr>
        <w:t>中胜公司近</w:t>
      </w:r>
      <w:r>
        <w:rPr>
          <w:rFonts w:hint="eastAsia"/>
          <w:kern w:val="0"/>
          <w:sz w:val="24"/>
        </w:rPr>
        <w:t>3</w:t>
      </w:r>
      <w:r>
        <w:rPr>
          <w:rFonts w:hint="eastAsia"/>
          <w:kern w:val="0"/>
          <w:sz w:val="24"/>
        </w:rPr>
        <w:t>年以来</w:t>
      </w:r>
      <w:r>
        <w:rPr>
          <w:kern w:val="0"/>
          <w:sz w:val="24"/>
          <w:lang w:val="zh-CN"/>
        </w:rPr>
        <w:t>安全生产形式稳定</w:t>
      </w:r>
      <w:r>
        <w:rPr>
          <w:rFonts w:hint="eastAsia"/>
          <w:kern w:val="0"/>
          <w:sz w:val="24"/>
          <w:lang w:val="zh-CN"/>
        </w:rPr>
        <w:t>，</w:t>
      </w:r>
      <w:r>
        <w:rPr>
          <w:rFonts w:hint="eastAsia"/>
          <w:kern w:val="0"/>
          <w:sz w:val="24"/>
        </w:rPr>
        <w:t>未发生上报安全生产责任事故，无火灾事故，安全生产形势良好。</w:t>
      </w:r>
    </w:p>
    <w:p w14:paraId="2A2591AD" w14:textId="77777777" w:rsidR="003D6A63" w:rsidRDefault="00000000">
      <w:pPr>
        <w:pStyle w:val="2"/>
        <w:keepNext w:val="0"/>
        <w:keepLines w:val="0"/>
        <w:spacing w:before="0" w:after="0" w:line="360" w:lineRule="auto"/>
        <w:rPr>
          <w:rFonts w:ascii="Times New Roman" w:hAnsi="Times New Roman"/>
          <w:b w:val="0"/>
          <w:spacing w:val="0"/>
          <w:sz w:val="28"/>
        </w:rPr>
      </w:pPr>
      <w:bookmarkStart w:id="107" w:name="_Toc24278"/>
      <w:r>
        <w:rPr>
          <w:rFonts w:ascii="Times New Roman" w:hAnsi="Times New Roman"/>
          <w:b w:val="0"/>
          <w:spacing w:val="0"/>
          <w:sz w:val="28"/>
        </w:rPr>
        <w:t xml:space="preserve">6.2 </w:t>
      </w:r>
      <w:r>
        <w:rPr>
          <w:rFonts w:ascii="Times New Roman" w:hAnsi="Times New Roman" w:hint="eastAsia"/>
          <w:b w:val="0"/>
          <w:spacing w:val="0"/>
          <w:sz w:val="28"/>
        </w:rPr>
        <w:t xml:space="preserve"> </w:t>
      </w:r>
      <w:r>
        <w:rPr>
          <w:rFonts w:ascii="Times New Roman" w:hAnsi="Times New Roman"/>
          <w:b w:val="0"/>
          <w:spacing w:val="0"/>
          <w:sz w:val="28"/>
        </w:rPr>
        <w:t>安全检查表</w:t>
      </w:r>
      <w:bookmarkEnd w:id="107"/>
    </w:p>
    <w:p w14:paraId="7E5270B0" w14:textId="77777777" w:rsidR="003D6A63" w:rsidRDefault="00000000">
      <w:pPr>
        <w:pStyle w:val="3"/>
        <w:keepNext w:val="0"/>
        <w:keepLines w:val="0"/>
        <w:spacing w:before="0" w:after="0" w:line="360" w:lineRule="auto"/>
        <w:rPr>
          <w:rFonts w:eastAsia="黑体"/>
          <w:b w:val="0"/>
          <w:spacing w:val="0"/>
          <w:sz w:val="24"/>
          <w:szCs w:val="24"/>
        </w:rPr>
      </w:pPr>
      <w:r>
        <w:rPr>
          <w:rFonts w:eastAsia="黑体" w:hint="eastAsia"/>
          <w:b w:val="0"/>
          <w:spacing w:val="0"/>
          <w:sz w:val="24"/>
          <w:szCs w:val="24"/>
        </w:rPr>
        <w:t xml:space="preserve">6.2.1  </w:t>
      </w:r>
      <w:r>
        <w:rPr>
          <w:rFonts w:eastAsia="黑体" w:hint="eastAsia"/>
          <w:b w:val="0"/>
          <w:spacing w:val="0"/>
          <w:sz w:val="24"/>
          <w:szCs w:val="24"/>
        </w:rPr>
        <w:t>制定安全检查表的依据及检查问题</w:t>
      </w:r>
    </w:p>
    <w:p w14:paraId="3BB9FDC8" w14:textId="77777777" w:rsidR="003D6A63" w:rsidRDefault="00000000">
      <w:pPr>
        <w:adjustRightInd w:val="0"/>
        <w:snapToGrid w:val="0"/>
        <w:spacing w:line="360" w:lineRule="auto"/>
        <w:ind w:firstLineChars="200" w:firstLine="480"/>
        <w:rPr>
          <w:color w:val="000000"/>
          <w:sz w:val="24"/>
        </w:rPr>
      </w:pPr>
      <w:r>
        <w:rPr>
          <w:color w:val="000000"/>
          <w:sz w:val="24"/>
        </w:rPr>
        <w:t>本节根据《中华人民共和国安全生产法》（中华人民共和国主席令</w:t>
      </w:r>
      <w:r>
        <w:rPr>
          <w:rFonts w:hint="eastAsia"/>
          <w:sz w:val="24"/>
          <w:lang w:val="zh-CN"/>
        </w:rPr>
        <w:t>〔</w:t>
      </w:r>
      <w:r>
        <w:rPr>
          <w:rFonts w:hint="eastAsia"/>
          <w:sz w:val="24"/>
          <w:lang w:val="zh-CN"/>
        </w:rPr>
        <w:t>20</w:t>
      </w:r>
      <w:r>
        <w:rPr>
          <w:rFonts w:hint="eastAsia"/>
          <w:sz w:val="24"/>
        </w:rPr>
        <w:t>14</w:t>
      </w:r>
      <w:r>
        <w:rPr>
          <w:rFonts w:hint="eastAsia"/>
          <w:sz w:val="24"/>
        </w:rPr>
        <w:t>〕</w:t>
      </w:r>
      <w:r>
        <w:rPr>
          <w:color w:val="000000"/>
          <w:sz w:val="24"/>
        </w:rPr>
        <w:t>第</w:t>
      </w:r>
      <w:r>
        <w:rPr>
          <w:color w:val="000000"/>
          <w:sz w:val="24"/>
        </w:rPr>
        <w:t>13</w:t>
      </w:r>
      <w:r>
        <w:rPr>
          <w:color w:val="000000"/>
          <w:sz w:val="24"/>
        </w:rPr>
        <w:t>号，</w:t>
      </w:r>
      <w:r>
        <w:rPr>
          <w:rFonts w:hint="eastAsia"/>
          <w:color w:val="000000"/>
          <w:sz w:val="24"/>
        </w:rPr>
        <w:t>〔</w:t>
      </w:r>
      <w:r>
        <w:rPr>
          <w:rFonts w:hint="eastAsia"/>
          <w:color w:val="000000"/>
          <w:sz w:val="24"/>
        </w:rPr>
        <w:t>2021</w:t>
      </w:r>
      <w:r>
        <w:rPr>
          <w:rFonts w:hint="eastAsia"/>
          <w:color w:val="000000"/>
          <w:sz w:val="24"/>
        </w:rPr>
        <w:t>〕</w:t>
      </w:r>
      <w:r>
        <w:rPr>
          <w:color w:val="000000"/>
          <w:sz w:val="24"/>
        </w:rPr>
        <w:t>第</w:t>
      </w:r>
      <w:r>
        <w:rPr>
          <w:color w:val="000000"/>
          <w:sz w:val="24"/>
        </w:rPr>
        <w:t>88</w:t>
      </w:r>
      <w:r>
        <w:rPr>
          <w:color w:val="000000"/>
          <w:sz w:val="24"/>
        </w:rPr>
        <w:t>号令修订）、《石油天然气安全规程》（</w:t>
      </w:r>
      <w:r>
        <w:rPr>
          <w:color w:val="000000"/>
          <w:sz w:val="24"/>
        </w:rPr>
        <w:t>AQ2012-2007</w:t>
      </w:r>
      <w:r>
        <w:rPr>
          <w:color w:val="000000"/>
          <w:sz w:val="24"/>
        </w:rPr>
        <w:t>）、《生产安全事故应急预案管理办法》（国家安全生产监督管理总局令</w:t>
      </w:r>
      <w:r>
        <w:rPr>
          <w:rFonts w:hint="eastAsia"/>
          <w:color w:val="000000"/>
          <w:sz w:val="24"/>
        </w:rPr>
        <w:t>〔</w:t>
      </w:r>
      <w:r>
        <w:rPr>
          <w:rFonts w:hint="eastAsia"/>
          <w:color w:val="000000"/>
          <w:sz w:val="24"/>
        </w:rPr>
        <w:t>2016</w:t>
      </w:r>
      <w:r>
        <w:rPr>
          <w:rFonts w:hint="eastAsia"/>
          <w:color w:val="000000"/>
          <w:sz w:val="24"/>
        </w:rPr>
        <w:t>〕</w:t>
      </w:r>
      <w:r>
        <w:rPr>
          <w:color w:val="000000"/>
          <w:sz w:val="24"/>
        </w:rPr>
        <w:t>第</w:t>
      </w:r>
      <w:r>
        <w:rPr>
          <w:color w:val="000000"/>
          <w:sz w:val="24"/>
        </w:rPr>
        <w:t>88</w:t>
      </w:r>
      <w:r>
        <w:rPr>
          <w:color w:val="000000"/>
          <w:sz w:val="24"/>
        </w:rPr>
        <w:t>号，应急管理部令</w:t>
      </w:r>
      <w:r>
        <w:rPr>
          <w:rFonts w:hint="eastAsia"/>
          <w:color w:val="000000"/>
          <w:sz w:val="24"/>
        </w:rPr>
        <w:t>〔</w:t>
      </w:r>
      <w:r>
        <w:rPr>
          <w:rFonts w:hint="eastAsia"/>
          <w:color w:val="000000"/>
          <w:sz w:val="24"/>
        </w:rPr>
        <w:t>2019</w:t>
      </w:r>
      <w:r>
        <w:rPr>
          <w:rFonts w:hint="eastAsia"/>
          <w:color w:val="000000"/>
          <w:sz w:val="24"/>
        </w:rPr>
        <w:t>〕</w:t>
      </w:r>
      <w:r>
        <w:rPr>
          <w:color w:val="000000"/>
          <w:sz w:val="24"/>
        </w:rPr>
        <w:t>第</w:t>
      </w:r>
      <w:r>
        <w:rPr>
          <w:color w:val="000000"/>
          <w:sz w:val="24"/>
        </w:rPr>
        <w:t>2</w:t>
      </w:r>
      <w:r>
        <w:rPr>
          <w:color w:val="000000"/>
          <w:sz w:val="24"/>
        </w:rPr>
        <w:t>号修改）等法律法规，对本项目安全管理单元进行安全评价，具体评价过程见表</w:t>
      </w:r>
      <w:r>
        <w:rPr>
          <w:rFonts w:hint="eastAsia"/>
          <w:color w:val="000000"/>
          <w:sz w:val="24"/>
        </w:rPr>
        <w:t>6.2-1</w:t>
      </w:r>
      <w:r>
        <w:rPr>
          <w:color w:val="000000"/>
          <w:sz w:val="24"/>
        </w:rPr>
        <w:t>。</w:t>
      </w:r>
    </w:p>
    <w:p w14:paraId="6949C695" w14:textId="77777777" w:rsidR="003D6A63" w:rsidRDefault="00000000">
      <w:pPr>
        <w:pStyle w:val="af4"/>
        <w:adjustRightInd w:val="0"/>
        <w:snapToGrid w:val="0"/>
        <w:spacing w:line="360" w:lineRule="auto"/>
        <w:ind w:firstLine="480"/>
        <w:jc w:val="center"/>
        <w:rPr>
          <w:rFonts w:eastAsia="黑体"/>
        </w:rPr>
      </w:pPr>
      <w:r>
        <w:rPr>
          <w:rFonts w:eastAsia="黑体"/>
        </w:rPr>
        <w:t>表</w:t>
      </w:r>
      <w:r>
        <w:rPr>
          <w:rFonts w:eastAsia="黑体" w:hint="eastAsia"/>
        </w:rPr>
        <w:t>6.2-1</w:t>
      </w:r>
      <w:r>
        <w:rPr>
          <w:rFonts w:eastAsia="黑体"/>
        </w:rPr>
        <w:t xml:space="preserve">  </w:t>
      </w:r>
      <w:r>
        <w:rPr>
          <w:rFonts w:eastAsia="黑体"/>
        </w:rPr>
        <w:t>管理单元安全检查表</w:t>
      </w:r>
    </w:p>
    <w:tbl>
      <w:tblPr>
        <w:tblW w:w="4996"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705"/>
        <w:gridCol w:w="2903"/>
        <w:gridCol w:w="2601"/>
        <w:gridCol w:w="2213"/>
        <w:gridCol w:w="859"/>
      </w:tblGrid>
      <w:tr w:rsidR="003D6A63" w14:paraId="21579E82" w14:textId="77777777">
        <w:trPr>
          <w:trHeight w:val="340"/>
          <w:tblHeader/>
          <w:jc w:val="center"/>
        </w:trPr>
        <w:tc>
          <w:tcPr>
            <w:tcW w:w="380" w:type="pct"/>
            <w:tcBorders>
              <w:tl2br w:val="nil"/>
              <w:tr2bl w:val="nil"/>
            </w:tcBorders>
            <w:vAlign w:val="center"/>
          </w:tcPr>
          <w:p w14:paraId="4E5435AB" w14:textId="77777777" w:rsidR="003D6A63" w:rsidRDefault="00000000">
            <w:pPr>
              <w:overflowPunct w:val="0"/>
              <w:adjustRightInd w:val="0"/>
              <w:snapToGrid w:val="0"/>
              <w:jc w:val="center"/>
              <w:rPr>
                <w:b/>
                <w:kern w:val="0"/>
                <w:szCs w:val="21"/>
              </w:rPr>
            </w:pPr>
            <w:r>
              <w:rPr>
                <w:b/>
                <w:kern w:val="0"/>
                <w:szCs w:val="21"/>
              </w:rPr>
              <w:t>序号</w:t>
            </w:r>
          </w:p>
        </w:tc>
        <w:tc>
          <w:tcPr>
            <w:tcW w:w="1564" w:type="pct"/>
            <w:tcBorders>
              <w:tl2br w:val="nil"/>
              <w:tr2bl w:val="nil"/>
            </w:tcBorders>
            <w:vAlign w:val="center"/>
          </w:tcPr>
          <w:p w14:paraId="0F9BBE69" w14:textId="77777777" w:rsidR="003D6A63" w:rsidRDefault="00000000">
            <w:pPr>
              <w:overflowPunct w:val="0"/>
              <w:adjustRightInd w:val="0"/>
              <w:snapToGrid w:val="0"/>
              <w:jc w:val="center"/>
              <w:rPr>
                <w:b/>
                <w:kern w:val="0"/>
                <w:szCs w:val="21"/>
              </w:rPr>
            </w:pPr>
            <w:r>
              <w:rPr>
                <w:b/>
                <w:kern w:val="0"/>
                <w:szCs w:val="21"/>
              </w:rPr>
              <w:t>检查内容</w:t>
            </w:r>
          </w:p>
        </w:tc>
        <w:tc>
          <w:tcPr>
            <w:tcW w:w="1401" w:type="pct"/>
            <w:tcBorders>
              <w:tl2br w:val="nil"/>
              <w:tr2bl w:val="nil"/>
            </w:tcBorders>
            <w:vAlign w:val="center"/>
          </w:tcPr>
          <w:p w14:paraId="64E47B17" w14:textId="77777777" w:rsidR="003D6A63" w:rsidRDefault="00000000">
            <w:pPr>
              <w:overflowPunct w:val="0"/>
              <w:adjustRightInd w:val="0"/>
              <w:snapToGrid w:val="0"/>
              <w:jc w:val="center"/>
              <w:rPr>
                <w:b/>
                <w:kern w:val="0"/>
                <w:szCs w:val="21"/>
              </w:rPr>
            </w:pPr>
            <w:r>
              <w:rPr>
                <w:b/>
                <w:kern w:val="0"/>
                <w:szCs w:val="21"/>
              </w:rPr>
              <w:t>依据</w:t>
            </w:r>
          </w:p>
        </w:tc>
        <w:tc>
          <w:tcPr>
            <w:tcW w:w="1192" w:type="pct"/>
            <w:tcBorders>
              <w:tl2br w:val="nil"/>
              <w:tr2bl w:val="nil"/>
            </w:tcBorders>
            <w:vAlign w:val="center"/>
          </w:tcPr>
          <w:p w14:paraId="2C52FCFF" w14:textId="77777777" w:rsidR="003D6A63" w:rsidRDefault="00000000">
            <w:pPr>
              <w:overflowPunct w:val="0"/>
              <w:adjustRightInd w:val="0"/>
              <w:snapToGrid w:val="0"/>
              <w:jc w:val="center"/>
              <w:rPr>
                <w:b/>
                <w:kern w:val="0"/>
                <w:szCs w:val="21"/>
              </w:rPr>
            </w:pPr>
            <w:r>
              <w:rPr>
                <w:b/>
                <w:kern w:val="0"/>
                <w:szCs w:val="21"/>
              </w:rPr>
              <w:t>实际情况</w:t>
            </w:r>
          </w:p>
        </w:tc>
        <w:tc>
          <w:tcPr>
            <w:tcW w:w="461" w:type="pct"/>
            <w:tcBorders>
              <w:tl2br w:val="nil"/>
              <w:tr2bl w:val="nil"/>
            </w:tcBorders>
            <w:vAlign w:val="center"/>
          </w:tcPr>
          <w:p w14:paraId="06C07BBC" w14:textId="77777777" w:rsidR="003D6A63" w:rsidRDefault="00000000">
            <w:pPr>
              <w:overflowPunct w:val="0"/>
              <w:adjustRightInd w:val="0"/>
              <w:snapToGrid w:val="0"/>
              <w:jc w:val="center"/>
              <w:rPr>
                <w:b/>
                <w:kern w:val="0"/>
                <w:szCs w:val="21"/>
              </w:rPr>
            </w:pPr>
            <w:r>
              <w:rPr>
                <w:b/>
                <w:kern w:val="0"/>
                <w:szCs w:val="21"/>
              </w:rPr>
              <w:t>结论</w:t>
            </w:r>
          </w:p>
        </w:tc>
      </w:tr>
      <w:tr w:rsidR="003D6A63" w14:paraId="0178B161" w14:textId="77777777">
        <w:trPr>
          <w:trHeight w:val="340"/>
          <w:jc w:val="center"/>
        </w:trPr>
        <w:tc>
          <w:tcPr>
            <w:tcW w:w="5000" w:type="pct"/>
            <w:gridSpan w:val="5"/>
            <w:tcBorders>
              <w:tl2br w:val="nil"/>
              <w:tr2bl w:val="nil"/>
            </w:tcBorders>
            <w:vAlign w:val="center"/>
          </w:tcPr>
          <w:p w14:paraId="3968B872" w14:textId="77777777" w:rsidR="003D6A63" w:rsidRDefault="00000000">
            <w:pPr>
              <w:overflowPunct w:val="0"/>
              <w:adjustRightInd w:val="0"/>
              <w:snapToGrid w:val="0"/>
              <w:jc w:val="center"/>
              <w:rPr>
                <w:b/>
                <w:kern w:val="0"/>
                <w:szCs w:val="21"/>
              </w:rPr>
            </w:pPr>
            <w:r>
              <w:rPr>
                <w:b/>
                <w:kern w:val="0"/>
                <w:szCs w:val="21"/>
              </w:rPr>
              <w:t>一、安全管理制度</w:t>
            </w:r>
          </w:p>
        </w:tc>
      </w:tr>
      <w:tr w:rsidR="003D6A63" w14:paraId="61C2321A" w14:textId="77777777">
        <w:trPr>
          <w:trHeight w:val="340"/>
          <w:jc w:val="center"/>
        </w:trPr>
        <w:tc>
          <w:tcPr>
            <w:tcW w:w="380" w:type="pct"/>
            <w:tcBorders>
              <w:tl2br w:val="nil"/>
              <w:tr2bl w:val="nil"/>
            </w:tcBorders>
            <w:vAlign w:val="center"/>
          </w:tcPr>
          <w:p w14:paraId="0E39800D" w14:textId="77777777" w:rsidR="003D6A63" w:rsidRDefault="00000000">
            <w:pPr>
              <w:overflowPunct w:val="0"/>
              <w:adjustRightInd w:val="0"/>
              <w:snapToGrid w:val="0"/>
              <w:jc w:val="center"/>
              <w:rPr>
                <w:kern w:val="0"/>
                <w:szCs w:val="21"/>
              </w:rPr>
            </w:pPr>
            <w:r>
              <w:rPr>
                <w:rFonts w:hint="eastAsia"/>
                <w:kern w:val="0"/>
                <w:szCs w:val="21"/>
              </w:rPr>
              <w:t>1</w:t>
            </w:r>
          </w:p>
        </w:tc>
        <w:tc>
          <w:tcPr>
            <w:tcW w:w="1564" w:type="pct"/>
            <w:tcBorders>
              <w:tl2br w:val="nil"/>
              <w:tr2bl w:val="nil"/>
            </w:tcBorders>
            <w:vAlign w:val="center"/>
          </w:tcPr>
          <w:p w14:paraId="4EF233D6" w14:textId="77777777" w:rsidR="003D6A63" w:rsidRDefault="00000000">
            <w:pPr>
              <w:overflowPunct w:val="0"/>
              <w:adjustRightInd w:val="0"/>
              <w:snapToGrid w:val="0"/>
              <w:spacing w:line="288" w:lineRule="auto"/>
              <w:rPr>
                <w:kern w:val="0"/>
                <w:szCs w:val="21"/>
              </w:rPr>
            </w:pPr>
            <w:r>
              <w:rPr>
                <w:kern w:val="0"/>
                <w:szCs w:val="21"/>
              </w:rPr>
              <w:t>制定安全检查制度、职业危害预防制度、安全教育培训制度、生产安全事故管理制度、重大危险源监控和重大隐患整改制度、设备安全管理制度、安全生产档案管理制度、</w:t>
            </w:r>
            <w:r>
              <w:rPr>
                <w:kern w:val="0"/>
                <w:szCs w:val="21"/>
              </w:rPr>
              <w:lastRenderedPageBreak/>
              <w:t>安全生产奖惩制度等规章制度。</w:t>
            </w:r>
          </w:p>
        </w:tc>
        <w:tc>
          <w:tcPr>
            <w:tcW w:w="1401" w:type="pct"/>
            <w:tcBorders>
              <w:tl2br w:val="nil"/>
              <w:tr2bl w:val="nil"/>
            </w:tcBorders>
            <w:vAlign w:val="center"/>
          </w:tcPr>
          <w:p w14:paraId="3CBB782A" w14:textId="77777777" w:rsidR="003D6A63" w:rsidRDefault="00000000">
            <w:pPr>
              <w:overflowPunct w:val="0"/>
              <w:adjustRightInd w:val="0"/>
              <w:snapToGrid w:val="0"/>
              <w:jc w:val="center"/>
              <w:rPr>
                <w:kern w:val="0"/>
                <w:szCs w:val="21"/>
              </w:rPr>
            </w:pPr>
            <w:r>
              <w:rPr>
                <w:kern w:val="0"/>
                <w:szCs w:val="21"/>
              </w:rPr>
              <w:lastRenderedPageBreak/>
              <w:t>《非煤矿矿山企业安全生产许可证实施办法》</w:t>
            </w:r>
          </w:p>
          <w:p w14:paraId="7EFDB620" w14:textId="77777777" w:rsidR="003D6A63" w:rsidRDefault="00000000">
            <w:pPr>
              <w:overflowPunct w:val="0"/>
              <w:adjustRightInd w:val="0"/>
              <w:snapToGrid w:val="0"/>
              <w:jc w:val="center"/>
              <w:rPr>
                <w:kern w:val="0"/>
                <w:szCs w:val="21"/>
              </w:rPr>
            </w:pPr>
            <w:r>
              <w:rPr>
                <w:kern w:val="0"/>
                <w:szCs w:val="21"/>
              </w:rPr>
              <w:t>第六条</w:t>
            </w:r>
          </w:p>
        </w:tc>
        <w:tc>
          <w:tcPr>
            <w:tcW w:w="1192" w:type="pct"/>
            <w:vMerge w:val="restart"/>
            <w:tcBorders>
              <w:tl2br w:val="nil"/>
              <w:tr2bl w:val="nil"/>
            </w:tcBorders>
            <w:vAlign w:val="center"/>
          </w:tcPr>
          <w:p w14:paraId="6640E5C7" w14:textId="77777777" w:rsidR="003D6A63" w:rsidRDefault="00000000">
            <w:pPr>
              <w:overflowPunct w:val="0"/>
              <w:adjustRightInd w:val="0"/>
              <w:snapToGrid w:val="0"/>
              <w:rPr>
                <w:color w:val="FF0000"/>
                <w:kern w:val="0"/>
                <w:szCs w:val="21"/>
              </w:rPr>
            </w:pPr>
            <w:r>
              <w:rPr>
                <w:color w:val="000000"/>
                <w:kern w:val="0"/>
                <w:szCs w:val="21"/>
              </w:rPr>
              <w:t>该公司制定了安全检查、安全生产奖惩、安全教育培训、安全生产会议、安全投入、安全设施管理和设备安全管理等</w:t>
            </w:r>
            <w:r>
              <w:rPr>
                <w:rFonts w:hint="eastAsia"/>
                <w:color w:val="000000"/>
                <w:kern w:val="0"/>
                <w:szCs w:val="21"/>
              </w:rPr>
              <w:t>46</w:t>
            </w:r>
            <w:r>
              <w:rPr>
                <w:color w:val="000000"/>
                <w:kern w:val="0"/>
                <w:szCs w:val="21"/>
              </w:rPr>
              <w:t>项安全管理制度，详见报告第</w:t>
            </w:r>
            <w:r>
              <w:rPr>
                <w:rFonts w:hint="eastAsia"/>
                <w:color w:val="000000"/>
                <w:kern w:val="0"/>
                <w:szCs w:val="21"/>
              </w:rPr>
              <w:lastRenderedPageBreak/>
              <w:t>6.1.2</w:t>
            </w:r>
            <w:r>
              <w:rPr>
                <w:rFonts w:hint="eastAsia"/>
                <w:color w:val="000000"/>
                <w:kern w:val="0"/>
                <w:szCs w:val="21"/>
              </w:rPr>
              <w:t>章</w:t>
            </w:r>
            <w:r>
              <w:rPr>
                <w:color w:val="000000"/>
                <w:kern w:val="0"/>
                <w:szCs w:val="21"/>
              </w:rPr>
              <w:t>节。</w:t>
            </w:r>
          </w:p>
        </w:tc>
        <w:tc>
          <w:tcPr>
            <w:tcW w:w="461" w:type="pct"/>
            <w:tcBorders>
              <w:tl2br w:val="nil"/>
              <w:tr2bl w:val="nil"/>
            </w:tcBorders>
            <w:vAlign w:val="center"/>
          </w:tcPr>
          <w:p w14:paraId="62BC02BF" w14:textId="77777777" w:rsidR="003D6A63" w:rsidRDefault="00000000">
            <w:pPr>
              <w:overflowPunct w:val="0"/>
              <w:adjustRightInd w:val="0"/>
              <w:snapToGrid w:val="0"/>
              <w:jc w:val="center"/>
              <w:rPr>
                <w:kern w:val="0"/>
                <w:szCs w:val="21"/>
              </w:rPr>
            </w:pPr>
            <w:r>
              <w:rPr>
                <w:kern w:val="0"/>
                <w:szCs w:val="21"/>
              </w:rPr>
              <w:lastRenderedPageBreak/>
              <w:t>√</w:t>
            </w:r>
          </w:p>
        </w:tc>
      </w:tr>
      <w:tr w:rsidR="003D6A63" w14:paraId="26EC8700" w14:textId="77777777">
        <w:trPr>
          <w:trHeight w:val="340"/>
          <w:jc w:val="center"/>
        </w:trPr>
        <w:tc>
          <w:tcPr>
            <w:tcW w:w="380" w:type="pct"/>
            <w:tcBorders>
              <w:tl2br w:val="nil"/>
              <w:tr2bl w:val="nil"/>
            </w:tcBorders>
            <w:vAlign w:val="center"/>
          </w:tcPr>
          <w:p w14:paraId="7208EBAE" w14:textId="77777777" w:rsidR="003D6A63" w:rsidRDefault="00000000">
            <w:pPr>
              <w:overflowPunct w:val="0"/>
              <w:adjustRightInd w:val="0"/>
              <w:snapToGrid w:val="0"/>
              <w:jc w:val="center"/>
              <w:rPr>
                <w:kern w:val="0"/>
                <w:szCs w:val="21"/>
              </w:rPr>
            </w:pPr>
            <w:r>
              <w:rPr>
                <w:rFonts w:hint="eastAsia"/>
                <w:kern w:val="0"/>
                <w:szCs w:val="21"/>
              </w:rPr>
              <w:t>2</w:t>
            </w:r>
          </w:p>
        </w:tc>
        <w:tc>
          <w:tcPr>
            <w:tcW w:w="1564" w:type="pct"/>
            <w:tcBorders>
              <w:tl2br w:val="nil"/>
              <w:tr2bl w:val="nil"/>
            </w:tcBorders>
            <w:vAlign w:val="center"/>
          </w:tcPr>
          <w:p w14:paraId="5B46630D" w14:textId="77777777" w:rsidR="003D6A63" w:rsidRDefault="00000000">
            <w:pPr>
              <w:overflowPunct w:val="0"/>
              <w:adjustRightInd w:val="0"/>
              <w:snapToGrid w:val="0"/>
              <w:spacing w:line="288" w:lineRule="auto"/>
              <w:rPr>
                <w:kern w:val="0"/>
                <w:szCs w:val="21"/>
              </w:rPr>
            </w:pPr>
            <w:r>
              <w:rPr>
                <w:kern w:val="0"/>
                <w:szCs w:val="21"/>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1401" w:type="pct"/>
            <w:tcBorders>
              <w:tl2br w:val="nil"/>
              <w:tr2bl w:val="nil"/>
            </w:tcBorders>
            <w:vAlign w:val="center"/>
          </w:tcPr>
          <w:p w14:paraId="3652D8D8" w14:textId="77777777" w:rsidR="003D6A63" w:rsidRDefault="00000000">
            <w:pPr>
              <w:overflowPunct w:val="0"/>
              <w:adjustRightInd w:val="0"/>
              <w:snapToGrid w:val="0"/>
              <w:jc w:val="center"/>
              <w:rPr>
                <w:kern w:val="0"/>
                <w:szCs w:val="21"/>
              </w:rPr>
            </w:pPr>
            <w:r>
              <w:rPr>
                <w:kern w:val="0"/>
                <w:szCs w:val="21"/>
              </w:rPr>
              <w:t>《山东省生产经营单位安全生产主体责任规定》第七条</w:t>
            </w:r>
          </w:p>
        </w:tc>
        <w:tc>
          <w:tcPr>
            <w:tcW w:w="1192" w:type="pct"/>
            <w:vMerge/>
            <w:tcBorders>
              <w:tl2br w:val="nil"/>
              <w:tr2bl w:val="nil"/>
            </w:tcBorders>
            <w:vAlign w:val="center"/>
          </w:tcPr>
          <w:p w14:paraId="23559842" w14:textId="77777777" w:rsidR="003D6A63" w:rsidRDefault="003D6A63">
            <w:pPr>
              <w:overflowPunct w:val="0"/>
              <w:adjustRightInd w:val="0"/>
              <w:snapToGrid w:val="0"/>
              <w:jc w:val="center"/>
              <w:rPr>
                <w:kern w:val="0"/>
                <w:szCs w:val="21"/>
              </w:rPr>
            </w:pPr>
          </w:p>
        </w:tc>
        <w:tc>
          <w:tcPr>
            <w:tcW w:w="461" w:type="pct"/>
            <w:tcBorders>
              <w:tl2br w:val="nil"/>
              <w:tr2bl w:val="nil"/>
            </w:tcBorders>
            <w:vAlign w:val="center"/>
          </w:tcPr>
          <w:p w14:paraId="25BEE1E3" w14:textId="77777777" w:rsidR="003D6A63" w:rsidRDefault="00000000">
            <w:pPr>
              <w:overflowPunct w:val="0"/>
              <w:adjustRightInd w:val="0"/>
              <w:snapToGrid w:val="0"/>
              <w:jc w:val="center"/>
              <w:rPr>
                <w:kern w:val="0"/>
                <w:szCs w:val="21"/>
              </w:rPr>
            </w:pPr>
            <w:r>
              <w:rPr>
                <w:kern w:val="0"/>
                <w:szCs w:val="21"/>
              </w:rPr>
              <w:t>√</w:t>
            </w:r>
          </w:p>
        </w:tc>
      </w:tr>
      <w:tr w:rsidR="003D6A63" w14:paraId="43AC2914" w14:textId="77777777">
        <w:trPr>
          <w:trHeight w:val="340"/>
          <w:jc w:val="center"/>
        </w:trPr>
        <w:tc>
          <w:tcPr>
            <w:tcW w:w="380" w:type="pct"/>
            <w:tcBorders>
              <w:tl2br w:val="nil"/>
              <w:tr2bl w:val="nil"/>
            </w:tcBorders>
            <w:vAlign w:val="center"/>
          </w:tcPr>
          <w:p w14:paraId="5B03D40E" w14:textId="77777777" w:rsidR="003D6A63" w:rsidRDefault="00000000">
            <w:pPr>
              <w:overflowPunct w:val="0"/>
              <w:adjustRightInd w:val="0"/>
              <w:snapToGrid w:val="0"/>
              <w:jc w:val="center"/>
              <w:rPr>
                <w:kern w:val="0"/>
                <w:szCs w:val="21"/>
              </w:rPr>
            </w:pPr>
            <w:r>
              <w:rPr>
                <w:rFonts w:hint="eastAsia"/>
                <w:kern w:val="0"/>
                <w:szCs w:val="21"/>
              </w:rPr>
              <w:t>3</w:t>
            </w:r>
          </w:p>
        </w:tc>
        <w:tc>
          <w:tcPr>
            <w:tcW w:w="1564" w:type="pct"/>
            <w:tcBorders>
              <w:tl2br w:val="nil"/>
              <w:tr2bl w:val="nil"/>
            </w:tcBorders>
            <w:vAlign w:val="center"/>
          </w:tcPr>
          <w:p w14:paraId="3CEAFABF" w14:textId="77777777" w:rsidR="003D6A63" w:rsidRDefault="00000000">
            <w:pPr>
              <w:overflowPunct w:val="0"/>
              <w:adjustRightInd w:val="0"/>
              <w:snapToGrid w:val="0"/>
              <w:rPr>
                <w:kern w:val="0"/>
                <w:szCs w:val="21"/>
              </w:rPr>
            </w:pPr>
            <w:r>
              <w:rPr>
                <w:kern w:val="0"/>
                <w:szCs w:val="21"/>
              </w:rPr>
              <w:t>安全生产规章制度应当包括安全生产资金投入、劳动防护用品管理、安全设施和设备管理、安全生产教育和培训、安全生产检查、风险分级管控、领导现场带班、隐患排查治理、危险作业管理、安全生产奖惩、应急预案管理、事故报告和事故应急救援等制度。</w:t>
            </w:r>
          </w:p>
        </w:tc>
        <w:tc>
          <w:tcPr>
            <w:tcW w:w="1401" w:type="pct"/>
            <w:tcBorders>
              <w:tl2br w:val="nil"/>
              <w:tr2bl w:val="nil"/>
            </w:tcBorders>
            <w:vAlign w:val="center"/>
          </w:tcPr>
          <w:p w14:paraId="1DA24D2D" w14:textId="77777777" w:rsidR="003D6A63" w:rsidRDefault="00000000">
            <w:pPr>
              <w:overflowPunct w:val="0"/>
              <w:adjustRightInd w:val="0"/>
              <w:snapToGrid w:val="0"/>
              <w:jc w:val="center"/>
              <w:rPr>
                <w:kern w:val="0"/>
                <w:szCs w:val="21"/>
              </w:rPr>
            </w:pPr>
            <w:r>
              <w:rPr>
                <w:kern w:val="0"/>
                <w:szCs w:val="21"/>
              </w:rPr>
              <w:t>《山东省安全生产条例》第十五条</w:t>
            </w:r>
          </w:p>
        </w:tc>
        <w:tc>
          <w:tcPr>
            <w:tcW w:w="1192" w:type="pct"/>
            <w:vMerge/>
            <w:tcBorders>
              <w:tl2br w:val="nil"/>
              <w:tr2bl w:val="nil"/>
            </w:tcBorders>
            <w:vAlign w:val="center"/>
          </w:tcPr>
          <w:p w14:paraId="76777E60" w14:textId="77777777" w:rsidR="003D6A63" w:rsidRDefault="003D6A63">
            <w:pPr>
              <w:overflowPunct w:val="0"/>
              <w:adjustRightInd w:val="0"/>
              <w:snapToGrid w:val="0"/>
              <w:jc w:val="center"/>
              <w:rPr>
                <w:kern w:val="0"/>
                <w:szCs w:val="21"/>
              </w:rPr>
            </w:pPr>
          </w:p>
        </w:tc>
        <w:tc>
          <w:tcPr>
            <w:tcW w:w="461" w:type="pct"/>
            <w:tcBorders>
              <w:tl2br w:val="nil"/>
              <w:tr2bl w:val="nil"/>
            </w:tcBorders>
            <w:vAlign w:val="center"/>
          </w:tcPr>
          <w:p w14:paraId="61383092" w14:textId="77777777" w:rsidR="003D6A63" w:rsidRDefault="00000000">
            <w:pPr>
              <w:overflowPunct w:val="0"/>
              <w:adjustRightInd w:val="0"/>
              <w:snapToGrid w:val="0"/>
              <w:jc w:val="center"/>
              <w:rPr>
                <w:kern w:val="0"/>
                <w:szCs w:val="21"/>
              </w:rPr>
            </w:pPr>
            <w:r>
              <w:rPr>
                <w:kern w:val="0"/>
                <w:szCs w:val="21"/>
              </w:rPr>
              <w:t>√</w:t>
            </w:r>
          </w:p>
        </w:tc>
      </w:tr>
      <w:tr w:rsidR="003D6A63" w14:paraId="1FEF6729" w14:textId="77777777">
        <w:trPr>
          <w:trHeight w:val="340"/>
          <w:jc w:val="center"/>
        </w:trPr>
        <w:tc>
          <w:tcPr>
            <w:tcW w:w="5000" w:type="pct"/>
            <w:gridSpan w:val="5"/>
            <w:tcBorders>
              <w:tl2br w:val="nil"/>
              <w:tr2bl w:val="nil"/>
            </w:tcBorders>
            <w:vAlign w:val="center"/>
          </w:tcPr>
          <w:p w14:paraId="3EB0CE84" w14:textId="77777777" w:rsidR="003D6A63" w:rsidRDefault="00000000">
            <w:pPr>
              <w:overflowPunct w:val="0"/>
              <w:adjustRightInd w:val="0"/>
              <w:snapToGrid w:val="0"/>
              <w:jc w:val="center"/>
              <w:rPr>
                <w:b/>
                <w:kern w:val="0"/>
                <w:szCs w:val="21"/>
              </w:rPr>
            </w:pPr>
            <w:r>
              <w:rPr>
                <w:b/>
                <w:kern w:val="0"/>
                <w:szCs w:val="21"/>
              </w:rPr>
              <w:t>二、安全生产责任制</w:t>
            </w:r>
          </w:p>
        </w:tc>
      </w:tr>
      <w:tr w:rsidR="003D6A63" w14:paraId="1DBB1B06" w14:textId="77777777">
        <w:trPr>
          <w:trHeight w:val="340"/>
          <w:jc w:val="center"/>
        </w:trPr>
        <w:tc>
          <w:tcPr>
            <w:tcW w:w="380" w:type="pct"/>
            <w:tcBorders>
              <w:tl2br w:val="nil"/>
              <w:tr2bl w:val="nil"/>
            </w:tcBorders>
            <w:vAlign w:val="center"/>
          </w:tcPr>
          <w:p w14:paraId="3E555521" w14:textId="77777777" w:rsidR="003D6A63" w:rsidRDefault="00000000">
            <w:pPr>
              <w:overflowPunct w:val="0"/>
              <w:adjustRightInd w:val="0"/>
              <w:snapToGrid w:val="0"/>
              <w:jc w:val="center"/>
              <w:rPr>
                <w:kern w:val="0"/>
                <w:szCs w:val="21"/>
              </w:rPr>
            </w:pPr>
            <w:r>
              <w:rPr>
                <w:rFonts w:hint="eastAsia"/>
                <w:kern w:val="0"/>
                <w:szCs w:val="21"/>
              </w:rPr>
              <w:t>4</w:t>
            </w:r>
          </w:p>
        </w:tc>
        <w:tc>
          <w:tcPr>
            <w:tcW w:w="1564" w:type="pct"/>
            <w:tcBorders>
              <w:tl2br w:val="nil"/>
              <w:tr2bl w:val="nil"/>
            </w:tcBorders>
            <w:vAlign w:val="center"/>
          </w:tcPr>
          <w:p w14:paraId="6AAFA688" w14:textId="77777777" w:rsidR="003D6A63" w:rsidRDefault="00000000">
            <w:pPr>
              <w:overflowPunct w:val="0"/>
              <w:adjustRightInd w:val="0"/>
              <w:snapToGrid w:val="0"/>
              <w:rPr>
                <w:kern w:val="0"/>
                <w:szCs w:val="21"/>
              </w:rPr>
            </w:pPr>
            <w:r>
              <w:rPr>
                <w:kern w:val="0"/>
                <w:szCs w:val="21"/>
              </w:rPr>
              <w:t>生产经营单位应当建立健全全员安全生产责任制，明确生产经营单位主要负责人、其他负责人、职能部门负责人、生产车间（区队）负责人、生产班组负责人、一般从业人员等全体人员的安全生产责任范围和考核标准等内容，编制全员安全生产责任制，并严格落实和考核。考核结果作为从业人员职务调整、收入分配等的重要依据。</w:t>
            </w:r>
          </w:p>
        </w:tc>
        <w:tc>
          <w:tcPr>
            <w:tcW w:w="1401" w:type="pct"/>
            <w:tcBorders>
              <w:tl2br w:val="nil"/>
              <w:tr2bl w:val="nil"/>
            </w:tcBorders>
            <w:vAlign w:val="center"/>
          </w:tcPr>
          <w:p w14:paraId="6F949D8C" w14:textId="77777777" w:rsidR="003D6A63" w:rsidRDefault="00000000">
            <w:pPr>
              <w:overflowPunct w:val="0"/>
              <w:adjustRightInd w:val="0"/>
              <w:snapToGrid w:val="0"/>
              <w:jc w:val="center"/>
              <w:rPr>
                <w:kern w:val="0"/>
                <w:szCs w:val="21"/>
              </w:rPr>
            </w:pPr>
            <w:r>
              <w:rPr>
                <w:kern w:val="0"/>
                <w:szCs w:val="21"/>
              </w:rPr>
              <w:t>《山东省生产经营单位安全生产主体责任规定》第六条</w:t>
            </w:r>
          </w:p>
          <w:p w14:paraId="336D0483" w14:textId="77777777" w:rsidR="003D6A63" w:rsidRDefault="00000000">
            <w:pPr>
              <w:overflowPunct w:val="0"/>
              <w:adjustRightInd w:val="0"/>
              <w:snapToGrid w:val="0"/>
              <w:jc w:val="center"/>
              <w:rPr>
                <w:kern w:val="0"/>
                <w:szCs w:val="21"/>
              </w:rPr>
            </w:pPr>
            <w:r>
              <w:rPr>
                <w:kern w:val="0"/>
                <w:szCs w:val="21"/>
              </w:rPr>
              <w:t>《山东省安全生产条例》第十六条</w:t>
            </w:r>
          </w:p>
        </w:tc>
        <w:tc>
          <w:tcPr>
            <w:tcW w:w="1192" w:type="pct"/>
            <w:tcBorders>
              <w:tl2br w:val="nil"/>
              <w:tr2bl w:val="nil"/>
            </w:tcBorders>
            <w:vAlign w:val="center"/>
          </w:tcPr>
          <w:p w14:paraId="7852EAC8" w14:textId="77777777" w:rsidR="003D6A63" w:rsidRDefault="00000000">
            <w:pPr>
              <w:overflowPunct w:val="0"/>
              <w:adjustRightInd w:val="0"/>
              <w:snapToGrid w:val="0"/>
              <w:rPr>
                <w:kern w:val="0"/>
                <w:szCs w:val="21"/>
              </w:rPr>
            </w:pPr>
            <w:r>
              <w:rPr>
                <w:rFonts w:hint="eastAsia"/>
                <w:kern w:val="0"/>
                <w:szCs w:val="21"/>
              </w:rPr>
              <w:t>中胜公司</w:t>
            </w:r>
            <w:r>
              <w:rPr>
                <w:kern w:val="0"/>
                <w:szCs w:val="21"/>
              </w:rPr>
              <w:t>建立</w:t>
            </w:r>
            <w:r>
              <w:rPr>
                <w:rFonts w:hint="eastAsia"/>
                <w:kern w:val="0"/>
                <w:szCs w:val="21"/>
              </w:rPr>
              <w:t>有覆盖所有岗位及人员的</w:t>
            </w:r>
            <w:r>
              <w:rPr>
                <w:kern w:val="0"/>
                <w:szCs w:val="21"/>
              </w:rPr>
              <w:t>安全生产责任制，</w:t>
            </w:r>
            <w:r>
              <w:rPr>
                <w:color w:val="000000"/>
                <w:kern w:val="0"/>
                <w:szCs w:val="21"/>
              </w:rPr>
              <w:t>详见报告第</w:t>
            </w:r>
            <w:r>
              <w:rPr>
                <w:rFonts w:hint="eastAsia"/>
                <w:color w:val="000000"/>
                <w:kern w:val="0"/>
                <w:szCs w:val="21"/>
              </w:rPr>
              <w:t>6.1.1</w:t>
            </w:r>
            <w:r>
              <w:rPr>
                <w:rFonts w:hint="eastAsia"/>
                <w:color w:val="000000"/>
                <w:kern w:val="0"/>
                <w:szCs w:val="21"/>
              </w:rPr>
              <w:t>章</w:t>
            </w:r>
            <w:r>
              <w:rPr>
                <w:color w:val="000000"/>
                <w:kern w:val="0"/>
                <w:szCs w:val="21"/>
              </w:rPr>
              <w:t>节</w:t>
            </w:r>
            <w:r>
              <w:rPr>
                <w:kern w:val="0"/>
                <w:szCs w:val="21"/>
              </w:rPr>
              <w:t>。</w:t>
            </w:r>
          </w:p>
        </w:tc>
        <w:tc>
          <w:tcPr>
            <w:tcW w:w="461" w:type="pct"/>
            <w:tcBorders>
              <w:tl2br w:val="nil"/>
              <w:tr2bl w:val="nil"/>
            </w:tcBorders>
            <w:vAlign w:val="center"/>
          </w:tcPr>
          <w:p w14:paraId="2005E8A7" w14:textId="77777777" w:rsidR="003D6A63" w:rsidRDefault="00000000">
            <w:pPr>
              <w:overflowPunct w:val="0"/>
              <w:adjustRightInd w:val="0"/>
              <w:snapToGrid w:val="0"/>
              <w:jc w:val="center"/>
              <w:rPr>
                <w:kern w:val="0"/>
                <w:szCs w:val="21"/>
              </w:rPr>
            </w:pPr>
            <w:r>
              <w:rPr>
                <w:kern w:val="0"/>
                <w:szCs w:val="21"/>
              </w:rPr>
              <w:t>√</w:t>
            </w:r>
          </w:p>
        </w:tc>
      </w:tr>
      <w:tr w:rsidR="003D6A63" w14:paraId="142AE0A1" w14:textId="77777777">
        <w:trPr>
          <w:trHeight w:val="340"/>
          <w:jc w:val="center"/>
        </w:trPr>
        <w:tc>
          <w:tcPr>
            <w:tcW w:w="5000" w:type="pct"/>
            <w:gridSpan w:val="5"/>
            <w:tcBorders>
              <w:tl2br w:val="nil"/>
              <w:tr2bl w:val="nil"/>
            </w:tcBorders>
            <w:vAlign w:val="center"/>
          </w:tcPr>
          <w:p w14:paraId="2E086C2E" w14:textId="77777777" w:rsidR="003D6A63" w:rsidRDefault="00000000">
            <w:pPr>
              <w:overflowPunct w:val="0"/>
              <w:adjustRightInd w:val="0"/>
              <w:snapToGrid w:val="0"/>
              <w:jc w:val="center"/>
              <w:rPr>
                <w:b/>
                <w:bCs/>
                <w:kern w:val="0"/>
                <w:szCs w:val="21"/>
              </w:rPr>
            </w:pPr>
            <w:r>
              <w:rPr>
                <w:b/>
                <w:bCs/>
                <w:kern w:val="0"/>
                <w:szCs w:val="21"/>
              </w:rPr>
              <w:t>三、安全操作规程</w:t>
            </w:r>
          </w:p>
        </w:tc>
      </w:tr>
      <w:tr w:rsidR="003D6A63" w14:paraId="3CD03A72" w14:textId="77777777">
        <w:trPr>
          <w:trHeight w:val="340"/>
          <w:jc w:val="center"/>
        </w:trPr>
        <w:tc>
          <w:tcPr>
            <w:tcW w:w="380" w:type="pct"/>
            <w:vMerge w:val="restart"/>
            <w:tcBorders>
              <w:tl2br w:val="nil"/>
              <w:tr2bl w:val="nil"/>
            </w:tcBorders>
            <w:vAlign w:val="center"/>
          </w:tcPr>
          <w:p w14:paraId="4BF831A4" w14:textId="77777777" w:rsidR="003D6A63" w:rsidRDefault="00000000">
            <w:pPr>
              <w:overflowPunct w:val="0"/>
              <w:adjustRightInd w:val="0"/>
              <w:snapToGrid w:val="0"/>
              <w:jc w:val="center"/>
              <w:rPr>
                <w:kern w:val="0"/>
                <w:szCs w:val="21"/>
              </w:rPr>
            </w:pPr>
            <w:r>
              <w:rPr>
                <w:rFonts w:hint="eastAsia"/>
                <w:kern w:val="0"/>
                <w:szCs w:val="21"/>
              </w:rPr>
              <w:t>5</w:t>
            </w:r>
          </w:p>
        </w:tc>
        <w:tc>
          <w:tcPr>
            <w:tcW w:w="1564" w:type="pct"/>
            <w:tcBorders>
              <w:tl2br w:val="nil"/>
              <w:tr2bl w:val="nil"/>
            </w:tcBorders>
            <w:vAlign w:val="center"/>
          </w:tcPr>
          <w:p w14:paraId="0B95406A" w14:textId="77777777" w:rsidR="003D6A63" w:rsidRDefault="00000000">
            <w:pPr>
              <w:overflowPunct w:val="0"/>
              <w:adjustRightInd w:val="0"/>
              <w:snapToGrid w:val="0"/>
              <w:rPr>
                <w:kern w:val="0"/>
                <w:szCs w:val="21"/>
              </w:rPr>
            </w:pPr>
            <w:r>
              <w:rPr>
                <w:kern w:val="0"/>
                <w:szCs w:val="21"/>
              </w:rPr>
              <w:t>生产经营单位应当依据法律、法规、规章和国家、行业或者地方标准，制定涵盖本单位生产经营全过程和全体从业人员的安全操作规程。</w:t>
            </w:r>
          </w:p>
        </w:tc>
        <w:tc>
          <w:tcPr>
            <w:tcW w:w="1401" w:type="pct"/>
            <w:tcBorders>
              <w:tl2br w:val="nil"/>
              <w:tr2bl w:val="nil"/>
            </w:tcBorders>
            <w:vAlign w:val="center"/>
          </w:tcPr>
          <w:p w14:paraId="77D4E232" w14:textId="77777777" w:rsidR="003D6A63" w:rsidRDefault="00000000">
            <w:pPr>
              <w:overflowPunct w:val="0"/>
              <w:adjustRightInd w:val="0"/>
              <w:snapToGrid w:val="0"/>
              <w:jc w:val="left"/>
              <w:rPr>
                <w:kern w:val="0"/>
                <w:szCs w:val="21"/>
              </w:rPr>
            </w:pPr>
            <w:r>
              <w:rPr>
                <w:kern w:val="0"/>
                <w:szCs w:val="21"/>
              </w:rPr>
              <w:t>《山东省生产经营单位安全生产主体责任规定》第七条</w:t>
            </w:r>
          </w:p>
        </w:tc>
        <w:tc>
          <w:tcPr>
            <w:tcW w:w="1192" w:type="pct"/>
            <w:vMerge w:val="restart"/>
            <w:tcBorders>
              <w:tl2br w:val="nil"/>
              <w:tr2bl w:val="nil"/>
            </w:tcBorders>
            <w:vAlign w:val="center"/>
          </w:tcPr>
          <w:p w14:paraId="3CF68124" w14:textId="77777777" w:rsidR="003D6A63" w:rsidRDefault="00000000">
            <w:pPr>
              <w:overflowPunct w:val="0"/>
              <w:adjustRightInd w:val="0"/>
              <w:snapToGrid w:val="0"/>
              <w:jc w:val="left"/>
              <w:rPr>
                <w:kern w:val="0"/>
                <w:szCs w:val="21"/>
              </w:rPr>
            </w:pPr>
            <w:r>
              <w:rPr>
                <w:rFonts w:hint="eastAsia"/>
                <w:kern w:val="0"/>
                <w:szCs w:val="21"/>
                <w:lang w:val="zh-CN"/>
              </w:rPr>
              <w:t>中胜公司</w:t>
            </w:r>
            <w:r>
              <w:rPr>
                <w:rFonts w:hint="eastAsia"/>
                <w:kern w:val="0"/>
                <w:szCs w:val="21"/>
              </w:rPr>
              <w:t>执行胜利油田分公司下发的《胜利油田采油工程操作规程汇编（</w:t>
            </w:r>
            <w:r>
              <w:rPr>
                <w:rFonts w:hint="eastAsia"/>
                <w:kern w:val="0"/>
                <w:szCs w:val="21"/>
              </w:rPr>
              <w:t>2022</w:t>
            </w:r>
            <w:r>
              <w:rPr>
                <w:rFonts w:hint="eastAsia"/>
                <w:kern w:val="0"/>
                <w:szCs w:val="21"/>
              </w:rPr>
              <w:t>版）》，包括注入操作、采油操作、油气集输、井下作业、注采输设备等操作规程，操作规程覆盖采油作业全过程，详见附</w:t>
            </w:r>
            <w:r>
              <w:rPr>
                <w:rFonts w:hint="eastAsia"/>
                <w:kern w:val="0"/>
                <w:szCs w:val="21"/>
              </w:rPr>
              <w:lastRenderedPageBreak/>
              <w:t>件</w:t>
            </w:r>
            <w:r>
              <w:rPr>
                <w:kern w:val="0"/>
                <w:szCs w:val="21"/>
              </w:rPr>
              <w:t>。</w:t>
            </w:r>
          </w:p>
        </w:tc>
        <w:tc>
          <w:tcPr>
            <w:tcW w:w="461" w:type="pct"/>
            <w:vMerge w:val="restart"/>
            <w:tcBorders>
              <w:tl2br w:val="nil"/>
              <w:tr2bl w:val="nil"/>
            </w:tcBorders>
            <w:vAlign w:val="center"/>
          </w:tcPr>
          <w:p w14:paraId="57C507FC" w14:textId="77777777" w:rsidR="003D6A63" w:rsidRDefault="00000000">
            <w:pPr>
              <w:overflowPunct w:val="0"/>
              <w:adjustRightInd w:val="0"/>
              <w:snapToGrid w:val="0"/>
              <w:jc w:val="center"/>
              <w:rPr>
                <w:kern w:val="0"/>
                <w:szCs w:val="21"/>
              </w:rPr>
            </w:pPr>
            <w:r>
              <w:rPr>
                <w:kern w:val="0"/>
                <w:szCs w:val="21"/>
              </w:rPr>
              <w:lastRenderedPageBreak/>
              <w:t>√</w:t>
            </w:r>
          </w:p>
        </w:tc>
      </w:tr>
      <w:tr w:rsidR="003D6A63" w14:paraId="49BBD4FF" w14:textId="77777777">
        <w:trPr>
          <w:trHeight w:val="340"/>
          <w:jc w:val="center"/>
        </w:trPr>
        <w:tc>
          <w:tcPr>
            <w:tcW w:w="380" w:type="pct"/>
            <w:vMerge/>
            <w:tcBorders>
              <w:tl2br w:val="nil"/>
              <w:tr2bl w:val="nil"/>
            </w:tcBorders>
            <w:vAlign w:val="center"/>
          </w:tcPr>
          <w:p w14:paraId="1B5EF079" w14:textId="77777777" w:rsidR="003D6A63" w:rsidRDefault="003D6A63">
            <w:pPr>
              <w:numPr>
                <w:ilvl w:val="0"/>
                <w:numId w:val="21"/>
              </w:numPr>
              <w:overflowPunct w:val="0"/>
              <w:adjustRightInd w:val="0"/>
              <w:snapToGrid w:val="0"/>
              <w:jc w:val="center"/>
              <w:rPr>
                <w:kern w:val="0"/>
                <w:szCs w:val="21"/>
              </w:rPr>
            </w:pPr>
          </w:p>
        </w:tc>
        <w:tc>
          <w:tcPr>
            <w:tcW w:w="1564" w:type="pct"/>
            <w:tcBorders>
              <w:tl2br w:val="nil"/>
              <w:tr2bl w:val="nil"/>
            </w:tcBorders>
            <w:vAlign w:val="center"/>
          </w:tcPr>
          <w:p w14:paraId="243C0942" w14:textId="77777777" w:rsidR="003D6A63" w:rsidRDefault="00000000">
            <w:pPr>
              <w:overflowPunct w:val="0"/>
              <w:adjustRightInd w:val="0"/>
              <w:snapToGrid w:val="0"/>
              <w:rPr>
                <w:kern w:val="0"/>
                <w:szCs w:val="21"/>
              </w:rPr>
            </w:pPr>
            <w:r>
              <w:rPr>
                <w:kern w:val="0"/>
                <w:szCs w:val="21"/>
              </w:rPr>
              <w:t>非煤矿矿山企业取得安全生产许可证，应当具备下列安全生产条件：（一）制定作业安全规程和各工种操作规程。</w:t>
            </w:r>
          </w:p>
        </w:tc>
        <w:tc>
          <w:tcPr>
            <w:tcW w:w="1401" w:type="pct"/>
            <w:tcBorders>
              <w:tl2br w:val="nil"/>
              <w:tr2bl w:val="nil"/>
            </w:tcBorders>
            <w:vAlign w:val="center"/>
          </w:tcPr>
          <w:p w14:paraId="2E3BDE67" w14:textId="77777777" w:rsidR="003D6A63" w:rsidRDefault="00000000">
            <w:pPr>
              <w:overflowPunct w:val="0"/>
              <w:adjustRightInd w:val="0"/>
              <w:snapToGrid w:val="0"/>
              <w:jc w:val="center"/>
              <w:rPr>
                <w:kern w:val="0"/>
                <w:szCs w:val="21"/>
              </w:rPr>
            </w:pPr>
            <w:r>
              <w:rPr>
                <w:kern w:val="0"/>
                <w:szCs w:val="21"/>
              </w:rPr>
              <w:t>《非煤矿矿山企业安全生产许可证实施办法》</w:t>
            </w:r>
          </w:p>
          <w:p w14:paraId="49CFDC73" w14:textId="77777777" w:rsidR="003D6A63" w:rsidRDefault="00000000">
            <w:pPr>
              <w:overflowPunct w:val="0"/>
              <w:adjustRightInd w:val="0"/>
              <w:snapToGrid w:val="0"/>
              <w:jc w:val="center"/>
              <w:rPr>
                <w:kern w:val="0"/>
                <w:szCs w:val="21"/>
              </w:rPr>
            </w:pPr>
            <w:r>
              <w:rPr>
                <w:kern w:val="0"/>
                <w:szCs w:val="21"/>
              </w:rPr>
              <w:t>第六条</w:t>
            </w:r>
          </w:p>
        </w:tc>
        <w:tc>
          <w:tcPr>
            <w:tcW w:w="1192" w:type="pct"/>
            <w:vMerge/>
            <w:tcBorders>
              <w:tl2br w:val="nil"/>
              <w:tr2bl w:val="nil"/>
            </w:tcBorders>
            <w:vAlign w:val="center"/>
          </w:tcPr>
          <w:p w14:paraId="4649091C" w14:textId="77777777" w:rsidR="003D6A63" w:rsidRDefault="003D6A63">
            <w:pPr>
              <w:overflowPunct w:val="0"/>
              <w:adjustRightInd w:val="0"/>
              <w:snapToGrid w:val="0"/>
              <w:jc w:val="center"/>
              <w:rPr>
                <w:kern w:val="0"/>
                <w:szCs w:val="21"/>
              </w:rPr>
            </w:pPr>
          </w:p>
        </w:tc>
        <w:tc>
          <w:tcPr>
            <w:tcW w:w="461" w:type="pct"/>
            <w:vMerge/>
            <w:tcBorders>
              <w:tl2br w:val="nil"/>
              <w:tr2bl w:val="nil"/>
            </w:tcBorders>
            <w:vAlign w:val="center"/>
          </w:tcPr>
          <w:p w14:paraId="7AEF4F22" w14:textId="77777777" w:rsidR="003D6A63" w:rsidRDefault="003D6A63">
            <w:pPr>
              <w:overflowPunct w:val="0"/>
              <w:adjustRightInd w:val="0"/>
              <w:snapToGrid w:val="0"/>
              <w:jc w:val="left"/>
              <w:rPr>
                <w:kern w:val="0"/>
                <w:szCs w:val="21"/>
              </w:rPr>
            </w:pPr>
          </w:p>
        </w:tc>
      </w:tr>
      <w:tr w:rsidR="003D6A63" w14:paraId="4B2C3376" w14:textId="77777777">
        <w:trPr>
          <w:trHeight w:val="340"/>
          <w:jc w:val="center"/>
        </w:trPr>
        <w:tc>
          <w:tcPr>
            <w:tcW w:w="5000" w:type="pct"/>
            <w:gridSpan w:val="5"/>
            <w:tcBorders>
              <w:tl2br w:val="nil"/>
              <w:tr2bl w:val="nil"/>
            </w:tcBorders>
            <w:vAlign w:val="center"/>
          </w:tcPr>
          <w:p w14:paraId="45E7080A" w14:textId="77777777" w:rsidR="003D6A63" w:rsidRDefault="00000000">
            <w:pPr>
              <w:overflowPunct w:val="0"/>
              <w:adjustRightInd w:val="0"/>
              <w:snapToGrid w:val="0"/>
              <w:jc w:val="center"/>
              <w:rPr>
                <w:b/>
                <w:bCs/>
                <w:kern w:val="0"/>
                <w:szCs w:val="21"/>
              </w:rPr>
            </w:pPr>
            <w:r>
              <w:rPr>
                <w:b/>
                <w:bCs/>
                <w:kern w:val="0"/>
                <w:szCs w:val="21"/>
              </w:rPr>
              <w:t>四、安全管理机构及安全管理人员</w:t>
            </w:r>
          </w:p>
        </w:tc>
      </w:tr>
      <w:tr w:rsidR="003D6A63" w14:paraId="06A50096" w14:textId="77777777">
        <w:trPr>
          <w:trHeight w:val="340"/>
          <w:jc w:val="center"/>
        </w:trPr>
        <w:tc>
          <w:tcPr>
            <w:tcW w:w="380" w:type="pct"/>
            <w:vMerge w:val="restart"/>
            <w:tcBorders>
              <w:tl2br w:val="nil"/>
              <w:tr2bl w:val="nil"/>
            </w:tcBorders>
            <w:vAlign w:val="center"/>
          </w:tcPr>
          <w:p w14:paraId="79BF08CF" w14:textId="77777777" w:rsidR="003D6A63" w:rsidRDefault="00000000">
            <w:pPr>
              <w:overflowPunct w:val="0"/>
              <w:adjustRightInd w:val="0"/>
              <w:snapToGrid w:val="0"/>
              <w:jc w:val="center"/>
              <w:rPr>
                <w:kern w:val="0"/>
                <w:szCs w:val="21"/>
              </w:rPr>
            </w:pPr>
            <w:r>
              <w:rPr>
                <w:rFonts w:hint="eastAsia"/>
                <w:kern w:val="0"/>
                <w:szCs w:val="21"/>
              </w:rPr>
              <w:t>6</w:t>
            </w:r>
          </w:p>
        </w:tc>
        <w:tc>
          <w:tcPr>
            <w:tcW w:w="1564" w:type="pct"/>
            <w:tcBorders>
              <w:tl2br w:val="nil"/>
              <w:tr2bl w:val="nil"/>
            </w:tcBorders>
            <w:vAlign w:val="center"/>
          </w:tcPr>
          <w:p w14:paraId="30C1F053" w14:textId="77777777" w:rsidR="003D6A63" w:rsidRDefault="00000000">
            <w:pPr>
              <w:overflowPunct w:val="0"/>
              <w:adjustRightInd w:val="0"/>
              <w:snapToGrid w:val="0"/>
              <w:rPr>
                <w:kern w:val="0"/>
                <w:szCs w:val="21"/>
              </w:rPr>
            </w:pPr>
            <w:r>
              <w:rPr>
                <w:kern w:val="0"/>
                <w:szCs w:val="21"/>
              </w:rPr>
              <w:t>矿山单位应当按照规定设置安全生产管理机构或者配备专职安全生产管理人员。</w:t>
            </w:r>
          </w:p>
        </w:tc>
        <w:tc>
          <w:tcPr>
            <w:tcW w:w="1401" w:type="pct"/>
            <w:tcBorders>
              <w:tl2br w:val="nil"/>
              <w:tr2bl w:val="nil"/>
            </w:tcBorders>
            <w:vAlign w:val="center"/>
          </w:tcPr>
          <w:p w14:paraId="1B2D7533" w14:textId="77777777" w:rsidR="003D6A63" w:rsidRDefault="00000000">
            <w:pPr>
              <w:overflowPunct w:val="0"/>
              <w:adjustRightInd w:val="0"/>
              <w:snapToGrid w:val="0"/>
              <w:jc w:val="center"/>
              <w:rPr>
                <w:kern w:val="0"/>
                <w:szCs w:val="21"/>
              </w:rPr>
            </w:pPr>
            <w:r>
              <w:rPr>
                <w:kern w:val="0"/>
                <w:szCs w:val="21"/>
              </w:rPr>
              <w:t>《山东省安全生产条例》第十六条</w:t>
            </w:r>
          </w:p>
        </w:tc>
        <w:tc>
          <w:tcPr>
            <w:tcW w:w="1192" w:type="pct"/>
            <w:vMerge w:val="restart"/>
            <w:tcBorders>
              <w:tl2br w:val="nil"/>
              <w:tr2bl w:val="nil"/>
            </w:tcBorders>
            <w:vAlign w:val="center"/>
          </w:tcPr>
          <w:p w14:paraId="39F5DF39" w14:textId="77777777" w:rsidR="003D6A63" w:rsidRDefault="00000000">
            <w:pPr>
              <w:overflowPunct w:val="0"/>
              <w:adjustRightInd w:val="0"/>
              <w:snapToGrid w:val="0"/>
              <w:rPr>
                <w:szCs w:val="21"/>
              </w:rPr>
            </w:pPr>
            <w:r>
              <w:rPr>
                <w:rFonts w:hint="eastAsia"/>
                <w:kern w:val="0"/>
                <w:szCs w:val="21"/>
              </w:rPr>
              <w:t>中胜公司</w:t>
            </w:r>
            <w:r>
              <w:rPr>
                <w:kern w:val="0"/>
                <w:szCs w:val="21"/>
              </w:rPr>
              <w:t>用工总量</w:t>
            </w:r>
            <w:r>
              <w:rPr>
                <w:rFonts w:hint="eastAsia"/>
                <w:kern w:val="0"/>
                <w:szCs w:val="21"/>
              </w:rPr>
              <w:t>132</w:t>
            </w:r>
            <w:r>
              <w:rPr>
                <w:kern w:val="0"/>
                <w:szCs w:val="21"/>
              </w:rPr>
              <w:t>人，</w:t>
            </w:r>
            <w:r>
              <w:rPr>
                <w:rFonts w:hint="eastAsia"/>
                <w:kern w:val="0"/>
                <w:szCs w:val="21"/>
              </w:rPr>
              <w:t>设置有安全生产领导小组，设置安全（</w:t>
            </w:r>
            <w:r>
              <w:rPr>
                <w:rFonts w:hint="eastAsia"/>
                <w:kern w:val="0"/>
                <w:szCs w:val="21"/>
              </w:rPr>
              <w:t>QHSE</w:t>
            </w:r>
            <w:r>
              <w:rPr>
                <w:rFonts w:hint="eastAsia"/>
                <w:kern w:val="0"/>
                <w:szCs w:val="21"/>
              </w:rPr>
              <w:t>）管理办公室为安全生产管理机构，配备有</w:t>
            </w:r>
            <w:r>
              <w:rPr>
                <w:rFonts w:hint="eastAsia"/>
                <w:kern w:val="0"/>
                <w:szCs w:val="21"/>
              </w:rPr>
              <w:t>2</w:t>
            </w:r>
            <w:r>
              <w:rPr>
                <w:rFonts w:hint="eastAsia"/>
                <w:kern w:val="0"/>
                <w:szCs w:val="21"/>
              </w:rPr>
              <w:t>名专职安全管理人员，其中</w:t>
            </w:r>
            <w:r>
              <w:rPr>
                <w:rFonts w:hint="eastAsia"/>
                <w:kern w:val="0"/>
                <w:szCs w:val="21"/>
              </w:rPr>
              <w:t>1</w:t>
            </w:r>
            <w:r>
              <w:rPr>
                <w:rFonts w:hint="eastAsia"/>
                <w:kern w:val="0"/>
                <w:szCs w:val="21"/>
              </w:rPr>
              <w:t>人持有</w:t>
            </w:r>
            <w:r>
              <w:rPr>
                <w:kern w:val="0"/>
                <w:szCs w:val="21"/>
              </w:rPr>
              <w:t>注册安全工程师证（注册类别为其他安全）。</w:t>
            </w:r>
          </w:p>
        </w:tc>
        <w:tc>
          <w:tcPr>
            <w:tcW w:w="461" w:type="pct"/>
            <w:vMerge w:val="restart"/>
            <w:tcBorders>
              <w:tl2br w:val="nil"/>
              <w:tr2bl w:val="nil"/>
            </w:tcBorders>
            <w:vAlign w:val="center"/>
          </w:tcPr>
          <w:p w14:paraId="2881624E" w14:textId="77777777" w:rsidR="003D6A63" w:rsidRDefault="00000000">
            <w:pPr>
              <w:overflowPunct w:val="0"/>
              <w:adjustRightInd w:val="0"/>
              <w:snapToGrid w:val="0"/>
              <w:jc w:val="center"/>
              <w:rPr>
                <w:kern w:val="0"/>
                <w:szCs w:val="21"/>
              </w:rPr>
            </w:pPr>
            <w:r>
              <w:rPr>
                <w:kern w:val="0"/>
                <w:szCs w:val="21"/>
              </w:rPr>
              <w:t>√</w:t>
            </w:r>
          </w:p>
        </w:tc>
      </w:tr>
      <w:tr w:rsidR="003D6A63" w14:paraId="05A993B6" w14:textId="77777777">
        <w:trPr>
          <w:trHeight w:val="340"/>
          <w:jc w:val="center"/>
        </w:trPr>
        <w:tc>
          <w:tcPr>
            <w:tcW w:w="380" w:type="pct"/>
            <w:vMerge/>
            <w:tcBorders>
              <w:tl2br w:val="nil"/>
              <w:tr2bl w:val="nil"/>
            </w:tcBorders>
            <w:vAlign w:val="center"/>
          </w:tcPr>
          <w:p w14:paraId="03144174" w14:textId="77777777" w:rsidR="003D6A63" w:rsidRDefault="003D6A63">
            <w:pPr>
              <w:numPr>
                <w:ilvl w:val="0"/>
                <w:numId w:val="21"/>
              </w:numPr>
              <w:overflowPunct w:val="0"/>
              <w:adjustRightInd w:val="0"/>
              <w:snapToGrid w:val="0"/>
              <w:jc w:val="center"/>
              <w:rPr>
                <w:kern w:val="0"/>
                <w:szCs w:val="21"/>
              </w:rPr>
            </w:pPr>
          </w:p>
        </w:tc>
        <w:tc>
          <w:tcPr>
            <w:tcW w:w="1564" w:type="pct"/>
            <w:tcBorders>
              <w:tl2br w:val="nil"/>
              <w:tr2bl w:val="nil"/>
            </w:tcBorders>
            <w:vAlign w:val="center"/>
          </w:tcPr>
          <w:p w14:paraId="3B1FB324" w14:textId="77777777" w:rsidR="003D6A63" w:rsidRDefault="00000000">
            <w:pPr>
              <w:overflowPunct w:val="0"/>
              <w:adjustRightInd w:val="0"/>
              <w:snapToGrid w:val="0"/>
              <w:rPr>
                <w:kern w:val="0"/>
                <w:szCs w:val="21"/>
              </w:rPr>
            </w:pPr>
            <w:r>
              <w:rPr>
                <w:kern w:val="0"/>
                <w:szCs w:val="21"/>
              </w:rPr>
              <w:t>矿山单位（以下简称高危生产经营单位），应当按照下列规定设置安全生产管理机构或者配备安全生产管理人员：（一）从业人员不足</w:t>
            </w:r>
            <w:r>
              <w:rPr>
                <w:kern w:val="0"/>
                <w:szCs w:val="21"/>
              </w:rPr>
              <w:t>100</w:t>
            </w:r>
            <w:r>
              <w:rPr>
                <w:kern w:val="0"/>
                <w:szCs w:val="21"/>
              </w:rPr>
              <w:t>人的，应当配备专职安全生产管理人员；（二）从业人员在</w:t>
            </w:r>
            <w:r>
              <w:rPr>
                <w:kern w:val="0"/>
                <w:szCs w:val="21"/>
              </w:rPr>
              <w:t>100</w:t>
            </w:r>
            <w:r>
              <w:rPr>
                <w:kern w:val="0"/>
                <w:szCs w:val="21"/>
              </w:rPr>
              <w:t>人以上不足</w:t>
            </w:r>
            <w:r>
              <w:rPr>
                <w:kern w:val="0"/>
                <w:szCs w:val="21"/>
              </w:rPr>
              <w:t>300</w:t>
            </w:r>
            <w:r>
              <w:rPr>
                <w:kern w:val="0"/>
                <w:szCs w:val="21"/>
              </w:rPr>
              <w:t>人的，应当设置安全生产管理机构，并配备</w:t>
            </w:r>
            <w:r>
              <w:rPr>
                <w:kern w:val="0"/>
                <w:szCs w:val="21"/>
              </w:rPr>
              <w:t>2</w:t>
            </w:r>
            <w:r>
              <w:rPr>
                <w:kern w:val="0"/>
                <w:szCs w:val="21"/>
              </w:rPr>
              <w:t>名以上专职安全生产管理人员，其中至少应当有</w:t>
            </w:r>
            <w:r>
              <w:rPr>
                <w:kern w:val="0"/>
                <w:szCs w:val="21"/>
              </w:rPr>
              <w:t>1</w:t>
            </w:r>
            <w:r>
              <w:rPr>
                <w:kern w:val="0"/>
                <w:szCs w:val="21"/>
              </w:rPr>
              <w:t>名注册安全工程师；（三）从业人员在</w:t>
            </w:r>
            <w:r>
              <w:rPr>
                <w:kern w:val="0"/>
                <w:szCs w:val="21"/>
              </w:rPr>
              <w:t>300</w:t>
            </w:r>
            <w:r>
              <w:rPr>
                <w:kern w:val="0"/>
                <w:szCs w:val="21"/>
              </w:rPr>
              <w:t>人以上不足</w:t>
            </w:r>
            <w:r>
              <w:rPr>
                <w:kern w:val="0"/>
                <w:szCs w:val="21"/>
              </w:rPr>
              <w:t>1000</w:t>
            </w:r>
            <w:r>
              <w:rPr>
                <w:kern w:val="0"/>
                <w:szCs w:val="21"/>
              </w:rPr>
              <w:t>人的，应当设置专门的安全生产管理机构，并按不低于从业人员</w:t>
            </w:r>
            <w:r>
              <w:rPr>
                <w:kern w:val="0"/>
                <w:szCs w:val="21"/>
              </w:rPr>
              <w:t>5‰</w:t>
            </w:r>
            <w:r>
              <w:rPr>
                <w:kern w:val="0"/>
                <w:szCs w:val="21"/>
              </w:rPr>
              <w:t>但最低不少于</w:t>
            </w:r>
            <w:r>
              <w:rPr>
                <w:kern w:val="0"/>
                <w:szCs w:val="21"/>
              </w:rPr>
              <w:t>3</w:t>
            </w:r>
            <w:r>
              <w:rPr>
                <w:kern w:val="0"/>
                <w:szCs w:val="21"/>
              </w:rPr>
              <w:t>名的比例配备专职安全生产管理人员，其中至少应当有</w:t>
            </w:r>
            <w:r>
              <w:rPr>
                <w:kern w:val="0"/>
                <w:szCs w:val="21"/>
              </w:rPr>
              <w:t>2</w:t>
            </w:r>
            <w:r>
              <w:rPr>
                <w:kern w:val="0"/>
                <w:szCs w:val="21"/>
              </w:rPr>
              <w:t>名注册安全工程师；（四）从业人员在</w:t>
            </w:r>
            <w:r>
              <w:rPr>
                <w:kern w:val="0"/>
                <w:szCs w:val="21"/>
              </w:rPr>
              <w:t>1000</w:t>
            </w:r>
            <w:r>
              <w:rPr>
                <w:kern w:val="0"/>
                <w:szCs w:val="21"/>
              </w:rPr>
              <w:t>人以上的，应当设置专门的安全生产管理机构，并按不低于从业人员</w:t>
            </w:r>
            <w:r>
              <w:rPr>
                <w:kern w:val="0"/>
                <w:szCs w:val="21"/>
              </w:rPr>
              <w:t>5‰</w:t>
            </w:r>
            <w:r>
              <w:rPr>
                <w:kern w:val="0"/>
                <w:szCs w:val="21"/>
              </w:rPr>
              <w:t>的比例配备专职安全生产管理人员，其中至少应当有</w:t>
            </w:r>
            <w:r>
              <w:rPr>
                <w:kern w:val="0"/>
                <w:szCs w:val="21"/>
              </w:rPr>
              <w:t>3</w:t>
            </w:r>
            <w:r>
              <w:rPr>
                <w:kern w:val="0"/>
                <w:szCs w:val="21"/>
              </w:rPr>
              <w:t>名注册安全工程师。</w:t>
            </w:r>
          </w:p>
        </w:tc>
        <w:tc>
          <w:tcPr>
            <w:tcW w:w="1401" w:type="pct"/>
            <w:tcBorders>
              <w:tl2br w:val="nil"/>
              <w:tr2bl w:val="nil"/>
            </w:tcBorders>
            <w:vAlign w:val="center"/>
          </w:tcPr>
          <w:p w14:paraId="4A28482B" w14:textId="77777777" w:rsidR="003D6A63" w:rsidRDefault="00000000">
            <w:pPr>
              <w:overflowPunct w:val="0"/>
              <w:adjustRightInd w:val="0"/>
              <w:snapToGrid w:val="0"/>
              <w:jc w:val="center"/>
              <w:rPr>
                <w:kern w:val="0"/>
                <w:szCs w:val="21"/>
              </w:rPr>
            </w:pPr>
            <w:r>
              <w:rPr>
                <w:kern w:val="0"/>
                <w:szCs w:val="21"/>
              </w:rPr>
              <w:t>《山东省生产经营单位安全生产主体责任规定》第九条</w:t>
            </w:r>
          </w:p>
        </w:tc>
        <w:tc>
          <w:tcPr>
            <w:tcW w:w="1192" w:type="pct"/>
            <w:vMerge/>
            <w:tcBorders>
              <w:tl2br w:val="nil"/>
              <w:tr2bl w:val="nil"/>
            </w:tcBorders>
            <w:vAlign w:val="center"/>
          </w:tcPr>
          <w:p w14:paraId="06656D2C" w14:textId="77777777" w:rsidR="003D6A63" w:rsidRDefault="003D6A63">
            <w:pPr>
              <w:overflowPunct w:val="0"/>
              <w:adjustRightInd w:val="0"/>
              <w:snapToGrid w:val="0"/>
              <w:jc w:val="center"/>
              <w:rPr>
                <w:kern w:val="0"/>
                <w:szCs w:val="21"/>
              </w:rPr>
            </w:pPr>
          </w:p>
        </w:tc>
        <w:tc>
          <w:tcPr>
            <w:tcW w:w="461" w:type="pct"/>
            <w:vMerge/>
            <w:tcBorders>
              <w:tl2br w:val="nil"/>
              <w:tr2bl w:val="nil"/>
            </w:tcBorders>
            <w:vAlign w:val="center"/>
          </w:tcPr>
          <w:p w14:paraId="7C19D266" w14:textId="77777777" w:rsidR="003D6A63" w:rsidRDefault="003D6A63">
            <w:pPr>
              <w:overflowPunct w:val="0"/>
              <w:adjustRightInd w:val="0"/>
              <w:snapToGrid w:val="0"/>
              <w:jc w:val="left"/>
              <w:rPr>
                <w:kern w:val="0"/>
                <w:szCs w:val="21"/>
              </w:rPr>
            </w:pPr>
          </w:p>
        </w:tc>
      </w:tr>
      <w:tr w:rsidR="003D6A63" w14:paraId="4534CD86" w14:textId="77777777">
        <w:trPr>
          <w:trHeight w:val="340"/>
          <w:jc w:val="center"/>
        </w:trPr>
        <w:tc>
          <w:tcPr>
            <w:tcW w:w="380" w:type="pct"/>
            <w:vMerge w:val="restart"/>
            <w:tcBorders>
              <w:tl2br w:val="nil"/>
              <w:tr2bl w:val="nil"/>
            </w:tcBorders>
            <w:vAlign w:val="center"/>
          </w:tcPr>
          <w:p w14:paraId="55945BF2" w14:textId="77777777" w:rsidR="003D6A63" w:rsidRDefault="00000000">
            <w:pPr>
              <w:overflowPunct w:val="0"/>
              <w:adjustRightInd w:val="0"/>
              <w:snapToGrid w:val="0"/>
              <w:jc w:val="center"/>
              <w:rPr>
                <w:kern w:val="0"/>
                <w:szCs w:val="21"/>
              </w:rPr>
            </w:pPr>
            <w:r>
              <w:rPr>
                <w:rFonts w:hint="eastAsia"/>
                <w:kern w:val="0"/>
                <w:szCs w:val="21"/>
              </w:rPr>
              <w:t>7</w:t>
            </w:r>
          </w:p>
        </w:tc>
        <w:tc>
          <w:tcPr>
            <w:tcW w:w="1564" w:type="pct"/>
            <w:tcBorders>
              <w:tl2br w:val="nil"/>
              <w:tr2bl w:val="nil"/>
            </w:tcBorders>
            <w:vAlign w:val="center"/>
          </w:tcPr>
          <w:p w14:paraId="379840E9" w14:textId="77777777" w:rsidR="003D6A63" w:rsidRDefault="00000000">
            <w:pPr>
              <w:overflowPunct w:val="0"/>
              <w:adjustRightInd w:val="0"/>
              <w:snapToGrid w:val="0"/>
              <w:rPr>
                <w:kern w:val="0"/>
                <w:szCs w:val="21"/>
              </w:rPr>
            </w:pPr>
            <w:r>
              <w:rPr>
                <w:kern w:val="0"/>
                <w:szCs w:val="21"/>
              </w:rPr>
              <w:t>矿山单位应当有注册安全工程师从事安全生产管理工作。</w:t>
            </w:r>
          </w:p>
        </w:tc>
        <w:tc>
          <w:tcPr>
            <w:tcW w:w="1401" w:type="pct"/>
            <w:tcBorders>
              <w:tl2br w:val="nil"/>
              <w:tr2bl w:val="nil"/>
            </w:tcBorders>
            <w:vAlign w:val="center"/>
          </w:tcPr>
          <w:p w14:paraId="66FEF6FF" w14:textId="77777777" w:rsidR="003D6A63" w:rsidRDefault="00000000">
            <w:pPr>
              <w:overflowPunct w:val="0"/>
              <w:adjustRightInd w:val="0"/>
              <w:snapToGrid w:val="0"/>
              <w:jc w:val="center"/>
              <w:rPr>
                <w:kern w:val="0"/>
                <w:szCs w:val="21"/>
              </w:rPr>
            </w:pPr>
            <w:r>
              <w:rPr>
                <w:kern w:val="0"/>
                <w:szCs w:val="21"/>
              </w:rPr>
              <w:t>《中华人民共和国安全生产法》第二十七条</w:t>
            </w:r>
          </w:p>
        </w:tc>
        <w:tc>
          <w:tcPr>
            <w:tcW w:w="1192" w:type="pct"/>
            <w:vMerge w:val="restart"/>
            <w:tcBorders>
              <w:tl2br w:val="nil"/>
              <w:tr2bl w:val="nil"/>
            </w:tcBorders>
            <w:vAlign w:val="center"/>
          </w:tcPr>
          <w:p w14:paraId="5E5671FF" w14:textId="77777777" w:rsidR="003D6A63" w:rsidRDefault="00000000">
            <w:pPr>
              <w:overflowPunct w:val="0"/>
              <w:adjustRightInd w:val="0"/>
              <w:snapToGrid w:val="0"/>
              <w:rPr>
                <w:kern w:val="0"/>
                <w:szCs w:val="21"/>
              </w:rPr>
            </w:pPr>
            <w:r>
              <w:rPr>
                <w:rFonts w:hint="eastAsia"/>
                <w:kern w:val="0"/>
                <w:szCs w:val="21"/>
              </w:rPr>
              <w:t>中胜公司</w:t>
            </w:r>
            <w:r>
              <w:rPr>
                <w:kern w:val="0"/>
                <w:szCs w:val="21"/>
                <w:lang w:val="zh-CN"/>
              </w:rPr>
              <w:t>按规定配备</w:t>
            </w:r>
            <w:r>
              <w:rPr>
                <w:kern w:val="0"/>
                <w:szCs w:val="21"/>
              </w:rPr>
              <w:t>了</w:t>
            </w:r>
            <w:r>
              <w:rPr>
                <w:rFonts w:hint="eastAsia"/>
                <w:kern w:val="0"/>
                <w:szCs w:val="21"/>
              </w:rPr>
              <w:t>2</w:t>
            </w:r>
            <w:r>
              <w:rPr>
                <w:rFonts w:hint="eastAsia"/>
                <w:kern w:val="0"/>
                <w:szCs w:val="21"/>
              </w:rPr>
              <w:t>名</w:t>
            </w:r>
            <w:r>
              <w:rPr>
                <w:kern w:val="0"/>
                <w:szCs w:val="21"/>
                <w:lang w:val="zh-CN"/>
              </w:rPr>
              <w:t>专职安全管理人员，</w:t>
            </w:r>
            <w:r>
              <w:rPr>
                <w:rFonts w:hint="eastAsia"/>
                <w:kern w:val="0"/>
                <w:szCs w:val="21"/>
              </w:rPr>
              <w:t>其中</w:t>
            </w:r>
            <w:r>
              <w:rPr>
                <w:rFonts w:hint="eastAsia"/>
                <w:kern w:val="0"/>
                <w:szCs w:val="21"/>
              </w:rPr>
              <w:t>2</w:t>
            </w:r>
            <w:r>
              <w:rPr>
                <w:rFonts w:hint="eastAsia"/>
                <w:kern w:val="0"/>
                <w:szCs w:val="21"/>
              </w:rPr>
              <w:t>名</w:t>
            </w:r>
            <w:r>
              <w:rPr>
                <w:kern w:val="0"/>
                <w:szCs w:val="21"/>
                <w:lang w:val="zh-CN"/>
              </w:rPr>
              <w:t>专职安全管理人员</w:t>
            </w:r>
            <w:r>
              <w:rPr>
                <w:rFonts w:hint="eastAsia"/>
                <w:kern w:val="0"/>
                <w:szCs w:val="21"/>
              </w:rPr>
              <w:t>中</w:t>
            </w:r>
            <w:r>
              <w:rPr>
                <w:rFonts w:hint="eastAsia"/>
                <w:kern w:val="0"/>
                <w:szCs w:val="21"/>
              </w:rPr>
              <w:t>1</w:t>
            </w:r>
            <w:r>
              <w:rPr>
                <w:rFonts w:hint="eastAsia"/>
                <w:kern w:val="0"/>
                <w:szCs w:val="21"/>
              </w:rPr>
              <w:t>人为注册安全工程师</w:t>
            </w:r>
            <w:r>
              <w:rPr>
                <w:kern w:val="0"/>
                <w:szCs w:val="21"/>
              </w:rPr>
              <w:t>，</w:t>
            </w:r>
            <w:r>
              <w:rPr>
                <w:rFonts w:hint="eastAsia"/>
                <w:kern w:val="0"/>
                <w:szCs w:val="21"/>
              </w:rPr>
              <w:t>注册安全工程师配备</w:t>
            </w:r>
            <w:r>
              <w:rPr>
                <w:kern w:val="0"/>
                <w:szCs w:val="21"/>
              </w:rPr>
              <w:t>满足要求。</w:t>
            </w:r>
          </w:p>
        </w:tc>
        <w:tc>
          <w:tcPr>
            <w:tcW w:w="461" w:type="pct"/>
            <w:vMerge w:val="restart"/>
            <w:tcBorders>
              <w:tl2br w:val="nil"/>
              <w:tr2bl w:val="nil"/>
            </w:tcBorders>
            <w:vAlign w:val="center"/>
          </w:tcPr>
          <w:p w14:paraId="356029EA" w14:textId="77777777" w:rsidR="003D6A63" w:rsidRDefault="00000000">
            <w:pPr>
              <w:overflowPunct w:val="0"/>
              <w:adjustRightInd w:val="0"/>
              <w:snapToGrid w:val="0"/>
              <w:jc w:val="center"/>
              <w:rPr>
                <w:kern w:val="0"/>
                <w:szCs w:val="21"/>
              </w:rPr>
            </w:pPr>
            <w:r>
              <w:rPr>
                <w:kern w:val="0"/>
                <w:szCs w:val="21"/>
              </w:rPr>
              <w:t>√</w:t>
            </w:r>
          </w:p>
        </w:tc>
      </w:tr>
      <w:tr w:rsidR="003D6A63" w14:paraId="57155FA6" w14:textId="77777777">
        <w:trPr>
          <w:trHeight w:val="340"/>
          <w:jc w:val="center"/>
        </w:trPr>
        <w:tc>
          <w:tcPr>
            <w:tcW w:w="380" w:type="pct"/>
            <w:vMerge/>
            <w:tcBorders>
              <w:tl2br w:val="nil"/>
              <w:tr2bl w:val="nil"/>
            </w:tcBorders>
            <w:vAlign w:val="center"/>
          </w:tcPr>
          <w:p w14:paraId="15BD6D84" w14:textId="77777777" w:rsidR="003D6A63" w:rsidRDefault="003D6A63">
            <w:pPr>
              <w:numPr>
                <w:ilvl w:val="0"/>
                <w:numId w:val="21"/>
              </w:numPr>
              <w:overflowPunct w:val="0"/>
              <w:adjustRightInd w:val="0"/>
              <w:snapToGrid w:val="0"/>
              <w:jc w:val="center"/>
              <w:rPr>
                <w:kern w:val="0"/>
                <w:szCs w:val="21"/>
              </w:rPr>
            </w:pPr>
          </w:p>
        </w:tc>
        <w:tc>
          <w:tcPr>
            <w:tcW w:w="1564" w:type="pct"/>
            <w:tcBorders>
              <w:tl2br w:val="nil"/>
              <w:tr2bl w:val="nil"/>
            </w:tcBorders>
            <w:vAlign w:val="center"/>
          </w:tcPr>
          <w:p w14:paraId="1F1F20A5" w14:textId="77777777" w:rsidR="003D6A63" w:rsidRDefault="00000000">
            <w:pPr>
              <w:overflowPunct w:val="0"/>
              <w:adjustRightInd w:val="0"/>
              <w:snapToGrid w:val="0"/>
              <w:rPr>
                <w:kern w:val="0"/>
                <w:szCs w:val="21"/>
              </w:rPr>
            </w:pPr>
            <w:r>
              <w:rPr>
                <w:kern w:val="0"/>
                <w:szCs w:val="21"/>
              </w:rPr>
              <w:t>矿山单位应当有相应专业类别的中级及以上注册安全工程师从事安全生产管理工作。</w:t>
            </w:r>
          </w:p>
        </w:tc>
        <w:tc>
          <w:tcPr>
            <w:tcW w:w="1401" w:type="pct"/>
            <w:tcBorders>
              <w:tl2br w:val="nil"/>
              <w:tr2bl w:val="nil"/>
            </w:tcBorders>
            <w:vAlign w:val="center"/>
          </w:tcPr>
          <w:p w14:paraId="08341C8E" w14:textId="77777777" w:rsidR="003D6A63" w:rsidRDefault="00000000">
            <w:pPr>
              <w:overflowPunct w:val="0"/>
              <w:adjustRightInd w:val="0"/>
              <w:snapToGrid w:val="0"/>
              <w:jc w:val="center"/>
              <w:rPr>
                <w:kern w:val="0"/>
                <w:szCs w:val="21"/>
              </w:rPr>
            </w:pPr>
            <w:r>
              <w:rPr>
                <w:kern w:val="0"/>
                <w:szCs w:val="21"/>
              </w:rPr>
              <w:t>《注册安全工程师分类管理办法》第十二条</w:t>
            </w:r>
          </w:p>
        </w:tc>
        <w:tc>
          <w:tcPr>
            <w:tcW w:w="1192" w:type="pct"/>
            <w:vMerge/>
            <w:tcBorders>
              <w:tl2br w:val="nil"/>
              <w:tr2bl w:val="nil"/>
            </w:tcBorders>
            <w:vAlign w:val="center"/>
          </w:tcPr>
          <w:p w14:paraId="5238396B" w14:textId="77777777" w:rsidR="003D6A63" w:rsidRDefault="003D6A63">
            <w:pPr>
              <w:overflowPunct w:val="0"/>
              <w:adjustRightInd w:val="0"/>
              <w:snapToGrid w:val="0"/>
              <w:jc w:val="center"/>
              <w:rPr>
                <w:kern w:val="0"/>
                <w:szCs w:val="21"/>
              </w:rPr>
            </w:pPr>
          </w:p>
        </w:tc>
        <w:tc>
          <w:tcPr>
            <w:tcW w:w="461" w:type="pct"/>
            <w:vMerge/>
            <w:tcBorders>
              <w:tl2br w:val="nil"/>
              <w:tr2bl w:val="nil"/>
            </w:tcBorders>
            <w:vAlign w:val="center"/>
          </w:tcPr>
          <w:p w14:paraId="51FFA2CC" w14:textId="77777777" w:rsidR="003D6A63" w:rsidRDefault="003D6A63">
            <w:pPr>
              <w:overflowPunct w:val="0"/>
              <w:adjustRightInd w:val="0"/>
              <w:snapToGrid w:val="0"/>
              <w:jc w:val="left"/>
              <w:rPr>
                <w:kern w:val="0"/>
                <w:szCs w:val="21"/>
              </w:rPr>
            </w:pPr>
          </w:p>
        </w:tc>
      </w:tr>
      <w:tr w:rsidR="003D6A63" w14:paraId="05C597F8" w14:textId="77777777">
        <w:trPr>
          <w:trHeight w:val="340"/>
          <w:jc w:val="center"/>
        </w:trPr>
        <w:tc>
          <w:tcPr>
            <w:tcW w:w="380" w:type="pct"/>
            <w:tcBorders>
              <w:tl2br w:val="nil"/>
              <w:tr2bl w:val="nil"/>
            </w:tcBorders>
            <w:vAlign w:val="center"/>
          </w:tcPr>
          <w:p w14:paraId="6A034097" w14:textId="77777777" w:rsidR="003D6A63" w:rsidRDefault="00000000">
            <w:pPr>
              <w:overflowPunct w:val="0"/>
              <w:adjustRightInd w:val="0"/>
              <w:snapToGrid w:val="0"/>
              <w:jc w:val="center"/>
              <w:rPr>
                <w:kern w:val="0"/>
                <w:szCs w:val="21"/>
              </w:rPr>
            </w:pPr>
            <w:r>
              <w:rPr>
                <w:rFonts w:hint="eastAsia"/>
                <w:kern w:val="0"/>
                <w:szCs w:val="21"/>
              </w:rPr>
              <w:t>8</w:t>
            </w:r>
          </w:p>
        </w:tc>
        <w:tc>
          <w:tcPr>
            <w:tcW w:w="1564" w:type="pct"/>
            <w:tcBorders>
              <w:tl2br w:val="nil"/>
              <w:tr2bl w:val="nil"/>
            </w:tcBorders>
            <w:vAlign w:val="center"/>
          </w:tcPr>
          <w:p w14:paraId="19D1C02B" w14:textId="77777777" w:rsidR="003D6A63" w:rsidRDefault="00000000">
            <w:pPr>
              <w:overflowPunct w:val="0"/>
              <w:adjustRightInd w:val="0"/>
              <w:snapToGrid w:val="0"/>
              <w:rPr>
                <w:kern w:val="0"/>
                <w:szCs w:val="21"/>
              </w:rPr>
            </w:pPr>
            <w:r>
              <w:rPr>
                <w:kern w:val="0"/>
                <w:szCs w:val="21"/>
              </w:rPr>
              <w:t>国家对注册安全工程师职业合格实行执业注册管理制度，按照专业类别进行注册。取得注册安全工程师职业合格证书的人员，经注册后方可以注册安全工程师名义执业。</w:t>
            </w:r>
          </w:p>
        </w:tc>
        <w:tc>
          <w:tcPr>
            <w:tcW w:w="1401" w:type="pct"/>
            <w:tcBorders>
              <w:tl2br w:val="nil"/>
              <w:tr2bl w:val="nil"/>
            </w:tcBorders>
            <w:vAlign w:val="center"/>
          </w:tcPr>
          <w:p w14:paraId="1EC5E6E6" w14:textId="77777777" w:rsidR="003D6A63" w:rsidRDefault="00000000">
            <w:pPr>
              <w:overflowPunct w:val="0"/>
              <w:adjustRightInd w:val="0"/>
              <w:snapToGrid w:val="0"/>
              <w:jc w:val="center"/>
              <w:rPr>
                <w:kern w:val="0"/>
                <w:szCs w:val="21"/>
              </w:rPr>
            </w:pPr>
            <w:r>
              <w:rPr>
                <w:kern w:val="0"/>
                <w:szCs w:val="21"/>
              </w:rPr>
              <w:t>《注册安全工程师职业合格制度规定》</w:t>
            </w:r>
          </w:p>
          <w:p w14:paraId="2937BEA7" w14:textId="77777777" w:rsidR="003D6A63" w:rsidRDefault="00000000">
            <w:pPr>
              <w:overflowPunct w:val="0"/>
              <w:adjustRightInd w:val="0"/>
              <w:snapToGrid w:val="0"/>
              <w:jc w:val="center"/>
              <w:rPr>
                <w:kern w:val="0"/>
                <w:szCs w:val="21"/>
              </w:rPr>
            </w:pPr>
            <w:r>
              <w:rPr>
                <w:kern w:val="0"/>
                <w:szCs w:val="21"/>
              </w:rPr>
              <w:t>第十五条</w:t>
            </w:r>
          </w:p>
        </w:tc>
        <w:tc>
          <w:tcPr>
            <w:tcW w:w="1192" w:type="pct"/>
            <w:vMerge w:val="restart"/>
            <w:tcBorders>
              <w:tl2br w:val="nil"/>
              <w:tr2bl w:val="nil"/>
            </w:tcBorders>
            <w:vAlign w:val="center"/>
          </w:tcPr>
          <w:p w14:paraId="5A99CFE1" w14:textId="77777777" w:rsidR="003D6A63" w:rsidRDefault="00000000">
            <w:pPr>
              <w:overflowPunct w:val="0"/>
              <w:adjustRightInd w:val="0"/>
              <w:snapToGrid w:val="0"/>
              <w:rPr>
                <w:kern w:val="0"/>
                <w:szCs w:val="21"/>
              </w:rPr>
            </w:pPr>
            <w:r>
              <w:rPr>
                <w:kern w:val="0"/>
                <w:szCs w:val="21"/>
              </w:rPr>
              <w:t>注册安全工程师的注册类别是其他安全，聘任单位为</w:t>
            </w:r>
            <w:r>
              <w:rPr>
                <w:rFonts w:hint="eastAsia"/>
                <w:kern w:val="0"/>
                <w:szCs w:val="21"/>
              </w:rPr>
              <w:t>胜利油田中胜石油开发有限责任公司</w:t>
            </w:r>
            <w:r>
              <w:rPr>
                <w:kern w:val="0"/>
                <w:szCs w:val="21"/>
              </w:rPr>
              <w:t>，</w:t>
            </w:r>
            <w:r>
              <w:rPr>
                <w:rFonts w:hint="eastAsia"/>
                <w:kern w:val="0"/>
                <w:szCs w:val="21"/>
              </w:rPr>
              <w:t>在</w:t>
            </w:r>
            <w:r>
              <w:rPr>
                <w:kern w:val="0"/>
                <w:szCs w:val="21"/>
              </w:rPr>
              <w:t>有效期</w:t>
            </w:r>
            <w:r>
              <w:rPr>
                <w:rFonts w:hint="eastAsia"/>
                <w:kern w:val="0"/>
                <w:szCs w:val="21"/>
              </w:rPr>
              <w:t>内</w:t>
            </w:r>
            <w:r>
              <w:rPr>
                <w:kern w:val="0"/>
                <w:szCs w:val="21"/>
              </w:rPr>
              <w:t>。</w:t>
            </w:r>
          </w:p>
        </w:tc>
        <w:tc>
          <w:tcPr>
            <w:tcW w:w="461" w:type="pct"/>
            <w:tcBorders>
              <w:tl2br w:val="nil"/>
              <w:tr2bl w:val="nil"/>
            </w:tcBorders>
            <w:vAlign w:val="center"/>
          </w:tcPr>
          <w:p w14:paraId="59C8C1F4" w14:textId="77777777" w:rsidR="003D6A63" w:rsidRDefault="00000000">
            <w:pPr>
              <w:overflowPunct w:val="0"/>
              <w:adjustRightInd w:val="0"/>
              <w:snapToGrid w:val="0"/>
              <w:jc w:val="center"/>
              <w:rPr>
                <w:kern w:val="0"/>
                <w:szCs w:val="21"/>
              </w:rPr>
            </w:pPr>
            <w:r>
              <w:rPr>
                <w:kern w:val="0"/>
                <w:szCs w:val="21"/>
              </w:rPr>
              <w:t>√</w:t>
            </w:r>
          </w:p>
        </w:tc>
      </w:tr>
      <w:tr w:rsidR="003D6A63" w14:paraId="39EBDA94" w14:textId="77777777">
        <w:trPr>
          <w:trHeight w:val="340"/>
          <w:jc w:val="center"/>
        </w:trPr>
        <w:tc>
          <w:tcPr>
            <w:tcW w:w="380" w:type="pct"/>
            <w:tcBorders>
              <w:tl2br w:val="nil"/>
              <w:tr2bl w:val="nil"/>
            </w:tcBorders>
            <w:vAlign w:val="center"/>
          </w:tcPr>
          <w:p w14:paraId="0863AEE8" w14:textId="77777777" w:rsidR="003D6A63" w:rsidRDefault="00000000">
            <w:pPr>
              <w:overflowPunct w:val="0"/>
              <w:adjustRightInd w:val="0"/>
              <w:snapToGrid w:val="0"/>
              <w:jc w:val="center"/>
              <w:rPr>
                <w:kern w:val="0"/>
                <w:szCs w:val="21"/>
              </w:rPr>
            </w:pPr>
            <w:r>
              <w:rPr>
                <w:rFonts w:hint="eastAsia"/>
                <w:kern w:val="0"/>
                <w:szCs w:val="21"/>
              </w:rPr>
              <w:t>9</w:t>
            </w:r>
          </w:p>
        </w:tc>
        <w:tc>
          <w:tcPr>
            <w:tcW w:w="1564" w:type="pct"/>
            <w:tcBorders>
              <w:tl2br w:val="nil"/>
              <w:tr2bl w:val="nil"/>
            </w:tcBorders>
            <w:vAlign w:val="center"/>
          </w:tcPr>
          <w:p w14:paraId="7339BB64" w14:textId="77777777" w:rsidR="003D6A63" w:rsidRDefault="00000000">
            <w:pPr>
              <w:overflowPunct w:val="0"/>
              <w:adjustRightInd w:val="0"/>
              <w:snapToGrid w:val="0"/>
              <w:rPr>
                <w:kern w:val="0"/>
                <w:szCs w:val="21"/>
              </w:rPr>
            </w:pPr>
            <w:r>
              <w:rPr>
                <w:kern w:val="0"/>
                <w:szCs w:val="21"/>
              </w:rPr>
              <w:t>注册安全工程师不得同时受聘于两个或两个以上单位执业，不得允许他人以本人名义执业，不得出租出借证书。违反上述规定的，由发证机构撤销其注册证书，</w:t>
            </w:r>
            <w:r>
              <w:rPr>
                <w:kern w:val="0"/>
                <w:szCs w:val="21"/>
              </w:rPr>
              <w:t>5</w:t>
            </w:r>
            <w:r>
              <w:rPr>
                <w:kern w:val="0"/>
                <w:szCs w:val="21"/>
              </w:rPr>
              <w:t>年内不予重新注册；构成犯罪的，依法追</w:t>
            </w:r>
            <w:r>
              <w:rPr>
                <w:kern w:val="0"/>
                <w:szCs w:val="21"/>
              </w:rPr>
              <w:lastRenderedPageBreak/>
              <w:t>究刑事责任。</w:t>
            </w:r>
          </w:p>
        </w:tc>
        <w:tc>
          <w:tcPr>
            <w:tcW w:w="1401" w:type="pct"/>
            <w:tcBorders>
              <w:tl2br w:val="nil"/>
              <w:tr2bl w:val="nil"/>
            </w:tcBorders>
            <w:vAlign w:val="center"/>
          </w:tcPr>
          <w:p w14:paraId="08D6E59D" w14:textId="77777777" w:rsidR="003D6A63" w:rsidRDefault="00000000">
            <w:pPr>
              <w:overflowPunct w:val="0"/>
              <w:adjustRightInd w:val="0"/>
              <w:snapToGrid w:val="0"/>
              <w:jc w:val="center"/>
              <w:rPr>
                <w:kern w:val="0"/>
                <w:szCs w:val="21"/>
              </w:rPr>
            </w:pPr>
            <w:r>
              <w:rPr>
                <w:kern w:val="0"/>
                <w:szCs w:val="21"/>
              </w:rPr>
              <w:lastRenderedPageBreak/>
              <w:t>《注册安全工程师职业合格制度规定》</w:t>
            </w:r>
          </w:p>
          <w:p w14:paraId="37337C4C" w14:textId="77777777" w:rsidR="003D6A63" w:rsidRDefault="00000000">
            <w:pPr>
              <w:overflowPunct w:val="0"/>
              <w:adjustRightInd w:val="0"/>
              <w:snapToGrid w:val="0"/>
              <w:jc w:val="center"/>
              <w:rPr>
                <w:kern w:val="0"/>
                <w:szCs w:val="21"/>
              </w:rPr>
            </w:pPr>
            <w:r>
              <w:rPr>
                <w:kern w:val="0"/>
                <w:szCs w:val="21"/>
              </w:rPr>
              <w:t>第十六条</w:t>
            </w:r>
          </w:p>
        </w:tc>
        <w:tc>
          <w:tcPr>
            <w:tcW w:w="1192" w:type="pct"/>
            <w:vMerge/>
            <w:tcBorders>
              <w:tl2br w:val="nil"/>
              <w:tr2bl w:val="nil"/>
            </w:tcBorders>
            <w:vAlign w:val="center"/>
          </w:tcPr>
          <w:p w14:paraId="4D34354B" w14:textId="77777777" w:rsidR="003D6A63" w:rsidRDefault="003D6A63">
            <w:pPr>
              <w:overflowPunct w:val="0"/>
              <w:adjustRightInd w:val="0"/>
              <w:snapToGrid w:val="0"/>
              <w:jc w:val="center"/>
              <w:rPr>
                <w:kern w:val="0"/>
                <w:szCs w:val="21"/>
              </w:rPr>
            </w:pPr>
          </w:p>
        </w:tc>
        <w:tc>
          <w:tcPr>
            <w:tcW w:w="461" w:type="pct"/>
            <w:tcBorders>
              <w:tl2br w:val="nil"/>
              <w:tr2bl w:val="nil"/>
            </w:tcBorders>
            <w:vAlign w:val="center"/>
          </w:tcPr>
          <w:p w14:paraId="66ED553C" w14:textId="77777777" w:rsidR="003D6A63" w:rsidRDefault="00000000">
            <w:pPr>
              <w:overflowPunct w:val="0"/>
              <w:adjustRightInd w:val="0"/>
              <w:snapToGrid w:val="0"/>
              <w:jc w:val="center"/>
              <w:rPr>
                <w:kern w:val="0"/>
                <w:szCs w:val="21"/>
              </w:rPr>
            </w:pPr>
            <w:r>
              <w:rPr>
                <w:kern w:val="0"/>
                <w:szCs w:val="21"/>
              </w:rPr>
              <w:t>√</w:t>
            </w:r>
          </w:p>
        </w:tc>
      </w:tr>
      <w:tr w:rsidR="003D6A63" w14:paraId="76438621" w14:textId="77777777">
        <w:trPr>
          <w:trHeight w:val="340"/>
          <w:jc w:val="center"/>
        </w:trPr>
        <w:tc>
          <w:tcPr>
            <w:tcW w:w="380" w:type="pct"/>
            <w:tcBorders>
              <w:tl2br w:val="nil"/>
              <w:tr2bl w:val="nil"/>
            </w:tcBorders>
            <w:vAlign w:val="center"/>
          </w:tcPr>
          <w:p w14:paraId="282D3C4E" w14:textId="77777777" w:rsidR="003D6A63" w:rsidRDefault="00000000">
            <w:pPr>
              <w:overflowPunct w:val="0"/>
              <w:adjustRightInd w:val="0"/>
              <w:snapToGrid w:val="0"/>
              <w:jc w:val="center"/>
              <w:rPr>
                <w:kern w:val="0"/>
                <w:szCs w:val="21"/>
              </w:rPr>
            </w:pPr>
            <w:r>
              <w:rPr>
                <w:rFonts w:hint="eastAsia"/>
                <w:kern w:val="0"/>
                <w:szCs w:val="21"/>
              </w:rPr>
              <w:t>10</w:t>
            </w:r>
          </w:p>
        </w:tc>
        <w:tc>
          <w:tcPr>
            <w:tcW w:w="1564" w:type="pct"/>
            <w:tcBorders>
              <w:tl2br w:val="nil"/>
              <w:tr2bl w:val="nil"/>
            </w:tcBorders>
            <w:vAlign w:val="center"/>
          </w:tcPr>
          <w:p w14:paraId="6A6F3C53" w14:textId="77777777" w:rsidR="003D6A63" w:rsidRDefault="00000000">
            <w:pPr>
              <w:overflowPunct w:val="0"/>
              <w:adjustRightInd w:val="0"/>
              <w:snapToGrid w:val="0"/>
              <w:rPr>
                <w:kern w:val="0"/>
                <w:szCs w:val="21"/>
              </w:rPr>
            </w:pPr>
            <w:r>
              <w:rPr>
                <w:kern w:val="0"/>
                <w:szCs w:val="21"/>
              </w:rPr>
              <w:t>从业人员一百人以上的高危生产经营单位应当依法设置安全总监。安全总监专项分管本单位安全生产管理工作。生产经营单位的安全生产管理机构和安全生产管理人员，在安全总监的领导下负责本单位的安全生产管理工作。</w:t>
            </w:r>
          </w:p>
        </w:tc>
        <w:tc>
          <w:tcPr>
            <w:tcW w:w="1401" w:type="pct"/>
            <w:tcBorders>
              <w:tl2br w:val="nil"/>
              <w:tr2bl w:val="nil"/>
            </w:tcBorders>
            <w:vAlign w:val="center"/>
          </w:tcPr>
          <w:p w14:paraId="486A1AA3" w14:textId="77777777" w:rsidR="003D6A63" w:rsidRDefault="00000000">
            <w:pPr>
              <w:overflowPunct w:val="0"/>
              <w:adjustRightInd w:val="0"/>
              <w:snapToGrid w:val="0"/>
              <w:jc w:val="center"/>
              <w:rPr>
                <w:kern w:val="0"/>
                <w:szCs w:val="21"/>
              </w:rPr>
            </w:pPr>
            <w:r>
              <w:rPr>
                <w:kern w:val="0"/>
                <w:szCs w:val="21"/>
              </w:rPr>
              <w:t>《山东省安全生产条例》第二十一条</w:t>
            </w:r>
          </w:p>
        </w:tc>
        <w:tc>
          <w:tcPr>
            <w:tcW w:w="1192" w:type="pct"/>
            <w:tcBorders>
              <w:tl2br w:val="nil"/>
              <w:tr2bl w:val="nil"/>
            </w:tcBorders>
            <w:vAlign w:val="center"/>
          </w:tcPr>
          <w:p w14:paraId="298CBAEE" w14:textId="77777777" w:rsidR="003D6A63" w:rsidRDefault="00000000">
            <w:pPr>
              <w:overflowPunct w:val="0"/>
              <w:adjustRightInd w:val="0"/>
              <w:snapToGrid w:val="0"/>
              <w:rPr>
                <w:kern w:val="0"/>
                <w:szCs w:val="21"/>
              </w:rPr>
            </w:pPr>
            <w:r>
              <w:rPr>
                <w:kern w:val="0"/>
                <w:szCs w:val="21"/>
              </w:rPr>
              <w:t>设有安全总监，并已在东营</w:t>
            </w:r>
            <w:r>
              <w:rPr>
                <w:rFonts w:hint="eastAsia"/>
                <w:kern w:val="0"/>
                <w:szCs w:val="21"/>
              </w:rPr>
              <w:t>市</w:t>
            </w:r>
            <w:r>
              <w:rPr>
                <w:kern w:val="0"/>
                <w:szCs w:val="21"/>
              </w:rPr>
              <w:t>应急局备案。</w:t>
            </w:r>
          </w:p>
        </w:tc>
        <w:tc>
          <w:tcPr>
            <w:tcW w:w="461" w:type="pct"/>
            <w:tcBorders>
              <w:tl2br w:val="nil"/>
              <w:tr2bl w:val="nil"/>
            </w:tcBorders>
            <w:vAlign w:val="center"/>
          </w:tcPr>
          <w:p w14:paraId="16EBFC87" w14:textId="77777777" w:rsidR="003D6A63" w:rsidRDefault="00000000">
            <w:pPr>
              <w:overflowPunct w:val="0"/>
              <w:adjustRightInd w:val="0"/>
              <w:snapToGrid w:val="0"/>
              <w:jc w:val="center"/>
              <w:rPr>
                <w:kern w:val="0"/>
                <w:szCs w:val="21"/>
              </w:rPr>
            </w:pPr>
            <w:r>
              <w:rPr>
                <w:kern w:val="0"/>
                <w:szCs w:val="21"/>
              </w:rPr>
              <w:t>√</w:t>
            </w:r>
          </w:p>
        </w:tc>
      </w:tr>
      <w:tr w:rsidR="003D6A63" w14:paraId="3B403E8B" w14:textId="77777777">
        <w:trPr>
          <w:trHeight w:val="340"/>
          <w:jc w:val="center"/>
        </w:trPr>
        <w:tc>
          <w:tcPr>
            <w:tcW w:w="380" w:type="pct"/>
            <w:tcBorders>
              <w:tl2br w:val="nil"/>
              <w:tr2bl w:val="nil"/>
            </w:tcBorders>
            <w:vAlign w:val="center"/>
          </w:tcPr>
          <w:p w14:paraId="177D9DF2" w14:textId="77777777" w:rsidR="003D6A63" w:rsidRDefault="00000000">
            <w:pPr>
              <w:overflowPunct w:val="0"/>
              <w:adjustRightInd w:val="0"/>
              <w:snapToGrid w:val="0"/>
              <w:jc w:val="center"/>
              <w:rPr>
                <w:kern w:val="0"/>
                <w:szCs w:val="21"/>
              </w:rPr>
            </w:pPr>
            <w:r>
              <w:rPr>
                <w:rFonts w:hint="eastAsia"/>
                <w:kern w:val="0"/>
                <w:szCs w:val="21"/>
              </w:rPr>
              <w:t>11</w:t>
            </w:r>
          </w:p>
        </w:tc>
        <w:tc>
          <w:tcPr>
            <w:tcW w:w="1564" w:type="pct"/>
            <w:tcBorders>
              <w:tl2br w:val="nil"/>
              <w:tr2bl w:val="nil"/>
            </w:tcBorders>
            <w:vAlign w:val="center"/>
          </w:tcPr>
          <w:p w14:paraId="49210D6D" w14:textId="77777777" w:rsidR="003D6A63" w:rsidRDefault="00000000">
            <w:pPr>
              <w:overflowPunct w:val="0"/>
              <w:adjustRightInd w:val="0"/>
              <w:snapToGrid w:val="0"/>
              <w:rPr>
                <w:kern w:val="0"/>
                <w:szCs w:val="21"/>
              </w:rPr>
            </w:pPr>
            <w:r>
              <w:rPr>
                <w:kern w:val="0"/>
                <w:szCs w:val="21"/>
              </w:rPr>
              <w:t>安全总监应当具备下列基本条件：取得工程师及以上职称或注册安全工程师合格，且在本行业领域内从事安全管理工作满</w:t>
            </w:r>
            <w:r>
              <w:rPr>
                <w:kern w:val="0"/>
                <w:szCs w:val="21"/>
              </w:rPr>
              <w:t>3</w:t>
            </w:r>
            <w:r>
              <w:rPr>
                <w:kern w:val="0"/>
                <w:szCs w:val="21"/>
              </w:rPr>
              <w:t>年。</w:t>
            </w:r>
          </w:p>
        </w:tc>
        <w:tc>
          <w:tcPr>
            <w:tcW w:w="1401" w:type="pct"/>
            <w:tcBorders>
              <w:tl2br w:val="nil"/>
              <w:tr2bl w:val="nil"/>
            </w:tcBorders>
            <w:vAlign w:val="center"/>
          </w:tcPr>
          <w:p w14:paraId="140CF780" w14:textId="77777777" w:rsidR="003D6A63" w:rsidRDefault="00000000">
            <w:pPr>
              <w:overflowPunct w:val="0"/>
              <w:adjustRightInd w:val="0"/>
              <w:snapToGrid w:val="0"/>
              <w:jc w:val="center"/>
              <w:rPr>
                <w:kern w:val="0"/>
                <w:szCs w:val="21"/>
              </w:rPr>
            </w:pPr>
            <w:r>
              <w:rPr>
                <w:kern w:val="0"/>
                <w:szCs w:val="21"/>
              </w:rPr>
              <w:t>《山东省生产经营单位安全总监制度实施办法（试行）》</w:t>
            </w:r>
          </w:p>
        </w:tc>
        <w:tc>
          <w:tcPr>
            <w:tcW w:w="1192" w:type="pct"/>
            <w:tcBorders>
              <w:tl2br w:val="nil"/>
              <w:tr2bl w:val="nil"/>
            </w:tcBorders>
            <w:vAlign w:val="center"/>
          </w:tcPr>
          <w:p w14:paraId="507FA85D" w14:textId="77777777" w:rsidR="003D6A63" w:rsidRDefault="00000000">
            <w:pPr>
              <w:overflowPunct w:val="0"/>
              <w:adjustRightInd w:val="0"/>
              <w:snapToGrid w:val="0"/>
              <w:rPr>
                <w:kern w:val="0"/>
                <w:szCs w:val="21"/>
              </w:rPr>
            </w:pPr>
            <w:r>
              <w:rPr>
                <w:kern w:val="0"/>
                <w:szCs w:val="21"/>
              </w:rPr>
              <w:t>安全总监有</w:t>
            </w:r>
            <w:r>
              <w:rPr>
                <w:rFonts w:hint="eastAsia"/>
                <w:kern w:val="0"/>
                <w:szCs w:val="21"/>
              </w:rPr>
              <w:t>高级职称证，</w:t>
            </w:r>
            <w:r>
              <w:rPr>
                <w:kern w:val="0"/>
                <w:szCs w:val="21"/>
              </w:rPr>
              <w:t>且在本行业领域内从事安全管理工作满</w:t>
            </w:r>
            <w:r>
              <w:rPr>
                <w:kern w:val="0"/>
                <w:szCs w:val="21"/>
              </w:rPr>
              <w:t>3</w:t>
            </w:r>
            <w:r>
              <w:rPr>
                <w:kern w:val="0"/>
                <w:szCs w:val="21"/>
              </w:rPr>
              <w:t>年。</w:t>
            </w:r>
          </w:p>
        </w:tc>
        <w:tc>
          <w:tcPr>
            <w:tcW w:w="461" w:type="pct"/>
            <w:tcBorders>
              <w:tl2br w:val="nil"/>
              <w:tr2bl w:val="nil"/>
            </w:tcBorders>
            <w:vAlign w:val="center"/>
          </w:tcPr>
          <w:p w14:paraId="4C6AE0D6" w14:textId="77777777" w:rsidR="003D6A63" w:rsidRDefault="00000000">
            <w:pPr>
              <w:overflowPunct w:val="0"/>
              <w:adjustRightInd w:val="0"/>
              <w:snapToGrid w:val="0"/>
              <w:jc w:val="center"/>
              <w:rPr>
                <w:kern w:val="0"/>
                <w:szCs w:val="21"/>
              </w:rPr>
            </w:pPr>
            <w:r>
              <w:rPr>
                <w:kern w:val="0"/>
                <w:szCs w:val="21"/>
              </w:rPr>
              <w:t>√</w:t>
            </w:r>
          </w:p>
        </w:tc>
      </w:tr>
      <w:tr w:rsidR="003D6A63" w14:paraId="2C6BECE3" w14:textId="77777777">
        <w:trPr>
          <w:trHeight w:val="340"/>
          <w:jc w:val="center"/>
        </w:trPr>
        <w:tc>
          <w:tcPr>
            <w:tcW w:w="5000" w:type="pct"/>
            <w:gridSpan w:val="5"/>
            <w:tcBorders>
              <w:tl2br w:val="nil"/>
              <w:tr2bl w:val="nil"/>
            </w:tcBorders>
            <w:vAlign w:val="center"/>
          </w:tcPr>
          <w:p w14:paraId="2AAC3B4E" w14:textId="77777777" w:rsidR="003D6A63" w:rsidRDefault="00000000">
            <w:pPr>
              <w:overflowPunct w:val="0"/>
              <w:adjustRightInd w:val="0"/>
              <w:snapToGrid w:val="0"/>
              <w:jc w:val="center"/>
              <w:rPr>
                <w:b/>
                <w:bCs/>
                <w:kern w:val="0"/>
                <w:szCs w:val="21"/>
              </w:rPr>
            </w:pPr>
            <w:r>
              <w:rPr>
                <w:b/>
                <w:bCs/>
                <w:kern w:val="0"/>
                <w:szCs w:val="21"/>
              </w:rPr>
              <w:t>五、人员持证</w:t>
            </w:r>
          </w:p>
        </w:tc>
      </w:tr>
      <w:tr w:rsidR="003D6A63" w14:paraId="33EBB42E" w14:textId="77777777">
        <w:trPr>
          <w:trHeight w:val="340"/>
          <w:jc w:val="center"/>
        </w:trPr>
        <w:tc>
          <w:tcPr>
            <w:tcW w:w="380" w:type="pct"/>
            <w:vMerge w:val="restart"/>
            <w:tcBorders>
              <w:tl2br w:val="nil"/>
              <w:tr2bl w:val="nil"/>
            </w:tcBorders>
            <w:vAlign w:val="center"/>
          </w:tcPr>
          <w:p w14:paraId="436B9A3B" w14:textId="77777777" w:rsidR="003D6A63" w:rsidRDefault="00000000">
            <w:pPr>
              <w:overflowPunct w:val="0"/>
              <w:adjustRightInd w:val="0"/>
              <w:snapToGrid w:val="0"/>
              <w:jc w:val="center"/>
              <w:rPr>
                <w:kern w:val="0"/>
                <w:szCs w:val="21"/>
              </w:rPr>
            </w:pPr>
            <w:r>
              <w:rPr>
                <w:rFonts w:hint="eastAsia"/>
                <w:kern w:val="0"/>
                <w:szCs w:val="21"/>
              </w:rPr>
              <w:t>12</w:t>
            </w:r>
          </w:p>
        </w:tc>
        <w:tc>
          <w:tcPr>
            <w:tcW w:w="1564" w:type="pct"/>
            <w:tcBorders>
              <w:tl2br w:val="nil"/>
              <w:tr2bl w:val="nil"/>
            </w:tcBorders>
            <w:vAlign w:val="center"/>
          </w:tcPr>
          <w:p w14:paraId="12089424" w14:textId="77777777" w:rsidR="003D6A63" w:rsidRDefault="00000000">
            <w:pPr>
              <w:overflowPunct w:val="0"/>
              <w:adjustRightInd w:val="0"/>
              <w:snapToGrid w:val="0"/>
              <w:rPr>
                <w:kern w:val="0"/>
                <w:szCs w:val="21"/>
              </w:rPr>
            </w:pPr>
            <w:r>
              <w:rPr>
                <w:kern w:val="0"/>
                <w:szCs w:val="21"/>
              </w:rPr>
              <w:t>高危生产经营单位的主要负责人、分管安全生产的负责人或者安全总监、安全生产管理人员，应当按照规定经主管的负有安全生产监督管理职责的部门考核合格。</w:t>
            </w:r>
          </w:p>
        </w:tc>
        <w:tc>
          <w:tcPr>
            <w:tcW w:w="1401" w:type="pct"/>
            <w:tcBorders>
              <w:tl2br w:val="nil"/>
              <w:tr2bl w:val="nil"/>
            </w:tcBorders>
            <w:vAlign w:val="center"/>
          </w:tcPr>
          <w:p w14:paraId="6E27E039" w14:textId="77777777" w:rsidR="003D6A63" w:rsidRDefault="00000000">
            <w:pPr>
              <w:overflowPunct w:val="0"/>
              <w:adjustRightInd w:val="0"/>
              <w:snapToGrid w:val="0"/>
              <w:jc w:val="center"/>
              <w:rPr>
                <w:kern w:val="0"/>
                <w:szCs w:val="21"/>
              </w:rPr>
            </w:pPr>
            <w:r>
              <w:rPr>
                <w:kern w:val="0"/>
                <w:szCs w:val="21"/>
              </w:rPr>
              <w:t>《山东省安全生产条例》第二十七条</w:t>
            </w:r>
          </w:p>
        </w:tc>
        <w:tc>
          <w:tcPr>
            <w:tcW w:w="1192" w:type="pct"/>
            <w:vMerge w:val="restart"/>
            <w:tcBorders>
              <w:tl2br w:val="nil"/>
              <w:tr2bl w:val="nil"/>
            </w:tcBorders>
            <w:vAlign w:val="center"/>
          </w:tcPr>
          <w:p w14:paraId="0AD1DEED" w14:textId="77777777" w:rsidR="003D6A63" w:rsidRDefault="00000000">
            <w:pPr>
              <w:overflowPunct w:val="0"/>
              <w:adjustRightInd w:val="0"/>
              <w:snapToGrid w:val="0"/>
              <w:rPr>
                <w:kern w:val="0"/>
                <w:szCs w:val="21"/>
              </w:rPr>
            </w:pPr>
            <w:r>
              <w:rPr>
                <w:rFonts w:hint="eastAsia"/>
                <w:kern w:val="0"/>
                <w:szCs w:val="21"/>
              </w:rPr>
              <w:t>胜利油田中胜石油开发有限责任公司</w:t>
            </w:r>
            <w:r>
              <w:rPr>
                <w:kern w:val="0"/>
                <w:szCs w:val="21"/>
                <w:lang w:val="zh-CN"/>
              </w:rPr>
              <w:t>主要负责人、专职安全管理人员</w:t>
            </w:r>
            <w:r>
              <w:rPr>
                <w:kern w:val="0"/>
                <w:szCs w:val="21"/>
              </w:rPr>
              <w:t>均</w:t>
            </w:r>
            <w:r>
              <w:rPr>
                <w:kern w:val="0"/>
                <w:szCs w:val="21"/>
                <w:lang w:val="zh-CN"/>
              </w:rPr>
              <w:t>取得安全管理人员合格证，</w:t>
            </w:r>
            <w:r>
              <w:rPr>
                <w:kern w:val="0"/>
                <w:szCs w:val="21"/>
              </w:rPr>
              <w:t>合格证均在有效期内</w:t>
            </w:r>
            <w:r>
              <w:rPr>
                <w:kern w:val="0"/>
                <w:szCs w:val="21"/>
                <w:lang w:val="zh-CN"/>
              </w:rPr>
              <w:t>，</w:t>
            </w:r>
            <w:r>
              <w:rPr>
                <w:kern w:val="0"/>
                <w:szCs w:val="21"/>
              </w:rPr>
              <w:t>均未到复审日期。</w:t>
            </w:r>
          </w:p>
        </w:tc>
        <w:tc>
          <w:tcPr>
            <w:tcW w:w="461" w:type="pct"/>
            <w:vMerge w:val="restart"/>
            <w:tcBorders>
              <w:tl2br w:val="nil"/>
              <w:tr2bl w:val="nil"/>
            </w:tcBorders>
            <w:vAlign w:val="center"/>
          </w:tcPr>
          <w:p w14:paraId="3061D316" w14:textId="77777777" w:rsidR="003D6A63" w:rsidRDefault="00000000">
            <w:pPr>
              <w:overflowPunct w:val="0"/>
              <w:adjustRightInd w:val="0"/>
              <w:snapToGrid w:val="0"/>
              <w:jc w:val="center"/>
              <w:rPr>
                <w:kern w:val="0"/>
                <w:szCs w:val="21"/>
              </w:rPr>
            </w:pPr>
            <w:r>
              <w:rPr>
                <w:kern w:val="0"/>
                <w:szCs w:val="21"/>
              </w:rPr>
              <w:t>√</w:t>
            </w:r>
          </w:p>
        </w:tc>
      </w:tr>
      <w:tr w:rsidR="003D6A63" w14:paraId="3B8B901F" w14:textId="77777777">
        <w:trPr>
          <w:trHeight w:val="340"/>
          <w:jc w:val="center"/>
        </w:trPr>
        <w:tc>
          <w:tcPr>
            <w:tcW w:w="380" w:type="pct"/>
            <w:vMerge/>
            <w:tcBorders>
              <w:tl2br w:val="nil"/>
              <w:tr2bl w:val="nil"/>
            </w:tcBorders>
            <w:vAlign w:val="center"/>
          </w:tcPr>
          <w:p w14:paraId="746C2399" w14:textId="77777777" w:rsidR="003D6A63" w:rsidRDefault="003D6A63">
            <w:pPr>
              <w:numPr>
                <w:ilvl w:val="0"/>
                <w:numId w:val="21"/>
              </w:numPr>
              <w:overflowPunct w:val="0"/>
              <w:adjustRightInd w:val="0"/>
              <w:snapToGrid w:val="0"/>
              <w:jc w:val="center"/>
              <w:rPr>
                <w:kern w:val="0"/>
                <w:szCs w:val="21"/>
              </w:rPr>
            </w:pPr>
          </w:p>
        </w:tc>
        <w:tc>
          <w:tcPr>
            <w:tcW w:w="1564" w:type="pct"/>
            <w:tcBorders>
              <w:tl2br w:val="nil"/>
              <w:tr2bl w:val="nil"/>
            </w:tcBorders>
            <w:vAlign w:val="center"/>
          </w:tcPr>
          <w:p w14:paraId="739E8B15" w14:textId="77777777" w:rsidR="003D6A63" w:rsidRDefault="00000000">
            <w:pPr>
              <w:overflowPunct w:val="0"/>
              <w:adjustRightInd w:val="0"/>
              <w:snapToGrid w:val="0"/>
              <w:rPr>
                <w:kern w:val="0"/>
                <w:szCs w:val="21"/>
              </w:rPr>
            </w:pPr>
            <w:r>
              <w:rPr>
                <w:kern w:val="0"/>
                <w:szCs w:val="21"/>
              </w:rPr>
              <w:t>非煤矿山等生产经营单位主要负责人和安全生产管理人员，自任职之日起</w:t>
            </w:r>
            <w:r>
              <w:rPr>
                <w:kern w:val="0"/>
                <w:szCs w:val="21"/>
              </w:rPr>
              <w:t>6</w:t>
            </w:r>
            <w:r>
              <w:rPr>
                <w:kern w:val="0"/>
                <w:szCs w:val="21"/>
              </w:rPr>
              <w:t>个月内，必须经安全生产监管监察部门对其安全生产知识和管理能力考核合格。</w:t>
            </w:r>
          </w:p>
        </w:tc>
        <w:tc>
          <w:tcPr>
            <w:tcW w:w="1401" w:type="pct"/>
            <w:tcBorders>
              <w:tl2br w:val="nil"/>
              <w:tr2bl w:val="nil"/>
            </w:tcBorders>
            <w:vAlign w:val="center"/>
          </w:tcPr>
          <w:p w14:paraId="244A910D" w14:textId="77777777" w:rsidR="003D6A63" w:rsidRDefault="00000000">
            <w:pPr>
              <w:overflowPunct w:val="0"/>
              <w:adjustRightInd w:val="0"/>
              <w:snapToGrid w:val="0"/>
              <w:jc w:val="center"/>
              <w:rPr>
                <w:kern w:val="0"/>
                <w:szCs w:val="21"/>
              </w:rPr>
            </w:pPr>
            <w:r>
              <w:rPr>
                <w:kern w:val="0"/>
                <w:szCs w:val="21"/>
              </w:rPr>
              <w:t>《生产经营单位安全培训规定》第二十四条</w:t>
            </w:r>
          </w:p>
        </w:tc>
        <w:tc>
          <w:tcPr>
            <w:tcW w:w="1192" w:type="pct"/>
            <w:vMerge/>
            <w:tcBorders>
              <w:tl2br w:val="nil"/>
              <w:tr2bl w:val="nil"/>
            </w:tcBorders>
            <w:vAlign w:val="center"/>
          </w:tcPr>
          <w:p w14:paraId="5BAB7344" w14:textId="77777777" w:rsidR="003D6A63" w:rsidRDefault="003D6A63">
            <w:pPr>
              <w:overflowPunct w:val="0"/>
              <w:adjustRightInd w:val="0"/>
              <w:snapToGrid w:val="0"/>
              <w:jc w:val="center"/>
              <w:rPr>
                <w:kern w:val="0"/>
                <w:szCs w:val="21"/>
              </w:rPr>
            </w:pPr>
          </w:p>
        </w:tc>
        <w:tc>
          <w:tcPr>
            <w:tcW w:w="461" w:type="pct"/>
            <w:vMerge/>
            <w:tcBorders>
              <w:tl2br w:val="nil"/>
              <w:tr2bl w:val="nil"/>
            </w:tcBorders>
            <w:vAlign w:val="center"/>
          </w:tcPr>
          <w:p w14:paraId="5B71E5D9" w14:textId="77777777" w:rsidR="003D6A63" w:rsidRDefault="003D6A63">
            <w:pPr>
              <w:overflowPunct w:val="0"/>
              <w:adjustRightInd w:val="0"/>
              <w:snapToGrid w:val="0"/>
              <w:jc w:val="left"/>
              <w:rPr>
                <w:kern w:val="0"/>
                <w:szCs w:val="21"/>
              </w:rPr>
            </w:pPr>
          </w:p>
        </w:tc>
      </w:tr>
      <w:tr w:rsidR="003D6A63" w14:paraId="78BACF5E" w14:textId="77777777">
        <w:trPr>
          <w:trHeight w:val="340"/>
          <w:jc w:val="center"/>
        </w:trPr>
        <w:tc>
          <w:tcPr>
            <w:tcW w:w="380" w:type="pct"/>
            <w:vMerge/>
            <w:tcBorders>
              <w:tl2br w:val="nil"/>
              <w:tr2bl w:val="nil"/>
            </w:tcBorders>
            <w:vAlign w:val="center"/>
          </w:tcPr>
          <w:p w14:paraId="7424CA61" w14:textId="77777777" w:rsidR="003D6A63" w:rsidRDefault="003D6A63">
            <w:pPr>
              <w:numPr>
                <w:ilvl w:val="0"/>
                <w:numId w:val="21"/>
              </w:numPr>
              <w:overflowPunct w:val="0"/>
              <w:adjustRightInd w:val="0"/>
              <w:snapToGrid w:val="0"/>
              <w:jc w:val="center"/>
              <w:rPr>
                <w:kern w:val="0"/>
                <w:szCs w:val="21"/>
              </w:rPr>
            </w:pPr>
          </w:p>
        </w:tc>
        <w:tc>
          <w:tcPr>
            <w:tcW w:w="1564" w:type="pct"/>
            <w:tcBorders>
              <w:tl2br w:val="nil"/>
              <w:tr2bl w:val="nil"/>
            </w:tcBorders>
            <w:vAlign w:val="center"/>
          </w:tcPr>
          <w:p w14:paraId="4274D244" w14:textId="77777777" w:rsidR="003D6A63" w:rsidRDefault="00000000">
            <w:pPr>
              <w:overflowPunct w:val="0"/>
              <w:adjustRightInd w:val="0"/>
              <w:snapToGrid w:val="0"/>
              <w:rPr>
                <w:kern w:val="0"/>
                <w:szCs w:val="21"/>
              </w:rPr>
            </w:pPr>
            <w:r>
              <w:rPr>
                <w:kern w:val="0"/>
                <w:szCs w:val="21"/>
              </w:rPr>
              <w:t>主要负责人和安全生产管理人员经安全生产监督管理部门考核合格，取得安全合格证书。</w:t>
            </w:r>
          </w:p>
        </w:tc>
        <w:tc>
          <w:tcPr>
            <w:tcW w:w="1401" w:type="pct"/>
            <w:tcBorders>
              <w:tl2br w:val="nil"/>
              <w:tr2bl w:val="nil"/>
            </w:tcBorders>
            <w:vAlign w:val="center"/>
          </w:tcPr>
          <w:p w14:paraId="16B34B41" w14:textId="77777777" w:rsidR="003D6A63" w:rsidRDefault="00000000">
            <w:pPr>
              <w:overflowPunct w:val="0"/>
              <w:adjustRightInd w:val="0"/>
              <w:snapToGrid w:val="0"/>
              <w:jc w:val="center"/>
              <w:rPr>
                <w:kern w:val="0"/>
                <w:szCs w:val="21"/>
              </w:rPr>
            </w:pPr>
            <w:r>
              <w:rPr>
                <w:kern w:val="0"/>
                <w:szCs w:val="21"/>
              </w:rPr>
              <w:t>《非煤矿矿山企业安全生产许可证实施办法》</w:t>
            </w:r>
          </w:p>
          <w:p w14:paraId="775ABA34" w14:textId="77777777" w:rsidR="003D6A63" w:rsidRDefault="00000000">
            <w:pPr>
              <w:overflowPunct w:val="0"/>
              <w:adjustRightInd w:val="0"/>
              <w:snapToGrid w:val="0"/>
              <w:jc w:val="center"/>
              <w:rPr>
                <w:kern w:val="0"/>
                <w:szCs w:val="21"/>
              </w:rPr>
            </w:pPr>
            <w:r>
              <w:rPr>
                <w:kern w:val="0"/>
                <w:szCs w:val="21"/>
              </w:rPr>
              <w:t>第六条</w:t>
            </w:r>
          </w:p>
        </w:tc>
        <w:tc>
          <w:tcPr>
            <w:tcW w:w="1192" w:type="pct"/>
            <w:vMerge/>
            <w:tcBorders>
              <w:tl2br w:val="nil"/>
              <w:tr2bl w:val="nil"/>
            </w:tcBorders>
            <w:vAlign w:val="center"/>
          </w:tcPr>
          <w:p w14:paraId="6EA64291" w14:textId="77777777" w:rsidR="003D6A63" w:rsidRDefault="003D6A63">
            <w:pPr>
              <w:overflowPunct w:val="0"/>
              <w:adjustRightInd w:val="0"/>
              <w:snapToGrid w:val="0"/>
              <w:jc w:val="center"/>
              <w:rPr>
                <w:kern w:val="0"/>
                <w:szCs w:val="21"/>
              </w:rPr>
            </w:pPr>
          </w:p>
        </w:tc>
        <w:tc>
          <w:tcPr>
            <w:tcW w:w="461" w:type="pct"/>
            <w:vMerge/>
            <w:tcBorders>
              <w:tl2br w:val="nil"/>
              <w:tr2bl w:val="nil"/>
            </w:tcBorders>
            <w:vAlign w:val="center"/>
          </w:tcPr>
          <w:p w14:paraId="7B54A13E" w14:textId="77777777" w:rsidR="003D6A63" w:rsidRDefault="003D6A63">
            <w:pPr>
              <w:overflowPunct w:val="0"/>
              <w:adjustRightInd w:val="0"/>
              <w:snapToGrid w:val="0"/>
              <w:jc w:val="left"/>
              <w:rPr>
                <w:kern w:val="0"/>
                <w:szCs w:val="21"/>
              </w:rPr>
            </w:pPr>
          </w:p>
        </w:tc>
      </w:tr>
      <w:tr w:rsidR="003D6A63" w14:paraId="379EDEE2" w14:textId="77777777">
        <w:trPr>
          <w:trHeight w:val="340"/>
          <w:jc w:val="center"/>
        </w:trPr>
        <w:tc>
          <w:tcPr>
            <w:tcW w:w="380" w:type="pct"/>
            <w:vMerge w:val="restart"/>
            <w:tcBorders>
              <w:tl2br w:val="nil"/>
              <w:tr2bl w:val="nil"/>
            </w:tcBorders>
            <w:vAlign w:val="center"/>
          </w:tcPr>
          <w:p w14:paraId="31B22F21" w14:textId="77777777" w:rsidR="003D6A63" w:rsidRDefault="00000000">
            <w:pPr>
              <w:overflowPunct w:val="0"/>
              <w:adjustRightInd w:val="0"/>
              <w:snapToGrid w:val="0"/>
              <w:jc w:val="center"/>
              <w:rPr>
                <w:kern w:val="0"/>
                <w:szCs w:val="21"/>
              </w:rPr>
            </w:pPr>
            <w:r>
              <w:rPr>
                <w:rFonts w:hint="eastAsia"/>
                <w:kern w:val="0"/>
                <w:szCs w:val="21"/>
              </w:rPr>
              <w:t>13</w:t>
            </w:r>
          </w:p>
        </w:tc>
        <w:tc>
          <w:tcPr>
            <w:tcW w:w="1564" w:type="pct"/>
            <w:tcBorders>
              <w:tl2br w:val="nil"/>
              <w:tr2bl w:val="nil"/>
            </w:tcBorders>
            <w:vAlign w:val="center"/>
          </w:tcPr>
          <w:p w14:paraId="1BC6C0B5" w14:textId="77777777" w:rsidR="003D6A63" w:rsidRDefault="00000000">
            <w:pPr>
              <w:overflowPunct w:val="0"/>
              <w:adjustRightInd w:val="0"/>
              <w:snapToGrid w:val="0"/>
              <w:rPr>
                <w:kern w:val="0"/>
                <w:szCs w:val="21"/>
              </w:rPr>
            </w:pPr>
            <w:r>
              <w:rPr>
                <w:kern w:val="0"/>
                <w:szCs w:val="21"/>
              </w:rPr>
              <w:t>特种作业人员应当接受与其所从事的特种作业相应的安全技术理论培训和实际操作培训，取得特种作业相关合格证书后，方可上岗作业。</w:t>
            </w:r>
          </w:p>
        </w:tc>
        <w:tc>
          <w:tcPr>
            <w:tcW w:w="1401" w:type="pct"/>
            <w:tcBorders>
              <w:tl2br w:val="nil"/>
              <w:tr2bl w:val="nil"/>
            </w:tcBorders>
            <w:vAlign w:val="center"/>
          </w:tcPr>
          <w:p w14:paraId="32DBB0AD" w14:textId="77777777" w:rsidR="003D6A63" w:rsidRDefault="00000000">
            <w:pPr>
              <w:overflowPunct w:val="0"/>
              <w:adjustRightInd w:val="0"/>
              <w:snapToGrid w:val="0"/>
              <w:jc w:val="center"/>
              <w:rPr>
                <w:kern w:val="0"/>
                <w:szCs w:val="21"/>
              </w:rPr>
            </w:pPr>
            <w:r>
              <w:rPr>
                <w:kern w:val="0"/>
                <w:szCs w:val="21"/>
              </w:rPr>
              <w:t>《山东省安全生产条例》第二十七条</w:t>
            </w:r>
          </w:p>
        </w:tc>
        <w:tc>
          <w:tcPr>
            <w:tcW w:w="1192" w:type="pct"/>
            <w:vMerge w:val="restart"/>
            <w:tcBorders>
              <w:tl2br w:val="nil"/>
              <w:tr2bl w:val="nil"/>
            </w:tcBorders>
            <w:vAlign w:val="center"/>
          </w:tcPr>
          <w:p w14:paraId="3115BD48" w14:textId="77777777" w:rsidR="003D6A63" w:rsidRDefault="00000000">
            <w:pPr>
              <w:overflowPunct w:val="0"/>
              <w:adjustRightInd w:val="0"/>
              <w:snapToGrid w:val="0"/>
              <w:rPr>
                <w:kern w:val="0"/>
                <w:szCs w:val="21"/>
              </w:rPr>
            </w:pPr>
            <w:r>
              <w:rPr>
                <w:rFonts w:hint="eastAsia"/>
                <w:kern w:val="0"/>
                <w:szCs w:val="21"/>
              </w:rPr>
              <w:t>胜利油田中胜石油开发有限责任公司委托专业化公司进行特种作业，与专业化公司签订有安全协议，专业化公司特种作业人员，均</w:t>
            </w:r>
            <w:r>
              <w:rPr>
                <w:kern w:val="0"/>
                <w:szCs w:val="21"/>
              </w:rPr>
              <w:t>已取得作业合格证书，均在有效期内。</w:t>
            </w:r>
          </w:p>
        </w:tc>
        <w:tc>
          <w:tcPr>
            <w:tcW w:w="461" w:type="pct"/>
            <w:vMerge w:val="restart"/>
            <w:tcBorders>
              <w:tl2br w:val="nil"/>
              <w:tr2bl w:val="nil"/>
            </w:tcBorders>
            <w:vAlign w:val="center"/>
          </w:tcPr>
          <w:p w14:paraId="2A0B443B" w14:textId="77777777" w:rsidR="003D6A63" w:rsidRDefault="00000000">
            <w:pPr>
              <w:overflowPunct w:val="0"/>
              <w:adjustRightInd w:val="0"/>
              <w:snapToGrid w:val="0"/>
              <w:jc w:val="center"/>
              <w:rPr>
                <w:kern w:val="0"/>
                <w:szCs w:val="21"/>
              </w:rPr>
            </w:pPr>
            <w:r>
              <w:rPr>
                <w:kern w:val="0"/>
                <w:szCs w:val="21"/>
              </w:rPr>
              <w:t>√</w:t>
            </w:r>
          </w:p>
          <w:p w14:paraId="0D455371" w14:textId="77777777" w:rsidR="003D6A63" w:rsidRDefault="003D6A63">
            <w:pPr>
              <w:overflowPunct w:val="0"/>
              <w:adjustRightInd w:val="0"/>
              <w:snapToGrid w:val="0"/>
              <w:jc w:val="center"/>
              <w:rPr>
                <w:kern w:val="0"/>
                <w:szCs w:val="21"/>
              </w:rPr>
            </w:pPr>
          </w:p>
        </w:tc>
      </w:tr>
      <w:tr w:rsidR="003D6A63" w14:paraId="606731C4" w14:textId="77777777">
        <w:trPr>
          <w:trHeight w:val="340"/>
          <w:jc w:val="center"/>
        </w:trPr>
        <w:tc>
          <w:tcPr>
            <w:tcW w:w="380" w:type="pct"/>
            <w:vMerge/>
            <w:tcBorders>
              <w:tl2br w:val="nil"/>
              <w:tr2bl w:val="nil"/>
            </w:tcBorders>
            <w:vAlign w:val="center"/>
          </w:tcPr>
          <w:p w14:paraId="64D94CDB" w14:textId="77777777" w:rsidR="003D6A63" w:rsidRDefault="003D6A63">
            <w:pPr>
              <w:numPr>
                <w:ilvl w:val="0"/>
                <w:numId w:val="21"/>
              </w:numPr>
              <w:overflowPunct w:val="0"/>
              <w:adjustRightInd w:val="0"/>
              <w:snapToGrid w:val="0"/>
              <w:jc w:val="center"/>
              <w:rPr>
                <w:kern w:val="0"/>
                <w:szCs w:val="21"/>
              </w:rPr>
            </w:pPr>
          </w:p>
        </w:tc>
        <w:tc>
          <w:tcPr>
            <w:tcW w:w="1564" w:type="pct"/>
            <w:tcBorders>
              <w:tl2br w:val="nil"/>
              <w:tr2bl w:val="nil"/>
            </w:tcBorders>
            <w:vAlign w:val="center"/>
          </w:tcPr>
          <w:p w14:paraId="7F6655B5" w14:textId="77777777" w:rsidR="003D6A63" w:rsidRDefault="00000000">
            <w:pPr>
              <w:overflowPunct w:val="0"/>
              <w:adjustRightInd w:val="0"/>
              <w:snapToGrid w:val="0"/>
              <w:rPr>
                <w:kern w:val="0"/>
                <w:szCs w:val="21"/>
              </w:rPr>
            </w:pPr>
            <w:r>
              <w:rPr>
                <w:kern w:val="0"/>
                <w:szCs w:val="21"/>
              </w:rPr>
              <w:t>特种作业人员经有关业务主管部门考核合格，取得特种作业操作合格证书。</w:t>
            </w:r>
          </w:p>
        </w:tc>
        <w:tc>
          <w:tcPr>
            <w:tcW w:w="1401" w:type="pct"/>
            <w:tcBorders>
              <w:tl2br w:val="nil"/>
              <w:tr2bl w:val="nil"/>
            </w:tcBorders>
            <w:vAlign w:val="center"/>
          </w:tcPr>
          <w:p w14:paraId="13F2ED07" w14:textId="77777777" w:rsidR="003D6A63" w:rsidRDefault="00000000">
            <w:pPr>
              <w:overflowPunct w:val="0"/>
              <w:adjustRightInd w:val="0"/>
              <w:snapToGrid w:val="0"/>
              <w:jc w:val="center"/>
              <w:rPr>
                <w:kern w:val="0"/>
                <w:szCs w:val="21"/>
              </w:rPr>
            </w:pPr>
            <w:r>
              <w:rPr>
                <w:kern w:val="0"/>
                <w:szCs w:val="21"/>
              </w:rPr>
              <w:t>《非煤矿矿山企业安全生产许可证实施办法》</w:t>
            </w:r>
          </w:p>
          <w:p w14:paraId="697BEB26" w14:textId="77777777" w:rsidR="003D6A63" w:rsidRDefault="00000000">
            <w:pPr>
              <w:overflowPunct w:val="0"/>
              <w:adjustRightInd w:val="0"/>
              <w:snapToGrid w:val="0"/>
              <w:jc w:val="center"/>
              <w:rPr>
                <w:kern w:val="0"/>
                <w:szCs w:val="21"/>
              </w:rPr>
            </w:pPr>
            <w:r>
              <w:rPr>
                <w:kern w:val="0"/>
                <w:szCs w:val="21"/>
              </w:rPr>
              <w:t>第六条</w:t>
            </w:r>
          </w:p>
        </w:tc>
        <w:tc>
          <w:tcPr>
            <w:tcW w:w="1192" w:type="pct"/>
            <w:vMerge/>
            <w:tcBorders>
              <w:tl2br w:val="nil"/>
              <w:tr2bl w:val="nil"/>
            </w:tcBorders>
            <w:vAlign w:val="center"/>
          </w:tcPr>
          <w:p w14:paraId="51F90731" w14:textId="77777777" w:rsidR="003D6A63" w:rsidRDefault="003D6A63">
            <w:pPr>
              <w:overflowPunct w:val="0"/>
              <w:adjustRightInd w:val="0"/>
              <w:snapToGrid w:val="0"/>
              <w:jc w:val="center"/>
              <w:rPr>
                <w:kern w:val="0"/>
                <w:szCs w:val="21"/>
              </w:rPr>
            </w:pPr>
          </w:p>
        </w:tc>
        <w:tc>
          <w:tcPr>
            <w:tcW w:w="461" w:type="pct"/>
            <w:vMerge/>
            <w:tcBorders>
              <w:tl2br w:val="nil"/>
              <w:tr2bl w:val="nil"/>
            </w:tcBorders>
            <w:vAlign w:val="center"/>
          </w:tcPr>
          <w:p w14:paraId="5995BC57" w14:textId="77777777" w:rsidR="003D6A63" w:rsidRDefault="003D6A63">
            <w:pPr>
              <w:overflowPunct w:val="0"/>
              <w:adjustRightInd w:val="0"/>
              <w:snapToGrid w:val="0"/>
              <w:jc w:val="center"/>
              <w:rPr>
                <w:kern w:val="0"/>
                <w:szCs w:val="21"/>
              </w:rPr>
            </w:pPr>
          </w:p>
        </w:tc>
      </w:tr>
      <w:tr w:rsidR="003D6A63" w14:paraId="2BF4103F" w14:textId="77777777">
        <w:trPr>
          <w:trHeight w:val="340"/>
          <w:jc w:val="center"/>
        </w:trPr>
        <w:tc>
          <w:tcPr>
            <w:tcW w:w="380" w:type="pct"/>
            <w:tcBorders>
              <w:tl2br w:val="nil"/>
              <w:tr2bl w:val="nil"/>
            </w:tcBorders>
            <w:vAlign w:val="center"/>
          </w:tcPr>
          <w:p w14:paraId="71ED1613" w14:textId="77777777" w:rsidR="003D6A63" w:rsidRDefault="00000000">
            <w:pPr>
              <w:overflowPunct w:val="0"/>
              <w:adjustRightInd w:val="0"/>
              <w:snapToGrid w:val="0"/>
              <w:jc w:val="center"/>
              <w:rPr>
                <w:kern w:val="0"/>
                <w:szCs w:val="21"/>
              </w:rPr>
            </w:pPr>
            <w:r>
              <w:rPr>
                <w:rFonts w:hint="eastAsia"/>
                <w:kern w:val="0"/>
                <w:szCs w:val="21"/>
              </w:rPr>
              <w:t>14</w:t>
            </w:r>
          </w:p>
        </w:tc>
        <w:tc>
          <w:tcPr>
            <w:tcW w:w="1564" w:type="pct"/>
            <w:tcBorders>
              <w:tl2br w:val="nil"/>
              <w:tr2bl w:val="nil"/>
            </w:tcBorders>
            <w:vAlign w:val="center"/>
          </w:tcPr>
          <w:p w14:paraId="2F74C9FE" w14:textId="77777777" w:rsidR="003D6A63" w:rsidRDefault="00000000">
            <w:pPr>
              <w:overflowPunct w:val="0"/>
              <w:adjustRightInd w:val="0"/>
              <w:snapToGrid w:val="0"/>
              <w:rPr>
                <w:kern w:val="0"/>
                <w:szCs w:val="21"/>
              </w:rPr>
            </w:pPr>
            <w:r>
              <w:rPr>
                <w:kern w:val="0"/>
                <w:szCs w:val="21"/>
              </w:rPr>
              <w:t>在含硫化氢的油气田进行施工作业和油气生产前，所有生产作业人员包括现场监督人员应接受硫化氢防护的培训，培训应包括课堂培训和现场培训，由有资质的培训机构进行，培训时间应达到相应要求。应对临时人员和其他非定期派遣人员进行硫化氢防护知识的教育。</w:t>
            </w:r>
          </w:p>
        </w:tc>
        <w:tc>
          <w:tcPr>
            <w:tcW w:w="1401" w:type="pct"/>
            <w:tcBorders>
              <w:tl2br w:val="nil"/>
              <w:tr2bl w:val="nil"/>
            </w:tcBorders>
            <w:vAlign w:val="center"/>
          </w:tcPr>
          <w:p w14:paraId="2E75EF1D" w14:textId="77777777" w:rsidR="003D6A63" w:rsidRDefault="00000000">
            <w:pPr>
              <w:overflowPunct w:val="0"/>
              <w:adjustRightInd w:val="0"/>
              <w:snapToGrid w:val="0"/>
              <w:jc w:val="center"/>
              <w:rPr>
                <w:kern w:val="0"/>
                <w:szCs w:val="21"/>
              </w:rPr>
            </w:pPr>
            <w:r>
              <w:rPr>
                <w:kern w:val="0"/>
                <w:szCs w:val="21"/>
              </w:rPr>
              <w:t>《石油天然气安全规程》（</w:t>
            </w:r>
            <w:r>
              <w:rPr>
                <w:kern w:val="0"/>
                <w:szCs w:val="21"/>
              </w:rPr>
              <w:t>AQ2012-2007</w:t>
            </w:r>
            <w:r>
              <w:rPr>
                <w:kern w:val="0"/>
                <w:szCs w:val="21"/>
              </w:rPr>
              <w:t>）</w:t>
            </w:r>
          </w:p>
          <w:p w14:paraId="7D62FD34" w14:textId="77777777" w:rsidR="003D6A63" w:rsidRDefault="00000000">
            <w:pPr>
              <w:overflowPunct w:val="0"/>
              <w:adjustRightInd w:val="0"/>
              <w:snapToGrid w:val="0"/>
              <w:jc w:val="center"/>
              <w:rPr>
                <w:kern w:val="0"/>
                <w:szCs w:val="21"/>
              </w:rPr>
            </w:pPr>
            <w:r>
              <w:rPr>
                <w:kern w:val="0"/>
                <w:szCs w:val="21"/>
              </w:rPr>
              <w:t>4.5.1</w:t>
            </w:r>
          </w:p>
        </w:tc>
        <w:tc>
          <w:tcPr>
            <w:tcW w:w="1192" w:type="pct"/>
            <w:tcBorders>
              <w:tl2br w:val="nil"/>
              <w:tr2bl w:val="nil"/>
            </w:tcBorders>
            <w:vAlign w:val="center"/>
          </w:tcPr>
          <w:p w14:paraId="5998B3A4" w14:textId="77777777" w:rsidR="003D6A63" w:rsidRDefault="00000000">
            <w:pPr>
              <w:overflowPunct w:val="0"/>
              <w:adjustRightInd w:val="0"/>
              <w:snapToGrid w:val="0"/>
              <w:rPr>
                <w:kern w:val="0"/>
                <w:szCs w:val="21"/>
              </w:rPr>
            </w:pPr>
            <w:r>
              <w:rPr>
                <w:rFonts w:hint="eastAsia"/>
                <w:kern w:val="0"/>
                <w:szCs w:val="21"/>
              </w:rPr>
              <w:t>中胜公司油气开发区块不涉及硫化氢。</w:t>
            </w:r>
          </w:p>
        </w:tc>
        <w:tc>
          <w:tcPr>
            <w:tcW w:w="461" w:type="pct"/>
            <w:tcBorders>
              <w:tl2br w:val="nil"/>
              <w:tr2bl w:val="nil"/>
            </w:tcBorders>
            <w:vAlign w:val="center"/>
          </w:tcPr>
          <w:p w14:paraId="52308F3E" w14:textId="77777777" w:rsidR="003D6A63" w:rsidRDefault="00000000">
            <w:pPr>
              <w:overflowPunct w:val="0"/>
              <w:adjustRightInd w:val="0"/>
              <w:snapToGrid w:val="0"/>
              <w:jc w:val="center"/>
              <w:rPr>
                <w:kern w:val="0"/>
                <w:szCs w:val="21"/>
              </w:rPr>
            </w:pPr>
            <w:r>
              <w:rPr>
                <w:kern w:val="0"/>
                <w:szCs w:val="21"/>
              </w:rPr>
              <w:t>√</w:t>
            </w:r>
          </w:p>
        </w:tc>
      </w:tr>
      <w:tr w:rsidR="003D6A63" w14:paraId="60FC4247" w14:textId="77777777">
        <w:trPr>
          <w:trHeight w:val="340"/>
          <w:jc w:val="center"/>
        </w:trPr>
        <w:tc>
          <w:tcPr>
            <w:tcW w:w="5000" w:type="pct"/>
            <w:gridSpan w:val="5"/>
            <w:tcBorders>
              <w:tl2br w:val="nil"/>
              <w:tr2bl w:val="nil"/>
            </w:tcBorders>
            <w:vAlign w:val="center"/>
          </w:tcPr>
          <w:p w14:paraId="4D2008BE" w14:textId="77777777" w:rsidR="003D6A63" w:rsidRDefault="00000000">
            <w:pPr>
              <w:overflowPunct w:val="0"/>
              <w:adjustRightInd w:val="0"/>
              <w:snapToGrid w:val="0"/>
              <w:jc w:val="center"/>
              <w:rPr>
                <w:b/>
                <w:bCs/>
                <w:kern w:val="0"/>
                <w:szCs w:val="21"/>
              </w:rPr>
            </w:pPr>
            <w:r>
              <w:rPr>
                <w:b/>
                <w:bCs/>
                <w:kern w:val="0"/>
                <w:szCs w:val="21"/>
              </w:rPr>
              <w:lastRenderedPageBreak/>
              <w:t>六、安全教育培训</w:t>
            </w:r>
          </w:p>
        </w:tc>
      </w:tr>
      <w:tr w:rsidR="003D6A63" w14:paraId="5E2566DC" w14:textId="77777777">
        <w:trPr>
          <w:trHeight w:val="340"/>
          <w:jc w:val="center"/>
        </w:trPr>
        <w:tc>
          <w:tcPr>
            <w:tcW w:w="380" w:type="pct"/>
            <w:tcBorders>
              <w:tl2br w:val="nil"/>
              <w:tr2bl w:val="nil"/>
            </w:tcBorders>
            <w:vAlign w:val="center"/>
          </w:tcPr>
          <w:p w14:paraId="48879527" w14:textId="77777777" w:rsidR="003D6A63" w:rsidRDefault="00000000">
            <w:pPr>
              <w:overflowPunct w:val="0"/>
              <w:adjustRightInd w:val="0"/>
              <w:snapToGrid w:val="0"/>
              <w:jc w:val="center"/>
              <w:rPr>
                <w:kern w:val="0"/>
                <w:szCs w:val="21"/>
              </w:rPr>
            </w:pPr>
            <w:r>
              <w:rPr>
                <w:rFonts w:hint="eastAsia"/>
                <w:kern w:val="0"/>
                <w:szCs w:val="21"/>
              </w:rPr>
              <w:t>15</w:t>
            </w:r>
          </w:p>
        </w:tc>
        <w:tc>
          <w:tcPr>
            <w:tcW w:w="1564" w:type="pct"/>
            <w:tcBorders>
              <w:tl2br w:val="nil"/>
              <w:tr2bl w:val="nil"/>
            </w:tcBorders>
            <w:vAlign w:val="center"/>
          </w:tcPr>
          <w:p w14:paraId="1471E092" w14:textId="77777777" w:rsidR="003D6A63" w:rsidRDefault="00000000">
            <w:pPr>
              <w:overflowPunct w:val="0"/>
              <w:adjustRightInd w:val="0"/>
              <w:snapToGrid w:val="0"/>
              <w:rPr>
                <w:kern w:val="0"/>
                <w:szCs w:val="21"/>
              </w:rPr>
            </w:pPr>
            <w:r>
              <w:rPr>
                <w:kern w:val="0"/>
                <w:szCs w:val="21"/>
              </w:rPr>
              <w:t>生产经营单位应当定期对从业人员进行安全生产教育和培训。从业人员未经安全生产教育和培训合格，不得上岗作业。</w:t>
            </w:r>
          </w:p>
        </w:tc>
        <w:tc>
          <w:tcPr>
            <w:tcW w:w="1401" w:type="pct"/>
            <w:tcBorders>
              <w:tl2br w:val="nil"/>
              <w:tr2bl w:val="nil"/>
            </w:tcBorders>
            <w:vAlign w:val="center"/>
          </w:tcPr>
          <w:p w14:paraId="6FC10DFD" w14:textId="77777777" w:rsidR="003D6A63" w:rsidRDefault="00000000">
            <w:pPr>
              <w:overflowPunct w:val="0"/>
              <w:adjustRightInd w:val="0"/>
              <w:snapToGrid w:val="0"/>
              <w:jc w:val="center"/>
              <w:rPr>
                <w:kern w:val="0"/>
                <w:szCs w:val="21"/>
              </w:rPr>
            </w:pPr>
            <w:r>
              <w:rPr>
                <w:kern w:val="0"/>
                <w:szCs w:val="21"/>
              </w:rPr>
              <w:t>《山东省安全生产条例》第二十七条</w:t>
            </w:r>
          </w:p>
        </w:tc>
        <w:tc>
          <w:tcPr>
            <w:tcW w:w="1192" w:type="pct"/>
            <w:tcBorders>
              <w:tl2br w:val="nil"/>
              <w:tr2bl w:val="nil"/>
            </w:tcBorders>
            <w:vAlign w:val="center"/>
          </w:tcPr>
          <w:p w14:paraId="5C4291A7" w14:textId="77777777" w:rsidR="003D6A63" w:rsidRDefault="00000000">
            <w:pPr>
              <w:overflowPunct w:val="0"/>
              <w:adjustRightInd w:val="0"/>
              <w:snapToGrid w:val="0"/>
              <w:rPr>
                <w:kern w:val="0"/>
                <w:szCs w:val="21"/>
              </w:rPr>
            </w:pPr>
            <w:r>
              <w:rPr>
                <w:rFonts w:hint="eastAsia"/>
                <w:kern w:val="0"/>
                <w:szCs w:val="21"/>
                <w:lang w:bidi="ar"/>
              </w:rPr>
              <w:t>胜利油田中胜石油开发有限责任公司</w:t>
            </w:r>
            <w:r>
              <w:rPr>
                <w:kern w:val="0"/>
                <w:szCs w:val="21"/>
              </w:rPr>
              <w:t>定期对从业人员进行安全生产教育和培训。</w:t>
            </w:r>
          </w:p>
        </w:tc>
        <w:tc>
          <w:tcPr>
            <w:tcW w:w="461" w:type="pct"/>
            <w:tcBorders>
              <w:tl2br w:val="nil"/>
              <w:tr2bl w:val="nil"/>
            </w:tcBorders>
            <w:vAlign w:val="center"/>
          </w:tcPr>
          <w:p w14:paraId="00DA9F7E" w14:textId="77777777" w:rsidR="003D6A63" w:rsidRDefault="00000000">
            <w:pPr>
              <w:overflowPunct w:val="0"/>
              <w:adjustRightInd w:val="0"/>
              <w:snapToGrid w:val="0"/>
              <w:jc w:val="center"/>
              <w:rPr>
                <w:kern w:val="0"/>
                <w:szCs w:val="21"/>
              </w:rPr>
            </w:pPr>
            <w:r>
              <w:rPr>
                <w:kern w:val="0"/>
                <w:szCs w:val="21"/>
              </w:rPr>
              <w:t>√</w:t>
            </w:r>
          </w:p>
        </w:tc>
      </w:tr>
      <w:tr w:rsidR="003D6A63" w14:paraId="6B4ADF58" w14:textId="77777777">
        <w:trPr>
          <w:trHeight w:val="340"/>
          <w:jc w:val="center"/>
        </w:trPr>
        <w:tc>
          <w:tcPr>
            <w:tcW w:w="380" w:type="pct"/>
            <w:tcBorders>
              <w:tl2br w:val="nil"/>
              <w:tr2bl w:val="nil"/>
            </w:tcBorders>
            <w:vAlign w:val="center"/>
          </w:tcPr>
          <w:p w14:paraId="5BE7E7B4" w14:textId="77777777" w:rsidR="003D6A63" w:rsidRDefault="00000000">
            <w:pPr>
              <w:overflowPunct w:val="0"/>
              <w:adjustRightInd w:val="0"/>
              <w:snapToGrid w:val="0"/>
              <w:jc w:val="center"/>
              <w:rPr>
                <w:kern w:val="0"/>
                <w:szCs w:val="21"/>
              </w:rPr>
            </w:pPr>
            <w:r>
              <w:rPr>
                <w:rFonts w:hint="eastAsia"/>
                <w:kern w:val="0"/>
                <w:szCs w:val="21"/>
              </w:rPr>
              <w:t>16</w:t>
            </w:r>
          </w:p>
        </w:tc>
        <w:tc>
          <w:tcPr>
            <w:tcW w:w="1564" w:type="pct"/>
            <w:tcBorders>
              <w:tl2br w:val="nil"/>
              <w:tr2bl w:val="nil"/>
            </w:tcBorders>
            <w:vAlign w:val="center"/>
          </w:tcPr>
          <w:p w14:paraId="6AB0CB44" w14:textId="77777777" w:rsidR="003D6A63" w:rsidRDefault="00000000">
            <w:pPr>
              <w:overflowPunct w:val="0"/>
              <w:adjustRightInd w:val="0"/>
              <w:snapToGrid w:val="0"/>
              <w:rPr>
                <w:kern w:val="0"/>
                <w:szCs w:val="21"/>
              </w:rPr>
            </w:pPr>
            <w:r>
              <w:rPr>
                <w:kern w:val="0"/>
                <w:szCs w:val="21"/>
              </w:rPr>
              <w:t>煤矿、非煤矿山、危险化学品、烟花爆竹、金属冶炼等生产经营单位新上岗的从业人员安全培训时间不得少于</w:t>
            </w:r>
            <w:r>
              <w:rPr>
                <w:kern w:val="0"/>
                <w:szCs w:val="21"/>
              </w:rPr>
              <w:t>72</w:t>
            </w:r>
            <w:r>
              <w:rPr>
                <w:kern w:val="0"/>
                <w:szCs w:val="21"/>
              </w:rPr>
              <w:t>学时，每年再培训的时间不得少于</w:t>
            </w:r>
            <w:r>
              <w:rPr>
                <w:kern w:val="0"/>
                <w:szCs w:val="21"/>
              </w:rPr>
              <w:t>20</w:t>
            </w:r>
            <w:r>
              <w:rPr>
                <w:kern w:val="0"/>
                <w:szCs w:val="21"/>
              </w:rPr>
              <w:t>学时。</w:t>
            </w:r>
          </w:p>
        </w:tc>
        <w:tc>
          <w:tcPr>
            <w:tcW w:w="1401" w:type="pct"/>
            <w:tcBorders>
              <w:tl2br w:val="nil"/>
              <w:tr2bl w:val="nil"/>
            </w:tcBorders>
            <w:vAlign w:val="center"/>
          </w:tcPr>
          <w:p w14:paraId="1B72D89B" w14:textId="77777777" w:rsidR="003D6A63" w:rsidRDefault="00000000">
            <w:pPr>
              <w:overflowPunct w:val="0"/>
              <w:adjustRightInd w:val="0"/>
              <w:snapToGrid w:val="0"/>
              <w:jc w:val="center"/>
              <w:rPr>
                <w:kern w:val="0"/>
                <w:szCs w:val="21"/>
              </w:rPr>
            </w:pPr>
            <w:r>
              <w:rPr>
                <w:kern w:val="0"/>
                <w:szCs w:val="21"/>
              </w:rPr>
              <w:t>《生产经营单位安全培训规定》</w:t>
            </w:r>
          </w:p>
          <w:p w14:paraId="1FEC712D" w14:textId="77777777" w:rsidR="003D6A63" w:rsidRDefault="00000000">
            <w:pPr>
              <w:overflowPunct w:val="0"/>
              <w:adjustRightInd w:val="0"/>
              <w:snapToGrid w:val="0"/>
              <w:jc w:val="center"/>
              <w:rPr>
                <w:kern w:val="0"/>
                <w:szCs w:val="21"/>
              </w:rPr>
            </w:pPr>
            <w:r>
              <w:rPr>
                <w:kern w:val="0"/>
                <w:szCs w:val="21"/>
              </w:rPr>
              <w:t>第十三条</w:t>
            </w:r>
          </w:p>
        </w:tc>
        <w:tc>
          <w:tcPr>
            <w:tcW w:w="1192" w:type="pct"/>
            <w:tcBorders>
              <w:tl2br w:val="nil"/>
              <w:tr2bl w:val="nil"/>
            </w:tcBorders>
            <w:vAlign w:val="center"/>
          </w:tcPr>
          <w:p w14:paraId="4CBE8E09" w14:textId="77777777" w:rsidR="003D6A63" w:rsidRDefault="00000000">
            <w:pPr>
              <w:overflowPunct w:val="0"/>
              <w:adjustRightInd w:val="0"/>
              <w:snapToGrid w:val="0"/>
              <w:rPr>
                <w:color w:val="FF0000"/>
                <w:kern w:val="0"/>
                <w:szCs w:val="21"/>
              </w:rPr>
            </w:pPr>
            <w:r>
              <w:rPr>
                <w:color w:val="000000"/>
                <w:kern w:val="0"/>
                <w:szCs w:val="21"/>
              </w:rPr>
              <w:t>新员工培训时间</w:t>
            </w:r>
            <w:r>
              <w:rPr>
                <w:rFonts w:hint="eastAsia"/>
                <w:color w:val="000000"/>
                <w:kern w:val="0"/>
                <w:szCs w:val="21"/>
              </w:rPr>
              <w:t>三级培训学时</w:t>
            </w:r>
            <w:r>
              <w:rPr>
                <w:rFonts w:hint="eastAsia"/>
                <w:color w:val="000000"/>
                <w:kern w:val="0"/>
                <w:szCs w:val="21"/>
              </w:rPr>
              <w:t>72</w:t>
            </w:r>
            <w:r>
              <w:rPr>
                <w:rFonts w:hint="eastAsia"/>
                <w:color w:val="000000"/>
                <w:kern w:val="0"/>
                <w:szCs w:val="21"/>
              </w:rPr>
              <w:t>学时</w:t>
            </w:r>
            <w:r>
              <w:rPr>
                <w:color w:val="000000"/>
                <w:kern w:val="0"/>
                <w:szCs w:val="21"/>
              </w:rPr>
              <w:t>。</w:t>
            </w:r>
          </w:p>
        </w:tc>
        <w:tc>
          <w:tcPr>
            <w:tcW w:w="461" w:type="pct"/>
            <w:tcBorders>
              <w:tl2br w:val="nil"/>
              <w:tr2bl w:val="nil"/>
            </w:tcBorders>
            <w:vAlign w:val="center"/>
          </w:tcPr>
          <w:p w14:paraId="455BBC12" w14:textId="77777777" w:rsidR="003D6A63" w:rsidRDefault="00000000">
            <w:pPr>
              <w:overflowPunct w:val="0"/>
              <w:adjustRightInd w:val="0"/>
              <w:snapToGrid w:val="0"/>
              <w:jc w:val="center"/>
              <w:rPr>
                <w:kern w:val="0"/>
                <w:szCs w:val="21"/>
              </w:rPr>
            </w:pPr>
            <w:r>
              <w:rPr>
                <w:kern w:val="0"/>
                <w:szCs w:val="21"/>
              </w:rPr>
              <w:t>√</w:t>
            </w:r>
          </w:p>
        </w:tc>
      </w:tr>
      <w:tr w:rsidR="003D6A63" w14:paraId="69837F52" w14:textId="77777777">
        <w:trPr>
          <w:trHeight w:val="340"/>
          <w:jc w:val="center"/>
        </w:trPr>
        <w:tc>
          <w:tcPr>
            <w:tcW w:w="380" w:type="pct"/>
            <w:tcBorders>
              <w:tl2br w:val="nil"/>
              <w:tr2bl w:val="nil"/>
            </w:tcBorders>
            <w:vAlign w:val="center"/>
          </w:tcPr>
          <w:p w14:paraId="326726E2" w14:textId="77777777" w:rsidR="003D6A63" w:rsidRDefault="00000000">
            <w:pPr>
              <w:overflowPunct w:val="0"/>
              <w:adjustRightInd w:val="0"/>
              <w:snapToGrid w:val="0"/>
              <w:jc w:val="center"/>
              <w:rPr>
                <w:kern w:val="0"/>
                <w:szCs w:val="21"/>
              </w:rPr>
            </w:pPr>
            <w:r>
              <w:rPr>
                <w:rFonts w:hint="eastAsia"/>
                <w:kern w:val="0"/>
                <w:szCs w:val="21"/>
              </w:rPr>
              <w:t>17</w:t>
            </w:r>
          </w:p>
        </w:tc>
        <w:tc>
          <w:tcPr>
            <w:tcW w:w="1564" w:type="pct"/>
            <w:tcBorders>
              <w:tl2br w:val="nil"/>
              <w:tr2bl w:val="nil"/>
            </w:tcBorders>
            <w:vAlign w:val="center"/>
          </w:tcPr>
          <w:p w14:paraId="3A4B85F1" w14:textId="77777777" w:rsidR="003D6A63" w:rsidRDefault="00000000">
            <w:pPr>
              <w:overflowPunct w:val="0"/>
              <w:adjustRightInd w:val="0"/>
              <w:snapToGrid w:val="0"/>
              <w:rPr>
                <w:kern w:val="0"/>
                <w:szCs w:val="21"/>
              </w:rPr>
            </w:pPr>
            <w:r>
              <w:rPr>
                <w:kern w:val="0"/>
                <w:szCs w:val="21"/>
              </w:rPr>
              <w:t>企业应当将安全培训工作纳入本单位年度工作计划，依据相关法律法规规定，由主要负责人负责组织制定。每年年底前，要结合企业自身实际，按照企业主要负责人、安全管理人员、特种作业人员、其他从业人员等分层次、分类别、分岗位制定下一年度的全员培训计划，并严格组织实施，确保安全培训的针对性、实效性。年度培训计划内容要包括培训时间、培训目的、参加人员、授课人、学时、培训内容等，由主要负责人签字存档备查。</w:t>
            </w:r>
          </w:p>
        </w:tc>
        <w:tc>
          <w:tcPr>
            <w:tcW w:w="1401" w:type="pct"/>
            <w:vMerge w:val="restart"/>
            <w:tcBorders>
              <w:tl2br w:val="nil"/>
              <w:tr2bl w:val="nil"/>
            </w:tcBorders>
            <w:vAlign w:val="center"/>
          </w:tcPr>
          <w:p w14:paraId="7E5E4038" w14:textId="77777777" w:rsidR="003D6A63" w:rsidRDefault="00000000">
            <w:pPr>
              <w:overflowPunct w:val="0"/>
              <w:adjustRightInd w:val="0"/>
              <w:snapToGrid w:val="0"/>
              <w:jc w:val="center"/>
              <w:rPr>
                <w:kern w:val="0"/>
                <w:szCs w:val="21"/>
              </w:rPr>
            </w:pPr>
            <w:r>
              <w:rPr>
                <w:kern w:val="0"/>
                <w:szCs w:val="21"/>
              </w:rPr>
              <w:t>《〈关于切实加强和改进企业安全生产培训及考核工作的意见〉实施方案》（鲁应急发</w:t>
            </w:r>
            <w:r>
              <w:rPr>
                <w:rFonts w:hint="eastAsia"/>
                <w:kern w:val="0"/>
                <w:szCs w:val="21"/>
              </w:rPr>
              <w:t>〔</w:t>
            </w:r>
            <w:r>
              <w:rPr>
                <w:kern w:val="0"/>
                <w:szCs w:val="21"/>
              </w:rPr>
              <w:t>2019</w:t>
            </w:r>
            <w:r>
              <w:rPr>
                <w:rFonts w:hint="eastAsia"/>
                <w:kern w:val="0"/>
                <w:szCs w:val="21"/>
              </w:rPr>
              <w:t>〕</w:t>
            </w:r>
            <w:r>
              <w:rPr>
                <w:kern w:val="0"/>
                <w:szCs w:val="21"/>
              </w:rPr>
              <w:t>64</w:t>
            </w:r>
            <w:r>
              <w:rPr>
                <w:kern w:val="0"/>
                <w:szCs w:val="21"/>
              </w:rPr>
              <w:t>号）</w:t>
            </w:r>
          </w:p>
        </w:tc>
        <w:tc>
          <w:tcPr>
            <w:tcW w:w="1192" w:type="pct"/>
            <w:tcBorders>
              <w:tl2br w:val="nil"/>
              <w:tr2bl w:val="nil"/>
            </w:tcBorders>
            <w:vAlign w:val="center"/>
          </w:tcPr>
          <w:p w14:paraId="00D2A41A" w14:textId="77777777" w:rsidR="003D6A63" w:rsidRDefault="00000000">
            <w:pPr>
              <w:overflowPunct w:val="0"/>
              <w:adjustRightInd w:val="0"/>
              <w:snapToGrid w:val="0"/>
              <w:rPr>
                <w:color w:val="FF0000"/>
                <w:kern w:val="0"/>
                <w:szCs w:val="21"/>
              </w:rPr>
            </w:pPr>
            <w:r>
              <w:rPr>
                <w:color w:val="000000"/>
                <w:kern w:val="0"/>
                <w:szCs w:val="21"/>
              </w:rPr>
              <w:t>已制订全员培训计划，年度培训计划内容</w:t>
            </w:r>
            <w:r>
              <w:rPr>
                <w:kern w:val="0"/>
                <w:szCs w:val="21"/>
              </w:rPr>
              <w:t>包括培训时间、培训目的、参加人员、授课人、学时、培训内容等。</w:t>
            </w:r>
          </w:p>
        </w:tc>
        <w:tc>
          <w:tcPr>
            <w:tcW w:w="461" w:type="pct"/>
            <w:tcBorders>
              <w:tl2br w:val="nil"/>
              <w:tr2bl w:val="nil"/>
            </w:tcBorders>
            <w:vAlign w:val="center"/>
          </w:tcPr>
          <w:p w14:paraId="2BEE2162" w14:textId="77777777" w:rsidR="003D6A63" w:rsidRDefault="00000000">
            <w:pPr>
              <w:overflowPunct w:val="0"/>
              <w:adjustRightInd w:val="0"/>
              <w:snapToGrid w:val="0"/>
              <w:jc w:val="center"/>
              <w:rPr>
                <w:kern w:val="0"/>
                <w:szCs w:val="21"/>
              </w:rPr>
            </w:pPr>
            <w:r>
              <w:rPr>
                <w:kern w:val="0"/>
                <w:szCs w:val="21"/>
              </w:rPr>
              <w:t>√</w:t>
            </w:r>
          </w:p>
        </w:tc>
      </w:tr>
      <w:tr w:rsidR="003D6A63" w14:paraId="0222D4D7" w14:textId="77777777">
        <w:trPr>
          <w:trHeight w:val="340"/>
          <w:jc w:val="center"/>
        </w:trPr>
        <w:tc>
          <w:tcPr>
            <w:tcW w:w="380" w:type="pct"/>
            <w:tcBorders>
              <w:tl2br w:val="nil"/>
              <w:tr2bl w:val="nil"/>
            </w:tcBorders>
            <w:vAlign w:val="center"/>
          </w:tcPr>
          <w:p w14:paraId="74B86682" w14:textId="77777777" w:rsidR="003D6A63" w:rsidRDefault="00000000">
            <w:pPr>
              <w:overflowPunct w:val="0"/>
              <w:adjustRightInd w:val="0"/>
              <w:snapToGrid w:val="0"/>
              <w:jc w:val="center"/>
              <w:rPr>
                <w:kern w:val="0"/>
                <w:szCs w:val="21"/>
              </w:rPr>
            </w:pPr>
            <w:r>
              <w:rPr>
                <w:rFonts w:hint="eastAsia"/>
                <w:kern w:val="0"/>
                <w:szCs w:val="21"/>
              </w:rPr>
              <w:t>18</w:t>
            </w:r>
          </w:p>
        </w:tc>
        <w:tc>
          <w:tcPr>
            <w:tcW w:w="1564" w:type="pct"/>
            <w:tcBorders>
              <w:tl2br w:val="nil"/>
              <w:tr2bl w:val="nil"/>
            </w:tcBorders>
            <w:vAlign w:val="center"/>
          </w:tcPr>
          <w:p w14:paraId="6141792B" w14:textId="77777777" w:rsidR="003D6A63" w:rsidRDefault="00000000">
            <w:pPr>
              <w:overflowPunct w:val="0"/>
              <w:adjustRightInd w:val="0"/>
              <w:snapToGrid w:val="0"/>
              <w:rPr>
                <w:kern w:val="0"/>
                <w:szCs w:val="21"/>
              </w:rPr>
            </w:pPr>
            <w:r>
              <w:rPr>
                <w:kern w:val="0"/>
                <w:szCs w:val="21"/>
              </w:rPr>
              <w:t>企业要如实记录安全培训的时间、内容、参加人员以及考核结果等情况，档案材料应当完整、准确、系统。</w:t>
            </w:r>
          </w:p>
        </w:tc>
        <w:tc>
          <w:tcPr>
            <w:tcW w:w="1401" w:type="pct"/>
            <w:vMerge/>
            <w:tcBorders>
              <w:tl2br w:val="nil"/>
              <w:tr2bl w:val="nil"/>
            </w:tcBorders>
            <w:vAlign w:val="center"/>
          </w:tcPr>
          <w:p w14:paraId="27D24ED9" w14:textId="77777777" w:rsidR="003D6A63" w:rsidRDefault="003D6A63">
            <w:pPr>
              <w:overflowPunct w:val="0"/>
              <w:adjustRightInd w:val="0"/>
              <w:snapToGrid w:val="0"/>
              <w:jc w:val="center"/>
              <w:rPr>
                <w:kern w:val="0"/>
                <w:szCs w:val="21"/>
                <w:highlight w:val="darkBlue"/>
              </w:rPr>
            </w:pPr>
          </w:p>
        </w:tc>
        <w:tc>
          <w:tcPr>
            <w:tcW w:w="1192" w:type="pct"/>
            <w:tcBorders>
              <w:tl2br w:val="nil"/>
              <w:tr2bl w:val="nil"/>
            </w:tcBorders>
            <w:vAlign w:val="center"/>
          </w:tcPr>
          <w:p w14:paraId="4A27A7B5" w14:textId="77777777" w:rsidR="003D6A63" w:rsidRDefault="00000000">
            <w:pPr>
              <w:overflowPunct w:val="0"/>
              <w:adjustRightInd w:val="0"/>
              <w:snapToGrid w:val="0"/>
              <w:rPr>
                <w:kern w:val="0"/>
                <w:szCs w:val="21"/>
              </w:rPr>
            </w:pPr>
            <w:r>
              <w:rPr>
                <w:kern w:val="0"/>
                <w:szCs w:val="21"/>
              </w:rPr>
              <w:t>如实填写安全培训记录，建立培训档案资料。</w:t>
            </w:r>
          </w:p>
        </w:tc>
        <w:tc>
          <w:tcPr>
            <w:tcW w:w="461" w:type="pct"/>
            <w:tcBorders>
              <w:tl2br w:val="nil"/>
              <w:tr2bl w:val="nil"/>
            </w:tcBorders>
            <w:vAlign w:val="center"/>
          </w:tcPr>
          <w:p w14:paraId="6E59B287" w14:textId="77777777" w:rsidR="003D6A63" w:rsidRDefault="00000000">
            <w:pPr>
              <w:overflowPunct w:val="0"/>
              <w:adjustRightInd w:val="0"/>
              <w:snapToGrid w:val="0"/>
              <w:jc w:val="center"/>
              <w:rPr>
                <w:kern w:val="0"/>
                <w:szCs w:val="21"/>
              </w:rPr>
            </w:pPr>
            <w:r>
              <w:rPr>
                <w:kern w:val="0"/>
                <w:szCs w:val="21"/>
              </w:rPr>
              <w:t>√</w:t>
            </w:r>
          </w:p>
        </w:tc>
      </w:tr>
      <w:tr w:rsidR="003D6A63" w14:paraId="353E7849" w14:textId="77777777">
        <w:trPr>
          <w:trHeight w:val="340"/>
          <w:jc w:val="center"/>
        </w:trPr>
        <w:tc>
          <w:tcPr>
            <w:tcW w:w="5000" w:type="pct"/>
            <w:gridSpan w:val="5"/>
            <w:tcBorders>
              <w:tl2br w:val="nil"/>
              <w:tr2bl w:val="nil"/>
            </w:tcBorders>
            <w:vAlign w:val="center"/>
          </w:tcPr>
          <w:p w14:paraId="0D4BEFE2" w14:textId="77777777" w:rsidR="003D6A63" w:rsidRDefault="00000000">
            <w:pPr>
              <w:overflowPunct w:val="0"/>
              <w:adjustRightInd w:val="0"/>
              <w:snapToGrid w:val="0"/>
              <w:jc w:val="center"/>
              <w:rPr>
                <w:b/>
                <w:bCs/>
                <w:kern w:val="0"/>
                <w:szCs w:val="21"/>
              </w:rPr>
            </w:pPr>
            <w:r>
              <w:rPr>
                <w:b/>
                <w:bCs/>
                <w:kern w:val="0"/>
                <w:szCs w:val="21"/>
              </w:rPr>
              <w:t>七、工伤保险及安全生产责任险</w:t>
            </w:r>
          </w:p>
        </w:tc>
      </w:tr>
      <w:tr w:rsidR="003D6A63" w14:paraId="7C9BEA33" w14:textId="77777777">
        <w:trPr>
          <w:trHeight w:val="340"/>
          <w:jc w:val="center"/>
        </w:trPr>
        <w:tc>
          <w:tcPr>
            <w:tcW w:w="380" w:type="pct"/>
            <w:vMerge w:val="restart"/>
            <w:tcBorders>
              <w:tl2br w:val="nil"/>
              <w:tr2bl w:val="nil"/>
            </w:tcBorders>
            <w:vAlign w:val="center"/>
          </w:tcPr>
          <w:p w14:paraId="3899686B" w14:textId="77777777" w:rsidR="003D6A63" w:rsidRDefault="00000000">
            <w:pPr>
              <w:overflowPunct w:val="0"/>
              <w:adjustRightInd w:val="0"/>
              <w:snapToGrid w:val="0"/>
              <w:jc w:val="center"/>
              <w:rPr>
                <w:kern w:val="0"/>
                <w:szCs w:val="21"/>
              </w:rPr>
            </w:pPr>
            <w:r>
              <w:rPr>
                <w:rFonts w:hint="eastAsia"/>
                <w:kern w:val="0"/>
                <w:szCs w:val="21"/>
              </w:rPr>
              <w:t>19</w:t>
            </w:r>
          </w:p>
        </w:tc>
        <w:tc>
          <w:tcPr>
            <w:tcW w:w="1564" w:type="pct"/>
            <w:tcBorders>
              <w:tl2br w:val="nil"/>
              <w:tr2bl w:val="nil"/>
            </w:tcBorders>
            <w:vAlign w:val="center"/>
          </w:tcPr>
          <w:p w14:paraId="7047AEA4" w14:textId="77777777" w:rsidR="003D6A63" w:rsidRDefault="00000000">
            <w:pPr>
              <w:overflowPunct w:val="0"/>
              <w:adjustRightInd w:val="0"/>
              <w:snapToGrid w:val="0"/>
              <w:rPr>
                <w:kern w:val="0"/>
                <w:szCs w:val="21"/>
              </w:rPr>
            </w:pPr>
            <w:r>
              <w:rPr>
                <w:kern w:val="0"/>
                <w:szCs w:val="21"/>
              </w:rPr>
              <w:t>生产经营单位应当依法参加工伤保险，为从业人员缴纳工伤保险费。</w:t>
            </w:r>
          </w:p>
        </w:tc>
        <w:tc>
          <w:tcPr>
            <w:tcW w:w="1401" w:type="pct"/>
            <w:tcBorders>
              <w:tl2br w:val="nil"/>
              <w:tr2bl w:val="nil"/>
            </w:tcBorders>
            <w:vAlign w:val="center"/>
          </w:tcPr>
          <w:p w14:paraId="0903C2F7" w14:textId="77777777" w:rsidR="003D6A63" w:rsidRDefault="00000000">
            <w:pPr>
              <w:overflowPunct w:val="0"/>
              <w:adjustRightInd w:val="0"/>
              <w:snapToGrid w:val="0"/>
              <w:jc w:val="center"/>
              <w:rPr>
                <w:kern w:val="0"/>
                <w:szCs w:val="21"/>
              </w:rPr>
            </w:pPr>
            <w:r>
              <w:rPr>
                <w:kern w:val="0"/>
                <w:szCs w:val="21"/>
              </w:rPr>
              <w:t>《山东省安全生产条例》第二十四条</w:t>
            </w:r>
          </w:p>
        </w:tc>
        <w:tc>
          <w:tcPr>
            <w:tcW w:w="1192" w:type="pct"/>
            <w:vMerge w:val="restart"/>
            <w:tcBorders>
              <w:tl2br w:val="nil"/>
              <w:tr2bl w:val="nil"/>
            </w:tcBorders>
            <w:vAlign w:val="center"/>
          </w:tcPr>
          <w:p w14:paraId="705B3B18" w14:textId="77777777" w:rsidR="003D6A63" w:rsidRDefault="00000000">
            <w:pPr>
              <w:overflowPunct w:val="0"/>
              <w:adjustRightInd w:val="0"/>
              <w:snapToGrid w:val="0"/>
              <w:rPr>
                <w:kern w:val="0"/>
                <w:szCs w:val="21"/>
              </w:rPr>
            </w:pPr>
            <w:r>
              <w:rPr>
                <w:kern w:val="0"/>
                <w:szCs w:val="21"/>
              </w:rPr>
              <w:t>公司</w:t>
            </w:r>
            <w:r>
              <w:rPr>
                <w:rFonts w:hint="eastAsia"/>
                <w:kern w:val="0"/>
                <w:szCs w:val="21"/>
              </w:rPr>
              <w:t>在职人员</w:t>
            </w:r>
            <w:r>
              <w:rPr>
                <w:rFonts w:hint="eastAsia"/>
                <w:kern w:val="0"/>
                <w:szCs w:val="21"/>
              </w:rPr>
              <w:t>132</w:t>
            </w:r>
            <w:r>
              <w:rPr>
                <w:kern w:val="0"/>
                <w:szCs w:val="21"/>
              </w:rPr>
              <w:t>人，</w:t>
            </w:r>
            <w:r>
              <w:rPr>
                <w:rFonts w:hint="eastAsia"/>
                <w:kern w:val="0"/>
                <w:szCs w:val="21"/>
              </w:rPr>
              <w:t>均</w:t>
            </w:r>
            <w:r>
              <w:rPr>
                <w:kern w:val="0"/>
                <w:szCs w:val="21"/>
              </w:rPr>
              <w:t>缴纳</w:t>
            </w:r>
            <w:r>
              <w:rPr>
                <w:rFonts w:hint="eastAsia"/>
                <w:kern w:val="0"/>
                <w:szCs w:val="21"/>
              </w:rPr>
              <w:t>工伤保险</w:t>
            </w:r>
            <w:r>
              <w:rPr>
                <w:kern w:val="0"/>
                <w:szCs w:val="21"/>
              </w:rPr>
              <w:t>。</w:t>
            </w:r>
          </w:p>
        </w:tc>
        <w:tc>
          <w:tcPr>
            <w:tcW w:w="461" w:type="pct"/>
            <w:vMerge w:val="restart"/>
            <w:tcBorders>
              <w:tl2br w:val="nil"/>
              <w:tr2bl w:val="nil"/>
            </w:tcBorders>
            <w:vAlign w:val="center"/>
          </w:tcPr>
          <w:p w14:paraId="76F6FEDA" w14:textId="77777777" w:rsidR="003D6A63" w:rsidRDefault="00000000">
            <w:pPr>
              <w:overflowPunct w:val="0"/>
              <w:adjustRightInd w:val="0"/>
              <w:snapToGrid w:val="0"/>
              <w:jc w:val="center"/>
              <w:rPr>
                <w:kern w:val="0"/>
                <w:szCs w:val="21"/>
              </w:rPr>
            </w:pPr>
            <w:r>
              <w:rPr>
                <w:kern w:val="0"/>
                <w:szCs w:val="21"/>
              </w:rPr>
              <w:t>√</w:t>
            </w:r>
          </w:p>
        </w:tc>
      </w:tr>
      <w:tr w:rsidR="003D6A63" w14:paraId="58D39F37" w14:textId="77777777">
        <w:trPr>
          <w:trHeight w:val="340"/>
          <w:jc w:val="center"/>
        </w:trPr>
        <w:tc>
          <w:tcPr>
            <w:tcW w:w="380" w:type="pct"/>
            <w:vMerge/>
            <w:tcBorders>
              <w:tl2br w:val="nil"/>
              <w:tr2bl w:val="nil"/>
            </w:tcBorders>
            <w:vAlign w:val="center"/>
          </w:tcPr>
          <w:p w14:paraId="0474B439" w14:textId="77777777" w:rsidR="003D6A63" w:rsidRDefault="003D6A63">
            <w:pPr>
              <w:numPr>
                <w:ilvl w:val="0"/>
                <w:numId w:val="21"/>
              </w:numPr>
              <w:overflowPunct w:val="0"/>
              <w:adjustRightInd w:val="0"/>
              <w:snapToGrid w:val="0"/>
              <w:jc w:val="center"/>
              <w:rPr>
                <w:kern w:val="0"/>
                <w:szCs w:val="21"/>
              </w:rPr>
            </w:pPr>
          </w:p>
        </w:tc>
        <w:tc>
          <w:tcPr>
            <w:tcW w:w="1564" w:type="pct"/>
            <w:tcBorders>
              <w:tl2br w:val="nil"/>
              <w:tr2bl w:val="nil"/>
            </w:tcBorders>
            <w:vAlign w:val="center"/>
          </w:tcPr>
          <w:p w14:paraId="0C328E68" w14:textId="77777777" w:rsidR="003D6A63" w:rsidRDefault="00000000">
            <w:pPr>
              <w:overflowPunct w:val="0"/>
              <w:adjustRightInd w:val="0"/>
              <w:snapToGrid w:val="0"/>
              <w:rPr>
                <w:kern w:val="0"/>
                <w:szCs w:val="21"/>
              </w:rPr>
            </w:pPr>
            <w:r>
              <w:rPr>
                <w:kern w:val="0"/>
                <w:szCs w:val="21"/>
              </w:rPr>
              <w:t>依法参加工伤保险，为从业人员缴纳保险费。</w:t>
            </w:r>
          </w:p>
        </w:tc>
        <w:tc>
          <w:tcPr>
            <w:tcW w:w="1401" w:type="pct"/>
            <w:tcBorders>
              <w:tl2br w:val="nil"/>
              <w:tr2bl w:val="nil"/>
            </w:tcBorders>
            <w:vAlign w:val="center"/>
          </w:tcPr>
          <w:p w14:paraId="0A8DD8E4" w14:textId="77777777" w:rsidR="003D6A63" w:rsidRDefault="00000000">
            <w:pPr>
              <w:overflowPunct w:val="0"/>
              <w:adjustRightInd w:val="0"/>
              <w:snapToGrid w:val="0"/>
              <w:jc w:val="center"/>
              <w:rPr>
                <w:kern w:val="0"/>
                <w:szCs w:val="21"/>
              </w:rPr>
            </w:pPr>
            <w:r>
              <w:rPr>
                <w:kern w:val="0"/>
                <w:szCs w:val="21"/>
              </w:rPr>
              <w:t>《非煤矿矿山企业安全生产许可证实施办法》</w:t>
            </w:r>
          </w:p>
          <w:p w14:paraId="7EC663A3" w14:textId="77777777" w:rsidR="003D6A63" w:rsidRDefault="00000000">
            <w:pPr>
              <w:overflowPunct w:val="0"/>
              <w:adjustRightInd w:val="0"/>
              <w:snapToGrid w:val="0"/>
              <w:jc w:val="center"/>
              <w:rPr>
                <w:kern w:val="0"/>
                <w:szCs w:val="21"/>
              </w:rPr>
            </w:pPr>
            <w:r>
              <w:rPr>
                <w:kern w:val="0"/>
                <w:szCs w:val="21"/>
              </w:rPr>
              <w:t>第六条</w:t>
            </w:r>
          </w:p>
        </w:tc>
        <w:tc>
          <w:tcPr>
            <w:tcW w:w="1192" w:type="pct"/>
            <w:vMerge/>
            <w:tcBorders>
              <w:tl2br w:val="nil"/>
              <w:tr2bl w:val="nil"/>
            </w:tcBorders>
            <w:vAlign w:val="center"/>
          </w:tcPr>
          <w:p w14:paraId="1BE968FE" w14:textId="77777777" w:rsidR="003D6A63" w:rsidRDefault="003D6A63">
            <w:pPr>
              <w:overflowPunct w:val="0"/>
              <w:adjustRightInd w:val="0"/>
              <w:snapToGrid w:val="0"/>
              <w:jc w:val="center"/>
              <w:rPr>
                <w:kern w:val="0"/>
                <w:szCs w:val="21"/>
              </w:rPr>
            </w:pPr>
          </w:p>
        </w:tc>
        <w:tc>
          <w:tcPr>
            <w:tcW w:w="461" w:type="pct"/>
            <w:vMerge/>
            <w:tcBorders>
              <w:tl2br w:val="nil"/>
              <w:tr2bl w:val="nil"/>
            </w:tcBorders>
            <w:vAlign w:val="center"/>
          </w:tcPr>
          <w:p w14:paraId="646D86A7" w14:textId="77777777" w:rsidR="003D6A63" w:rsidRDefault="003D6A63">
            <w:pPr>
              <w:overflowPunct w:val="0"/>
              <w:adjustRightInd w:val="0"/>
              <w:snapToGrid w:val="0"/>
              <w:jc w:val="left"/>
              <w:rPr>
                <w:kern w:val="0"/>
                <w:szCs w:val="21"/>
              </w:rPr>
            </w:pPr>
          </w:p>
        </w:tc>
      </w:tr>
      <w:tr w:rsidR="003D6A63" w14:paraId="14E2F563" w14:textId="77777777">
        <w:trPr>
          <w:trHeight w:val="340"/>
          <w:jc w:val="center"/>
        </w:trPr>
        <w:tc>
          <w:tcPr>
            <w:tcW w:w="380" w:type="pct"/>
            <w:vMerge w:val="restart"/>
            <w:tcBorders>
              <w:tl2br w:val="nil"/>
              <w:tr2bl w:val="nil"/>
            </w:tcBorders>
            <w:vAlign w:val="center"/>
          </w:tcPr>
          <w:p w14:paraId="498FE60F" w14:textId="77777777" w:rsidR="003D6A63" w:rsidRDefault="00000000">
            <w:pPr>
              <w:overflowPunct w:val="0"/>
              <w:adjustRightInd w:val="0"/>
              <w:snapToGrid w:val="0"/>
              <w:jc w:val="center"/>
              <w:rPr>
                <w:kern w:val="0"/>
                <w:szCs w:val="21"/>
              </w:rPr>
            </w:pPr>
            <w:r>
              <w:rPr>
                <w:rFonts w:hint="eastAsia"/>
                <w:kern w:val="0"/>
                <w:szCs w:val="21"/>
              </w:rPr>
              <w:t>20</w:t>
            </w:r>
          </w:p>
        </w:tc>
        <w:tc>
          <w:tcPr>
            <w:tcW w:w="1564" w:type="pct"/>
            <w:tcBorders>
              <w:tl2br w:val="nil"/>
              <w:tr2bl w:val="nil"/>
            </w:tcBorders>
            <w:vAlign w:val="center"/>
          </w:tcPr>
          <w:p w14:paraId="3079A890" w14:textId="77777777" w:rsidR="003D6A63" w:rsidRDefault="00000000">
            <w:pPr>
              <w:overflowPunct w:val="0"/>
              <w:adjustRightInd w:val="0"/>
              <w:snapToGrid w:val="0"/>
              <w:rPr>
                <w:kern w:val="0"/>
                <w:szCs w:val="21"/>
              </w:rPr>
            </w:pPr>
            <w:r>
              <w:rPr>
                <w:kern w:val="0"/>
                <w:szCs w:val="21"/>
              </w:rPr>
              <w:t>矿山、交通运输、危险化学品、烟花爆竹、建筑施工、民用爆炸物品、金属冶炼、渔业生产等属于国家规定的高危行业、领域的生产经营单位，应当投保安全生产责任保险。</w:t>
            </w:r>
          </w:p>
        </w:tc>
        <w:tc>
          <w:tcPr>
            <w:tcW w:w="1401" w:type="pct"/>
            <w:tcBorders>
              <w:tl2br w:val="nil"/>
              <w:tr2bl w:val="nil"/>
            </w:tcBorders>
            <w:vAlign w:val="center"/>
          </w:tcPr>
          <w:p w14:paraId="4644715B" w14:textId="77777777" w:rsidR="003D6A63" w:rsidRDefault="00000000">
            <w:pPr>
              <w:overflowPunct w:val="0"/>
              <w:adjustRightInd w:val="0"/>
              <w:snapToGrid w:val="0"/>
              <w:jc w:val="center"/>
              <w:rPr>
                <w:kern w:val="0"/>
                <w:szCs w:val="21"/>
              </w:rPr>
            </w:pPr>
            <w:r>
              <w:rPr>
                <w:kern w:val="0"/>
                <w:szCs w:val="21"/>
              </w:rPr>
              <w:t>《山东省安全生产条例》第二十四条</w:t>
            </w:r>
          </w:p>
        </w:tc>
        <w:tc>
          <w:tcPr>
            <w:tcW w:w="1192" w:type="pct"/>
            <w:vMerge w:val="restart"/>
            <w:tcBorders>
              <w:tl2br w:val="nil"/>
              <w:tr2bl w:val="nil"/>
            </w:tcBorders>
            <w:vAlign w:val="center"/>
          </w:tcPr>
          <w:p w14:paraId="4ABD901E" w14:textId="77777777" w:rsidR="003D6A63" w:rsidRDefault="00000000">
            <w:pPr>
              <w:overflowPunct w:val="0"/>
              <w:adjustRightInd w:val="0"/>
              <w:snapToGrid w:val="0"/>
              <w:rPr>
                <w:kern w:val="0"/>
                <w:szCs w:val="21"/>
              </w:rPr>
            </w:pPr>
            <w:r>
              <w:rPr>
                <w:rFonts w:hint="eastAsia"/>
                <w:kern w:val="0"/>
                <w:szCs w:val="21"/>
                <w:lang w:bidi="ar"/>
              </w:rPr>
              <w:t>胜利油田中胜石油开发有限责任公司</w:t>
            </w:r>
            <w:r>
              <w:rPr>
                <w:kern w:val="0"/>
                <w:szCs w:val="21"/>
              </w:rPr>
              <w:t>已投保安全生产责任保险。</w:t>
            </w:r>
          </w:p>
        </w:tc>
        <w:tc>
          <w:tcPr>
            <w:tcW w:w="461" w:type="pct"/>
            <w:vMerge w:val="restart"/>
            <w:tcBorders>
              <w:tl2br w:val="nil"/>
              <w:tr2bl w:val="nil"/>
            </w:tcBorders>
            <w:vAlign w:val="center"/>
          </w:tcPr>
          <w:p w14:paraId="654EA37E" w14:textId="77777777" w:rsidR="003D6A63" w:rsidRDefault="00000000">
            <w:pPr>
              <w:overflowPunct w:val="0"/>
              <w:adjustRightInd w:val="0"/>
              <w:snapToGrid w:val="0"/>
              <w:jc w:val="center"/>
              <w:rPr>
                <w:kern w:val="0"/>
                <w:szCs w:val="21"/>
              </w:rPr>
            </w:pPr>
            <w:r>
              <w:rPr>
                <w:kern w:val="0"/>
                <w:szCs w:val="21"/>
              </w:rPr>
              <w:t>√</w:t>
            </w:r>
          </w:p>
        </w:tc>
      </w:tr>
      <w:tr w:rsidR="003D6A63" w14:paraId="66308570" w14:textId="77777777">
        <w:trPr>
          <w:trHeight w:val="340"/>
          <w:jc w:val="center"/>
        </w:trPr>
        <w:tc>
          <w:tcPr>
            <w:tcW w:w="380" w:type="pct"/>
            <w:vMerge/>
            <w:tcBorders>
              <w:tl2br w:val="nil"/>
              <w:tr2bl w:val="nil"/>
            </w:tcBorders>
            <w:vAlign w:val="center"/>
          </w:tcPr>
          <w:p w14:paraId="61EC9DEC" w14:textId="77777777" w:rsidR="003D6A63" w:rsidRDefault="003D6A63">
            <w:pPr>
              <w:numPr>
                <w:ilvl w:val="0"/>
                <w:numId w:val="21"/>
              </w:numPr>
              <w:overflowPunct w:val="0"/>
              <w:adjustRightInd w:val="0"/>
              <w:snapToGrid w:val="0"/>
              <w:jc w:val="center"/>
              <w:rPr>
                <w:kern w:val="0"/>
                <w:szCs w:val="21"/>
              </w:rPr>
            </w:pPr>
          </w:p>
        </w:tc>
        <w:tc>
          <w:tcPr>
            <w:tcW w:w="1564" w:type="pct"/>
            <w:tcBorders>
              <w:tl2br w:val="nil"/>
              <w:tr2bl w:val="nil"/>
            </w:tcBorders>
            <w:vAlign w:val="center"/>
          </w:tcPr>
          <w:p w14:paraId="4D734119" w14:textId="77777777" w:rsidR="003D6A63" w:rsidRDefault="00000000">
            <w:pPr>
              <w:overflowPunct w:val="0"/>
              <w:adjustRightInd w:val="0"/>
              <w:snapToGrid w:val="0"/>
              <w:rPr>
                <w:kern w:val="0"/>
                <w:szCs w:val="21"/>
              </w:rPr>
            </w:pPr>
            <w:r>
              <w:rPr>
                <w:kern w:val="0"/>
                <w:szCs w:val="21"/>
              </w:rPr>
              <w:t>煤矿、非煤矿山、危险化学品、烟花爆竹、交通运输、建筑施工、民用爆炸物品、金属冶炼、渔业生产等高危行业领域的</w:t>
            </w:r>
            <w:r>
              <w:rPr>
                <w:kern w:val="0"/>
                <w:szCs w:val="21"/>
              </w:rPr>
              <w:lastRenderedPageBreak/>
              <w:t>生产经营单位应当投保安全生产责任保险。</w:t>
            </w:r>
          </w:p>
        </w:tc>
        <w:tc>
          <w:tcPr>
            <w:tcW w:w="1401" w:type="pct"/>
            <w:tcBorders>
              <w:tl2br w:val="nil"/>
              <w:tr2bl w:val="nil"/>
            </w:tcBorders>
            <w:vAlign w:val="center"/>
          </w:tcPr>
          <w:p w14:paraId="5995382B" w14:textId="77777777" w:rsidR="003D6A63" w:rsidRDefault="00000000">
            <w:pPr>
              <w:overflowPunct w:val="0"/>
              <w:adjustRightInd w:val="0"/>
              <w:snapToGrid w:val="0"/>
              <w:jc w:val="center"/>
              <w:rPr>
                <w:kern w:val="0"/>
                <w:szCs w:val="21"/>
              </w:rPr>
            </w:pPr>
            <w:r>
              <w:rPr>
                <w:kern w:val="0"/>
                <w:szCs w:val="21"/>
              </w:rPr>
              <w:lastRenderedPageBreak/>
              <w:t>《安全生产责任保险实施办法》</w:t>
            </w:r>
          </w:p>
          <w:p w14:paraId="4C98AC87" w14:textId="77777777" w:rsidR="003D6A63" w:rsidRDefault="00000000">
            <w:pPr>
              <w:overflowPunct w:val="0"/>
              <w:adjustRightInd w:val="0"/>
              <w:snapToGrid w:val="0"/>
              <w:jc w:val="center"/>
              <w:rPr>
                <w:kern w:val="0"/>
                <w:szCs w:val="21"/>
              </w:rPr>
            </w:pPr>
            <w:r>
              <w:rPr>
                <w:kern w:val="0"/>
                <w:szCs w:val="21"/>
              </w:rPr>
              <w:t>第六条</w:t>
            </w:r>
          </w:p>
        </w:tc>
        <w:tc>
          <w:tcPr>
            <w:tcW w:w="1192" w:type="pct"/>
            <w:vMerge/>
            <w:tcBorders>
              <w:tl2br w:val="nil"/>
              <w:tr2bl w:val="nil"/>
            </w:tcBorders>
            <w:vAlign w:val="center"/>
          </w:tcPr>
          <w:p w14:paraId="181F87E5" w14:textId="77777777" w:rsidR="003D6A63" w:rsidRDefault="003D6A63">
            <w:pPr>
              <w:overflowPunct w:val="0"/>
              <w:adjustRightInd w:val="0"/>
              <w:snapToGrid w:val="0"/>
              <w:jc w:val="center"/>
              <w:rPr>
                <w:kern w:val="0"/>
                <w:szCs w:val="21"/>
              </w:rPr>
            </w:pPr>
          </w:p>
        </w:tc>
        <w:tc>
          <w:tcPr>
            <w:tcW w:w="461" w:type="pct"/>
            <w:vMerge/>
            <w:tcBorders>
              <w:tl2br w:val="nil"/>
              <w:tr2bl w:val="nil"/>
            </w:tcBorders>
            <w:vAlign w:val="center"/>
          </w:tcPr>
          <w:p w14:paraId="0CAD0F4C" w14:textId="77777777" w:rsidR="003D6A63" w:rsidRDefault="003D6A63">
            <w:pPr>
              <w:overflowPunct w:val="0"/>
              <w:adjustRightInd w:val="0"/>
              <w:snapToGrid w:val="0"/>
              <w:jc w:val="left"/>
              <w:rPr>
                <w:kern w:val="0"/>
                <w:szCs w:val="21"/>
              </w:rPr>
            </w:pPr>
          </w:p>
        </w:tc>
      </w:tr>
      <w:tr w:rsidR="003D6A63" w14:paraId="205D4159" w14:textId="77777777">
        <w:trPr>
          <w:trHeight w:val="340"/>
          <w:jc w:val="center"/>
        </w:trPr>
        <w:tc>
          <w:tcPr>
            <w:tcW w:w="380" w:type="pct"/>
            <w:vMerge/>
            <w:tcBorders>
              <w:tl2br w:val="nil"/>
              <w:tr2bl w:val="nil"/>
            </w:tcBorders>
            <w:vAlign w:val="center"/>
          </w:tcPr>
          <w:p w14:paraId="6E7C07AE" w14:textId="77777777" w:rsidR="003D6A63" w:rsidRDefault="003D6A63">
            <w:pPr>
              <w:numPr>
                <w:ilvl w:val="0"/>
                <w:numId w:val="21"/>
              </w:numPr>
              <w:overflowPunct w:val="0"/>
              <w:adjustRightInd w:val="0"/>
              <w:snapToGrid w:val="0"/>
              <w:jc w:val="center"/>
              <w:rPr>
                <w:kern w:val="0"/>
                <w:szCs w:val="21"/>
              </w:rPr>
            </w:pPr>
          </w:p>
        </w:tc>
        <w:tc>
          <w:tcPr>
            <w:tcW w:w="1564" w:type="pct"/>
            <w:tcBorders>
              <w:tl2br w:val="nil"/>
              <w:tr2bl w:val="nil"/>
            </w:tcBorders>
            <w:vAlign w:val="center"/>
          </w:tcPr>
          <w:p w14:paraId="273F90EE" w14:textId="77777777" w:rsidR="003D6A63" w:rsidRDefault="00000000">
            <w:pPr>
              <w:overflowPunct w:val="0"/>
              <w:adjustRightInd w:val="0"/>
              <w:snapToGrid w:val="0"/>
              <w:rPr>
                <w:kern w:val="0"/>
                <w:szCs w:val="21"/>
              </w:rPr>
            </w:pPr>
            <w:r>
              <w:rPr>
                <w:kern w:val="0"/>
                <w:szCs w:val="21"/>
              </w:rPr>
              <w:t>生产经营单位投保安全生产责任保险的保障范围应当覆盖全体从业人员。</w:t>
            </w:r>
          </w:p>
        </w:tc>
        <w:tc>
          <w:tcPr>
            <w:tcW w:w="1401" w:type="pct"/>
            <w:tcBorders>
              <w:tl2br w:val="nil"/>
              <w:tr2bl w:val="nil"/>
            </w:tcBorders>
            <w:vAlign w:val="center"/>
          </w:tcPr>
          <w:p w14:paraId="4CA7B188" w14:textId="77777777" w:rsidR="003D6A63" w:rsidRDefault="00000000">
            <w:pPr>
              <w:overflowPunct w:val="0"/>
              <w:adjustRightInd w:val="0"/>
              <w:snapToGrid w:val="0"/>
              <w:jc w:val="center"/>
              <w:rPr>
                <w:kern w:val="0"/>
                <w:szCs w:val="21"/>
              </w:rPr>
            </w:pPr>
            <w:r>
              <w:rPr>
                <w:kern w:val="0"/>
                <w:szCs w:val="21"/>
              </w:rPr>
              <w:t>《安全生产责任保险实施办法》</w:t>
            </w:r>
          </w:p>
          <w:p w14:paraId="58529BA7" w14:textId="77777777" w:rsidR="003D6A63" w:rsidRDefault="00000000">
            <w:pPr>
              <w:overflowPunct w:val="0"/>
              <w:adjustRightInd w:val="0"/>
              <w:snapToGrid w:val="0"/>
              <w:jc w:val="center"/>
              <w:rPr>
                <w:kern w:val="0"/>
                <w:szCs w:val="21"/>
              </w:rPr>
            </w:pPr>
            <w:r>
              <w:rPr>
                <w:kern w:val="0"/>
                <w:szCs w:val="21"/>
              </w:rPr>
              <w:t>第十二条</w:t>
            </w:r>
          </w:p>
        </w:tc>
        <w:tc>
          <w:tcPr>
            <w:tcW w:w="1192" w:type="pct"/>
            <w:vMerge/>
            <w:tcBorders>
              <w:tl2br w:val="nil"/>
              <w:tr2bl w:val="nil"/>
            </w:tcBorders>
            <w:vAlign w:val="center"/>
          </w:tcPr>
          <w:p w14:paraId="742A290F" w14:textId="77777777" w:rsidR="003D6A63" w:rsidRDefault="003D6A63">
            <w:pPr>
              <w:overflowPunct w:val="0"/>
              <w:adjustRightInd w:val="0"/>
              <w:snapToGrid w:val="0"/>
              <w:jc w:val="center"/>
              <w:rPr>
                <w:kern w:val="0"/>
                <w:szCs w:val="21"/>
              </w:rPr>
            </w:pPr>
          </w:p>
        </w:tc>
        <w:tc>
          <w:tcPr>
            <w:tcW w:w="461" w:type="pct"/>
            <w:vMerge/>
            <w:tcBorders>
              <w:tl2br w:val="nil"/>
              <w:tr2bl w:val="nil"/>
            </w:tcBorders>
            <w:vAlign w:val="center"/>
          </w:tcPr>
          <w:p w14:paraId="10762B06" w14:textId="77777777" w:rsidR="003D6A63" w:rsidRDefault="003D6A63">
            <w:pPr>
              <w:overflowPunct w:val="0"/>
              <w:adjustRightInd w:val="0"/>
              <w:snapToGrid w:val="0"/>
              <w:jc w:val="left"/>
              <w:rPr>
                <w:kern w:val="0"/>
                <w:szCs w:val="21"/>
              </w:rPr>
            </w:pPr>
          </w:p>
        </w:tc>
      </w:tr>
      <w:tr w:rsidR="003D6A63" w14:paraId="171A0C1A" w14:textId="77777777">
        <w:trPr>
          <w:trHeight w:val="340"/>
          <w:jc w:val="center"/>
        </w:trPr>
        <w:tc>
          <w:tcPr>
            <w:tcW w:w="5000" w:type="pct"/>
            <w:gridSpan w:val="5"/>
            <w:tcBorders>
              <w:tl2br w:val="nil"/>
              <w:tr2bl w:val="nil"/>
            </w:tcBorders>
            <w:vAlign w:val="center"/>
          </w:tcPr>
          <w:p w14:paraId="34A0C7B4" w14:textId="77777777" w:rsidR="003D6A63" w:rsidRDefault="00000000">
            <w:pPr>
              <w:overflowPunct w:val="0"/>
              <w:adjustRightInd w:val="0"/>
              <w:snapToGrid w:val="0"/>
              <w:jc w:val="center"/>
              <w:rPr>
                <w:b/>
                <w:bCs/>
                <w:kern w:val="0"/>
                <w:szCs w:val="21"/>
              </w:rPr>
            </w:pPr>
            <w:r>
              <w:rPr>
                <w:b/>
                <w:bCs/>
                <w:kern w:val="0"/>
                <w:szCs w:val="21"/>
              </w:rPr>
              <w:t>八、劳动防护用品配备</w:t>
            </w:r>
          </w:p>
        </w:tc>
      </w:tr>
      <w:tr w:rsidR="003D6A63" w14:paraId="04F946A2" w14:textId="77777777">
        <w:trPr>
          <w:trHeight w:val="340"/>
          <w:jc w:val="center"/>
        </w:trPr>
        <w:tc>
          <w:tcPr>
            <w:tcW w:w="380" w:type="pct"/>
            <w:vMerge w:val="restart"/>
            <w:tcBorders>
              <w:tl2br w:val="nil"/>
              <w:tr2bl w:val="nil"/>
            </w:tcBorders>
            <w:vAlign w:val="center"/>
          </w:tcPr>
          <w:p w14:paraId="5D4EEE67" w14:textId="77777777" w:rsidR="003D6A63" w:rsidRDefault="00000000">
            <w:pPr>
              <w:overflowPunct w:val="0"/>
              <w:adjustRightInd w:val="0"/>
              <w:snapToGrid w:val="0"/>
              <w:jc w:val="center"/>
              <w:rPr>
                <w:kern w:val="0"/>
                <w:szCs w:val="21"/>
              </w:rPr>
            </w:pPr>
            <w:r>
              <w:rPr>
                <w:rFonts w:hint="eastAsia"/>
                <w:kern w:val="0"/>
                <w:szCs w:val="21"/>
              </w:rPr>
              <w:t>21</w:t>
            </w:r>
          </w:p>
        </w:tc>
        <w:tc>
          <w:tcPr>
            <w:tcW w:w="1564" w:type="pct"/>
            <w:tcBorders>
              <w:tl2br w:val="nil"/>
              <w:tr2bl w:val="nil"/>
            </w:tcBorders>
            <w:vAlign w:val="center"/>
          </w:tcPr>
          <w:p w14:paraId="381CBEA9" w14:textId="77777777" w:rsidR="003D6A63" w:rsidRDefault="00000000">
            <w:pPr>
              <w:overflowPunct w:val="0"/>
              <w:adjustRightInd w:val="0"/>
              <w:snapToGrid w:val="0"/>
              <w:rPr>
                <w:kern w:val="0"/>
                <w:szCs w:val="21"/>
              </w:rPr>
            </w:pPr>
            <w:r>
              <w:rPr>
                <w:kern w:val="0"/>
                <w:szCs w:val="21"/>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tc>
        <w:tc>
          <w:tcPr>
            <w:tcW w:w="1401" w:type="pct"/>
            <w:tcBorders>
              <w:tl2br w:val="nil"/>
              <w:tr2bl w:val="nil"/>
            </w:tcBorders>
            <w:vAlign w:val="center"/>
          </w:tcPr>
          <w:p w14:paraId="41CB19AF" w14:textId="77777777" w:rsidR="003D6A63" w:rsidRDefault="00000000">
            <w:pPr>
              <w:overflowPunct w:val="0"/>
              <w:adjustRightInd w:val="0"/>
              <w:snapToGrid w:val="0"/>
              <w:jc w:val="center"/>
              <w:rPr>
                <w:kern w:val="0"/>
                <w:szCs w:val="21"/>
              </w:rPr>
            </w:pPr>
            <w:r>
              <w:rPr>
                <w:kern w:val="0"/>
                <w:szCs w:val="21"/>
              </w:rPr>
              <w:t>《山东省安全生产条例》第二十五条</w:t>
            </w:r>
          </w:p>
        </w:tc>
        <w:tc>
          <w:tcPr>
            <w:tcW w:w="1192" w:type="pct"/>
            <w:vMerge w:val="restart"/>
            <w:tcBorders>
              <w:tl2br w:val="nil"/>
              <w:tr2bl w:val="nil"/>
            </w:tcBorders>
            <w:vAlign w:val="center"/>
          </w:tcPr>
          <w:p w14:paraId="27A52292" w14:textId="77777777" w:rsidR="003D6A63" w:rsidRDefault="00000000">
            <w:pPr>
              <w:overflowPunct w:val="0"/>
              <w:adjustRightInd w:val="0"/>
              <w:snapToGrid w:val="0"/>
              <w:rPr>
                <w:kern w:val="0"/>
                <w:szCs w:val="21"/>
              </w:rPr>
            </w:pPr>
            <w:r>
              <w:rPr>
                <w:rFonts w:hint="eastAsia"/>
                <w:kern w:val="0"/>
                <w:szCs w:val="21"/>
              </w:rPr>
              <w:t>胜利油田中胜石油开发有限责任公司</w:t>
            </w:r>
            <w:r>
              <w:rPr>
                <w:kern w:val="0"/>
                <w:szCs w:val="21"/>
              </w:rPr>
              <w:t>已制定防治职业危害的具体措施，并为现场员工配备了防静电工作服（夏、春秋、冬）、工作鞋（防寒、单）、安全帽（防寒、一般）、</w:t>
            </w:r>
            <w:r>
              <w:rPr>
                <w:rFonts w:hint="eastAsia"/>
                <w:kern w:val="0"/>
                <w:szCs w:val="21"/>
              </w:rPr>
              <w:t>防护</w:t>
            </w:r>
            <w:r>
              <w:rPr>
                <w:kern w:val="0"/>
                <w:szCs w:val="21"/>
              </w:rPr>
              <w:t>手套、耳塞等劳动防护用品。</w:t>
            </w:r>
          </w:p>
        </w:tc>
        <w:tc>
          <w:tcPr>
            <w:tcW w:w="461" w:type="pct"/>
            <w:vMerge w:val="restart"/>
            <w:tcBorders>
              <w:tl2br w:val="nil"/>
              <w:tr2bl w:val="nil"/>
            </w:tcBorders>
            <w:vAlign w:val="center"/>
          </w:tcPr>
          <w:p w14:paraId="052C0645" w14:textId="77777777" w:rsidR="003D6A63" w:rsidRDefault="00000000">
            <w:pPr>
              <w:overflowPunct w:val="0"/>
              <w:adjustRightInd w:val="0"/>
              <w:snapToGrid w:val="0"/>
              <w:jc w:val="center"/>
              <w:rPr>
                <w:kern w:val="0"/>
                <w:szCs w:val="21"/>
              </w:rPr>
            </w:pPr>
            <w:r>
              <w:rPr>
                <w:kern w:val="0"/>
                <w:szCs w:val="21"/>
              </w:rPr>
              <w:t>√</w:t>
            </w:r>
          </w:p>
        </w:tc>
      </w:tr>
      <w:tr w:rsidR="003D6A63" w14:paraId="52D7B35A" w14:textId="77777777">
        <w:trPr>
          <w:trHeight w:val="340"/>
          <w:jc w:val="center"/>
        </w:trPr>
        <w:tc>
          <w:tcPr>
            <w:tcW w:w="380" w:type="pct"/>
            <w:vMerge/>
            <w:tcBorders>
              <w:tl2br w:val="nil"/>
              <w:tr2bl w:val="nil"/>
            </w:tcBorders>
            <w:vAlign w:val="center"/>
          </w:tcPr>
          <w:p w14:paraId="6A1765DA" w14:textId="77777777" w:rsidR="003D6A63" w:rsidRDefault="003D6A63">
            <w:pPr>
              <w:numPr>
                <w:ilvl w:val="0"/>
                <w:numId w:val="21"/>
              </w:numPr>
              <w:overflowPunct w:val="0"/>
              <w:adjustRightInd w:val="0"/>
              <w:snapToGrid w:val="0"/>
              <w:jc w:val="center"/>
              <w:rPr>
                <w:kern w:val="0"/>
                <w:szCs w:val="21"/>
              </w:rPr>
            </w:pPr>
          </w:p>
        </w:tc>
        <w:tc>
          <w:tcPr>
            <w:tcW w:w="1564" w:type="pct"/>
            <w:tcBorders>
              <w:tl2br w:val="nil"/>
              <w:tr2bl w:val="nil"/>
            </w:tcBorders>
            <w:vAlign w:val="center"/>
          </w:tcPr>
          <w:p w14:paraId="1EAB5475" w14:textId="77777777" w:rsidR="003D6A63" w:rsidRDefault="00000000">
            <w:pPr>
              <w:overflowPunct w:val="0"/>
              <w:adjustRightInd w:val="0"/>
              <w:snapToGrid w:val="0"/>
              <w:rPr>
                <w:kern w:val="0"/>
                <w:szCs w:val="21"/>
              </w:rPr>
            </w:pPr>
            <w:r>
              <w:rPr>
                <w:kern w:val="0"/>
                <w:szCs w:val="21"/>
              </w:rPr>
              <w:t>制定防治职业危害的具体措施，并为从业人员配备符合国家标准或者行业标准的劳动防护用品。</w:t>
            </w:r>
          </w:p>
        </w:tc>
        <w:tc>
          <w:tcPr>
            <w:tcW w:w="1401" w:type="pct"/>
            <w:tcBorders>
              <w:tl2br w:val="nil"/>
              <w:tr2bl w:val="nil"/>
            </w:tcBorders>
            <w:vAlign w:val="center"/>
          </w:tcPr>
          <w:p w14:paraId="2DD3D470" w14:textId="77777777" w:rsidR="003D6A63" w:rsidRDefault="00000000">
            <w:pPr>
              <w:overflowPunct w:val="0"/>
              <w:adjustRightInd w:val="0"/>
              <w:snapToGrid w:val="0"/>
              <w:jc w:val="center"/>
              <w:rPr>
                <w:kern w:val="0"/>
                <w:szCs w:val="21"/>
              </w:rPr>
            </w:pPr>
            <w:r>
              <w:rPr>
                <w:kern w:val="0"/>
                <w:szCs w:val="21"/>
              </w:rPr>
              <w:t>《非煤矿矿山企业安全生产许可证实施办法》</w:t>
            </w:r>
          </w:p>
          <w:p w14:paraId="32898E8D" w14:textId="77777777" w:rsidR="003D6A63" w:rsidRDefault="00000000">
            <w:pPr>
              <w:overflowPunct w:val="0"/>
              <w:adjustRightInd w:val="0"/>
              <w:snapToGrid w:val="0"/>
              <w:jc w:val="center"/>
              <w:rPr>
                <w:kern w:val="0"/>
                <w:szCs w:val="21"/>
              </w:rPr>
            </w:pPr>
            <w:r>
              <w:rPr>
                <w:kern w:val="0"/>
                <w:szCs w:val="21"/>
              </w:rPr>
              <w:t>第六条</w:t>
            </w:r>
          </w:p>
        </w:tc>
        <w:tc>
          <w:tcPr>
            <w:tcW w:w="1192" w:type="pct"/>
            <w:vMerge/>
            <w:tcBorders>
              <w:tl2br w:val="nil"/>
              <w:tr2bl w:val="nil"/>
            </w:tcBorders>
            <w:vAlign w:val="center"/>
          </w:tcPr>
          <w:p w14:paraId="622E8419" w14:textId="77777777" w:rsidR="003D6A63" w:rsidRDefault="003D6A63">
            <w:pPr>
              <w:overflowPunct w:val="0"/>
              <w:adjustRightInd w:val="0"/>
              <w:snapToGrid w:val="0"/>
              <w:jc w:val="center"/>
              <w:rPr>
                <w:kern w:val="0"/>
                <w:szCs w:val="21"/>
              </w:rPr>
            </w:pPr>
          </w:p>
        </w:tc>
        <w:tc>
          <w:tcPr>
            <w:tcW w:w="461" w:type="pct"/>
            <w:vMerge/>
            <w:tcBorders>
              <w:tl2br w:val="nil"/>
              <w:tr2bl w:val="nil"/>
            </w:tcBorders>
            <w:vAlign w:val="center"/>
          </w:tcPr>
          <w:p w14:paraId="2D8E9ADC" w14:textId="77777777" w:rsidR="003D6A63" w:rsidRDefault="003D6A63">
            <w:pPr>
              <w:overflowPunct w:val="0"/>
              <w:adjustRightInd w:val="0"/>
              <w:snapToGrid w:val="0"/>
              <w:jc w:val="left"/>
              <w:rPr>
                <w:kern w:val="0"/>
                <w:szCs w:val="21"/>
              </w:rPr>
            </w:pPr>
          </w:p>
        </w:tc>
      </w:tr>
      <w:tr w:rsidR="003D6A63" w14:paraId="5F823476" w14:textId="77777777">
        <w:trPr>
          <w:trHeight w:val="340"/>
          <w:jc w:val="center"/>
        </w:trPr>
        <w:tc>
          <w:tcPr>
            <w:tcW w:w="380" w:type="pct"/>
            <w:tcBorders>
              <w:tl2br w:val="nil"/>
              <w:tr2bl w:val="nil"/>
            </w:tcBorders>
            <w:vAlign w:val="center"/>
          </w:tcPr>
          <w:p w14:paraId="38085DD6" w14:textId="77777777" w:rsidR="003D6A63" w:rsidRDefault="00000000">
            <w:pPr>
              <w:overflowPunct w:val="0"/>
              <w:adjustRightInd w:val="0"/>
              <w:snapToGrid w:val="0"/>
              <w:jc w:val="center"/>
              <w:rPr>
                <w:kern w:val="0"/>
                <w:szCs w:val="21"/>
              </w:rPr>
            </w:pPr>
            <w:r>
              <w:rPr>
                <w:rFonts w:hint="eastAsia"/>
                <w:kern w:val="0"/>
                <w:szCs w:val="21"/>
              </w:rPr>
              <w:t>22</w:t>
            </w:r>
          </w:p>
        </w:tc>
        <w:tc>
          <w:tcPr>
            <w:tcW w:w="1564" w:type="pct"/>
            <w:tcBorders>
              <w:tl2br w:val="nil"/>
              <w:tr2bl w:val="nil"/>
            </w:tcBorders>
            <w:vAlign w:val="center"/>
          </w:tcPr>
          <w:p w14:paraId="3404A1ED" w14:textId="77777777" w:rsidR="003D6A63" w:rsidRDefault="00000000">
            <w:pPr>
              <w:overflowPunct w:val="0"/>
              <w:adjustRightInd w:val="0"/>
              <w:snapToGrid w:val="0"/>
              <w:rPr>
                <w:kern w:val="0"/>
                <w:szCs w:val="21"/>
              </w:rPr>
            </w:pPr>
            <w:r>
              <w:rPr>
                <w:kern w:val="0"/>
                <w:szCs w:val="21"/>
              </w:rPr>
              <w:t>根据作业场所主要危险有害因素及劳动防护用品配备要求，配备劳动防护用品。</w:t>
            </w:r>
          </w:p>
        </w:tc>
        <w:tc>
          <w:tcPr>
            <w:tcW w:w="1401" w:type="pct"/>
            <w:tcBorders>
              <w:tl2br w:val="nil"/>
              <w:tr2bl w:val="nil"/>
            </w:tcBorders>
            <w:vAlign w:val="center"/>
          </w:tcPr>
          <w:p w14:paraId="30C4CA01" w14:textId="77777777" w:rsidR="003D6A63" w:rsidRDefault="00000000">
            <w:pPr>
              <w:overflowPunct w:val="0"/>
              <w:adjustRightInd w:val="0"/>
              <w:snapToGrid w:val="0"/>
              <w:jc w:val="center"/>
              <w:rPr>
                <w:kern w:val="0"/>
                <w:szCs w:val="21"/>
              </w:rPr>
            </w:pPr>
            <w:r>
              <w:rPr>
                <w:szCs w:val="21"/>
              </w:rPr>
              <w:t>《个体防护装备配备规范</w:t>
            </w:r>
            <w:r>
              <w:rPr>
                <w:szCs w:val="21"/>
              </w:rPr>
              <w:t xml:space="preserve"> </w:t>
            </w:r>
            <w:r>
              <w:rPr>
                <w:szCs w:val="21"/>
              </w:rPr>
              <w:t>第</w:t>
            </w:r>
            <w:r>
              <w:rPr>
                <w:szCs w:val="21"/>
              </w:rPr>
              <w:t>2</w:t>
            </w:r>
            <w:r>
              <w:rPr>
                <w:szCs w:val="21"/>
              </w:rPr>
              <w:t>部分：石油、化工、天然气》（</w:t>
            </w:r>
            <w:r>
              <w:rPr>
                <w:szCs w:val="21"/>
              </w:rPr>
              <w:t>GB 39800.2-2020</w:t>
            </w:r>
            <w:r>
              <w:rPr>
                <w:szCs w:val="21"/>
              </w:rPr>
              <w:t>）</w:t>
            </w:r>
          </w:p>
        </w:tc>
        <w:tc>
          <w:tcPr>
            <w:tcW w:w="1192" w:type="pct"/>
            <w:tcBorders>
              <w:tl2br w:val="nil"/>
              <w:tr2bl w:val="nil"/>
            </w:tcBorders>
            <w:vAlign w:val="center"/>
          </w:tcPr>
          <w:p w14:paraId="08865817" w14:textId="77777777" w:rsidR="003D6A63" w:rsidRDefault="00000000">
            <w:pPr>
              <w:overflowPunct w:val="0"/>
              <w:adjustRightInd w:val="0"/>
              <w:snapToGrid w:val="0"/>
              <w:rPr>
                <w:kern w:val="0"/>
                <w:szCs w:val="21"/>
              </w:rPr>
            </w:pPr>
            <w:r>
              <w:rPr>
                <w:rFonts w:hint="eastAsia"/>
                <w:kern w:val="0"/>
                <w:szCs w:val="21"/>
              </w:rPr>
              <w:t>胜利油田中胜石油开发有限责任公司</w:t>
            </w:r>
            <w:r>
              <w:rPr>
                <w:kern w:val="0"/>
                <w:szCs w:val="21"/>
              </w:rPr>
              <w:t>根据作业场所主要危险有害因素及劳动防护用品配备要求，配备</w:t>
            </w:r>
            <w:r>
              <w:rPr>
                <w:rFonts w:hint="eastAsia"/>
                <w:kern w:val="0"/>
                <w:szCs w:val="21"/>
              </w:rPr>
              <w:t>了</w:t>
            </w:r>
            <w:r>
              <w:rPr>
                <w:kern w:val="0"/>
                <w:szCs w:val="21"/>
              </w:rPr>
              <w:t>劳动防护用品。</w:t>
            </w:r>
          </w:p>
        </w:tc>
        <w:tc>
          <w:tcPr>
            <w:tcW w:w="461" w:type="pct"/>
            <w:tcBorders>
              <w:tl2br w:val="nil"/>
              <w:tr2bl w:val="nil"/>
            </w:tcBorders>
            <w:vAlign w:val="center"/>
          </w:tcPr>
          <w:p w14:paraId="24EE2806" w14:textId="77777777" w:rsidR="003D6A63" w:rsidRDefault="00000000">
            <w:pPr>
              <w:overflowPunct w:val="0"/>
              <w:adjustRightInd w:val="0"/>
              <w:snapToGrid w:val="0"/>
              <w:jc w:val="center"/>
              <w:rPr>
                <w:kern w:val="0"/>
                <w:szCs w:val="21"/>
              </w:rPr>
            </w:pPr>
            <w:r>
              <w:rPr>
                <w:kern w:val="0"/>
                <w:szCs w:val="21"/>
              </w:rPr>
              <w:t>√</w:t>
            </w:r>
          </w:p>
        </w:tc>
      </w:tr>
      <w:tr w:rsidR="003D6A63" w14:paraId="693BD456" w14:textId="77777777">
        <w:trPr>
          <w:trHeight w:val="340"/>
          <w:jc w:val="center"/>
        </w:trPr>
        <w:tc>
          <w:tcPr>
            <w:tcW w:w="5000" w:type="pct"/>
            <w:gridSpan w:val="5"/>
            <w:tcBorders>
              <w:tl2br w:val="nil"/>
              <w:tr2bl w:val="nil"/>
            </w:tcBorders>
            <w:vAlign w:val="center"/>
          </w:tcPr>
          <w:p w14:paraId="21237B3F" w14:textId="77777777" w:rsidR="003D6A63" w:rsidRDefault="00000000">
            <w:pPr>
              <w:overflowPunct w:val="0"/>
              <w:adjustRightInd w:val="0"/>
              <w:snapToGrid w:val="0"/>
              <w:jc w:val="center"/>
              <w:rPr>
                <w:b/>
                <w:bCs/>
                <w:kern w:val="0"/>
                <w:szCs w:val="21"/>
              </w:rPr>
            </w:pPr>
            <w:r>
              <w:rPr>
                <w:b/>
                <w:bCs/>
                <w:kern w:val="0"/>
                <w:szCs w:val="21"/>
              </w:rPr>
              <w:t>九、设备、设施检测检验</w:t>
            </w:r>
          </w:p>
        </w:tc>
      </w:tr>
      <w:tr w:rsidR="003D6A63" w14:paraId="555DFF09" w14:textId="77777777">
        <w:trPr>
          <w:trHeight w:val="340"/>
          <w:jc w:val="center"/>
        </w:trPr>
        <w:tc>
          <w:tcPr>
            <w:tcW w:w="380" w:type="pct"/>
            <w:tcBorders>
              <w:tl2br w:val="nil"/>
              <w:tr2bl w:val="nil"/>
            </w:tcBorders>
            <w:vAlign w:val="center"/>
          </w:tcPr>
          <w:p w14:paraId="374DC6C7" w14:textId="77777777" w:rsidR="003D6A63" w:rsidRDefault="00000000">
            <w:pPr>
              <w:overflowPunct w:val="0"/>
              <w:adjustRightInd w:val="0"/>
              <w:snapToGrid w:val="0"/>
              <w:jc w:val="center"/>
              <w:rPr>
                <w:kern w:val="0"/>
                <w:szCs w:val="21"/>
              </w:rPr>
            </w:pPr>
            <w:r>
              <w:rPr>
                <w:rFonts w:hint="eastAsia"/>
                <w:kern w:val="0"/>
                <w:szCs w:val="21"/>
              </w:rPr>
              <w:t>23</w:t>
            </w:r>
          </w:p>
        </w:tc>
        <w:tc>
          <w:tcPr>
            <w:tcW w:w="1564" w:type="pct"/>
            <w:tcBorders>
              <w:tl2br w:val="nil"/>
              <w:tr2bl w:val="nil"/>
            </w:tcBorders>
            <w:vAlign w:val="center"/>
          </w:tcPr>
          <w:p w14:paraId="3DCF8A79" w14:textId="77777777" w:rsidR="003D6A63" w:rsidRDefault="00000000">
            <w:pPr>
              <w:overflowPunct w:val="0"/>
              <w:adjustRightInd w:val="0"/>
              <w:snapToGrid w:val="0"/>
              <w:rPr>
                <w:kern w:val="0"/>
                <w:szCs w:val="21"/>
              </w:rPr>
            </w:pPr>
            <w:r>
              <w:rPr>
                <w:color w:val="000000" w:themeColor="text1"/>
                <w:kern w:val="0"/>
              </w:rPr>
              <w:t>特种设备使用单位应当在特种设备投入使用前或者投入使用后三十日内，向负责特种设备安全监督管理的部门办理使用登记，取得使用登记证书。登记标志应当置于该特种设备的显著位置。</w:t>
            </w:r>
          </w:p>
        </w:tc>
        <w:tc>
          <w:tcPr>
            <w:tcW w:w="1401" w:type="pct"/>
            <w:tcBorders>
              <w:tl2br w:val="nil"/>
              <w:tr2bl w:val="nil"/>
            </w:tcBorders>
            <w:vAlign w:val="center"/>
          </w:tcPr>
          <w:p w14:paraId="5E00170D" w14:textId="77777777" w:rsidR="003D6A63" w:rsidRDefault="00000000">
            <w:pPr>
              <w:overflowPunct w:val="0"/>
              <w:adjustRightInd w:val="0"/>
              <w:snapToGrid w:val="0"/>
              <w:jc w:val="center"/>
              <w:rPr>
                <w:color w:val="000000" w:themeColor="text1"/>
                <w:kern w:val="0"/>
              </w:rPr>
            </w:pPr>
            <w:r>
              <w:rPr>
                <w:color w:val="000000" w:themeColor="text1"/>
                <w:kern w:val="0"/>
              </w:rPr>
              <w:t>《中华人民共和国特种设备安全法》</w:t>
            </w:r>
          </w:p>
          <w:p w14:paraId="4481386C" w14:textId="77777777" w:rsidR="003D6A63" w:rsidRDefault="00000000">
            <w:pPr>
              <w:overflowPunct w:val="0"/>
              <w:adjustRightInd w:val="0"/>
              <w:snapToGrid w:val="0"/>
              <w:jc w:val="center"/>
              <w:rPr>
                <w:kern w:val="0"/>
                <w:szCs w:val="21"/>
              </w:rPr>
            </w:pPr>
            <w:r>
              <w:rPr>
                <w:color w:val="000000" w:themeColor="text1"/>
                <w:kern w:val="0"/>
              </w:rPr>
              <w:t>第十三条</w:t>
            </w:r>
          </w:p>
        </w:tc>
        <w:tc>
          <w:tcPr>
            <w:tcW w:w="1192" w:type="pct"/>
            <w:tcBorders>
              <w:tl2br w:val="nil"/>
              <w:tr2bl w:val="nil"/>
            </w:tcBorders>
            <w:vAlign w:val="center"/>
          </w:tcPr>
          <w:p w14:paraId="2C5E53E3" w14:textId="77777777" w:rsidR="003D6A63" w:rsidRDefault="00000000">
            <w:pPr>
              <w:overflowPunct w:val="0"/>
              <w:adjustRightInd w:val="0"/>
              <w:snapToGrid w:val="0"/>
              <w:rPr>
                <w:kern w:val="0"/>
                <w:szCs w:val="21"/>
              </w:rPr>
            </w:pPr>
            <w:r>
              <w:rPr>
                <w:rFonts w:hint="eastAsia"/>
                <w:color w:val="000000" w:themeColor="text1"/>
                <w:kern w:val="0"/>
              </w:rPr>
              <w:t>中胜公司共有特种设备</w:t>
            </w:r>
            <w:r>
              <w:rPr>
                <w:rFonts w:hint="eastAsia"/>
                <w:color w:val="000000" w:themeColor="text1"/>
                <w:kern w:val="0"/>
              </w:rPr>
              <w:t>25</w:t>
            </w:r>
            <w:r>
              <w:rPr>
                <w:rFonts w:hint="eastAsia"/>
                <w:color w:val="000000" w:themeColor="text1"/>
                <w:kern w:val="0"/>
              </w:rPr>
              <w:t>台，均</w:t>
            </w:r>
            <w:r>
              <w:rPr>
                <w:color w:val="000000" w:themeColor="text1"/>
                <w:kern w:val="0"/>
              </w:rPr>
              <w:t>取得使用登记证书</w:t>
            </w:r>
            <w:r>
              <w:rPr>
                <w:rFonts w:hint="eastAsia"/>
                <w:color w:val="000000" w:themeColor="text1"/>
                <w:kern w:val="0"/>
              </w:rPr>
              <w:t>。</w:t>
            </w:r>
          </w:p>
        </w:tc>
        <w:tc>
          <w:tcPr>
            <w:tcW w:w="461" w:type="pct"/>
            <w:tcBorders>
              <w:tl2br w:val="nil"/>
              <w:tr2bl w:val="nil"/>
            </w:tcBorders>
            <w:vAlign w:val="center"/>
          </w:tcPr>
          <w:p w14:paraId="39C4FE56" w14:textId="77777777" w:rsidR="003D6A63" w:rsidRDefault="00000000">
            <w:pPr>
              <w:overflowPunct w:val="0"/>
              <w:adjustRightInd w:val="0"/>
              <w:snapToGrid w:val="0"/>
              <w:jc w:val="center"/>
              <w:rPr>
                <w:kern w:val="0"/>
                <w:szCs w:val="21"/>
              </w:rPr>
            </w:pPr>
            <w:r>
              <w:rPr>
                <w:color w:val="000000" w:themeColor="text1"/>
                <w:kern w:val="0"/>
              </w:rPr>
              <w:t>√</w:t>
            </w:r>
          </w:p>
        </w:tc>
      </w:tr>
      <w:tr w:rsidR="003D6A63" w14:paraId="3D242C55" w14:textId="77777777">
        <w:trPr>
          <w:trHeight w:val="340"/>
          <w:jc w:val="center"/>
        </w:trPr>
        <w:tc>
          <w:tcPr>
            <w:tcW w:w="380" w:type="pct"/>
            <w:tcBorders>
              <w:tl2br w:val="nil"/>
              <w:tr2bl w:val="nil"/>
            </w:tcBorders>
            <w:vAlign w:val="center"/>
          </w:tcPr>
          <w:p w14:paraId="120DD54A" w14:textId="77777777" w:rsidR="003D6A63" w:rsidRDefault="00000000">
            <w:pPr>
              <w:overflowPunct w:val="0"/>
              <w:adjustRightInd w:val="0"/>
              <w:snapToGrid w:val="0"/>
              <w:jc w:val="center"/>
              <w:rPr>
                <w:kern w:val="0"/>
                <w:szCs w:val="21"/>
              </w:rPr>
            </w:pPr>
            <w:r>
              <w:rPr>
                <w:rFonts w:hint="eastAsia"/>
                <w:kern w:val="0"/>
                <w:szCs w:val="21"/>
              </w:rPr>
              <w:t>24</w:t>
            </w:r>
          </w:p>
        </w:tc>
        <w:tc>
          <w:tcPr>
            <w:tcW w:w="1564" w:type="pct"/>
            <w:tcBorders>
              <w:tl2br w:val="nil"/>
              <w:tr2bl w:val="nil"/>
            </w:tcBorders>
            <w:vAlign w:val="center"/>
          </w:tcPr>
          <w:p w14:paraId="37BC2344" w14:textId="77777777" w:rsidR="003D6A63" w:rsidRDefault="00000000">
            <w:pPr>
              <w:overflowPunct w:val="0"/>
              <w:adjustRightInd w:val="0"/>
              <w:snapToGrid w:val="0"/>
              <w:rPr>
                <w:color w:val="000000" w:themeColor="text1"/>
                <w:kern w:val="0"/>
              </w:rPr>
            </w:pPr>
            <w:r>
              <w:rPr>
                <w:color w:val="000000" w:themeColor="text1"/>
                <w:kern w:val="0"/>
              </w:rPr>
              <w:t>特种设备使用单位应当按照安全技术规范的要求，在检验合格有效期届满前一个月向特种设备检验机构提出定期检验要求。</w:t>
            </w:r>
          </w:p>
          <w:p w14:paraId="47A1C810" w14:textId="77777777" w:rsidR="003D6A63" w:rsidRDefault="00000000">
            <w:pPr>
              <w:overflowPunct w:val="0"/>
              <w:adjustRightInd w:val="0"/>
              <w:snapToGrid w:val="0"/>
              <w:rPr>
                <w:color w:val="000000" w:themeColor="text1"/>
                <w:kern w:val="0"/>
              </w:rPr>
            </w:pPr>
            <w:r>
              <w:rPr>
                <w:color w:val="000000" w:themeColor="text1"/>
                <w:kern w:val="0"/>
              </w:rPr>
              <w:t>特种设备检验机构接到定期检验要求后，应当按照安全技术规范的要求及时进行安全性能检验。特种设备使用单位应当将定期检验标志置于该特种设备的显著位置。</w:t>
            </w:r>
          </w:p>
          <w:p w14:paraId="2484D7EB" w14:textId="77777777" w:rsidR="003D6A63" w:rsidRDefault="00000000">
            <w:pPr>
              <w:overflowPunct w:val="0"/>
              <w:adjustRightInd w:val="0"/>
              <w:snapToGrid w:val="0"/>
              <w:rPr>
                <w:color w:val="000000" w:themeColor="text1"/>
                <w:kern w:val="0"/>
              </w:rPr>
            </w:pPr>
            <w:r>
              <w:rPr>
                <w:color w:val="000000" w:themeColor="text1"/>
                <w:kern w:val="0"/>
              </w:rPr>
              <w:t>未经定期检验或者检验不合格的特种设备，不得继续使用。</w:t>
            </w:r>
          </w:p>
        </w:tc>
        <w:tc>
          <w:tcPr>
            <w:tcW w:w="1401" w:type="pct"/>
            <w:tcBorders>
              <w:tl2br w:val="nil"/>
              <w:tr2bl w:val="nil"/>
            </w:tcBorders>
            <w:vAlign w:val="center"/>
          </w:tcPr>
          <w:p w14:paraId="175C1E80" w14:textId="77777777" w:rsidR="003D6A63" w:rsidRDefault="00000000">
            <w:pPr>
              <w:overflowPunct w:val="0"/>
              <w:adjustRightInd w:val="0"/>
              <w:snapToGrid w:val="0"/>
              <w:jc w:val="center"/>
              <w:rPr>
                <w:color w:val="000000" w:themeColor="text1"/>
                <w:kern w:val="0"/>
              </w:rPr>
            </w:pPr>
            <w:r>
              <w:rPr>
                <w:color w:val="000000" w:themeColor="text1"/>
                <w:kern w:val="0"/>
              </w:rPr>
              <w:t>《中华人民共和国特种设备安全法》</w:t>
            </w:r>
          </w:p>
          <w:p w14:paraId="440ADCF5" w14:textId="77777777" w:rsidR="003D6A63" w:rsidRDefault="00000000">
            <w:pPr>
              <w:overflowPunct w:val="0"/>
              <w:adjustRightInd w:val="0"/>
              <w:snapToGrid w:val="0"/>
              <w:jc w:val="center"/>
              <w:rPr>
                <w:color w:val="000000" w:themeColor="text1"/>
                <w:kern w:val="0"/>
              </w:rPr>
            </w:pPr>
            <w:r>
              <w:rPr>
                <w:color w:val="000000" w:themeColor="text1"/>
                <w:kern w:val="0"/>
              </w:rPr>
              <w:t>第四十条</w:t>
            </w:r>
          </w:p>
        </w:tc>
        <w:tc>
          <w:tcPr>
            <w:tcW w:w="1192" w:type="pct"/>
            <w:tcBorders>
              <w:tl2br w:val="nil"/>
              <w:tr2bl w:val="nil"/>
            </w:tcBorders>
            <w:vAlign w:val="center"/>
          </w:tcPr>
          <w:p w14:paraId="6FCB6F47" w14:textId="77777777" w:rsidR="003D6A63" w:rsidRDefault="00000000">
            <w:pPr>
              <w:overflowPunct w:val="0"/>
              <w:adjustRightInd w:val="0"/>
              <w:snapToGrid w:val="0"/>
              <w:rPr>
                <w:color w:val="000000" w:themeColor="text1"/>
                <w:kern w:val="0"/>
              </w:rPr>
            </w:pPr>
            <w:r>
              <w:rPr>
                <w:rFonts w:hint="eastAsia"/>
                <w:color w:val="000000" w:themeColor="text1"/>
                <w:kern w:val="0"/>
              </w:rPr>
              <w:t>特种设备均</w:t>
            </w:r>
            <w:r>
              <w:rPr>
                <w:color w:val="000000" w:themeColor="text1"/>
                <w:kern w:val="0"/>
              </w:rPr>
              <w:t>定期检验</w:t>
            </w:r>
            <w:r>
              <w:rPr>
                <w:rFonts w:hint="eastAsia"/>
                <w:color w:val="000000" w:themeColor="text1"/>
                <w:kern w:val="0"/>
              </w:rPr>
              <w:t>，</w:t>
            </w:r>
            <w:r>
              <w:rPr>
                <w:color w:val="000000" w:themeColor="text1"/>
                <w:kern w:val="0"/>
              </w:rPr>
              <w:t>定期检验标志置于该特种设备的显著位置。</w:t>
            </w:r>
          </w:p>
        </w:tc>
        <w:tc>
          <w:tcPr>
            <w:tcW w:w="461" w:type="pct"/>
            <w:tcBorders>
              <w:tl2br w:val="nil"/>
              <w:tr2bl w:val="nil"/>
            </w:tcBorders>
            <w:vAlign w:val="center"/>
          </w:tcPr>
          <w:p w14:paraId="6A78F38C" w14:textId="77777777" w:rsidR="003D6A63" w:rsidRDefault="00000000">
            <w:pPr>
              <w:overflowPunct w:val="0"/>
              <w:adjustRightInd w:val="0"/>
              <w:snapToGrid w:val="0"/>
              <w:jc w:val="center"/>
              <w:rPr>
                <w:color w:val="000000" w:themeColor="text1"/>
                <w:kern w:val="0"/>
              </w:rPr>
            </w:pPr>
            <w:r>
              <w:rPr>
                <w:color w:val="000000" w:themeColor="text1"/>
                <w:kern w:val="0"/>
              </w:rPr>
              <w:t>√</w:t>
            </w:r>
          </w:p>
        </w:tc>
      </w:tr>
      <w:tr w:rsidR="003D6A63" w14:paraId="1E8AA505" w14:textId="77777777">
        <w:trPr>
          <w:trHeight w:val="340"/>
          <w:jc w:val="center"/>
        </w:trPr>
        <w:tc>
          <w:tcPr>
            <w:tcW w:w="380" w:type="pct"/>
            <w:tcBorders>
              <w:tl2br w:val="nil"/>
              <w:tr2bl w:val="nil"/>
            </w:tcBorders>
            <w:vAlign w:val="center"/>
          </w:tcPr>
          <w:p w14:paraId="2FC596FD" w14:textId="77777777" w:rsidR="003D6A63" w:rsidRDefault="00000000">
            <w:pPr>
              <w:overflowPunct w:val="0"/>
              <w:adjustRightInd w:val="0"/>
              <w:snapToGrid w:val="0"/>
              <w:jc w:val="center"/>
              <w:rPr>
                <w:kern w:val="0"/>
                <w:szCs w:val="21"/>
              </w:rPr>
            </w:pPr>
            <w:r>
              <w:rPr>
                <w:rFonts w:hint="eastAsia"/>
                <w:kern w:val="0"/>
                <w:szCs w:val="21"/>
              </w:rPr>
              <w:t>25</w:t>
            </w:r>
          </w:p>
        </w:tc>
        <w:tc>
          <w:tcPr>
            <w:tcW w:w="1564" w:type="pct"/>
            <w:tcBorders>
              <w:tl2br w:val="nil"/>
              <w:tr2bl w:val="nil"/>
            </w:tcBorders>
            <w:vAlign w:val="center"/>
          </w:tcPr>
          <w:p w14:paraId="4A3E4725" w14:textId="77777777" w:rsidR="003D6A63" w:rsidRDefault="00000000">
            <w:pPr>
              <w:overflowPunct w:val="0"/>
              <w:adjustRightInd w:val="0"/>
              <w:snapToGrid w:val="0"/>
              <w:rPr>
                <w:kern w:val="0"/>
                <w:szCs w:val="21"/>
              </w:rPr>
            </w:pPr>
            <w:r>
              <w:rPr>
                <w:kern w:val="0"/>
                <w:szCs w:val="21"/>
              </w:rPr>
              <w:t>压力表的检定和维护应当符合国家计量部门的有关规定，</w:t>
            </w:r>
            <w:r>
              <w:rPr>
                <w:kern w:val="0"/>
                <w:szCs w:val="21"/>
              </w:rPr>
              <w:lastRenderedPageBreak/>
              <w:t>压力表安装前应当进行检定，在刻度盘上应当划出指示工作压力的红线，注明下次检定日期。压力表检定后应当加铅封。</w:t>
            </w:r>
          </w:p>
        </w:tc>
        <w:tc>
          <w:tcPr>
            <w:tcW w:w="1401" w:type="pct"/>
            <w:tcBorders>
              <w:tl2br w:val="nil"/>
              <w:tr2bl w:val="nil"/>
            </w:tcBorders>
            <w:vAlign w:val="center"/>
          </w:tcPr>
          <w:p w14:paraId="523C2B1C" w14:textId="77777777" w:rsidR="003D6A63" w:rsidRDefault="00000000">
            <w:pPr>
              <w:overflowPunct w:val="0"/>
              <w:adjustRightInd w:val="0"/>
              <w:snapToGrid w:val="0"/>
              <w:jc w:val="center"/>
              <w:rPr>
                <w:kern w:val="0"/>
                <w:szCs w:val="21"/>
              </w:rPr>
            </w:pPr>
            <w:r>
              <w:rPr>
                <w:kern w:val="0"/>
                <w:szCs w:val="21"/>
              </w:rPr>
              <w:lastRenderedPageBreak/>
              <w:t>TSG21-2016</w:t>
            </w:r>
          </w:p>
          <w:p w14:paraId="694EB4C0" w14:textId="77777777" w:rsidR="003D6A63" w:rsidRDefault="00000000">
            <w:pPr>
              <w:overflowPunct w:val="0"/>
              <w:adjustRightInd w:val="0"/>
              <w:snapToGrid w:val="0"/>
              <w:jc w:val="center"/>
              <w:rPr>
                <w:kern w:val="0"/>
                <w:szCs w:val="21"/>
              </w:rPr>
            </w:pPr>
            <w:r>
              <w:rPr>
                <w:kern w:val="0"/>
                <w:szCs w:val="21"/>
              </w:rPr>
              <w:t>9.2.1.2</w:t>
            </w:r>
          </w:p>
        </w:tc>
        <w:tc>
          <w:tcPr>
            <w:tcW w:w="1192" w:type="pct"/>
            <w:tcBorders>
              <w:tl2br w:val="nil"/>
              <w:tr2bl w:val="nil"/>
            </w:tcBorders>
            <w:vAlign w:val="center"/>
          </w:tcPr>
          <w:p w14:paraId="0B7912F4" w14:textId="77777777" w:rsidR="003D6A63" w:rsidRDefault="00000000">
            <w:pPr>
              <w:overflowPunct w:val="0"/>
              <w:adjustRightInd w:val="0"/>
              <w:snapToGrid w:val="0"/>
              <w:rPr>
                <w:kern w:val="0"/>
                <w:szCs w:val="21"/>
              </w:rPr>
            </w:pPr>
            <w:r>
              <w:rPr>
                <w:kern w:val="0"/>
                <w:szCs w:val="21"/>
              </w:rPr>
              <w:t>已按时检验，并在检验报告期内。</w:t>
            </w:r>
            <w:r>
              <w:rPr>
                <w:rFonts w:hint="eastAsia"/>
                <w:kern w:val="0"/>
                <w:szCs w:val="21"/>
              </w:rPr>
              <w:t>见附件</w:t>
            </w:r>
            <w:r>
              <w:rPr>
                <w:rFonts w:hint="eastAsia"/>
                <w:kern w:val="0"/>
                <w:szCs w:val="21"/>
              </w:rPr>
              <w:t>12</w:t>
            </w:r>
            <w:r>
              <w:rPr>
                <w:rFonts w:hint="eastAsia"/>
                <w:kern w:val="0"/>
                <w:szCs w:val="21"/>
              </w:rPr>
              <w:t>。</w:t>
            </w:r>
          </w:p>
        </w:tc>
        <w:tc>
          <w:tcPr>
            <w:tcW w:w="461" w:type="pct"/>
            <w:tcBorders>
              <w:tl2br w:val="nil"/>
              <w:tr2bl w:val="nil"/>
            </w:tcBorders>
            <w:vAlign w:val="center"/>
          </w:tcPr>
          <w:p w14:paraId="3ED8CF04" w14:textId="77777777" w:rsidR="003D6A63" w:rsidRDefault="00000000">
            <w:pPr>
              <w:overflowPunct w:val="0"/>
              <w:adjustRightInd w:val="0"/>
              <w:snapToGrid w:val="0"/>
              <w:jc w:val="center"/>
              <w:rPr>
                <w:kern w:val="0"/>
                <w:szCs w:val="21"/>
              </w:rPr>
            </w:pPr>
            <w:r>
              <w:rPr>
                <w:kern w:val="0"/>
                <w:szCs w:val="21"/>
              </w:rPr>
              <w:t>√</w:t>
            </w:r>
          </w:p>
        </w:tc>
      </w:tr>
      <w:tr w:rsidR="003D6A63" w14:paraId="63BE749E" w14:textId="77777777">
        <w:trPr>
          <w:trHeight w:val="340"/>
          <w:jc w:val="center"/>
        </w:trPr>
        <w:tc>
          <w:tcPr>
            <w:tcW w:w="5000" w:type="pct"/>
            <w:gridSpan w:val="5"/>
            <w:tcBorders>
              <w:tl2br w:val="nil"/>
              <w:tr2bl w:val="nil"/>
            </w:tcBorders>
            <w:vAlign w:val="center"/>
          </w:tcPr>
          <w:p w14:paraId="47E97F1E" w14:textId="77777777" w:rsidR="003D6A63" w:rsidRDefault="00000000">
            <w:pPr>
              <w:overflowPunct w:val="0"/>
              <w:adjustRightInd w:val="0"/>
              <w:snapToGrid w:val="0"/>
              <w:jc w:val="center"/>
              <w:rPr>
                <w:b/>
                <w:bCs/>
                <w:kern w:val="0"/>
                <w:szCs w:val="21"/>
              </w:rPr>
            </w:pPr>
            <w:r>
              <w:rPr>
                <w:b/>
                <w:bCs/>
                <w:kern w:val="0"/>
                <w:szCs w:val="21"/>
              </w:rPr>
              <w:t>十、安全投入</w:t>
            </w:r>
          </w:p>
        </w:tc>
      </w:tr>
      <w:tr w:rsidR="003D6A63" w14:paraId="196E7B38" w14:textId="77777777">
        <w:trPr>
          <w:trHeight w:val="340"/>
          <w:jc w:val="center"/>
        </w:trPr>
        <w:tc>
          <w:tcPr>
            <w:tcW w:w="380" w:type="pct"/>
            <w:tcBorders>
              <w:tl2br w:val="nil"/>
              <w:tr2bl w:val="nil"/>
            </w:tcBorders>
            <w:vAlign w:val="center"/>
          </w:tcPr>
          <w:p w14:paraId="1C8CBF9F" w14:textId="77777777" w:rsidR="003D6A63" w:rsidRDefault="00000000">
            <w:pPr>
              <w:overflowPunct w:val="0"/>
              <w:adjustRightInd w:val="0"/>
              <w:snapToGrid w:val="0"/>
              <w:jc w:val="center"/>
              <w:rPr>
                <w:kern w:val="0"/>
                <w:szCs w:val="21"/>
              </w:rPr>
            </w:pPr>
            <w:r>
              <w:rPr>
                <w:rFonts w:hint="eastAsia"/>
                <w:kern w:val="0"/>
                <w:szCs w:val="21"/>
              </w:rPr>
              <w:t>26</w:t>
            </w:r>
          </w:p>
        </w:tc>
        <w:tc>
          <w:tcPr>
            <w:tcW w:w="1564" w:type="pct"/>
            <w:tcBorders>
              <w:tl2br w:val="nil"/>
              <w:tr2bl w:val="nil"/>
            </w:tcBorders>
            <w:vAlign w:val="center"/>
          </w:tcPr>
          <w:p w14:paraId="5E9FF1A7" w14:textId="77777777" w:rsidR="003D6A63" w:rsidRDefault="00000000">
            <w:pPr>
              <w:overflowPunct w:val="0"/>
              <w:adjustRightInd w:val="0"/>
              <w:snapToGrid w:val="0"/>
              <w:rPr>
                <w:kern w:val="0"/>
                <w:szCs w:val="21"/>
              </w:rPr>
            </w:pPr>
            <w:r>
              <w:rPr>
                <w:color w:val="000000" w:themeColor="text1"/>
                <w:kern w:val="0"/>
              </w:rPr>
              <w:t>陆上</w:t>
            </w:r>
            <w:r>
              <w:rPr>
                <w:rFonts w:hint="eastAsia"/>
                <w:color w:val="000000" w:themeColor="text1"/>
                <w:kern w:val="0"/>
              </w:rPr>
              <w:t>采油</w:t>
            </w:r>
            <w:r>
              <w:rPr>
                <w:color w:val="000000" w:themeColor="text1"/>
                <w:kern w:val="0"/>
              </w:rPr>
              <w:t>、海上</w:t>
            </w:r>
            <w:r>
              <w:rPr>
                <w:rFonts w:hint="eastAsia"/>
                <w:color w:val="000000" w:themeColor="text1"/>
                <w:kern w:val="0"/>
              </w:rPr>
              <w:t>采油</w:t>
            </w:r>
            <w:r>
              <w:rPr>
                <w:color w:val="000000" w:themeColor="text1"/>
                <w:kern w:val="0"/>
              </w:rPr>
              <w:t>企业依据当月开采的石油、天然气产量，于月末提取企业安全生产费用。其中每吨原油</w:t>
            </w:r>
            <w:r>
              <w:rPr>
                <w:color w:val="000000" w:themeColor="text1"/>
                <w:kern w:val="0"/>
              </w:rPr>
              <w:t>20</w:t>
            </w:r>
            <w:r>
              <w:rPr>
                <w:color w:val="000000" w:themeColor="text1"/>
                <w:kern w:val="0"/>
              </w:rPr>
              <w:t>元，每千立方米原气</w:t>
            </w:r>
            <w:r>
              <w:rPr>
                <w:color w:val="000000" w:themeColor="text1"/>
                <w:kern w:val="0"/>
              </w:rPr>
              <w:t>7.5</w:t>
            </w:r>
            <w:r>
              <w:rPr>
                <w:color w:val="000000" w:themeColor="text1"/>
                <w:kern w:val="0"/>
              </w:rPr>
              <w:t>元。</w:t>
            </w:r>
          </w:p>
        </w:tc>
        <w:tc>
          <w:tcPr>
            <w:tcW w:w="1401" w:type="pct"/>
            <w:tcBorders>
              <w:tl2br w:val="nil"/>
              <w:tr2bl w:val="nil"/>
            </w:tcBorders>
            <w:vAlign w:val="center"/>
          </w:tcPr>
          <w:p w14:paraId="39068B08" w14:textId="77777777" w:rsidR="003D6A63" w:rsidRDefault="00000000">
            <w:pPr>
              <w:overflowPunct w:val="0"/>
              <w:adjustRightInd w:val="0"/>
              <w:snapToGrid w:val="0"/>
              <w:jc w:val="center"/>
              <w:rPr>
                <w:color w:val="000000" w:themeColor="text1"/>
                <w:kern w:val="0"/>
              </w:rPr>
            </w:pPr>
            <w:r>
              <w:rPr>
                <w:color w:val="000000" w:themeColor="text1"/>
                <w:kern w:val="0"/>
              </w:rPr>
              <w:t>《企业安全生产费用提取和使用管理办法》</w:t>
            </w:r>
          </w:p>
          <w:p w14:paraId="4B1072F2" w14:textId="77777777" w:rsidR="003D6A63" w:rsidRDefault="00000000">
            <w:pPr>
              <w:overflowPunct w:val="0"/>
              <w:adjustRightInd w:val="0"/>
              <w:snapToGrid w:val="0"/>
              <w:jc w:val="center"/>
              <w:rPr>
                <w:kern w:val="0"/>
                <w:szCs w:val="21"/>
              </w:rPr>
            </w:pPr>
            <w:r>
              <w:rPr>
                <w:color w:val="000000" w:themeColor="text1"/>
                <w:kern w:val="0"/>
              </w:rPr>
              <w:t>第十四条</w:t>
            </w:r>
          </w:p>
        </w:tc>
        <w:tc>
          <w:tcPr>
            <w:tcW w:w="1192" w:type="pct"/>
            <w:tcBorders>
              <w:tl2br w:val="nil"/>
              <w:tr2bl w:val="nil"/>
            </w:tcBorders>
            <w:vAlign w:val="center"/>
          </w:tcPr>
          <w:p w14:paraId="51167ADD" w14:textId="77777777" w:rsidR="003D6A63" w:rsidRDefault="00000000">
            <w:pPr>
              <w:overflowPunct w:val="0"/>
              <w:adjustRightInd w:val="0"/>
              <w:snapToGrid w:val="0"/>
              <w:rPr>
                <w:kern w:val="0"/>
                <w:szCs w:val="21"/>
              </w:rPr>
            </w:pPr>
            <w:r>
              <w:rPr>
                <w:rFonts w:hint="eastAsia"/>
                <w:color w:val="000000" w:themeColor="text1"/>
                <w:kern w:val="0"/>
              </w:rPr>
              <w:t>2023</w:t>
            </w:r>
            <w:r>
              <w:rPr>
                <w:rFonts w:hint="eastAsia"/>
                <w:color w:val="000000" w:themeColor="text1"/>
                <w:kern w:val="0"/>
              </w:rPr>
              <w:t>年提取计划已按照《企业安全生产费用提取和使用管理办法》（财资〔</w:t>
            </w:r>
            <w:r>
              <w:rPr>
                <w:rFonts w:hint="eastAsia"/>
                <w:color w:val="000000" w:themeColor="text1"/>
                <w:kern w:val="0"/>
              </w:rPr>
              <w:t>2022</w:t>
            </w:r>
            <w:r>
              <w:rPr>
                <w:rFonts w:hint="eastAsia"/>
                <w:color w:val="000000" w:themeColor="text1"/>
                <w:kern w:val="0"/>
              </w:rPr>
              <w:t>〕</w:t>
            </w:r>
            <w:r>
              <w:rPr>
                <w:rFonts w:hint="eastAsia"/>
                <w:color w:val="000000" w:themeColor="text1"/>
                <w:kern w:val="0"/>
              </w:rPr>
              <w:t>136</w:t>
            </w:r>
            <w:r>
              <w:rPr>
                <w:rFonts w:hint="eastAsia"/>
                <w:color w:val="000000" w:themeColor="text1"/>
                <w:kern w:val="0"/>
              </w:rPr>
              <w:t>号）执行。</w:t>
            </w:r>
          </w:p>
        </w:tc>
        <w:tc>
          <w:tcPr>
            <w:tcW w:w="461" w:type="pct"/>
            <w:tcBorders>
              <w:tl2br w:val="nil"/>
              <w:tr2bl w:val="nil"/>
            </w:tcBorders>
            <w:vAlign w:val="center"/>
          </w:tcPr>
          <w:p w14:paraId="66745F07" w14:textId="77777777" w:rsidR="003D6A63" w:rsidRDefault="00000000">
            <w:pPr>
              <w:overflowPunct w:val="0"/>
              <w:adjustRightInd w:val="0"/>
              <w:snapToGrid w:val="0"/>
              <w:jc w:val="center"/>
              <w:rPr>
                <w:kern w:val="0"/>
                <w:szCs w:val="21"/>
              </w:rPr>
            </w:pPr>
            <w:r>
              <w:rPr>
                <w:kern w:val="0"/>
                <w:szCs w:val="21"/>
              </w:rPr>
              <w:t>√</w:t>
            </w:r>
          </w:p>
        </w:tc>
      </w:tr>
      <w:tr w:rsidR="003D6A63" w14:paraId="2E16D425" w14:textId="77777777">
        <w:trPr>
          <w:trHeight w:val="340"/>
          <w:jc w:val="center"/>
        </w:trPr>
        <w:tc>
          <w:tcPr>
            <w:tcW w:w="380" w:type="pct"/>
            <w:tcBorders>
              <w:tl2br w:val="nil"/>
              <w:tr2bl w:val="nil"/>
            </w:tcBorders>
            <w:vAlign w:val="center"/>
          </w:tcPr>
          <w:p w14:paraId="3E79C77F" w14:textId="77777777" w:rsidR="003D6A63" w:rsidRDefault="00000000">
            <w:pPr>
              <w:overflowPunct w:val="0"/>
              <w:adjustRightInd w:val="0"/>
              <w:snapToGrid w:val="0"/>
              <w:jc w:val="center"/>
              <w:rPr>
                <w:kern w:val="0"/>
                <w:szCs w:val="21"/>
              </w:rPr>
            </w:pPr>
            <w:r>
              <w:rPr>
                <w:rFonts w:hint="eastAsia"/>
                <w:kern w:val="0"/>
                <w:szCs w:val="21"/>
              </w:rPr>
              <w:t>27</w:t>
            </w:r>
          </w:p>
        </w:tc>
        <w:tc>
          <w:tcPr>
            <w:tcW w:w="1564" w:type="pct"/>
            <w:tcBorders>
              <w:tl2br w:val="nil"/>
              <w:tr2bl w:val="nil"/>
            </w:tcBorders>
            <w:vAlign w:val="center"/>
          </w:tcPr>
          <w:p w14:paraId="60E716CC" w14:textId="77777777" w:rsidR="003D6A63" w:rsidRDefault="00000000">
            <w:pPr>
              <w:overflowPunct w:val="0"/>
              <w:adjustRightInd w:val="0"/>
              <w:snapToGrid w:val="0"/>
              <w:rPr>
                <w:color w:val="000000" w:themeColor="text1"/>
                <w:kern w:val="0"/>
              </w:rPr>
            </w:pPr>
            <w:r>
              <w:t>企业应当建立健全内部企业安全生产费用管理制度，明确企业安全生产费用提取和使用的程序、职责及权限，落实责任，确保按规定提取和使用企业安全生产费用。</w:t>
            </w:r>
          </w:p>
        </w:tc>
        <w:tc>
          <w:tcPr>
            <w:tcW w:w="1401" w:type="pct"/>
            <w:tcBorders>
              <w:tl2br w:val="nil"/>
              <w:tr2bl w:val="nil"/>
            </w:tcBorders>
            <w:vAlign w:val="center"/>
          </w:tcPr>
          <w:p w14:paraId="1C626AC6" w14:textId="77777777" w:rsidR="003D6A63" w:rsidRDefault="00000000">
            <w:pPr>
              <w:overflowPunct w:val="0"/>
              <w:adjustRightInd w:val="0"/>
              <w:snapToGrid w:val="0"/>
              <w:jc w:val="center"/>
              <w:rPr>
                <w:color w:val="000000" w:themeColor="text1"/>
                <w:kern w:val="0"/>
              </w:rPr>
            </w:pPr>
            <w:r>
              <w:rPr>
                <w:color w:val="000000" w:themeColor="text1"/>
                <w:kern w:val="0"/>
              </w:rPr>
              <w:t>《企业安全生产费用提取和使用管理办法》</w:t>
            </w:r>
          </w:p>
          <w:p w14:paraId="06A6FF88" w14:textId="77777777" w:rsidR="003D6A63" w:rsidRDefault="00000000">
            <w:pPr>
              <w:overflowPunct w:val="0"/>
              <w:adjustRightInd w:val="0"/>
              <w:snapToGrid w:val="0"/>
              <w:jc w:val="center"/>
              <w:rPr>
                <w:color w:val="000000" w:themeColor="text1"/>
                <w:kern w:val="0"/>
              </w:rPr>
            </w:pPr>
            <w:r>
              <w:rPr>
                <w:color w:val="000000" w:themeColor="text1"/>
                <w:kern w:val="0"/>
              </w:rPr>
              <w:t>第四十五条</w:t>
            </w:r>
          </w:p>
        </w:tc>
        <w:tc>
          <w:tcPr>
            <w:tcW w:w="1192" w:type="pct"/>
            <w:tcBorders>
              <w:tl2br w:val="nil"/>
              <w:tr2bl w:val="nil"/>
            </w:tcBorders>
            <w:vAlign w:val="center"/>
          </w:tcPr>
          <w:p w14:paraId="4FA5B077" w14:textId="77777777" w:rsidR="003D6A63" w:rsidRDefault="00000000">
            <w:pPr>
              <w:overflowPunct w:val="0"/>
              <w:adjustRightInd w:val="0"/>
              <w:snapToGrid w:val="0"/>
              <w:rPr>
                <w:color w:val="000000" w:themeColor="text1"/>
                <w:kern w:val="0"/>
              </w:rPr>
            </w:pPr>
            <w:r>
              <w:rPr>
                <w:rFonts w:hint="eastAsia"/>
                <w:kern w:val="0"/>
                <w:szCs w:val="21"/>
                <w:lang w:val="zh-CN"/>
              </w:rPr>
              <w:t>中胜公司</w:t>
            </w:r>
            <w:r>
              <w:rPr>
                <w:kern w:val="0"/>
                <w:szCs w:val="21"/>
                <w:lang w:val="zh-CN"/>
              </w:rPr>
              <w:t>制定有《</w:t>
            </w:r>
            <w:r>
              <w:rPr>
                <w:rFonts w:hint="eastAsia"/>
                <w:kern w:val="0"/>
                <w:szCs w:val="21"/>
              </w:rPr>
              <w:t>胜利油田中胜石油开发有限责任公司</w:t>
            </w:r>
            <w:r>
              <w:rPr>
                <w:kern w:val="0"/>
                <w:szCs w:val="21"/>
              </w:rPr>
              <w:t>安全生产费用管理规定</w:t>
            </w:r>
            <w:r>
              <w:rPr>
                <w:kern w:val="0"/>
                <w:szCs w:val="21"/>
                <w:lang w:val="zh-CN"/>
              </w:rPr>
              <w:t>》</w:t>
            </w:r>
            <w:r>
              <w:rPr>
                <w:rFonts w:hint="eastAsia"/>
                <w:kern w:val="0"/>
                <w:szCs w:val="21"/>
                <w:lang w:val="zh-CN"/>
              </w:rPr>
              <w:t>，</w:t>
            </w:r>
            <w:r>
              <w:rPr>
                <w:kern w:val="0"/>
                <w:szCs w:val="21"/>
              </w:rPr>
              <w:t>在安全投入</w:t>
            </w:r>
            <w:r>
              <w:rPr>
                <w:kern w:val="0"/>
                <w:szCs w:val="21"/>
                <w:lang w:val="zh-CN"/>
              </w:rPr>
              <w:t>方面，</w:t>
            </w:r>
            <w:r>
              <w:rPr>
                <w:kern w:val="0"/>
                <w:szCs w:val="21"/>
              </w:rPr>
              <w:t>按比例提取安全技术措施专项经费，专款专用，确保安全方面的资金投入。</w:t>
            </w:r>
            <w:r>
              <w:rPr>
                <w:kern w:val="0"/>
                <w:szCs w:val="21"/>
                <w:lang w:val="zh-CN"/>
              </w:rPr>
              <w:t>安全生产费用</w:t>
            </w:r>
            <w:r>
              <w:rPr>
                <w:kern w:val="0"/>
                <w:szCs w:val="21"/>
              </w:rPr>
              <w:t>主要用于（现场）隐患治理改造类、临时性、突发性应急事件（演练）类、日常应急配备类、安全、职业卫生设施设备类、新技术、新标准、新装备等推广应用类、</w:t>
            </w:r>
            <w:r>
              <w:rPr>
                <w:kern w:val="0"/>
                <w:szCs w:val="21"/>
              </w:rPr>
              <w:t>HSE</w:t>
            </w:r>
            <w:r>
              <w:rPr>
                <w:kern w:val="0"/>
                <w:szCs w:val="21"/>
              </w:rPr>
              <w:t>宣传培训类、检测、评价、评估、咨询和安全生产标准化建设类、设备设施安全维修类、其他类相关支出。</w:t>
            </w:r>
          </w:p>
        </w:tc>
        <w:tc>
          <w:tcPr>
            <w:tcW w:w="461" w:type="pct"/>
            <w:tcBorders>
              <w:tl2br w:val="nil"/>
              <w:tr2bl w:val="nil"/>
            </w:tcBorders>
            <w:vAlign w:val="center"/>
          </w:tcPr>
          <w:p w14:paraId="226F9794" w14:textId="77777777" w:rsidR="003D6A63" w:rsidRDefault="003D6A63">
            <w:pPr>
              <w:overflowPunct w:val="0"/>
              <w:adjustRightInd w:val="0"/>
              <w:snapToGrid w:val="0"/>
              <w:jc w:val="center"/>
              <w:rPr>
                <w:kern w:val="0"/>
                <w:szCs w:val="21"/>
              </w:rPr>
            </w:pPr>
          </w:p>
        </w:tc>
      </w:tr>
      <w:tr w:rsidR="003D6A63" w14:paraId="3B6D3AF6" w14:textId="77777777">
        <w:trPr>
          <w:trHeight w:val="340"/>
          <w:jc w:val="center"/>
        </w:trPr>
        <w:tc>
          <w:tcPr>
            <w:tcW w:w="380" w:type="pct"/>
            <w:tcBorders>
              <w:tl2br w:val="nil"/>
              <w:tr2bl w:val="nil"/>
            </w:tcBorders>
            <w:vAlign w:val="center"/>
          </w:tcPr>
          <w:p w14:paraId="3CD55EF1" w14:textId="77777777" w:rsidR="003D6A63" w:rsidRDefault="00000000">
            <w:pPr>
              <w:overflowPunct w:val="0"/>
              <w:adjustRightInd w:val="0"/>
              <w:snapToGrid w:val="0"/>
              <w:jc w:val="center"/>
              <w:rPr>
                <w:kern w:val="0"/>
                <w:szCs w:val="21"/>
              </w:rPr>
            </w:pPr>
            <w:r>
              <w:rPr>
                <w:rFonts w:hint="eastAsia"/>
                <w:kern w:val="0"/>
                <w:szCs w:val="21"/>
              </w:rPr>
              <w:t>28</w:t>
            </w:r>
          </w:p>
        </w:tc>
        <w:tc>
          <w:tcPr>
            <w:tcW w:w="1564" w:type="pct"/>
            <w:tcBorders>
              <w:tl2br w:val="nil"/>
              <w:tr2bl w:val="nil"/>
            </w:tcBorders>
            <w:vAlign w:val="center"/>
          </w:tcPr>
          <w:p w14:paraId="60A812AC" w14:textId="77777777" w:rsidR="003D6A63" w:rsidRDefault="00000000">
            <w:pPr>
              <w:overflowPunct w:val="0"/>
              <w:adjustRightInd w:val="0"/>
              <w:snapToGrid w:val="0"/>
            </w:pPr>
            <w:r>
              <w:t>企业应当加强安全生产费用管理，编制年度企业安全生产费用提取和使用计划，纳入企业财务预算，确保资金投入。</w:t>
            </w:r>
          </w:p>
        </w:tc>
        <w:tc>
          <w:tcPr>
            <w:tcW w:w="1401" w:type="pct"/>
            <w:tcBorders>
              <w:tl2br w:val="nil"/>
              <w:tr2bl w:val="nil"/>
            </w:tcBorders>
            <w:vAlign w:val="center"/>
          </w:tcPr>
          <w:p w14:paraId="2AE1497F" w14:textId="77777777" w:rsidR="003D6A63" w:rsidRDefault="00000000">
            <w:pPr>
              <w:overflowPunct w:val="0"/>
              <w:adjustRightInd w:val="0"/>
              <w:snapToGrid w:val="0"/>
              <w:jc w:val="center"/>
              <w:rPr>
                <w:color w:val="000000" w:themeColor="text1"/>
                <w:kern w:val="0"/>
              </w:rPr>
            </w:pPr>
            <w:r>
              <w:rPr>
                <w:color w:val="000000" w:themeColor="text1"/>
                <w:kern w:val="0"/>
              </w:rPr>
              <w:t>《企业安全生产费用提取和使用管理办法》</w:t>
            </w:r>
          </w:p>
          <w:p w14:paraId="1FCD4E07" w14:textId="77777777" w:rsidR="003D6A63" w:rsidRDefault="00000000">
            <w:pPr>
              <w:overflowPunct w:val="0"/>
              <w:adjustRightInd w:val="0"/>
              <w:snapToGrid w:val="0"/>
              <w:jc w:val="center"/>
              <w:rPr>
                <w:color w:val="000000" w:themeColor="text1"/>
                <w:kern w:val="0"/>
              </w:rPr>
            </w:pPr>
            <w:r>
              <w:rPr>
                <w:color w:val="000000" w:themeColor="text1"/>
                <w:kern w:val="0"/>
              </w:rPr>
              <w:t>第四十六条</w:t>
            </w:r>
          </w:p>
        </w:tc>
        <w:tc>
          <w:tcPr>
            <w:tcW w:w="1192" w:type="pct"/>
            <w:tcBorders>
              <w:tl2br w:val="nil"/>
              <w:tr2bl w:val="nil"/>
            </w:tcBorders>
            <w:vAlign w:val="center"/>
          </w:tcPr>
          <w:p w14:paraId="2237218F" w14:textId="77777777" w:rsidR="003D6A63" w:rsidRDefault="00000000">
            <w:pPr>
              <w:overflowPunct w:val="0"/>
              <w:adjustRightInd w:val="0"/>
              <w:snapToGrid w:val="0"/>
              <w:rPr>
                <w:kern w:val="0"/>
                <w:szCs w:val="21"/>
                <w:lang w:val="zh-CN"/>
              </w:rPr>
            </w:pPr>
            <w:r>
              <w:rPr>
                <w:rFonts w:hint="eastAsia"/>
                <w:color w:val="000000" w:themeColor="text1"/>
                <w:kern w:val="0"/>
              </w:rPr>
              <w:t>3</w:t>
            </w:r>
            <w:r>
              <w:rPr>
                <w:rFonts w:hint="eastAsia"/>
                <w:color w:val="000000" w:themeColor="text1"/>
                <w:kern w:val="0"/>
              </w:rPr>
              <w:t>年来，每年均编制年度企业安全生产费用提取和使用计划。</w:t>
            </w:r>
          </w:p>
        </w:tc>
        <w:tc>
          <w:tcPr>
            <w:tcW w:w="461" w:type="pct"/>
            <w:tcBorders>
              <w:tl2br w:val="nil"/>
              <w:tr2bl w:val="nil"/>
            </w:tcBorders>
            <w:vAlign w:val="center"/>
          </w:tcPr>
          <w:p w14:paraId="380F3B93" w14:textId="77777777" w:rsidR="003D6A63" w:rsidRDefault="00000000">
            <w:pPr>
              <w:overflowPunct w:val="0"/>
              <w:adjustRightInd w:val="0"/>
              <w:snapToGrid w:val="0"/>
              <w:jc w:val="center"/>
              <w:rPr>
                <w:kern w:val="0"/>
                <w:szCs w:val="21"/>
              </w:rPr>
            </w:pPr>
            <w:r>
              <w:rPr>
                <w:color w:val="000000" w:themeColor="text1"/>
                <w:kern w:val="0"/>
              </w:rPr>
              <w:t>√</w:t>
            </w:r>
          </w:p>
        </w:tc>
      </w:tr>
      <w:tr w:rsidR="003D6A63" w14:paraId="41767BEF" w14:textId="77777777">
        <w:trPr>
          <w:trHeight w:val="340"/>
          <w:jc w:val="center"/>
        </w:trPr>
        <w:tc>
          <w:tcPr>
            <w:tcW w:w="380" w:type="pct"/>
            <w:tcBorders>
              <w:tl2br w:val="nil"/>
              <w:tr2bl w:val="nil"/>
            </w:tcBorders>
            <w:vAlign w:val="center"/>
          </w:tcPr>
          <w:p w14:paraId="687BD0EC" w14:textId="77777777" w:rsidR="003D6A63" w:rsidRDefault="00000000">
            <w:pPr>
              <w:overflowPunct w:val="0"/>
              <w:adjustRightInd w:val="0"/>
              <w:snapToGrid w:val="0"/>
              <w:jc w:val="center"/>
              <w:rPr>
                <w:kern w:val="0"/>
                <w:szCs w:val="21"/>
              </w:rPr>
            </w:pPr>
            <w:r>
              <w:rPr>
                <w:rFonts w:hint="eastAsia"/>
                <w:kern w:val="0"/>
                <w:szCs w:val="21"/>
              </w:rPr>
              <w:t>29</w:t>
            </w:r>
          </w:p>
        </w:tc>
        <w:tc>
          <w:tcPr>
            <w:tcW w:w="1564" w:type="pct"/>
            <w:tcBorders>
              <w:tl2br w:val="nil"/>
              <w:tr2bl w:val="nil"/>
            </w:tcBorders>
            <w:vAlign w:val="center"/>
          </w:tcPr>
          <w:p w14:paraId="710ADA9A" w14:textId="77777777" w:rsidR="003D6A63" w:rsidRDefault="00000000">
            <w:pPr>
              <w:overflowPunct w:val="0"/>
              <w:adjustRightInd w:val="0"/>
              <w:snapToGrid w:val="0"/>
            </w:pPr>
            <w:r>
              <w:t>企业提取的安全生产费用从成本（费用）中列支并专项核算。符合本办法规定的企业安全生产费用支出应当取得发票、收据、转账凭证等真实凭证。</w:t>
            </w:r>
          </w:p>
          <w:p w14:paraId="4871433A" w14:textId="77777777" w:rsidR="003D6A63" w:rsidRDefault="00000000">
            <w:pPr>
              <w:overflowPunct w:val="0"/>
              <w:adjustRightInd w:val="0"/>
              <w:snapToGrid w:val="0"/>
            </w:pPr>
            <w:r>
              <w:t>本企业职工薪酬、福利不得从企业安全生产费用中支出。企业从业人员发现报告事故隐患的奖励支出从企业安全生产费用中列支。</w:t>
            </w:r>
          </w:p>
          <w:p w14:paraId="3C2CD685" w14:textId="77777777" w:rsidR="003D6A63" w:rsidRDefault="00000000">
            <w:pPr>
              <w:overflowPunct w:val="0"/>
              <w:adjustRightInd w:val="0"/>
              <w:snapToGrid w:val="0"/>
            </w:pPr>
            <w:r>
              <w:t>企业安全生产费用年度结余</w:t>
            </w:r>
            <w:r>
              <w:lastRenderedPageBreak/>
              <w:t>资金结转下年度使用。企业安全生产费用出现赤字（即当年计提企业安全生产费用加上年初结余小于年度实际支出）的，应当于年末补提企业安全生产费用。</w:t>
            </w:r>
          </w:p>
        </w:tc>
        <w:tc>
          <w:tcPr>
            <w:tcW w:w="1401" w:type="pct"/>
            <w:tcBorders>
              <w:tl2br w:val="nil"/>
              <w:tr2bl w:val="nil"/>
            </w:tcBorders>
            <w:vAlign w:val="center"/>
          </w:tcPr>
          <w:p w14:paraId="1F2E8CFA" w14:textId="77777777" w:rsidR="003D6A63" w:rsidRDefault="00000000">
            <w:pPr>
              <w:overflowPunct w:val="0"/>
              <w:adjustRightInd w:val="0"/>
              <w:snapToGrid w:val="0"/>
              <w:jc w:val="center"/>
              <w:rPr>
                <w:color w:val="000000" w:themeColor="text1"/>
                <w:kern w:val="0"/>
              </w:rPr>
            </w:pPr>
            <w:r>
              <w:rPr>
                <w:color w:val="000000" w:themeColor="text1"/>
                <w:kern w:val="0"/>
              </w:rPr>
              <w:lastRenderedPageBreak/>
              <w:t>《企业安全生产费用提取和使用管理办法》</w:t>
            </w:r>
          </w:p>
          <w:p w14:paraId="57E3126F" w14:textId="77777777" w:rsidR="003D6A63" w:rsidRDefault="00000000">
            <w:pPr>
              <w:overflowPunct w:val="0"/>
              <w:adjustRightInd w:val="0"/>
              <w:snapToGrid w:val="0"/>
              <w:jc w:val="center"/>
              <w:rPr>
                <w:color w:val="000000" w:themeColor="text1"/>
                <w:kern w:val="0"/>
              </w:rPr>
            </w:pPr>
            <w:r>
              <w:rPr>
                <w:color w:val="000000" w:themeColor="text1"/>
                <w:kern w:val="0"/>
              </w:rPr>
              <w:t>第四十七条</w:t>
            </w:r>
          </w:p>
        </w:tc>
        <w:tc>
          <w:tcPr>
            <w:tcW w:w="1192" w:type="pct"/>
            <w:tcBorders>
              <w:tl2br w:val="nil"/>
              <w:tr2bl w:val="nil"/>
            </w:tcBorders>
            <w:vAlign w:val="center"/>
          </w:tcPr>
          <w:p w14:paraId="3D470E55" w14:textId="77777777" w:rsidR="003D6A63" w:rsidRDefault="00000000">
            <w:pPr>
              <w:overflowPunct w:val="0"/>
              <w:adjustRightInd w:val="0"/>
              <w:snapToGrid w:val="0"/>
              <w:rPr>
                <w:color w:val="000000" w:themeColor="text1"/>
                <w:kern w:val="0"/>
              </w:rPr>
            </w:pPr>
            <w:r>
              <w:rPr>
                <w:rFonts w:hint="eastAsia"/>
                <w:color w:val="000000" w:themeColor="text1"/>
                <w:kern w:val="0"/>
              </w:rPr>
              <w:t>设立专项核算。</w:t>
            </w:r>
          </w:p>
        </w:tc>
        <w:tc>
          <w:tcPr>
            <w:tcW w:w="461" w:type="pct"/>
            <w:tcBorders>
              <w:tl2br w:val="nil"/>
              <w:tr2bl w:val="nil"/>
            </w:tcBorders>
            <w:vAlign w:val="center"/>
          </w:tcPr>
          <w:p w14:paraId="69FD9CD5" w14:textId="77777777" w:rsidR="003D6A63" w:rsidRDefault="00000000">
            <w:pPr>
              <w:overflowPunct w:val="0"/>
              <w:adjustRightInd w:val="0"/>
              <w:snapToGrid w:val="0"/>
              <w:jc w:val="center"/>
              <w:rPr>
                <w:color w:val="000000" w:themeColor="text1"/>
                <w:kern w:val="0"/>
              </w:rPr>
            </w:pPr>
            <w:r>
              <w:rPr>
                <w:color w:val="000000" w:themeColor="text1"/>
                <w:kern w:val="0"/>
              </w:rPr>
              <w:t>√</w:t>
            </w:r>
          </w:p>
        </w:tc>
      </w:tr>
      <w:tr w:rsidR="003D6A63" w14:paraId="423FE588" w14:textId="77777777">
        <w:trPr>
          <w:trHeight w:val="340"/>
          <w:jc w:val="center"/>
        </w:trPr>
        <w:tc>
          <w:tcPr>
            <w:tcW w:w="380" w:type="pct"/>
            <w:tcBorders>
              <w:tl2br w:val="nil"/>
              <w:tr2bl w:val="nil"/>
            </w:tcBorders>
            <w:vAlign w:val="center"/>
          </w:tcPr>
          <w:p w14:paraId="797D5085" w14:textId="77777777" w:rsidR="003D6A63" w:rsidRDefault="00000000">
            <w:pPr>
              <w:overflowPunct w:val="0"/>
              <w:adjustRightInd w:val="0"/>
              <w:snapToGrid w:val="0"/>
              <w:jc w:val="center"/>
              <w:rPr>
                <w:kern w:val="0"/>
                <w:szCs w:val="21"/>
              </w:rPr>
            </w:pPr>
            <w:r>
              <w:rPr>
                <w:rFonts w:hint="eastAsia"/>
                <w:kern w:val="0"/>
                <w:szCs w:val="21"/>
              </w:rPr>
              <w:t>30</w:t>
            </w:r>
          </w:p>
        </w:tc>
        <w:tc>
          <w:tcPr>
            <w:tcW w:w="1564" w:type="pct"/>
            <w:tcBorders>
              <w:tl2br w:val="nil"/>
              <w:tr2bl w:val="nil"/>
            </w:tcBorders>
            <w:vAlign w:val="center"/>
          </w:tcPr>
          <w:p w14:paraId="5786F035" w14:textId="77777777" w:rsidR="003D6A63" w:rsidRDefault="00000000">
            <w:pPr>
              <w:overflowPunct w:val="0"/>
              <w:adjustRightInd w:val="0"/>
              <w:snapToGrid w:val="0"/>
            </w:pPr>
            <w:r>
              <w:t>石油天然气开采企业安全生产费用应当用于以下支出：</w:t>
            </w:r>
          </w:p>
          <w:p w14:paraId="6EB9FEB0" w14:textId="77777777" w:rsidR="003D6A63" w:rsidRDefault="00000000">
            <w:pPr>
              <w:overflowPunct w:val="0"/>
              <w:adjustRightInd w:val="0"/>
              <w:snapToGrid w:val="0"/>
            </w:pPr>
            <w:r>
              <w:t>（一）完善、改造和维护安全防护设施设备支出（不含</w:t>
            </w:r>
            <w:r>
              <w:t>“</w:t>
            </w:r>
            <w:r>
              <w:t>三同时</w:t>
            </w:r>
            <w:r>
              <w:t>”</w:t>
            </w:r>
            <w:r>
              <w:t>要求初期投入的安全设施），包括油气井（场）、管道、站场、海洋石油生产设施、作业设施等设施设备的监测、监控、防井喷、防灭火、防坍塌、防爆炸、防泄漏、防腐蚀、防颠覆、防漂移、防雷、防静电、防台风、防中毒、防坠落等设施设备支出；</w:t>
            </w:r>
          </w:p>
          <w:p w14:paraId="706C932E" w14:textId="77777777" w:rsidR="003D6A63" w:rsidRDefault="00000000">
            <w:pPr>
              <w:overflowPunct w:val="0"/>
              <w:adjustRightInd w:val="0"/>
              <w:snapToGrid w:val="0"/>
            </w:pPr>
            <w:r>
              <w:t>（二）事故逃生和紧急避难设施设备的配置及维护保养支出，应急救援器材、设备配置及维护保养支出，应急救援队伍建设、应急预案制修订与应急演练支出；</w:t>
            </w:r>
          </w:p>
          <w:p w14:paraId="1057459F" w14:textId="77777777" w:rsidR="003D6A63" w:rsidRDefault="00000000">
            <w:pPr>
              <w:overflowPunct w:val="0"/>
              <w:adjustRightInd w:val="0"/>
              <w:snapToGrid w:val="0"/>
            </w:pPr>
            <w:r>
              <w:t>（三）开展重大危险源检测、评估、监控支出，安全风险分级管控和事故隐患排查整改支出，安全生产信息化、智能化建设、运维和网络安全支出；</w:t>
            </w:r>
          </w:p>
          <w:p w14:paraId="7F16AC9D" w14:textId="77777777" w:rsidR="003D6A63" w:rsidRDefault="00000000">
            <w:pPr>
              <w:overflowPunct w:val="0"/>
              <w:adjustRightInd w:val="0"/>
              <w:snapToGrid w:val="0"/>
            </w:pPr>
            <w:r>
              <w:t>（四）安全生产检查、评估评价（不含新建、改建、扩建项目安全评价）、咨询、标准化建设支出；</w:t>
            </w:r>
          </w:p>
          <w:p w14:paraId="23E90AA8" w14:textId="77777777" w:rsidR="003D6A63" w:rsidRDefault="00000000">
            <w:pPr>
              <w:overflowPunct w:val="0"/>
              <w:adjustRightInd w:val="0"/>
              <w:snapToGrid w:val="0"/>
            </w:pPr>
            <w:r>
              <w:t>（五）配备和更新现场作业人员安全防护用品支出；</w:t>
            </w:r>
          </w:p>
          <w:p w14:paraId="3E4AA02E" w14:textId="77777777" w:rsidR="003D6A63" w:rsidRDefault="00000000">
            <w:pPr>
              <w:overflowPunct w:val="0"/>
              <w:adjustRightInd w:val="0"/>
              <w:snapToGrid w:val="0"/>
            </w:pPr>
            <w:r>
              <w:t>（六）安全生产宣传、教育、培训和从业人员发现并报告事故隐患的奖励支出；</w:t>
            </w:r>
          </w:p>
          <w:p w14:paraId="4FEFD3AF" w14:textId="77777777" w:rsidR="003D6A63" w:rsidRDefault="00000000">
            <w:pPr>
              <w:overflowPunct w:val="0"/>
              <w:adjustRightInd w:val="0"/>
              <w:snapToGrid w:val="0"/>
            </w:pPr>
            <w:r>
              <w:t>（七）安全生产适用的新技术、新标准、新工艺、新装备的推广应用支出；</w:t>
            </w:r>
          </w:p>
          <w:p w14:paraId="3E98CBA6" w14:textId="77777777" w:rsidR="003D6A63" w:rsidRDefault="00000000">
            <w:pPr>
              <w:overflowPunct w:val="0"/>
              <w:adjustRightInd w:val="0"/>
              <w:snapToGrid w:val="0"/>
            </w:pPr>
            <w:r>
              <w:t>（八）安全设施及特种设备检测检验、检定校准支出；</w:t>
            </w:r>
          </w:p>
          <w:p w14:paraId="06C96870" w14:textId="77777777" w:rsidR="003D6A63" w:rsidRDefault="00000000">
            <w:pPr>
              <w:overflowPunct w:val="0"/>
              <w:adjustRightInd w:val="0"/>
              <w:snapToGrid w:val="0"/>
            </w:pPr>
            <w:r>
              <w:t>（九）野外或海上作业应急食品、应急器械、应急药品支出；</w:t>
            </w:r>
          </w:p>
          <w:p w14:paraId="77B84EF3" w14:textId="77777777" w:rsidR="003D6A63" w:rsidRDefault="00000000">
            <w:pPr>
              <w:overflowPunct w:val="0"/>
              <w:adjustRightInd w:val="0"/>
              <w:snapToGrid w:val="0"/>
            </w:pPr>
            <w:r>
              <w:t>（十）安全生产责任保险支出；</w:t>
            </w:r>
          </w:p>
          <w:p w14:paraId="74B9BE4E" w14:textId="77777777" w:rsidR="003D6A63" w:rsidRDefault="00000000">
            <w:pPr>
              <w:overflowPunct w:val="0"/>
              <w:adjustRightInd w:val="0"/>
              <w:snapToGrid w:val="0"/>
              <w:rPr>
                <w:kern w:val="0"/>
                <w:szCs w:val="21"/>
              </w:rPr>
            </w:pPr>
            <w:r>
              <w:lastRenderedPageBreak/>
              <w:t>（十一）与安全生产直接相关的其他支出。</w:t>
            </w:r>
          </w:p>
        </w:tc>
        <w:tc>
          <w:tcPr>
            <w:tcW w:w="1401" w:type="pct"/>
            <w:tcBorders>
              <w:tl2br w:val="nil"/>
              <w:tr2bl w:val="nil"/>
            </w:tcBorders>
            <w:vAlign w:val="center"/>
          </w:tcPr>
          <w:p w14:paraId="14C6A442" w14:textId="77777777" w:rsidR="003D6A63" w:rsidRDefault="00000000">
            <w:pPr>
              <w:overflowPunct w:val="0"/>
              <w:adjustRightInd w:val="0"/>
              <w:snapToGrid w:val="0"/>
              <w:jc w:val="center"/>
              <w:rPr>
                <w:color w:val="000000" w:themeColor="text1"/>
                <w:kern w:val="0"/>
              </w:rPr>
            </w:pPr>
            <w:r>
              <w:rPr>
                <w:color w:val="000000" w:themeColor="text1"/>
                <w:kern w:val="0"/>
              </w:rPr>
              <w:lastRenderedPageBreak/>
              <w:t>《企业安全生产费用提取和使用管理办法》</w:t>
            </w:r>
          </w:p>
          <w:p w14:paraId="23983D70" w14:textId="77777777" w:rsidR="003D6A63" w:rsidRDefault="00000000">
            <w:pPr>
              <w:overflowPunct w:val="0"/>
              <w:adjustRightInd w:val="0"/>
              <w:snapToGrid w:val="0"/>
              <w:jc w:val="center"/>
              <w:rPr>
                <w:kern w:val="0"/>
                <w:szCs w:val="21"/>
              </w:rPr>
            </w:pPr>
            <w:r>
              <w:rPr>
                <w:color w:val="000000" w:themeColor="text1"/>
                <w:kern w:val="0"/>
              </w:rPr>
              <w:t>第十五条</w:t>
            </w:r>
          </w:p>
        </w:tc>
        <w:tc>
          <w:tcPr>
            <w:tcW w:w="1192" w:type="pct"/>
            <w:tcBorders>
              <w:tl2br w:val="nil"/>
              <w:tr2bl w:val="nil"/>
            </w:tcBorders>
            <w:vAlign w:val="center"/>
          </w:tcPr>
          <w:p w14:paraId="2279B3C7" w14:textId="77777777" w:rsidR="003D6A63" w:rsidRDefault="00000000">
            <w:pPr>
              <w:overflowPunct w:val="0"/>
              <w:adjustRightInd w:val="0"/>
              <w:snapToGrid w:val="0"/>
              <w:rPr>
                <w:kern w:val="0"/>
                <w:szCs w:val="21"/>
              </w:rPr>
            </w:pPr>
            <w:r>
              <w:rPr>
                <w:rFonts w:hint="eastAsia"/>
              </w:rPr>
              <w:t>中胜公司</w:t>
            </w:r>
            <w:r>
              <w:t>安全生产费用</w:t>
            </w:r>
            <w:r>
              <w:rPr>
                <w:rFonts w:hint="eastAsia"/>
              </w:rPr>
              <w:t>的使用符合要求。</w:t>
            </w:r>
          </w:p>
        </w:tc>
        <w:tc>
          <w:tcPr>
            <w:tcW w:w="461" w:type="pct"/>
            <w:tcBorders>
              <w:tl2br w:val="nil"/>
              <w:tr2bl w:val="nil"/>
            </w:tcBorders>
            <w:vAlign w:val="center"/>
          </w:tcPr>
          <w:p w14:paraId="31F294B6" w14:textId="77777777" w:rsidR="003D6A63" w:rsidRDefault="00000000">
            <w:pPr>
              <w:overflowPunct w:val="0"/>
              <w:adjustRightInd w:val="0"/>
              <w:snapToGrid w:val="0"/>
              <w:jc w:val="center"/>
              <w:rPr>
                <w:kern w:val="0"/>
                <w:szCs w:val="21"/>
              </w:rPr>
            </w:pPr>
            <w:r>
              <w:rPr>
                <w:color w:val="000000" w:themeColor="text1"/>
                <w:kern w:val="0"/>
              </w:rPr>
              <w:t>√</w:t>
            </w:r>
          </w:p>
        </w:tc>
      </w:tr>
      <w:tr w:rsidR="003D6A63" w14:paraId="6DDC18F0" w14:textId="77777777">
        <w:trPr>
          <w:trHeight w:val="340"/>
          <w:jc w:val="center"/>
        </w:trPr>
        <w:tc>
          <w:tcPr>
            <w:tcW w:w="5000" w:type="pct"/>
            <w:gridSpan w:val="5"/>
            <w:tcBorders>
              <w:tl2br w:val="nil"/>
              <w:tr2bl w:val="nil"/>
            </w:tcBorders>
            <w:vAlign w:val="center"/>
          </w:tcPr>
          <w:p w14:paraId="28555CF6" w14:textId="77777777" w:rsidR="003D6A63" w:rsidRDefault="00000000">
            <w:pPr>
              <w:overflowPunct w:val="0"/>
              <w:adjustRightInd w:val="0"/>
              <w:snapToGrid w:val="0"/>
              <w:jc w:val="center"/>
              <w:rPr>
                <w:b/>
                <w:bCs/>
                <w:kern w:val="0"/>
                <w:szCs w:val="21"/>
              </w:rPr>
            </w:pPr>
            <w:r>
              <w:rPr>
                <w:b/>
                <w:bCs/>
                <w:kern w:val="0"/>
                <w:szCs w:val="21"/>
              </w:rPr>
              <w:t>十一、应急管理</w:t>
            </w:r>
          </w:p>
        </w:tc>
      </w:tr>
      <w:tr w:rsidR="003D6A63" w14:paraId="005F2433" w14:textId="77777777">
        <w:trPr>
          <w:trHeight w:val="340"/>
          <w:jc w:val="center"/>
        </w:trPr>
        <w:tc>
          <w:tcPr>
            <w:tcW w:w="380" w:type="pct"/>
            <w:vMerge w:val="restart"/>
            <w:tcBorders>
              <w:tl2br w:val="nil"/>
              <w:tr2bl w:val="nil"/>
            </w:tcBorders>
            <w:vAlign w:val="center"/>
          </w:tcPr>
          <w:p w14:paraId="2FB5ABA5" w14:textId="77777777" w:rsidR="003D6A63" w:rsidRDefault="00000000">
            <w:pPr>
              <w:overflowPunct w:val="0"/>
              <w:adjustRightInd w:val="0"/>
              <w:snapToGrid w:val="0"/>
              <w:jc w:val="center"/>
              <w:rPr>
                <w:kern w:val="0"/>
                <w:szCs w:val="21"/>
              </w:rPr>
            </w:pPr>
            <w:r>
              <w:rPr>
                <w:rFonts w:hint="eastAsia"/>
                <w:kern w:val="0"/>
                <w:szCs w:val="21"/>
              </w:rPr>
              <w:t>31</w:t>
            </w:r>
          </w:p>
        </w:tc>
        <w:tc>
          <w:tcPr>
            <w:tcW w:w="1564" w:type="pct"/>
            <w:tcBorders>
              <w:tl2br w:val="nil"/>
              <w:tr2bl w:val="nil"/>
            </w:tcBorders>
            <w:vAlign w:val="center"/>
          </w:tcPr>
          <w:p w14:paraId="6786A78A" w14:textId="77777777" w:rsidR="003D6A63" w:rsidRDefault="00000000">
            <w:pPr>
              <w:overflowPunct w:val="0"/>
              <w:adjustRightInd w:val="0"/>
              <w:snapToGrid w:val="0"/>
              <w:rPr>
                <w:kern w:val="0"/>
                <w:szCs w:val="21"/>
              </w:rPr>
            </w:pPr>
            <w:r>
              <w:rPr>
                <w:kern w:val="0"/>
                <w:szCs w:val="21"/>
              </w:rPr>
              <w:t>生产经营单位应当根据有关法律、法规、规章和相关标准，结合本单位组织管理体系、生产规模和可能发生的事故特点，与相关预案保持衔接，确立本单位的应急预案体系，编制相应的应急预案，并体现自救互救和先期处置等特点。</w:t>
            </w:r>
          </w:p>
        </w:tc>
        <w:tc>
          <w:tcPr>
            <w:tcW w:w="1401" w:type="pct"/>
            <w:tcBorders>
              <w:tl2br w:val="nil"/>
              <w:tr2bl w:val="nil"/>
            </w:tcBorders>
            <w:vAlign w:val="center"/>
          </w:tcPr>
          <w:p w14:paraId="33D647BA" w14:textId="77777777" w:rsidR="003D6A63" w:rsidRDefault="00000000">
            <w:pPr>
              <w:overflowPunct w:val="0"/>
              <w:adjustRightInd w:val="0"/>
              <w:snapToGrid w:val="0"/>
              <w:jc w:val="center"/>
              <w:rPr>
                <w:kern w:val="0"/>
                <w:szCs w:val="21"/>
              </w:rPr>
            </w:pPr>
            <w:r>
              <w:rPr>
                <w:kern w:val="0"/>
                <w:szCs w:val="21"/>
              </w:rPr>
              <w:t>《生产安全事故应急预案管理办法》</w:t>
            </w:r>
          </w:p>
          <w:p w14:paraId="3E8A884E" w14:textId="77777777" w:rsidR="003D6A63" w:rsidRDefault="00000000">
            <w:pPr>
              <w:overflowPunct w:val="0"/>
              <w:adjustRightInd w:val="0"/>
              <w:snapToGrid w:val="0"/>
              <w:jc w:val="center"/>
              <w:rPr>
                <w:kern w:val="0"/>
                <w:szCs w:val="21"/>
              </w:rPr>
            </w:pPr>
            <w:r>
              <w:rPr>
                <w:kern w:val="0"/>
                <w:szCs w:val="21"/>
              </w:rPr>
              <w:t>第十二条</w:t>
            </w:r>
          </w:p>
        </w:tc>
        <w:tc>
          <w:tcPr>
            <w:tcW w:w="1192" w:type="pct"/>
            <w:tcBorders>
              <w:tl2br w:val="nil"/>
              <w:tr2bl w:val="nil"/>
            </w:tcBorders>
            <w:vAlign w:val="center"/>
          </w:tcPr>
          <w:p w14:paraId="639BFB17" w14:textId="77777777" w:rsidR="003D6A63" w:rsidRDefault="00000000">
            <w:pPr>
              <w:overflowPunct w:val="0"/>
              <w:adjustRightInd w:val="0"/>
              <w:snapToGrid w:val="0"/>
              <w:rPr>
                <w:kern w:val="0"/>
                <w:szCs w:val="21"/>
              </w:rPr>
            </w:pPr>
            <w:r>
              <w:rPr>
                <w:rFonts w:hint="eastAsia"/>
                <w:kern w:val="0"/>
                <w:szCs w:val="21"/>
                <w:lang w:val="zh-CN"/>
              </w:rPr>
              <w:t>中胜公司</w:t>
            </w:r>
            <w:r>
              <w:rPr>
                <w:kern w:val="0"/>
                <w:szCs w:val="21"/>
              </w:rPr>
              <w:t>已编制应急预案。</w:t>
            </w:r>
          </w:p>
        </w:tc>
        <w:tc>
          <w:tcPr>
            <w:tcW w:w="461" w:type="pct"/>
            <w:tcBorders>
              <w:tl2br w:val="nil"/>
              <w:tr2bl w:val="nil"/>
            </w:tcBorders>
            <w:vAlign w:val="center"/>
          </w:tcPr>
          <w:p w14:paraId="71FC8AA1" w14:textId="77777777" w:rsidR="003D6A63" w:rsidRDefault="00000000">
            <w:pPr>
              <w:overflowPunct w:val="0"/>
              <w:adjustRightInd w:val="0"/>
              <w:snapToGrid w:val="0"/>
              <w:jc w:val="center"/>
              <w:rPr>
                <w:kern w:val="0"/>
                <w:szCs w:val="21"/>
              </w:rPr>
            </w:pPr>
            <w:r>
              <w:rPr>
                <w:kern w:val="0"/>
                <w:szCs w:val="21"/>
              </w:rPr>
              <w:t>√</w:t>
            </w:r>
          </w:p>
        </w:tc>
      </w:tr>
      <w:tr w:rsidR="003D6A63" w14:paraId="1B8AEB93" w14:textId="77777777">
        <w:trPr>
          <w:trHeight w:val="340"/>
          <w:jc w:val="center"/>
        </w:trPr>
        <w:tc>
          <w:tcPr>
            <w:tcW w:w="380" w:type="pct"/>
            <w:vMerge/>
            <w:tcBorders>
              <w:tl2br w:val="nil"/>
              <w:tr2bl w:val="nil"/>
            </w:tcBorders>
            <w:vAlign w:val="center"/>
          </w:tcPr>
          <w:p w14:paraId="5CFC669B" w14:textId="77777777" w:rsidR="003D6A63" w:rsidRDefault="003D6A63">
            <w:pPr>
              <w:numPr>
                <w:ilvl w:val="0"/>
                <w:numId w:val="21"/>
              </w:numPr>
              <w:overflowPunct w:val="0"/>
              <w:adjustRightInd w:val="0"/>
              <w:snapToGrid w:val="0"/>
              <w:jc w:val="center"/>
              <w:rPr>
                <w:kern w:val="0"/>
                <w:szCs w:val="21"/>
              </w:rPr>
            </w:pPr>
          </w:p>
        </w:tc>
        <w:tc>
          <w:tcPr>
            <w:tcW w:w="1564" w:type="pct"/>
            <w:tcBorders>
              <w:tl2br w:val="nil"/>
              <w:tr2bl w:val="nil"/>
            </w:tcBorders>
            <w:vAlign w:val="center"/>
          </w:tcPr>
          <w:p w14:paraId="59F93D59" w14:textId="77777777" w:rsidR="003D6A63" w:rsidRDefault="00000000">
            <w:pPr>
              <w:overflowPunct w:val="0"/>
              <w:adjustRightInd w:val="0"/>
              <w:snapToGrid w:val="0"/>
              <w:rPr>
                <w:kern w:val="0"/>
                <w:szCs w:val="21"/>
              </w:rPr>
            </w:pPr>
            <w:r>
              <w:rPr>
                <w:kern w:val="0"/>
                <w:szCs w:val="21"/>
              </w:rPr>
              <w:t>生产经营单位的应急预案体系主要由综合应急预案、专项应急预案和现场处置方案构成。生产经营单位应根据</w:t>
            </w:r>
            <w:r>
              <w:rPr>
                <w:rFonts w:hint="eastAsia"/>
                <w:kern w:val="0"/>
                <w:szCs w:val="21"/>
              </w:rPr>
              <w:t>法律法规</w:t>
            </w:r>
            <w:r>
              <w:rPr>
                <w:kern w:val="0"/>
                <w:szCs w:val="21"/>
              </w:rPr>
              <w:t>和相关标准，结合本单位组织管理体系、生产规模</w:t>
            </w:r>
            <w:r>
              <w:rPr>
                <w:rFonts w:hint="eastAsia"/>
                <w:kern w:val="0"/>
                <w:szCs w:val="21"/>
              </w:rPr>
              <w:t>和</w:t>
            </w:r>
            <w:r>
              <w:rPr>
                <w:kern w:val="0"/>
                <w:szCs w:val="21"/>
              </w:rPr>
              <w:t>可能发生的事故特点，科学合理建立本单位的应急预案体系，并注意与其他类别应急预案相衔接。</w:t>
            </w:r>
          </w:p>
        </w:tc>
        <w:tc>
          <w:tcPr>
            <w:tcW w:w="1401" w:type="pct"/>
            <w:tcBorders>
              <w:tl2br w:val="nil"/>
              <w:tr2bl w:val="nil"/>
            </w:tcBorders>
            <w:vAlign w:val="center"/>
          </w:tcPr>
          <w:p w14:paraId="49B35CEB" w14:textId="77777777" w:rsidR="003D6A63" w:rsidRDefault="00000000">
            <w:pPr>
              <w:overflowPunct w:val="0"/>
              <w:adjustRightInd w:val="0"/>
              <w:snapToGrid w:val="0"/>
              <w:jc w:val="center"/>
              <w:rPr>
                <w:kern w:val="0"/>
                <w:szCs w:val="21"/>
              </w:rPr>
            </w:pPr>
            <w:r>
              <w:rPr>
                <w:kern w:val="0"/>
                <w:szCs w:val="21"/>
              </w:rPr>
              <w:t>《生产经营单位生产安全事故应急预案编制导则》（</w:t>
            </w:r>
            <w:r>
              <w:rPr>
                <w:kern w:val="0"/>
                <w:szCs w:val="21"/>
              </w:rPr>
              <w:t>GB/T29639-2020</w:t>
            </w:r>
            <w:r>
              <w:rPr>
                <w:kern w:val="0"/>
                <w:szCs w:val="21"/>
              </w:rPr>
              <w:t>）</w:t>
            </w:r>
          </w:p>
          <w:p w14:paraId="01007832" w14:textId="77777777" w:rsidR="003D6A63" w:rsidRDefault="00000000">
            <w:pPr>
              <w:overflowPunct w:val="0"/>
              <w:adjustRightInd w:val="0"/>
              <w:snapToGrid w:val="0"/>
              <w:jc w:val="center"/>
              <w:rPr>
                <w:kern w:val="0"/>
                <w:szCs w:val="21"/>
              </w:rPr>
            </w:pPr>
            <w:r>
              <w:rPr>
                <w:kern w:val="0"/>
                <w:szCs w:val="21"/>
              </w:rPr>
              <w:t>5.1</w:t>
            </w:r>
          </w:p>
        </w:tc>
        <w:tc>
          <w:tcPr>
            <w:tcW w:w="1192" w:type="pct"/>
            <w:tcBorders>
              <w:tl2br w:val="nil"/>
              <w:tr2bl w:val="nil"/>
            </w:tcBorders>
            <w:vAlign w:val="center"/>
          </w:tcPr>
          <w:p w14:paraId="0A0FBAF5" w14:textId="77777777" w:rsidR="003D6A63" w:rsidRDefault="00000000">
            <w:pPr>
              <w:overflowPunct w:val="0"/>
              <w:adjustRightInd w:val="0"/>
              <w:snapToGrid w:val="0"/>
              <w:rPr>
                <w:kern w:val="0"/>
                <w:szCs w:val="21"/>
              </w:rPr>
            </w:pPr>
            <w:r>
              <w:rPr>
                <w:rFonts w:hint="eastAsia"/>
                <w:kern w:val="0"/>
                <w:szCs w:val="21"/>
                <w:lang w:val="zh-CN"/>
              </w:rPr>
              <w:t>中胜公司</w:t>
            </w:r>
            <w:r>
              <w:rPr>
                <w:kern w:val="0"/>
                <w:szCs w:val="21"/>
              </w:rPr>
              <w:t>应急预案体系主要由综合应急预案、专项应急预案和现场处置方案构成。</w:t>
            </w:r>
          </w:p>
        </w:tc>
        <w:tc>
          <w:tcPr>
            <w:tcW w:w="461" w:type="pct"/>
            <w:tcBorders>
              <w:tl2br w:val="nil"/>
              <w:tr2bl w:val="nil"/>
            </w:tcBorders>
            <w:vAlign w:val="center"/>
          </w:tcPr>
          <w:p w14:paraId="1884039A" w14:textId="77777777" w:rsidR="003D6A63" w:rsidRDefault="00000000">
            <w:pPr>
              <w:overflowPunct w:val="0"/>
              <w:adjustRightInd w:val="0"/>
              <w:snapToGrid w:val="0"/>
              <w:jc w:val="center"/>
              <w:rPr>
                <w:kern w:val="0"/>
                <w:szCs w:val="21"/>
              </w:rPr>
            </w:pPr>
            <w:r>
              <w:rPr>
                <w:kern w:val="0"/>
                <w:szCs w:val="21"/>
              </w:rPr>
              <w:t>√</w:t>
            </w:r>
          </w:p>
        </w:tc>
      </w:tr>
      <w:tr w:rsidR="003D6A63" w14:paraId="318737F5" w14:textId="77777777">
        <w:trPr>
          <w:trHeight w:val="340"/>
          <w:jc w:val="center"/>
        </w:trPr>
        <w:tc>
          <w:tcPr>
            <w:tcW w:w="380" w:type="pct"/>
            <w:tcBorders>
              <w:tl2br w:val="nil"/>
              <w:tr2bl w:val="nil"/>
            </w:tcBorders>
            <w:vAlign w:val="center"/>
          </w:tcPr>
          <w:p w14:paraId="3B7C2036" w14:textId="77777777" w:rsidR="003D6A63" w:rsidRDefault="00000000">
            <w:pPr>
              <w:overflowPunct w:val="0"/>
              <w:adjustRightInd w:val="0"/>
              <w:snapToGrid w:val="0"/>
              <w:jc w:val="center"/>
              <w:rPr>
                <w:kern w:val="0"/>
                <w:szCs w:val="21"/>
              </w:rPr>
            </w:pPr>
            <w:r>
              <w:rPr>
                <w:rFonts w:hint="eastAsia"/>
                <w:kern w:val="0"/>
                <w:szCs w:val="21"/>
              </w:rPr>
              <w:t>32</w:t>
            </w:r>
          </w:p>
        </w:tc>
        <w:tc>
          <w:tcPr>
            <w:tcW w:w="1564" w:type="pct"/>
            <w:tcBorders>
              <w:tl2br w:val="nil"/>
              <w:tr2bl w:val="nil"/>
            </w:tcBorders>
            <w:vAlign w:val="center"/>
          </w:tcPr>
          <w:p w14:paraId="23EC837C" w14:textId="77777777" w:rsidR="003D6A63" w:rsidRDefault="00000000">
            <w:pPr>
              <w:overflowPunct w:val="0"/>
              <w:adjustRightInd w:val="0"/>
              <w:snapToGrid w:val="0"/>
              <w:rPr>
                <w:kern w:val="0"/>
                <w:szCs w:val="21"/>
              </w:rPr>
            </w:pPr>
            <w:r>
              <w:rPr>
                <w:kern w:val="0"/>
                <w:szCs w:val="21"/>
              </w:rPr>
              <w:t>易燃易爆物品、危险化学品等危险物品的生产、经营、储存、运输单位，矿山、金属冶炼、城市轨道交通运营、建筑施工单位，以及宾馆、商场、娱乐场所、旅游景区等人员密集场所经营单位，应当在应急预案公布之日起</w:t>
            </w:r>
            <w:r>
              <w:rPr>
                <w:kern w:val="0"/>
                <w:szCs w:val="21"/>
              </w:rPr>
              <w:t>20</w:t>
            </w:r>
            <w:r>
              <w:rPr>
                <w:kern w:val="0"/>
                <w:szCs w:val="21"/>
              </w:rPr>
              <w:t>个工作日内，按照分级属地原则，向县级以上人民政府应急管理部门和其他负有安全生产监督管理职责的部门进行备案，并依法向社会公布。</w:t>
            </w:r>
          </w:p>
        </w:tc>
        <w:tc>
          <w:tcPr>
            <w:tcW w:w="1401" w:type="pct"/>
            <w:tcBorders>
              <w:tl2br w:val="nil"/>
              <w:tr2bl w:val="nil"/>
            </w:tcBorders>
            <w:vAlign w:val="center"/>
          </w:tcPr>
          <w:p w14:paraId="437CEF55" w14:textId="77777777" w:rsidR="003D6A63" w:rsidRDefault="00000000">
            <w:pPr>
              <w:overflowPunct w:val="0"/>
              <w:adjustRightInd w:val="0"/>
              <w:snapToGrid w:val="0"/>
              <w:jc w:val="center"/>
              <w:rPr>
                <w:kern w:val="0"/>
                <w:szCs w:val="21"/>
              </w:rPr>
            </w:pPr>
            <w:r>
              <w:rPr>
                <w:kern w:val="0"/>
                <w:szCs w:val="21"/>
              </w:rPr>
              <w:t>《生产安全事故应急预案管理办法》</w:t>
            </w:r>
          </w:p>
          <w:p w14:paraId="2AF66E11" w14:textId="77777777" w:rsidR="003D6A63" w:rsidRDefault="00000000">
            <w:pPr>
              <w:overflowPunct w:val="0"/>
              <w:adjustRightInd w:val="0"/>
              <w:snapToGrid w:val="0"/>
              <w:jc w:val="center"/>
              <w:rPr>
                <w:kern w:val="0"/>
                <w:szCs w:val="21"/>
              </w:rPr>
            </w:pPr>
            <w:r>
              <w:rPr>
                <w:kern w:val="0"/>
                <w:szCs w:val="21"/>
              </w:rPr>
              <w:t>第二十六条</w:t>
            </w:r>
          </w:p>
        </w:tc>
        <w:tc>
          <w:tcPr>
            <w:tcW w:w="1192" w:type="pct"/>
            <w:tcBorders>
              <w:tl2br w:val="nil"/>
              <w:tr2bl w:val="nil"/>
            </w:tcBorders>
            <w:vAlign w:val="center"/>
          </w:tcPr>
          <w:p w14:paraId="4AE94204" w14:textId="77777777" w:rsidR="003D6A63" w:rsidRDefault="00000000">
            <w:pPr>
              <w:overflowPunct w:val="0"/>
              <w:adjustRightInd w:val="0"/>
              <w:snapToGrid w:val="0"/>
              <w:rPr>
                <w:color w:val="000000"/>
                <w:kern w:val="0"/>
                <w:szCs w:val="21"/>
              </w:rPr>
            </w:pPr>
            <w:r>
              <w:rPr>
                <w:rFonts w:hint="eastAsia"/>
                <w:kern w:val="0"/>
                <w:szCs w:val="21"/>
                <w:lang w:val="zh-CN"/>
              </w:rPr>
              <w:t>中胜公司</w:t>
            </w:r>
            <w:r>
              <w:rPr>
                <w:color w:val="000000"/>
                <w:kern w:val="0"/>
                <w:szCs w:val="21"/>
              </w:rPr>
              <w:t>编制的应急预案已在东营市东营区应急管理局备案，备案号是</w:t>
            </w:r>
            <w:r>
              <w:rPr>
                <w:color w:val="000000"/>
                <w:kern w:val="0"/>
                <w:szCs w:val="21"/>
                <w:lang w:val="zh-CN"/>
              </w:rPr>
              <w:t>3705</w:t>
            </w:r>
            <w:r>
              <w:rPr>
                <w:color w:val="000000"/>
                <w:kern w:val="0"/>
                <w:szCs w:val="21"/>
              </w:rPr>
              <w:t>03-2022-0003</w:t>
            </w:r>
            <w:r>
              <w:rPr>
                <w:color w:val="000000"/>
                <w:kern w:val="0"/>
                <w:szCs w:val="21"/>
              </w:rPr>
              <w:t>。</w:t>
            </w:r>
          </w:p>
        </w:tc>
        <w:tc>
          <w:tcPr>
            <w:tcW w:w="461" w:type="pct"/>
            <w:tcBorders>
              <w:tl2br w:val="nil"/>
              <w:tr2bl w:val="nil"/>
            </w:tcBorders>
            <w:vAlign w:val="center"/>
          </w:tcPr>
          <w:p w14:paraId="71966400" w14:textId="77777777" w:rsidR="003D6A63" w:rsidRDefault="00000000">
            <w:pPr>
              <w:overflowPunct w:val="0"/>
              <w:adjustRightInd w:val="0"/>
              <w:snapToGrid w:val="0"/>
              <w:jc w:val="center"/>
              <w:rPr>
                <w:color w:val="000000"/>
                <w:kern w:val="0"/>
                <w:szCs w:val="21"/>
              </w:rPr>
            </w:pPr>
            <w:r>
              <w:rPr>
                <w:color w:val="000000"/>
                <w:kern w:val="0"/>
                <w:szCs w:val="21"/>
              </w:rPr>
              <w:t>√</w:t>
            </w:r>
          </w:p>
        </w:tc>
      </w:tr>
      <w:tr w:rsidR="003D6A63" w14:paraId="0719FA20" w14:textId="77777777">
        <w:trPr>
          <w:trHeight w:val="340"/>
          <w:jc w:val="center"/>
        </w:trPr>
        <w:tc>
          <w:tcPr>
            <w:tcW w:w="380" w:type="pct"/>
            <w:tcBorders>
              <w:tl2br w:val="nil"/>
              <w:tr2bl w:val="nil"/>
            </w:tcBorders>
            <w:vAlign w:val="center"/>
          </w:tcPr>
          <w:p w14:paraId="2B7A7178" w14:textId="77777777" w:rsidR="003D6A63" w:rsidRDefault="00000000">
            <w:pPr>
              <w:overflowPunct w:val="0"/>
              <w:adjustRightInd w:val="0"/>
              <w:snapToGrid w:val="0"/>
              <w:jc w:val="center"/>
              <w:rPr>
                <w:kern w:val="0"/>
                <w:szCs w:val="21"/>
              </w:rPr>
            </w:pPr>
            <w:r>
              <w:rPr>
                <w:rFonts w:hint="eastAsia"/>
                <w:kern w:val="0"/>
                <w:szCs w:val="21"/>
              </w:rPr>
              <w:t>33</w:t>
            </w:r>
          </w:p>
        </w:tc>
        <w:tc>
          <w:tcPr>
            <w:tcW w:w="1564" w:type="pct"/>
            <w:tcBorders>
              <w:tl2br w:val="nil"/>
              <w:tr2bl w:val="nil"/>
            </w:tcBorders>
            <w:vAlign w:val="center"/>
          </w:tcPr>
          <w:p w14:paraId="135FDCAB" w14:textId="77777777" w:rsidR="003D6A63" w:rsidRDefault="00000000">
            <w:pPr>
              <w:overflowPunct w:val="0"/>
              <w:adjustRightInd w:val="0"/>
              <w:snapToGrid w:val="0"/>
              <w:rPr>
                <w:kern w:val="0"/>
                <w:szCs w:val="21"/>
              </w:rPr>
            </w:pPr>
            <w:r>
              <w:rPr>
                <w:kern w:val="0"/>
                <w:szCs w:val="21"/>
              </w:rPr>
              <w:t>高危和人员密集单位应当每半年至少组织</w:t>
            </w:r>
            <w:r>
              <w:rPr>
                <w:kern w:val="0"/>
                <w:szCs w:val="21"/>
              </w:rPr>
              <w:t>1</w:t>
            </w:r>
            <w:r>
              <w:rPr>
                <w:kern w:val="0"/>
                <w:szCs w:val="21"/>
              </w:rPr>
              <w:t>次综合或者专项应急预案演练，每</w:t>
            </w:r>
            <w:r>
              <w:rPr>
                <w:kern w:val="0"/>
                <w:szCs w:val="21"/>
              </w:rPr>
              <w:t>2</w:t>
            </w:r>
            <w:r>
              <w:rPr>
                <w:kern w:val="0"/>
                <w:szCs w:val="21"/>
              </w:rPr>
              <w:t>年对所有专项应急预案至少组织</w:t>
            </w:r>
            <w:r>
              <w:rPr>
                <w:kern w:val="0"/>
                <w:szCs w:val="21"/>
              </w:rPr>
              <w:t>1</w:t>
            </w:r>
            <w:r>
              <w:rPr>
                <w:kern w:val="0"/>
                <w:szCs w:val="21"/>
              </w:rPr>
              <w:t>次演练，每半年对所有现场处置方案至少组织</w:t>
            </w:r>
            <w:r>
              <w:rPr>
                <w:kern w:val="0"/>
                <w:szCs w:val="21"/>
              </w:rPr>
              <w:t>1</w:t>
            </w:r>
            <w:r>
              <w:rPr>
                <w:kern w:val="0"/>
                <w:szCs w:val="21"/>
              </w:rPr>
              <w:t>次演练。</w:t>
            </w:r>
          </w:p>
        </w:tc>
        <w:tc>
          <w:tcPr>
            <w:tcW w:w="1401" w:type="pct"/>
            <w:tcBorders>
              <w:tl2br w:val="nil"/>
              <w:tr2bl w:val="nil"/>
            </w:tcBorders>
            <w:vAlign w:val="center"/>
          </w:tcPr>
          <w:p w14:paraId="5FA137F4" w14:textId="77777777" w:rsidR="003D6A63" w:rsidRDefault="00000000">
            <w:pPr>
              <w:overflowPunct w:val="0"/>
              <w:adjustRightInd w:val="0"/>
              <w:snapToGrid w:val="0"/>
              <w:jc w:val="center"/>
              <w:rPr>
                <w:kern w:val="0"/>
                <w:szCs w:val="21"/>
              </w:rPr>
            </w:pPr>
            <w:r>
              <w:rPr>
                <w:kern w:val="0"/>
                <w:szCs w:val="21"/>
              </w:rPr>
              <w:t>《山东省生产安全事故应急办法》</w:t>
            </w:r>
          </w:p>
          <w:p w14:paraId="46EC6F72" w14:textId="77777777" w:rsidR="003D6A63" w:rsidRDefault="00000000">
            <w:pPr>
              <w:overflowPunct w:val="0"/>
              <w:adjustRightInd w:val="0"/>
              <w:snapToGrid w:val="0"/>
              <w:jc w:val="center"/>
              <w:rPr>
                <w:kern w:val="0"/>
                <w:szCs w:val="21"/>
              </w:rPr>
            </w:pPr>
            <w:r>
              <w:rPr>
                <w:kern w:val="0"/>
                <w:szCs w:val="21"/>
              </w:rPr>
              <w:t>第十三条</w:t>
            </w:r>
          </w:p>
        </w:tc>
        <w:tc>
          <w:tcPr>
            <w:tcW w:w="1192" w:type="pct"/>
            <w:tcBorders>
              <w:tl2br w:val="nil"/>
              <w:tr2bl w:val="nil"/>
            </w:tcBorders>
            <w:vAlign w:val="center"/>
          </w:tcPr>
          <w:p w14:paraId="777C4027" w14:textId="77777777" w:rsidR="003D6A63" w:rsidRDefault="00000000">
            <w:pPr>
              <w:overflowPunct w:val="0"/>
              <w:adjustRightInd w:val="0"/>
              <w:snapToGrid w:val="0"/>
              <w:rPr>
                <w:kern w:val="0"/>
                <w:szCs w:val="21"/>
              </w:rPr>
            </w:pPr>
            <w:r>
              <w:rPr>
                <w:kern w:val="0"/>
                <w:szCs w:val="21"/>
              </w:rPr>
              <w:t>演练频次符合要求。</w:t>
            </w:r>
          </w:p>
        </w:tc>
        <w:tc>
          <w:tcPr>
            <w:tcW w:w="461" w:type="pct"/>
            <w:tcBorders>
              <w:tl2br w:val="nil"/>
              <w:tr2bl w:val="nil"/>
            </w:tcBorders>
            <w:vAlign w:val="center"/>
          </w:tcPr>
          <w:p w14:paraId="74B60CE7" w14:textId="77777777" w:rsidR="003D6A63" w:rsidRDefault="00000000">
            <w:pPr>
              <w:overflowPunct w:val="0"/>
              <w:adjustRightInd w:val="0"/>
              <w:snapToGrid w:val="0"/>
              <w:jc w:val="center"/>
              <w:rPr>
                <w:kern w:val="0"/>
                <w:szCs w:val="21"/>
              </w:rPr>
            </w:pPr>
            <w:r>
              <w:rPr>
                <w:kern w:val="0"/>
                <w:szCs w:val="21"/>
              </w:rPr>
              <w:t>√</w:t>
            </w:r>
          </w:p>
        </w:tc>
      </w:tr>
      <w:tr w:rsidR="003D6A63" w14:paraId="74D60340" w14:textId="77777777">
        <w:trPr>
          <w:trHeight w:val="340"/>
          <w:jc w:val="center"/>
        </w:trPr>
        <w:tc>
          <w:tcPr>
            <w:tcW w:w="380" w:type="pct"/>
            <w:tcBorders>
              <w:tl2br w:val="nil"/>
              <w:tr2bl w:val="nil"/>
            </w:tcBorders>
            <w:vAlign w:val="center"/>
          </w:tcPr>
          <w:p w14:paraId="0A9D4903" w14:textId="77777777" w:rsidR="003D6A63" w:rsidRDefault="00000000">
            <w:pPr>
              <w:overflowPunct w:val="0"/>
              <w:adjustRightInd w:val="0"/>
              <w:snapToGrid w:val="0"/>
              <w:jc w:val="center"/>
              <w:rPr>
                <w:kern w:val="0"/>
                <w:szCs w:val="21"/>
              </w:rPr>
            </w:pPr>
            <w:r>
              <w:rPr>
                <w:rFonts w:hint="eastAsia"/>
                <w:kern w:val="0"/>
                <w:szCs w:val="21"/>
              </w:rPr>
              <w:t>34</w:t>
            </w:r>
          </w:p>
        </w:tc>
        <w:tc>
          <w:tcPr>
            <w:tcW w:w="1564" w:type="pct"/>
            <w:tcBorders>
              <w:tl2br w:val="nil"/>
              <w:tr2bl w:val="nil"/>
            </w:tcBorders>
            <w:vAlign w:val="center"/>
          </w:tcPr>
          <w:p w14:paraId="4F06B215" w14:textId="77777777" w:rsidR="003D6A63" w:rsidRDefault="00000000">
            <w:pPr>
              <w:overflowPunct w:val="0"/>
              <w:adjustRightInd w:val="0"/>
              <w:snapToGrid w:val="0"/>
              <w:rPr>
                <w:kern w:val="0"/>
                <w:szCs w:val="21"/>
              </w:rPr>
            </w:pPr>
            <w:r>
              <w:rPr>
                <w:kern w:val="0"/>
                <w:szCs w:val="21"/>
              </w:rPr>
              <w:t>应急预案演练结束后，应急预案演练组织单位应当对应急预案演练效果进行评估，撰写应急预案演练评估报告，分析存在的问题，并对应急预案提出修订意见。</w:t>
            </w:r>
          </w:p>
        </w:tc>
        <w:tc>
          <w:tcPr>
            <w:tcW w:w="1401" w:type="pct"/>
            <w:tcBorders>
              <w:tl2br w:val="nil"/>
              <w:tr2bl w:val="nil"/>
            </w:tcBorders>
            <w:vAlign w:val="center"/>
          </w:tcPr>
          <w:p w14:paraId="4EEAC018" w14:textId="77777777" w:rsidR="003D6A63" w:rsidRDefault="00000000">
            <w:pPr>
              <w:overflowPunct w:val="0"/>
              <w:adjustRightInd w:val="0"/>
              <w:snapToGrid w:val="0"/>
              <w:jc w:val="center"/>
              <w:rPr>
                <w:kern w:val="0"/>
                <w:szCs w:val="21"/>
              </w:rPr>
            </w:pPr>
            <w:r>
              <w:rPr>
                <w:kern w:val="0"/>
                <w:szCs w:val="21"/>
              </w:rPr>
              <w:t>《生产安全事故应急预案管理办法》</w:t>
            </w:r>
          </w:p>
          <w:p w14:paraId="1ED84B36" w14:textId="77777777" w:rsidR="003D6A63" w:rsidRDefault="00000000">
            <w:pPr>
              <w:overflowPunct w:val="0"/>
              <w:adjustRightInd w:val="0"/>
              <w:snapToGrid w:val="0"/>
              <w:jc w:val="center"/>
              <w:rPr>
                <w:kern w:val="0"/>
                <w:szCs w:val="21"/>
              </w:rPr>
            </w:pPr>
            <w:r>
              <w:rPr>
                <w:kern w:val="0"/>
                <w:szCs w:val="21"/>
              </w:rPr>
              <w:t>第三十四条</w:t>
            </w:r>
          </w:p>
        </w:tc>
        <w:tc>
          <w:tcPr>
            <w:tcW w:w="1192" w:type="pct"/>
            <w:tcBorders>
              <w:tl2br w:val="nil"/>
              <w:tr2bl w:val="nil"/>
            </w:tcBorders>
            <w:vAlign w:val="center"/>
          </w:tcPr>
          <w:p w14:paraId="6ACA1F12" w14:textId="77777777" w:rsidR="003D6A63" w:rsidRDefault="00000000">
            <w:pPr>
              <w:overflowPunct w:val="0"/>
              <w:adjustRightInd w:val="0"/>
              <w:snapToGrid w:val="0"/>
              <w:rPr>
                <w:kern w:val="0"/>
                <w:szCs w:val="21"/>
              </w:rPr>
            </w:pPr>
            <w:r>
              <w:rPr>
                <w:kern w:val="0"/>
                <w:szCs w:val="21"/>
              </w:rPr>
              <w:t>有应急预案演练评估报告。</w:t>
            </w:r>
          </w:p>
        </w:tc>
        <w:tc>
          <w:tcPr>
            <w:tcW w:w="461" w:type="pct"/>
            <w:tcBorders>
              <w:tl2br w:val="nil"/>
              <w:tr2bl w:val="nil"/>
            </w:tcBorders>
            <w:vAlign w:val="center"/>
          </w:tcPr>
          <w:p w14:paraId="6716E82D" w14:textId="77777777" w:rsidR="003D6A63" w:rsidRDefault="00000000">
            <w:pPr>
              <w:overflowPunct w:val="0"/>
              <w:adjustRightInd w:val="0"/>
              <w:snapToGrid w:val="0"/>
              <w:jc w:val="center"/>
              <w:rPr>
                <w:kern w:val="0"/>
                <w:szCs w:val="21"/>
              </w:rPr>
            </w:pPr>
            <w:r>
              <w:rPr>
                <w:kern w:val="0"/>
                <w:szCs w:val="21"/>
              </w:rPr>
              <w:t>√</w:t>
            </w:r>
          </w:p>
        </w:tc>
      </w:tr>
      <w:tr w:rsidR="003D6A63" w14:paraId="011F072C" w14:textId="77777777">
        <w:trPr>
          <w:trHeight w:val="340"/>
          <w:jc w:val="center"/>
        </w:trPr>
        <w:tc>
          <w:tcPr>
            <w:tcW w:w="380" w:type="pct"/>
            <w:vMerge w:val="restart"/>
            <w:tcBorders>
              <w:tl2br w:val="nil"/>
              <w:tr2bl w:val="nil"/>
            </w:tcBorders>
            <w:vAlign w:val="center"/>
          </w:tcPr>
          <w:p w14:paraId="5147A696" w14:textId="77777777" w:rsidR="003D6A63" w:rsidRDefault="00000000">
            <w:pPr>
              <w:overflowPunct w:val="0"/>
              <w:adjustRightInd w:val="0"/>
              <w:snapToGrid w:val="0"/>
              <w:jc w:val="center"/>
              <w:rPr>
                <w:kern w:val="0"/>
                <w:szCs w:val="21"/>
              </w:rPr>
            </w:pPr>
            <w:r>
              <w:rPr>
                <w:rFonts w:hint="eastAsia"/>
                <w:kern w:val="0"/>
                <w:szCs w:val="21"/>
              </w:rPr>
              <w:t>35</w:t>
            </w:r>
          </w:p>
        </w:tc>
        <w:tc>
          <w:tcPr>
            <w:tcW w:w="1564" w:type="pct"/>
            <w:tcBorders>
              <w:tl2br w:val="nil"/>
              <w:tr2bl w:val="nil"/>
            </w:tcBorders>
            <w:vAlign w:val="center"/>
          </w:tcPr>
          <w:p w14:paraId="44CE978B" w14:textId="77777777" w:rsidR="003D6A63" w:rsidRDefault="00000000">
            <w:pPr>
              <w:overflowPunct w:val="0"/>
              <w:adjustRightInd w:val="0"/>
              <w:snapToGrid w:val="0"/>
              <w:rPr>
                <w:kern w:val="0"/>
                <w:szCs w:val="21"/>
              </w:rPr>
            </w:pPr>
            <w:r>
              <w:rPr>
                <w:kern w:val="0"/>
                <w:szCs w:val="21"/>
              </w:rPr>
              <w:t>生产经营单位应当建立应急救援组织，配备相应的应急救援器材及装备。不具备单独建</w:t>
            </w:r>
            <w:r>
              <w:rPr>
                <w:kern w:val="0"/>
                <w:szCs w:val="21"/>
              </w:rPr>
              <w:lastRenderedPageBreak/>
              <w:t>立专业应急救援队伍的规模较小的生产经营单位，应当与邻近建有专业救援队伍的企业或者单位签订救援协议，或者联合建立专业应急救援队伍。</w:t>
            </w:r>
          </w:p>
        </w:tc>
        <w:tc>
          <w:tcPr>
            <w:tcW w:w="1401" w:type="pct"/>
            <w:tcBorders>
              <w:tl2br w:val="nil"/>
              <w:tr2bl w:val="nil"/>
            </w:tcBorders>
            <w:vAlign w:val="center"/>
          </w:tcPr>
          <w:p w14:paraId="44987B2C" w14:textId="77777777" w:rsidR="003D6A63" w:rsidRDefault="00000000">
            <w:pPr>
              <w:overflowPunct w:val="0"/>
              <w:adjustRightInd w:val="0"/>
              <w:snapToGrid w:val="0"/>
              <w:jc w:val="center"/>
              <w:rPr>
                <w:kern w:val="0"/>
                <w:szCs w:val="21"/>
              </w:rPr>
            </w:pPr>
            <w:r>
              <w:rPr>
                <w:kern w:val="0"/>
                <w:szCs w:val="21"/>
              </w:rPr>
              <w:lastRenderedPageBreak/>
              <w:t>《山东省生产经营单位安全生产主体责任规定》</w:t>
            </w:r>
          </w:p>
          <w:p w14:paraId="28BA325C" w14:textId="77777777" w:rsidR="003D6A63" w:rsidRDefault="00000000">
            <w:pPr>
              <w:overflowPunct w:val="0"/>
              <w:adjustRightInd w:val="0"/>
              <w:snapToGrid w:val="0"/>
              <w:jc w:val="center"/>
              <w:rPr>
                <w:kern w:val="0"/>
                <w:szCs w:val="21"/>
              </w:rPr>
            </w:pPr>
            <w:r>
              <w:rPr>
                <w:kern w:val="0"/>
                <w:szCs w:val="21"/>
              </w:rPr>
              <w:t>第二十三条</w:t>
            </w:r>
          </w:p>
        </w:tc>
        <w:tc>
          <w:tcPr>
            <w:tcW w:w="1192" w:type="pct"/>
            <w:vMerge w:val="restart"/>
            <w:tcBorders>
              <w:tl2br w:val="nil"/>
              <w:tr2bl w:val="nil"/>
            </w:tcBorders>
            <w:vAlign w:val="center"/>
          </w:tcPr>
          <w:p w14:paraId="0A2AB211" w14:textId="77777777" w:rsidR="003D6A63" w:rsidRDefault="00000000">
            <w:pPr>
              <w:overflowPunct w:val="0"/>
              <w:adjustRightInd w:val="0"/>
              <w:snapToGrid w:val="0"/>
              <w:rPr>
                <w:kern w:val="0"/>
                <w:szCs w:val="21"/>
              </w:rPr>
            </w:pPr>
            <w:r>
              <w:rPr>
                <w:kern w:val="0"/>
                <w:szCs w:val="21"/>
              </w:rPr>
              <w:t>已建立事故应急救援组织，配备必要的应急救</w:t>
            </w:r>
            <w:r>
              <w:rPr>
                <w:color w:val="000000"/>
                <w:kern w:val="0"/>
                <w:szCs w:val="21"/>
              </w:rPr>
              <w:t>援器材、设备；与相</w:t>
            </w:r>
            <w:r>
              <w:rPr>
                <w:color w:val="000000"/>
                <w:kern w:val="0"/>
                <w:szCs w:val="21"/>
              </w:rPr>
              <w:lastRenderedPageBreak/>
              <w:t>关单位签订了救援协议。</w:t>
            </w:r>
          </w:p>
        </w:tc>
        <w:tc>
          <w:tcPr>
            <w:tcW w:w="461" w:type="pct"/>
            <w:vMerge w:val="restart"/>
            <w:tcBorders>
              <w:tl2br w:val="nil"/>
              <w:tr2bl w:val="nil"/>
            </w:tcBorders>
            <w:vAlign w:val="center"/>
          </w:tcPr>
          <w:p w14:paraId="22FDE3F6" w14:textId="77777777" w:rsidR="003D6A63" w:rsidRDefault="00000000">
            <w:pPr>
              <w:overflowPunct w:val="0"/>
              <w:adjustRightInd w:val="0"/>
              <w:snapToGrid w:val="0"/>
              <w:jc w:val="center"/>
              <w:rPr>
                <w:kern w:val="0"/>
                <w:szCs w:val="21"/>
              </w:rPr>
            </w:pPr>
            <w:r>
              <w:rPr>
                <w:kern w:val="0"/>
                <w:szCs w:val="21"/>
              </w:rPr>
              <w:lastRenderedPageBreak/>
              <w:t>√</w:t>
            </w:r>
          </w:p>
        </w:tc>
      </w:tr>
      <w:tr w:rsidR="003D6A63" w14:paraId="20749102" w14:textId="77777777">
        <w:trPr>
          <w:trHeight w:val="340"/>
          <w:jc w:val="center"/>
        </w:trPr>
        <w:tc>
          <w:tcPr>
            <w:tcW w:w="380" w:type="pct"/>
            <w:vMerge/>
            <w:tcBorders>
              <w:tl2br w:val="nil"/>
              <w:tr2bl w:val="nil"/>
            </w:tcBorders>
            <w:vAlign w:val="center"/>
          </w:tcPr>
          <w:p w14:paraId="1E62DC4F" w14:textId="77777777" w:rsidR="003D6A63" w:rsidRDefault="003D6A63">
            <w:pPr>
              <w:numPr>
                <w:ilvl w:val="0"/>
                <w:numId w:val="21"/>
              </w:numPr>
              <w:overflowPunct w:val="0"/>
              <w:adjustRightInd w:val="0"/>
              <w:snapToGrid w:val="0"/>
              <w:jc w:val="center"/>
              <w:rPr>
                <w:kern w:val="0"/>
                <w:szCs w:val="21"/>
              </w:rPr>
            </w:pPr>
          </w:p>
        </w:tc>
        <w:tc>
          <w:tcPr>
            <w:tcW w:w="1564" w:type="pct"/>
            <w:tcBorders>
              <w:tl2br w:val="nil"/>
              <w:tr2bl w:val="nil"/>
            </w:tcBorders>
            <w:vAlign w:val="center"/>
          </w:tcPr>
          <w:p w14:paraId="51AA7474" w14:textId="77777777" w:rsidR="003D6A63" w:rsidRDefault="00000000">
            <w:pPr>
              <w:overflowPunct w:val="0"/>
              <w:adjustRightInd w:val="0"/>
              <w:snapToGrid w:val="0"/>
              <w:rPr>
                <w:kern w:val="0"/>
                <w:szCs w:val="21"/>
              </w:rPr>
            </w:pPr>
            <w:r>
              <w:rPr>
                <w:kern w:val="0"/>
                <w:szCs w:val="21"/>
              </w:rPr>
              <w:t>建立事故应急救援组织，配备必要的应急救援器材、设备；生产规模较小可以不建立事故应急救援组织的，应当指定兼职的应急救援人员，并与邻近的矿山救护队或者其他应急救援组织签订救护协议。</w:t>
            </w:r>
          </w:p>
        </w:tc>
        <w:tc>
          <w:tcPr>
            <w:tcW w:w="1401" w:type="pct"/>
            <w:tcBorders>
              <w:tl2br w:val="nil"/>
              <w:tr2bl w:val="nil"/>
            </w:tcBorders>
            <w:vAlign w:val="center"/>
          </w:tcPr>
          <w:p w14:paraId="13425C80" w14:textId="77777777" w:rsidR="003D6A63" w:rsidRDefault="00000000">
            <w:pPr>
              <w:overflowPunct w:val="0"/>
              <w:adjustRightInd w:val="0"/>
              <w:snapToGrid w:val="0"/>
              <w:jc w:val="center"/>
              <w:rPr>
                <w:kern w:val="0"/>
                <w:szCs w:val="21"/>
              </w:rPr>
            </w:pPr>
            <w:r>
              <w:rPr>
                <w:kern w:val="0"/>
                <w:szCs w:val="21"/>
              </w:rPr>
              <w:t>《非煤矿矿山企业安全生产许可证实施办法》</w:t>
            </w:r>
          </w:p>
          <w:p w14:paraId="73E347E7" w14:textId="77777777" w:rsidR="003D6A63" w:rsidRDefault="00000000">
            <w:pPr>
              <w:overflowPunct w:val="0"/>
              <w:adjustRightInd w:val="0"/>
              <w:snapToGrid w:val="0"/>
              <w:jc w:val="center"/>
              <w:rPr>
                <w:kern w:val="0"/>
                <w:szCs w:val="21"/>
              </w:rPr>
            </w:pPr>
            <w:r>
              <w:rPr>
                <w:kern w:val="0"/>
                <w:szCs w:val="21"/>
              </w:rPr>
              <w:t>第六条</w:t>
            </w:r>
          </w:p>
        </w:tc>
        <w:tc>
          <w:tcPr>
            <w:tcW w:w="1192" w:type="pct"/>
            <w:vMerge/>
            <w:tcBorders>
              <w:tl2br w:val="nil"/>
              <w:tr2bl w:val="nil"/>
            </w:tcBorders>
            <w:vAlign w:val="center"/>
          </w:tcPr>
          <w:p w14:paraId="714A6BF7" w14:textId="77777777" w:rsidR="003D6A63" w:rsidRDefault="003D6A63">
            <w:pPr>
              <w:overflowPunct w:val="0"/>
              <w:adjustRightInd w:val="0"/>
              <w:snapToGrid w:val="0"/>
              <w:jc w:val="center"/>
              <w:rPr>
                <w:kern w:val="0"/>
                <w:szCs w:val="21"/>
              </w:rPr>
            </w:pPr>
          </w:p>
        </w:tc>
        <w:tc>
          <w:tcPr>
            <w:tcW w:w="461" w:type="pct"/>
            <w:vMerge/>
            <w:tcBorders>
              <w:tl2br w:val="nil"/>
              <w:tr2bl w:val="nil"/>
            </w:tcBorders>
            <w:vAlign w:val="center"/>
          </w:tcPr>
          <w:p w14:paraId="4F1CD718" w14:textId="77777777" w:rsidR="003D6A63" w:rsidRDefault="003D6A63">
            <w:pPr>
              <w:overflowPunct w:val="0"/>
              <w:adjustRightInd w:val="0"/>
              <w:snapToGrid w:val="0"/>
              <w:jc w:val="left"/>
              <w:rPr>
                <w:kern w:val="0"/>
                <w:szCs w:val="21"/>
              </w:rPr>
            </w:pPr>
          </w:p>
        </w:tc>
      </w:tr>
    </w:tbl>
    <w:p w14:paraId="32EBB2AC" w14:textId="77777777" w:rsidR="003D6A63" w:rsidRDefault="00000000">
      <w:pPr>
        <w:pStyle w:val="3"/>
        <w:keepNext w:val="0"/>
        <w:keepLines w:val="0"/>
        <w:spacing w:beforeLines="50" w:before="120" w:after="0" w:line="360" w:lineRule="auto"/>
        <w:rPr>
          <w:rFonts w:eastAsia="黑体"/>
          <w:b w:val="0"/>
          <w:spacing w:val="0"/>
          <w:sz w:val="24"/>
          <w:szCs w:val="24"/>
        </w:rPr>
      </w:pPr>
      <w:r>
        <w:rPr>
          <w:rFonts w:eastAsia="黑体" w:hint="eastAsia"/>
          <w:b w:val="0"/>
          <w:spacing w:val="0"/>
          <w:sz w:val="24"/>
          <w:szCs w:val="24"/>
        </w:rPr>
        <w:t xml:space="preserve">6.2.2  </w:t>
      </w:r>
      <w:r>
        <w:rPr>
          <w:rFonts w:eastAsia="黑体" w:hint="eastAsia"/>
          <w:b w:val="0"/>
          <w:spacing w:val="0"/>
          <w:sz w:val="24"/>
          <w:szCs w:val="24"/>
        </w:rPr>
        <w:t>单元小结</w:t>
      </w:r>
    </w:p>
    <w:p w14:paraId="17324C20" w14:textId="77777777" w:rsidR="003D6A63" w:rsidRDefault="00000000">
      <w:pPr>
        <w:spacing w:line="360" w:lineRule="auto"/>
        <w:ind w:firstLineChars="200" w:firstLine="480"/>
        <w:rPr>
          <w:sz w:val="24"/>
          <w:lang w:val="zh-CN"/>
        </w:rPr>
      </w:pPr>
      <w:r>
        <w:rPr>
          <w:sz w:val="24"/>
        </w:rPr>
        <w:t>安全检查表共列出</w:t>
      </w:r>
      <w:r>
        <w:rPr>
          <w:rFonts w:hint="eastAsia"/>
          <w:sz w:val="24"/>
        </w:rPr>
        <w:t>35</w:t>
      </w:r>
      <w:r>
        <w:rPr>
          <w:sz w:val="24"/>
        </w:rPr>
        <w:t>项检查内容，未发现不符合项。通过以上安全管理检查可以发现，</w:t>
      </w:r>
      <w:r>
        <w:rPr>
          <w:rFonts w:hint="eastAsia"/>
          <w:sz w:val="24"/>
        </w:rPr>
        <w:t>胜利油田中胜石油开发有限责任公司</w:t>
      </w:r>
      <w:r>
        <w:rPr>
          <w:sz w:val="24"/>
        </w:rPr>
        <w:t>建立了安全生产管理组织机构，制定了安全生产责任制、安全生产管理制度，并制定了相应岗位操作规程，对管理人员和作业人员进行了必要的培训。公司编制了应急预案编制并根据实际工艺、人员变化及时修订，定期组织应急预案演练，演练记录完整。</w:t>
      </w:r>
    </w:p>
    <w:p w14:paraId="7F9F20B8" w14:textId="77777777" w:rsidR="003D6A63" w:rsidRDefault="00000000">
      <w:pPr>
        <w:pStyle w:val="2"/>
        <w:keepNext w:val="0"/>
        <w:keepLines w:val="0"/>
        <w:spacing w:before="0" w:after="0" w:line="360" w:lineRule="auto"/>
        <w:rPr>
          <w:rFonts w:ascii="Times New Roman" w:hAnsi="Times New Roman"/>
          <w:b w:val="0"/>
          <w:spacing w:val="0"/>
          <w:sz w:val="28"/>
        </w:rPr>
      </w:pPr>
      <w:bookmarkStart w:id="108" w:name="_Toc4795"/>
      <w:r>
        <w:rPr>
          <w:rFonts w:ascii="Times New Roman" w:hAnsi="Times New Roman" w:hint="eastAsia"/>
          <w:b w:val="0"/>
          <w:spacing w:val="0"/>
          <w:sz w:val="28"/>
        </w:rPr>
        <w:t xml:space="preserve">6.3  </w:t>
      </w:r>
      <w:r>
        <w:rPr>
          <w:rFonts w:ascii="Times New Roman" w:hAnsi="Times New Roman" w:hint="eastAsia"/>
          <w:b w:val="0"/>
          <w:spacing w:val="0"/>
          <w:sz w:val="28"/>
        </w:rPr>
        <w:t>安全生产条件及重大安全风险隐患分析评价</w:t>
      </w:r>
      <w:bookmarkEnd w:id="108"/>
    </w:p>
    <w:p w14:paraId="16B71C6C" w14:textId="77777777" w:rsidR="003D6A63" w:rsidRDefault="00000000">
      <w:pPr>
        <w:pStyle w:val="3"/>
        <w:keepNext w:val="0"/>
        <w:keepLines w:val="0"/>
        <w:spacing w:before="0" w:after="0" w:line="360" w:lineRule="auto"/>
        <w:rPr>
          <w:rFonts w:eastAsia="黑体"/>
          <w:b w:val="0"/>
          <w:spacing w:val="0"/>
          <w:sz w:val="24"/>
          <w:szCs w:val="24"/>
        </w:rPr>
      </w:pPr>
      <w:r>
        <w:rPr>
          <w:rFonts w:eastAsia="黑体" w:hint="eastAsia"/>
          <w:b w:val="0"/>
          <w:spacing w:val="0"/>
          <w:sz w:val="24"/>
          <w:szCs w:val="24"/>
        </w:rPr>
        <w:t xml:space="preserve">6.3.1  </w:t>
      </w:r>
      <w:r>
        <w:rPr>
          <w:rFonts w:eastAsia="黑体" w:hint="eastAsia"/>
          <w:b w:val="0"/>
          <w:spacing w:val="0"/>
          <w:sz w:val="24"/>
          <w:szCs w:val="24"/>
        </w:rPr>
        <w:t>安全生产条件分析</w:t>
      </w:r>
    </w:p>
    <w:p w14:paraId="09CA0C2B" w14:textId="77777777" w:rsidR="003D6A63" w:rsidRDefault="00000000">
      <w:pPr>
        <w:adjustRightInd w:val="0"/>
        <w:snapToGrid w:val="0"/>
        <w:spacing w:line="360" w:lineRule="auto"/>
        <w:ind w:firstLineChars="200" w:firstLine="480"/>
        <w:rPr>
          <w:kern w:val="0"/>
          <w:sz w:val="24"/>
        </w:rPr>
      </w:pPr>
      <w:r>
        <w:rPr>
          <w:kern w:val="0"/>
          <w:sz w:val="24"/>
        </w:rPr>
        <w:t>根据《非煤矿矿山企业安全生产许可证实施办法</w:t>
      </w:r>
      <w:r>
        <w:rPr>
          <w:rFonts w:hint="eastAsia"/>
          <w:kern w:val="0"/>
          <w:sz w:val="24"/>
        </w:rPr>
        <w:t>》《安全生产法》《山东省安全生产条例》《山东省生产经营单位安全生产主体责任规定》《企业安全生产标准化基本规范》（</w:t>
      </w:r>
      <w:r>
        <w:rPr>
          <w:rFonts w:hint="eastAsia"/>
          <w:kern w:val="0"/>
          <w:sz w:val="24"/>
        </w:rPr>
        <w:t>G</w:t>
      </w:r>
      <w:r>
        <w:rPr>
          <w:kern w:val="0"/>
          <w:sz w:val="24"/>
        </w:rPr>
        <w:t>B</w:t>
      </w:r>
      <w:r>
        <w:rPr>
          <w:rFonts w:hint="eastAsia"/>
          <w:kern w:val="0"/>
          <w:sz w:val="24"/>
        </w:rPr>
        <w:t>/T</w:t>
      </w:r>
      <w:r>
        <w:rPr>
          <w:kern w:val="0"/>
          <w:sz w:val="24"/>
        </w:rPr>
        <w:t>33000-2016</w:t>
      </w:r>
      <w:r>
        <w:rPr>
          <w:rFonts w:hint="eastAsia"/>
          <w:kern w:val="0"/>
          <w:sz w:val="24"/>
        </w:rPr>
        <w:t>）、《石油与天然气井井控安全技术考核管理规则》（</w:t>
      </w:r>
      <w:r>
        <w:rPr>
          <w:rFonts w:hint="eastAsia"/>
          <w:kern w:val="0"/>
          <w:sz w:val="24"/>
        </w:rPr>
        <w:t>SY/T5742-2019</w:t>
      </w:r>
      <w:r>
        <w:rPr>
          <w:rFonts w:hint="eastAsia"/>
          <w:kern w:val="0"/>
          <w:sz w:val="24"/>
        </w:rPr>
        <w:t>）等法律法规和标准规范的要求，对中胜公司安全生产管理中全员安全生产责任制、管理制度和操作规程、人员持证、劳保配备、应急管理等情况进行检查，以确定中胜公司安全生产条件是否</w:t>
      </w:r>
      <w:r>
        <w:rPr>
          <w:kern w:val="0"/>
          <w:sz w:val="24"/>
        </w:rPr>
        <w:t>符合</w:t>
      </w:r>
      <w:r>
        <w:rPr>
          <w:rFonts w:hint="eastAsia"/>
          <w:kern w:val="0"/>
          <w:sz w:val="24"/>
        </w:rPr>
        <w:t>要求。检查情况见</w:t>
      </w:r>
      <w:r>
        <w:rPr>
          <w:kern w:val="0"/>
          <w:sz w:val="24"/>
        </w:rPr>
        <w:t>表</w:t>
      </w:r>
      <w:r>
        <w:rPr>
          <w:rFonts w:hint="eastAsia"/>
          <w:kern w:val="0"/>
          <w:sz w:val="24"/>
        </w:rPr>
        <w:t>6.3-1</w:t>
      </w:r>
      <w:r>
        <w:rPr>
          <w:kern w:val="0"/>
          <w:sz w:val="24"/>
        </w:rPr>
        <w:t>。</w:t>
      </w:r>
    </w:p>
    <w:p w14:paraId="27417230" w14:textId="77777777" w:rsidR="003D6A63" w:rsidRDefault="00000000">
      <w:pPr>
        <w:pStyle w:val="af4"/>
        <w:adjustRightInd w:val="0"/>
        <w:snapToGrid w:val="0"/>
        <w:spacing w:line="360" w:lineRule="auto"/>
        <w:ind w:firstLine="480"/>
        <w:jc w:val="center"/>
        <w:rPr>
          <w:rFonts w:eastAsia="黑体"/>
        </w:rPr>
      </w:pPr>
      <w:r>
        <w:rPr>
          <w:rFonts w:eastAsia="黑体"/>
        </w:rPr>
        <w:t>表</w:t>
      </w:r>
      <w:r>
        <w:rPr>
          <w:rFonts w:eastAsia="黑体" w:hint="eastAsia"/>
        </w:rPr>
        <w:t>6.3-1</w:t>
      </w:r>
      <w:r>
        <w:rPr>
          <w:rFonts w:eastAsia="黑体"/>
        </w:rPr>
        <w:t xml:space="preserve"> </w:t>
      </w:r>
      <w:r>
        <w:rPr>
          <w:rFonts w:eastAsia="黑体"/>
        </w:rPr>
        <w:t>安全生产条件</w:t>
      </w:r>
      <w:r>
        <w:rPr>
          <w:rFonts w:eastAsia="黑体" w:hint="eastAsia"/>
        </w:rPr>
        <w:t>符合性</w:t>
      </w:r>
      <w:r>
        <w:rPr>
          <w:rFonts w:eastAsia="黑体"/>
        </w:rPr>
        <w:t>评价表</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62"/>
        <w:gridCol w:w="3208"/>
        <w:gridCol w:w="4103"/>
        <w:gridCol w:w="1509"/>
      </w:tblGrid>
      <w:tr w:rsidR="003D6A63" w14:paraId="204ED2C5" w14:textId="77777777">
        <w:trPr>
          <w:trHeight w:val="340"/>
          <w:jc w:val="center"/>
        </w:trPr>
        <w:tc>
          <w:tcPr>
            <w:tcW w:w="249" w:type="pct"/>
            <w:vMerge w:val="restart"/>
            <w:tcBorders>
              <w:tl2br w:val="nil"/>
              <w:tr2bl w:val="nil"/>
            </w:tcBorders>
            <w:vAlign w:val="center"/>
          </w:tcPr>
          <w:p w14:paraId="14C6677E" w14:textId="77777777" w:rsidR="003D6A63" w:rsidRDefault="00000000">
            <w:pPr>
              <w:adjustRightInd w:val="0"/>
              <w:snapToGrid w:val="0"/>
              <w:rPr>
                <w:bCs/>
                <w:snapToGrid w:val="0"/>
                <w:kern w:val="0"/>
                <w:szCs w:val="21"/>
              </w:rPr>
            </w:pPr>
            <w:r>
              <w:rPr>
                <w:b/>
                <w:snapToGrid w:val="0"/>
                <w:kern w:val="0"/>
                <w:szCs w:val="21"/>
              </w:rPr>
              <w:t>审查内容及审查结果</w:t>
            </w:r>
          </w:p>
        </w:tc>
        <w:tc>
          <w:tcPr>
            <w:tcW w:w="1727" w:type="pct"/>
            <w:tcBorders>
              <w:tl2br w:val="nil"/>
              <w:tr2bl w:val="nil"/>
            </w:tcBorders>
            <w:vAlign w:val="center"/>
          </w:tcPr>
          <w:p w14:paraId="1A7D0E43" w14:textId="77777777" w:rsidR="003D6A63" w:rsidRDefault="00000000">
            <w:pPr>
              <w:adjustRightInd w:val="0"/>
              <w:snapToGrid w:val="0"/>
              <w:jc w:val="center"/>
              <w:rPr>
                <w:b/>
                <w:snapToGrid w:val="0"/>
                <w:kern w:val="0"/>
                <w:szCs w:val="21"/>
              </w:rPr>
            </w:pPr>
            <w:r>
              <w:rPr>
                <w:b/>
                <w:snapToGrid w:val="0"/>
                <w:kern w:val="0"/>
                <w:szCs w:val="21"/>
              </w:rPr>
              <w:t>审查内容</w:t>
            </w:r>
          </w:p>
        </w:tc>
        <w:tc>
          <w:tcPr>
            <w:tcW w:w="2209" w:type="pct"/>
            <w:tcBorders>
              <w:tl2br w:val="nil"/>
              <w:tr2bl w:val="nil"/>
            </w:tcBorders>
            <w:tcMar>
              <w:top w:w="0" w:type="dxa"/>
              <w:left w:w="28" w:type="dxa"/>
              <w:bottom w:w="0" w:type="dxa"/>
              <w:right w:w="28" w:type="dxa"/>
            </w:tcMar>
            <w:vAlign w:val="center"/>
          </w:tcPr>
          <w:p w14:paraId="4A98F0BD" w14:textId="77777777" w:rsidR="003D6A63" w:rsidRDefault="00000000">
            <w:pPr>
              <w:adjustRightInd w:val="0"/>
              <w:snapToGrid w:val="0"/>
              <w:jc w:val="center"/>
              <w:rPr>
                <w:b/>
                <w:snapToGrid w:val="0"/>
                <w:kern w:val="0"/>
                <w:szCs w:val="21"/>
              </w:rPr>
            </w:pPr>
            <w:r>
              <w:rPr>
                <w:rFonts w:hint="eastAsia"/>
                <w:b/>
                <w:snapToGrid w:val="0"/>
                <w:kern w:val="0"/>
                <w:szCs w:val="21"/>
              </w:rPr>
              <w:t>实际情况</w:t>
            </w:r>
          </w:p>
        </w:tc>
        <w:tc>
          <w:tcPr>
            <w:tcW w:w="813" w:type="pct"/>
            <w:tcBorders>
              <w:tl2br w:val="nil"/>
              <w:tr2bl w:val="nil"/>
            </w:tcBorders>
            <w:vAlign w:val="center"/>
          </w:tcPr>
          <w:p w14:paraId="685858AD" w14:textId="77777777" w:rsidR="003D6A63" w:rsidRDefault="00000000">
            <w:pPr>
              <w:adjustRightInd w:val="0"/>
              <w:snapToGrid w:val="0"/>
              <w:jc w:val="center"/>
              <w:rPr>
                <w:b/>
                <w:snapToGrid w:val="0"/>
                <w:kern w:val="0"/>
                <w:szCs w:val="21"/>
              </w:rPr>
            </w:pPr>
            <w:r>
              <w:rPr>
                <w:b/>
                <w:snapToGrid w:val="0"/>
                <w:kern w:val="0"/>
                <w:szCs w:val="21"/>
              </w:rPr>
              <w:t>审查结果</w:t>
            </w:r>
          </w:p>
        </w:tc>
      </w:tr>
      <w:tr w:rsidR="003D6A63" w14:paraId="30F9C8DF" w14:textId="77777777">
        <w:trPr>
          <w:trHeight w:val="340"/>
          <w:jc w:val="center"/>
        </w:trPr>
        <w:tc>
          <w:tcPr>
            <w:tcW w:w="249" w:type="pct"/>
            <w:vMerge/>
            <w:tcBorders>
              <w:tl2br w:val="nil"/>
              <w:tr2bl w:val="nil"/>
            </w:tcBorders>
            <w:vAlign w:val="center"/>
          </w:tcPr>
          <w:p w14:paraId="0AF894F4" w14:textId="77777777" w:rsidR="003D6A63" w:rsidRDefault="003D6A63">
            <w:pPr>
              <w:adjustRightInd w:val="0"/>
              <w:snapToGrid w:val="0"/>
              <w:rPr>
                <w:bCs/>
                <w:snapToGrid w:val="0"/>
                <w:kern w:val="0"/>
                <w:szCs w:val="21"/>
              </w:rPr>
            </w:pPr>
          </w:p>
        </w:tc>
        <w:tc>
          <w:tcPr>
            <w:tcW w:w="1727" w:type="pct"/>
            <w:tcBorders>
              <w:tl2br w:val="nil"/>
              <w:tr2bl w:val="nil"/>
            </w:tcBorders>
            <w:tcMar>
              <w:top w:w="57" w:type="dxa"/>
              <w:left w:w="28" w:type="dxa"/>
              <w:bottom w:w="57" w:type="dxa"/>
              <w:right w:w="28" w:type="dxa"/>
            </w:tcMar>
            <w:vAlign w:val="center"/>
          </w:tcPr>
          <w:p w14:paraId="7D770FC1" w14:textId="77777777" w:rsidR="003D6A63" w:rsidRDefault="00000000">
            <w:pPr>
              <w:adjustRightInd w:val="0"/>
              <w:snapToGrid w:val="0"/>
              <w:rPr>
                <w:bCs/>
                <w:snapToGrid w:val="0"/>
                <w:kern w:val="0"/>
                <w:szCs w:val="21"/>
              </w:rPr>
            </w:pPr>
            <w:r>
              <w:rPr>
                <w:bCs/>
                <w:snapToGrid w:val="0"/>
                <w:kern w:val="0"/>
                <w:szCs w:val="21"/>
              </w:rPr>
              <w:t>1.</w:t>
            </w:r>
            <w:r>
              <w:rPr>
                <w:bCs/>
                <w:snapToGrid w:val="0"/>
                <w:kern w:val="0"/>
                <w:szCs w:val="21"/>
              </w:rPr>
              <w:t>建立健全主要负责人、分管负责人、</w:t>
            </w:r>
            <w:hyperlink r:id="rId22" w:tgtFrame="https://baike.baidu.com/item/%E9%9D%9E%E7%85%A4%E7%9F%BF%E7%9F%BF%E5%B1%B1%E4%BC%81%E4%B8%9A%E5%AE%89%E5%85%A8%E7%94%9F%E4%BA%A7%E8%AE%B8%E5%8F%AF%E8%AF%81%E5%AE%9E%E6%96%BD%E5%8A%9E%E6%B3%95/_blank" w:history="1">
              <w:r>
                <w:rPr>
                  <w:bCs/>
                  <w:snapToGrid w:val="0"/>
                  <w:kern w:val="0"/>
                  <w:szCs w:val="21"/>
                </w:rPr>
                <w:t>安全生产管理</w:t>
              </w:r>
            </w:hyperlink>
            <w:r>
              <w:rPr>
                <w:bCs/>
                <w:snapToGrid w:val="0"/>
                <w:kern w:val="0"/>
                <w:szCs w:val="21"/>
              </w:rPr>
              <w:t>人员、职能部门、岗位</w:t>
            </w:r>
            <w:hyperlink r:id="rId23" w:tgtFrame="https://baike.baidu.com/item/%E9%9D%9E%E7%85%A4%E7%9F%BF%E7%9F%BF%E5%B1%B1%E4%BC%81%E4%B8%9A%E5%AE%89%E5%85%A8%E7%94%9F%E4%BA%A7%E8%AE%B8%E5%8F%AF%E8%AF%81%E5%AE%9E%E6%96%BD%E5%8A%9E%E6%B3%95/_blank" w:history="1">
              <w:r>
                <w:rPr>
                  <w:bCs/>
                  <w:snapToGrid w:val="0"/>
                  <w:kern w:val="0"/>
                  <w:szCs w:val="21"/>
                </w:rPr>
                <w:t>安全生产责任制</w:t>
              </w:r>
            </w:hyperlink>
            <w:r>
              <w:rPr>
                <w:bCs/>
                <w:snapToGrid w:val="0"/>
                <w:kern w:val="0"/>
                <w:szCs w:val="21"/>
              </w:rPr>
              <w:t>；制定安全检查制度、职业危害预防制度、安全教育培训制度、生产安全事故管理制度、重大危险源监控和重大隐患整改制度、设备安全管理制度、安全生产档案管理制度、</w:t>
            </w:r>
            <w:hyperlink r:id="rId24" w:tgtFrame="https://baike.baidu.com/item/%E9%9D%9E%E7%85%A4%E7%9F%BF%E7%9F%BF%E5%B1%B1%E4%BC%81%E4%B8%9A%E5%AE%89%E5%85%A8%E7%94%9F%E4%BA%A7%E8%AE%B8%E5%8F%AF%E8%AF%81%E5%AE%9E%E6%96%BD%E5%8A%9E%E6%B3%95/_blank" w:history="1">
              <w:r>
                <w:rPr>
                  <w:bCs/>
                  <w:snapToGrid w:val="0"/>
                  <w:kern w:val="0"/>
                  <w:szCs w:val="21"/>
                </w:rPr>
                <w:t>安全生产奖</w:t>
              </w:r>
              <w:r>
                <w:rPr>
                  <w:bCs/>
                  <w:snapToGrid w:val="0"/>
                  <w:kern w:val="0"/>
                  <w:szCs w:val="21"/>
                </w:rPr>
                <w:lastRenderedPageBreak/>
                <w:t>惩制度</w:t>
              </w:r>
            </w:hyperlink>
            <w:r>
              <w:rPr>
                <w:bCs/>
                <w:snapToGrid w:val="0"/>
                <w:kern w:val="0"/>
                <w:szCs w:val="21"/>
              </w:rPr>
              <w:t>等规章制度；制定作业安全规程和各工种操作规程。</w:t>
            </w:r>
          </w:p>
        </w:tc>
        <w:tc>
          <w:tcPr>
            <w:tcW w:w="2209" w:type="pct"/>
            <w:tcBorders>
              <w:tl2br w:val="nil"/>
              <w:tr2bl w:val="nil"/>
            </w:tcBorders>
            <w:tcMar>
              <w:top w:w="0" w:type="dxa"/>
              <w:left w:w="28" w:type="dxa"/>
              <w:bottom w:w="0" w:type="dxa"/>
              <w:right w:w="28" w:type="dxa"/>
            </w:tcMar>
            <w:vAlign w:val="center"/>
          </w:tcPr>
          <w:p w14:paraId="5BA46B61" w14:textId="77777777" w:rsidR="003D6A63" w:rsidRDefault="00000000">
            <w:pPr>
              <w:adjustRightInd w:val="0"/>
              <w:snapToGrid w:val="0"/>
              <w:rPr>
                <w:bCs/>
                <w:snapToGrid w:val="0"/>
                <w:kern w:val="0"/>
                <w:szCs w:val="21"/>
              </w:rPr>
            </w:pPr>
            <w:r>
              <w:rPr>
                <w:bCs/>
                <w:snapToGrid w:val="0"/>
                <w:kern w:val="0"/>
                <w:szCs w:val="21"/>
              </w:rPr>
              <w:lastRenderedPageBreak/>
              <w:t>该公司已编制</w:t>
            </w:r>
            <w:r>
              <w:rPr>
                <w:rFonts w:hint="eastAsia"/>
                <w:bCs/>
                <w:snapToGrid w:val="0"/>
                <w:kern w:val="0"/>
                <w:szCs w:val="21"/>
              </w:rPr>
              <w:t>覆盖公司所有岗位的</w:t>
            </w:r>
            <w:r>
              <w:rPr>
                <w:bCs/>
                <w:snapToGrid w:val="0"/>
                <w:kern w:val="0"/>
                <w:szCs w:val="21"/>
              </w:rPr>
              <w:t>安全生产</w:t>
            </w:r>
            <w:r>
              <w:rPr>
                <w:rFonts w:hint="eastAsia"/>
                <w:bCs/>
                <w:snapToGrid w:val="0"/>
                <w:kern w:val="0"/>
                <w:szCs w:val="21"/>
              </w:rPr>
              <w:t>责任制；</w:t>
            </w:r>
            <w:r>
              <w:rPr>
                <w:bCs/>
                <w:snapToGrid w:val="0"/>
                <w:kern w:val="0"/>
                <w:szCs w:val="21"/>
              </w:rPr>
              <w:t>该公司制定了安全生产例会制度、安全生产检查制度、安全教育培训制度、生产安全事故管理制度、领导干部带班制度、设备安全管理制度等</w:t>
            </w:r>
            <w:r>
              <w:rPr>
                <w:rFonts w:hint="eastAsia"/>
                <w:bCs/>
                <w:snapToGrid w:val="0"/>
                <w:kern w:val="0"/>
                <w:szCs w:val="21"/>
              </w:rPr>
              <w:t>45</w:t>
            </w:r>
            <w:r>
              <w:rPr>
                <w:bCs/>
                <w:snapToGrid w:val="0"/>
                <w:kern w:val="0"/>
                <w:szCs w:val="21"/>
              </w:rPr>
              <w:t>项安全管理制度；</w:t>
            </w:r>
            <w:r>
              <w:rPr>
                <w:rFonts w:hint="eastAsia"/>
                <w:bCs/>
                <w:snapToGrid w:val="0"/>
                <w:kern w:val="0"/>
                <w:szCs w:val="21"/>
              </w:rPr>
              <w:t>中胜公司根据胜利石油管理局下发的《胜利油田采油工程操作规程汇编》，针对公司</w:t>
            </w:r>
            <w:r>
              <w:rPr>
                <w:rFonts w:hint="eastAsia"/>
                <w:bCs/>
                <w:snapToGrid w:val="0"/>
                <w:kern w:val="0"/>
                <w:szCs w:val="21"/>
                <w:lang w:val="zh-CN"/>
              </w:rPr>
              <w:t>各种作业和工种岗位，</w:t>
            </w:r>
            <w:r>
              <w:rPr>
                <w:rFonts w:hint="eastAsia"/>
                <w:bCs/>
                <w:snapToGrid w:val="0"/>
                <w:kern w:val="0"/>
                <w:szCs w:val="21"/>
              </w:rPr>
              <w:t>梳理并下发了适用于本公</w:t>
            </w:r>
            <w:r>
              <w:rPr>
                <w:rFonts w:hint="eastAsia"/>
                <w:bCs/>
                <w:snapToGrid w:val="0"/>
                <w:kern w:val="0"/>
                <w:szCs w:val="21"/>
              </w:rPr>
              <w:lastRenderedPageBreak/>
              <w:t>司的设备安全操作规程、作业人员岗位安全操作规程</w:t>
            </w:r>
            <w:r>
              <w:rPr>
                <w:rFonts w:hint="eastAsia"/>
                <w:bCs/>
                <w:snapToGrid w:val="0"/>
                <w:kern w:val="0"/>
                <w:szCs w:val="21"/>
                <w:lang w:val="zh-CN"/>
              </w:rPr>
              <w:t>。</w:t>
            </w:r>
          </w:p>
        </w:tc>
        <w:tc>
          <w:tcPr>
            <w:tcW w:w="813" w:type="pct"/>
            <w:tcBorders>
              <w:tl2br w:val="nil"/>
              <w:tr2bl w:val="nil"/>
            </w:tcBorders>
            <w:vAlign w:val="center"/>
          </w:tcPr>
          <w:p w14:paraId="4DB84347" w14:textId="77777777" w:rsidR="003D6A63" w:rsidRDefault="00000000">
            <w:pPr>
              <w:adjustRightInd w:val="0"/>
              <w:snapToGrid w:val="0"/>
              <w:jc w:val="center"/>
              <w:rPr>
                <w:bCs/>
                <w:snapToGrid w:val="0"/>
                <w:kern w:val="0"/>
                <w:szCs w:val="21"/>
              </w:rPr>
            </w:pPr>
            <w:r>
              <w:rPr>
                <w:bCs/>
                <w:snapToGrid w:val="0"/>
                <w:kern w:val="0"/>
                <w:szCs w:val="21"/>
              </w:rPr>
              <w:lastRenderedPageBreak/>
              <w:t>符合要求</w:t>
            </w:r>
          </w:p>
        </w:tc>
      </w:tr>
      <w:tr w:rsidR="003D6A63" w14:paraId="6E31BEAB" w14:textId="77777777">
        <w:trPr>
          <w:trHeight w:val="340"/>
          <w:jc w:val="center"/>
        </w:trPr>
        <w:tc>
          <w:tcPr>
            <w:tcW w:w="249" w:type="pct"/>
            <w:vMerge/>
            <w:tcBorders>
              <w:tl2br w:val="nil"/>
              <w:tr2bl w:val="nil"/>
            </w:tcBorders>
            <w:vAlign w:val="center"/>
          </w:tcPr>
          <w:p w14:paraId="799BD0D3" w14:textId="77777777" w:rsidR="003D6A63" w:rsidRDefault="003D6A63">
            <w:pPr>
              <w:adjustRightInd w:val="0"/>
              <w:snapToGrid w:val="0"/>
              <w:rPr>
                <w:bCs/>
                <w:snapToGrid w:val="0"/>
                <w:kern w:val="0"/>
                <w:szCs w:val="21"/>
              </w:rPr>
            </w:pPr>
          </w:p>
        </w:tc>
        <w:tc>
          <w:tcPr>
            <w:tcW w:w="1727" w:type="pct"/>
            <w:tcBorders>
              <w:tl2br w:val="nil"/>
              <w:tr2bl w:val="nil"/>
            </w:tcBorders>
            <w:tcMar>
              <w:top w:w="57" w:type="dxa"/>
              <w:left w:w="28" w:type="dxa"/>
              <w:bottom w:w="57" w:type="dxa"/>
              <w:right w:w="28" w:type="dxa"/>
            </w:tcMar>
            <w:vAlign w:val="center"/>
          </w:tcPr>
          <w:p w14:paraId="69A7293C" w14:textId="77777777" w:rsidR="003D6A63" w:rsidRDefault="00000000">
            <w:pPr>
              <w:adjustRightInd w:val="0"/>
              <w:snapToGrid w:val="0"/>
              <w:rPr>
                <w:bCs/>
                <w:snapToGrid w:val="0"/>
                <w:kern w:val="0"/>
                <w:szCs w:val="21"/>
              </w:rPr>
            </w:pPr>
            <w:r>
              <w:rPr>
                <w:rFonts w:hint="eastAsia"/>
                <w:bCs/>
                <w:snapToGrid w:val="0"/>
                <w:kern w:val="0"/>
                <w:szCs w:val="21"/>
              </w:rPr>
              <w:t>2.</w:t>
            </w:r>
            <w:r>
              <w:rPr>
                <w:bCs/>
                <w:snapToGrid w:val="0"/>
                <w:kern w:val="0"/>
                <w:szCs w:val="21"/>
              </w:rPr>
              <w:t>安全投入符合安全生产要求，依照国家有关规定足额提取</w:t>
            </w:r>
            <w:hyperlink r:id="rId25" w:tgtFrame="https://baike.baidu.com/item/%E9%9D%9E%E7%85%A4%E7%9F%BF%E7%9F%BF%E5%B1%B1%E4%BC%81%E4%B8%9A%E5%AE%89%E5%85%A8%E7%94%9F%E4%BA%A7%E8%AE%B8%E5%8F%AF%E8%AF%81%E5%AE%9E%E6%96%BD%E5%8A%9E%E6%B3%95/_blank" w:history="1">
              <w:r>
                <w:rPr>
                  <w:bCs/>
                  <w:snapToGrid w:val="0"/>
                  <w:kern w:val="0"/>
                  <w:szCs w:val="21"/>
                </w:rPr>
                <w:t>安全生产费用</w:t>
              </w:r>
            </w:hyperlink>
            <w:r>
              <w:rPr>
                <w:rFonts w:hint="eastAsia"/>
                <w:bCs/>
                <w:snapToGrid w:val="0"/>
                <w:kern w:val="0"/>
                <w:szCs w:val="21"/>
              </w:rPr>
              <w:t>。</w:t>
            </w:r>
          </w:p>
        </w:tc>
        <w:tc>
          <w:tcPr>
            <w:tcW w:w="2209" w:type="pct"/>
            <w:tcBorders>
              <w:tl2br w:val="nil"/>
              <w:tr2bl w:val="nil"/>
            </w:tcBorders>
            <w:tcMar>
              <w:top w:w="0" w:type="dxa"/>
              <w:left w:w="28" w:type="dxa"/>
              <w:bottom w:w="0" w:type="dxa"/>
              <w:right w:w="28" w:type="dxa"/>
            </w:tcMar>
            <w:vAlign w:val="center"/>
          </w:tcPr>
          <w:p w14:paraId="4CE5C2EE" w14:textId="77777777" w:rsidR="003D6A63" w:rsidRDefault="00000000">
            <w:pPr>
              <w:adjustRightInd w:val="0"/>
              <w:snapToGrid w:val="0"/>
              <w:rPr>
                <w:bCs/>
                <w:snapToGrid w:val="0"/>
                <w:kern w:val="0"/>
                <w:szCs w:val="21"/>
              </w:rPr>
            </w:pPr>
            <w:r>
              <w:rPr>
                <w:bCs/>
                <w:snapToGrid w:val="0"/>
                <w:kern w:val="0"/>
                <w:szCs w:val="21"/>
              </w:rPr>
              <w:t>每年建立年度安全费用提取计划，</w:t>
            </w:r>
            <w:r>
              <w:rPr>
                <w:rFonts w:hint="eastAsia"/>
                <w:bCs/>
                <w:snapToGrid w:val="0"/>
                <w:kern w:val="0"/>
                <w:szCs w:val="21"/>
              </w:rPr>
              <w:t>2020-2022</w:t>
            </w:r>
            <w:r>
              <w:rPr>
                <w:rFonts w:hint="eastAsia"/>
                <w:bCs/>
                <w:snapToGrid w:val="0"/>
                <w:kern w:val="0"/>
                <w:szCs w:val="21"/>
              </w:rPr>
              <w:t>年，</w:t>
            </w:r>
            <w:r>
              <w:rPr>
                <w:bCs/>
                <w:snapToGrid w:val="0"/>
                <w:kern w:val="0"/>
                <w:szCs w:val="21"/>
                <w:lang w:val="zh-CN"/>
              </w:rPr>
              <w:t>每吨原油提取安全费用</w:t>
            </w:r>
            <w:r>
              <w:rPr>
                <w:bCs/>
                <w:snapToGrid w:val="0"/>
                <w:kern w:val="0"/>
                <w:szCs w:val="21"/>
                <w:lang w:val="zh-CN"/>
              </w:rPr>
              <w:t>17</w:t>
            </w:r>
            <w:r>
              <w:rPr>
                <w:bCs/>
                <w:snapToGrid w:val="0"/>
                <w:kern w:val="0"/>
                <w:szCs w:val="21"/>
                <w:lang w:val="zh-CN"/>
              </w:rPr>
              <w:t>元</w:t>
            </w:r>
            <w:r>
              <w:rPr>
                <w:rFonts w:hint="eastAsia"/>
                <w:bCs/>
                <w:snapToGrid w:val="0"/>
                <w:kern w:val="0"/>
                <w:szCs w:val="21"/>
              </w:rPr>
              <w:t>提取安全生产费用。</w:t>
            </w:r>
          </w:p>
        </w:tc>
        <w:tc>
          <w:tcPr>
            <w:tcW w:w="813" w:type="pct"/>
            <w:tcBorders>
              <w:tl2br w:val="nil"/>
              <w:tr2bl w:val="nil"/>
            </w:tcBorders>
            <w:vAlign w:val="center"/>
          </w:tcPr>
          <w:p w14:paraId="25740006" w14:textId="77777777" w:rsidR="003D6A63" w:rsidRDefault="00000000">
            <w:pPr>
              <w:adjustRightInd w:val="0"/>
              <w:snapToGrid w:val="0"/>
              <w:jc w:val="center"/>
              <w:rPr>
                <w:bCs/>
                <w:snapToGrid w:val="0"/>
                <w:kern w:val="0"/>
                <w:szCs w:val="21"/>
              </w:rPr>
            </w:pPr>
            <w:r>
              <w:rPr>
                <w:bCs/>
                <w:snapToGrid w:val="0"/>
                <w:kern w:val="0"/>
                <w:szCs w:val="21"/>
              </w:rPr>
              <w:t>符合要求</w:t>
            </w:r>
          </w:p>
        </w:tc>
      </w:tr>
      <w:tr w:rsidR="003D6A63" w14:paraId="1BA3B152" w14:textId="77777777">
        <w:trPr>
          <w:trHeight w:val="340"/>
          <w:jc w:val="center"/>
        </w:trPr>
        <w:tc>
          <w:tcPr>
            <w:tcW w:w="249" w:type="pct"/>
            <w:vMerge/>
            <w:tcBorders>
              <w:tl2br w:val="nil"/>
              <w:tr2bl w:val="nil"/>
            </w:tcBorders>
            <w:vAlign w:val="center"/>
          </w:tcPr>
          <w:p w14:paraId="056C93D2" w14:textId="77777777" w:rsidR="003D6A63" w:rsidRDefault="003D6A63">
            <w:pPr>
              <w:adjustRightInd w:val="0"/>
              <w:snapToGrid w:val="0"/>
              <w:rPr>
                <w:bCs/>
                <w:snapToGrid w:val="0"/>
                <w:kern w:val="0"/>
                <w:szCs w:val="21"/>
              </w:rPr>
            </w:pPr>
          </w:p>
        </w:tc>
        <w:tc>
          <w:tcPr>
            <w:tcW w:w="1727" w:type="pct"/>
            <w:tcBorders>
              <w:tl2br w:val="nil"/>
              <w:tr2bl w:val="nil"/>
            </w:tcBorders>
            <w:tcMar>
              <w:top w:w="57" w:type="dxa"/>
              <w:left w:w="28" w:type="dxa"/>
              <w:bottom w:w="57" w:type="dxa"/>
              <w:right w:w="28" w:type="dxa"/>
            </w:tcMar>
            <w:vAlign w:val="center"/>
          </w:tcPr>
          <w:p w14:paraId="316F8FC5" w14:textId="77777777" w:rsidR="003D6A63" w:rsidRDefault="00000000">
            <w:pPr>
              <w:adjustRightInd w:val="0"/>
              <w:snapToGrid w:val="0"/>
              <w:rPr>
                <w:bCs/>
                <w:snapToGrid w:val="0"/>
                <w:kern w:val="0"/>
                <w:szCs w:val="21"/>
              </w:rPr>
            </w:pPr>
            <w:r>
              <w:rPr>
                <w:rFonts w:hint="eastAsia"/>
                <w:bCs/>
                <w:snapToGrid w:val="0"/>
                <w:kern w:val="0"/>
                <w:szCs w:val="21"/>
              </w:rPr>
              <w:t>3.</w:t>
            </w:r>
            <w:r>
              <w:rPr>
                <w:rFonts w:hint="eastAsia"/>
                <w:bCs/>
                <w:snapToGrid w:val="0"/>
                <w:kern w:val="0"/>
                <w:szCs w:val="21"/>
              </w:rPr>
              <w:t>设置安全生产管理机构，或者配备专职安全生产管理人员。</w:t>
            </w:r>
          </w:p>
        </w:tc>
        <w:tc>
          <w:tcPr>
            <w:tcW w:w="2209" w:type="pct"/>
            <w:tcBorders>
              <w:tl2br w:val="nil"/>
              <w:tr2bl w:val="nil"/>
            </w:tcBorders>
            <w:tcMar>
              <w:top w:w="0" w:type="dxa"/>
              <w:left w:w="28" w:type="dxa"/>
              <w:bottom w:w="0" w:type="dxa"/>
              <w:right w:w="28" w:type="dxa"/>
            </w:tcMar>
            <w:vAlign w:val="center"/>
          </w:tcPr>
          <w:p w14:paraId="1FEB400D" w14:textId="77777777" w:rsidR="003D6A63" w:rsidRDefault="00000000">
            <w:pPr>
              <w:adjustRightInd w:val="0"/>
              <w:snapToGrid w:val="0"/>
              <w:rPr>
                <w:bCs/>
                <w:snapToGrid w:val="0"/>
                <w:kern w:val="0"/>
                <w:szCs w:val="21"/>
              </w:rPr>
            </w:pPr>
            <w:r>
              <w:rPr>
                <w:bCs/>
                <w:snapToGrid w:val="0"/>
                <w:kern w:val="0"/>
                <w:szCs w:val="21"/>
              </w:rPr>
              <w:t>《关于</w:t>
            </w:r>
            <w:r>
              <w:rPr>
                <w:rFonts w:hint="eastAsia"/>
                <w:bCs/>
                <w:snapToGrid w:val="0"/>
                <w:kern w:val="0"/>
                <w:szCs w:val="21"/>
              </w:rPr>
              <w:t>调整安全生产领导小组和设置安全管理机构的通知</w:t>
            </w:r>
            <w:r>
              <w:rPr>
                <w:bCs/>
                <w:snapToGrid w:val="0"/>
                <w:kern w:val="0"/>
                <w:szCs w:val="21"/>
              </w:rPr>
              <w:t>》（</w:t>
            </w:r>
            <w:r>
              <w:rPr>
                <w:rFonts w:hint="eastAsia"/>
                <w:bCs/>
                <w:snapToGrid w:val="0"/>
                <w:kern w:val="0"/>
                <w:szCs w:val="21"/>
              </w:rPr>
              <w:t>胜油中石发〔</w:t>
            </w:r>
            <w:r>
              <w:rPr>
                <w:bCs/>
                <w:snapToGrid w:val="0"/>
                <w:kern w:val="0"/>
                <w:szCs w:val="21"/>
              </w:rPr>
              <w:t>2022</w:t>
            </w:r>
            <w:r>
              <w:rPr>
                <w:rFonts w:hint="eastAsia"/>
                <w:bCs/>
                <w:snapToGrid w:val="0"/>
                <w:kern w:val="0"/>
                <w:szCs w:val="21"/>
              </w:rPr>
              <w:t>〕</w:t>
            </w:r>
            <w:r>
              <w:rPr>
                <w:rFonts w:hint="eastAsia"/>
                <w:bCs/>
                <w:snapToGrid w:val="0"/>
                <w:kern w:val="0"/>
                <w:szCs w:val="21"/>
              </w:rPr>
              <w:t>29</w:t>
            </w:r>
            <w:r>
              <w:rPr>
                <w:bCs/>
                <w:snapToGrid w:val="0"/>
                <w:kern w:val="0"/>
                <w:szCs w:val="21"/>
              </w:rPr>
              <w:t>号）中规定安全生产管理机构</w:t>
            </w:r>
            <w:r>
              <w:rPr>
                <w:rFonts w:hint="eastAsia"/>
                <w:bCs/>
                <w:snapToGrid w:val="0"/>
                <w:kern w:val="0"/>
                <w:szCs w:val="21"/>
              </w:rPr>
              <w:t>设在安全（</w:t>
            </w:r>
            <w:r>
              <w:rPr>
                <w:rFonts w:hint="eastAsia"/>
                <w:bCs/>
                <w:snapToGrid w:val="0"/>
                <w:kern w:val="0"/>
                <w:szCs w:val="21"/>
              </w:rPr>
              <w:t>QHSE</w:t>
            </w:r>
            <w:r>
              <w:rPr>
                <w:rFonts w:hint="eastAsia"/>
                <w:bCs/>
                <w:snapToGrid w:val="0"/>
                <w:kern w:val="0"/>
                <w:szCs w:val="21"/>
              </w:rPr>
              <w:t>）管理办公室</w:t>
            </w:r>
            <w:r>
              <w:rPr>
                <w:bCs/>
                <w:snapToGrid w:val="0"/>
                <w:kern w:val="0"/>
                <w:szCs w:val="21"/>
              </w:rPr>
              <w:t>，</w:t>
            </w:r>
            <w:r>
              <w:rPr>
                <w:rFonts w:hint="eastAsia"/>
                <w:bCs/>
                <w:snapToGrid w:val="0"/>
                <w:kern w:val="0"/>
                <w:szCs w:val="21"/>
              </w:rPr>
              <w:t>并明确了专职安全管理人员</w:t>
            </w:r>
            <w:r>
              <w:rPr>
                <w:bCs/>
                <w:snapToGrid w:val="0"/>
                <w:kern w:val="0"/>
                <w:szCs w:val="21"/>
              </w:rPr>
              <w:t>。</w:t>
            </w:r>
          </w:p>
        </w:tc>
        <w:tc>
          <w:tcPr>
            <w:tcW w:w="813" w:type="pct"/>
            <w:tcBorders>
              <w:tl2br w:val="nil"/>
              <w:tr2bl w:val="nil"/>
            </w:tcBorders>
            <w:vAlign w:val="center"/>
          </w:tcPr>
          <w:p w14:paraId="1F04F124" w14:textId="77777777" w:rsidR="003D6A63" w:rsidRDefault="00000000">
            <w:pPr>
              <w:adjustRightInd w:val="0"/>
              <w:snapToGrid w:val="0"/>
              <w:jc w:val="center"/>
              <w:rPr>
                <w:bCs/>
                <w:snapToGrid w:val="0"/>
                <w:kern w:val="0"/>
                <w:szCs w:val="21"/>
              </w:rPr>
            </w:pPr>
            <w:r>
              <w:rPr>
                <w:bCs/>
                <w:snapToGrid w:val="0"/>
                <w:kern w:val="0"/>
                <w:szCs w:val="21"/>
              </w:rPr>
              <w:t>符合要求</w:t>
            </w:r>
          </w:p>
        </w:tc>
      </w:tr>
      <w:tr w:rsidR="003D6A63" w14:paraId="79385D8E" w14:textId="77777777">
        <w:trPr>
          <w:trHeight w:val="340"/>
          <w:jc w:val="center"/>
        </w:trPr>
        <w:tc>
          <w:tcPr>
            <w:tcW w:w="249" w:type="pct"/>
            <w:vMerge/>
            <w:tcBorders>
              <w:tl2br w:val="nil"/>
              <w:tr2bl w:val="nil"/>
            </w:tcBorders>
            <w:vAlign w:val="center"/>
          </w:tcPr>
          <w:p w14:paraId="71D655F3" w14:textId="77777777" w:rsidR="003D6A63" w:rsidRDefault="003D6A63">
            <w:pPr>
              <w:adjustRightInd w:val="0"/>
              <w:snapToGrid w:val="0"/>
              <w:rPr>
                <w:bCs/>
                <w:snapToGrid w:val="0"/>
                <w:kern w:val="0"/>
                <w:szCs w:val="21"/>
              </w:rPr>
            </w:pPr>
          </w:p>
        </w:tc>
        <w:tc>
          <w:tcPr>
            <w:tcW w:w="1727" w:type="pct"/>
            <w:tcBorders>
              <w:tl2br w:val="nil"/>
              <w:tr2bl w:val="nil"/>
            </w:tcBorders>
            <w:tcMar>
              <w:top w:w="57" w:type="dxa"/>
              <w:left w:w="28" w:type="dxa"/>
              <w:bottom w:w="57" w:type="dxa"/>
              <w:right w:w="28" w:type="dxa"/>
            </w:tcMar>
            <w:vAlign w:val="center"/>
          </w:tcPr>
          <w:p w14:paraId="46AC5033" w14:textId="77777777" w:rsidR="003D6A63" w:rsidRDefault="00000000">
            <w:pPr>
              <w:adjustRightInd w:val="0"/>
              <w:snapToGrid w:val="0"/>
              <w:rPr>
                <w:bCs/>
                <w:snapToGrid w:val="0"/>
                <w:kern w:val="0"/>
                <w:szCs w:val="21"/>
              </w:rPr>
            </w:pPr>
            <w:r>
              <w:rPr>
                <w:rFonts w:hint="eastAsia"/>
                <w:bCs/>
                <w:snapToGrid w:val="0"/>
                <w:kern w:val="0"/>
                <w:szCs w:val="21"/>
              </w:rPr>
              <w:t>4.</w:t>
            </w:r>
            <w:r>
              <w:rPr>
                <w:bCs/>
                <w:snapToGrid w:val="0"/>
                <w:kern w:val="0"/>
                <w:szCs w:val="21"/>
              </w:rPr>
              <w:t>主要负责人和安全生产管理人员经安全生产监督管理部门考核合格，取得安全资格证书</w:t>
            </w:r>
            <w:r>
              <w:rPr>
                <w:rFonts w:hint="eastAsia"/>
                <w:bCs/>
                <w:snapToGrid w:val="0"/>
                <w:kern w:val="0"/>
                <w:szCs w:val="21"/>
              </w:rPr>
              <w:t>。</w:t>
            </w:r>
          </w:p>
        </w:tc>
        <w:tc>
          <w:tcPr>
            <w:tcW w:w="2209" w:type="pct"/>
            <w:tcBorders>
              <w:tl2br w:val="nil"/>
              <w:tr2bl w:val="nil"/>
            </w:tcBorders>
            <w:tcMar>
              <w:top w:w="0" w:type="dxa"/>
              <w:left w:w="28" w:type="dxa"/>
              <w:bottom w:w="0" w:type="dxa"/>
              <w:right w:w="28" w:type="dxa"/>
            </w:tcMar>
            <w:vAlign w:val="center"/>
          </w:tcPr>
          <w:p w14:paraId="5B8D975B" w14:textId="77777777" w:rsidR="003D6A63" w:rsidRDefault="00000000">
            <w:pPr>
              <w:adjustRightInd w:val="0"/>
              <w:snapToGrid w:val="0"/>
              <w:rPr>
                <w:bCs/>
                <w:snapToGrid w:val="0"/>
                <w:kern w:val="0"/>
                <w:szCs w:val="21"/>
              </w:rPr>
            </w:pPr>
            <w:r>
              <w:rPr>
                <w:bCs/>
                <w:snapToGrid w:val="0"/>
                <w:kern w:val="0"/>
                <w:szCs w:val="21"/>
              </w:rPr>
              <w:t>主要负责人与安全管理人员已取得安全合格证。</w:t>
            </w:r>
          </w:p>
        </w:tc>
        <w:tc>
          <w:tcPr>
            <w:tcW w:w="813" w:type="pct"/>
            <w:tcBorders>
              <w:tl2br w:val="nil"/>
              <w:tr2bl w:val="nil"/>
            </w:tcBorders>
            <w:vAlign w:val="center"/>
          </w:tcPr>
          <w:p w14:paraId="61F46E4D" w14:textId="77777777" w:rsidR="003D6A63" w:rsidRDefault="00000000">
            <w:pPr>
              <w:adjustRightInd w:val="0"/>
              <w:snapToGrid w:val="0"/>
              <w:jc w:val="center"/>
              <w:rPr>
                <w:bCs/>
                <w:snapToGrid w:val="0"/>
                <w:kern w:val="0"/>
                <w:szCs w:val="21"/>
              </w:rPr>
            </w:pPr>
            <w:r>
              <w:rPr>
                <w:bCs/>
                <w:snapToGrid w:val="0"/>
                <w:kern w:val="0"/>
                <w:szCs w:val="21"/>
              </w:rPr>
              <w:t>符合要求</w:t>
            </w:r>
          </w:p>
        </w:tc>
      </w:tr>
      <w:tr w:rsidR="003D6A63" w14:paraId="7B47642F" w14:textId="77777777">
        <w:trPr>
          <w:trHeight w:val="340"/>
          <w:jc w:val="center"/>
        </w:trPr>
        <w:tc>
          <w:tcPr>
            <w:tcW w:w="249" w:type="pct"/>
            <w:vMerge/>
            <w:tcBorders>
              <w:tl2br w:val="nil"/>
              <w:tr2bl w:val="nil"/>
            </w:tcBorders>
            <w:vAlign w:val="center"/>
          </w:tcPr>
          <w:p w14:paraId="026A0BC6" w14:textId="77777777" w:rsidR="003D6A63" w:rsidRDefault="003D6A63">
            <w:pPr>
              <w:adjustRightInd w:val="0"/>
              <w:snapToGrid w:val="0"/>
              <w:rPr>
                <w:bCs/>
                <w:snapToGrid w:val="0"/>
                <w:kern w:val="0"/>
                <w:szCs w:val="21"/>
              </w:rPr>
            </w:pPr>
          </w:p>
        </w:tc>
        <w:tc>
          <w:tcPr>
            <w:tcW w:w="1727" w:type="pct"/>
            <w:tcBorders>
              <w:tl2br w:val="nil"/>
              <w:tr2bl w:val="nil"/>
            </w:tcBorders>
            <w:tcMar>
              <w:top w:w="57" w:type="dxa"/>
              <w:left w:w="28" w:type="dxa"/>
              <w:bottom w:w="57" w:type="dxa"/>
              <w:right w:w="28" w:type="dxa"/>
            </w:tcMar>
            <w:vAlign w:val="center"/>
          </w:tcPr>
          <w:p w14:paraId="39524FB8" w14:textId="77777777" w:rsidR="003D6A63" w:rsidRDefault="00000000">
            <w:pPr>
              <w:adjustRightInd w:val="0"/>
              <w:snapToGrid w:val="0"/>
              <w:rPr>
                <w:bCs/>
                <w:snapToGrid w:val="0"/>
                <w:kern w:val="0"/>
                <w:szCs w:val="21"/>
              </w:rPr>
            </w:pPr>
            <w:r>
              <w:rPr>
                <w:rFonts w:hint="eastAsia"/>
                <w:bCs/>
                <w:snapToGrid w:val="0"/>
                <w:kern w:val="0"/>
                <w:szCs w:val="21"/>
              </w:rPr>
              <w:t>5.</w:t>
            </w:r>
            <w:r>
              <w:rPr>
                <w:rFonts w:hint="eastAsia"/>
                <w:bCs/>
                <w:snapToGrid w:val="0"/>
                <w:kern w:val="0"/>
                <w:szCs w:val="21"/>
              </w:rPr>
              <w:t>特种作业人员经有关</w:t>
            </w:r>
            <w:hyperlink r:id="rId26" w:tgtFrame="https://baike.baidu.com/item/%E9%9D%9E%E7%85%A4%E7%9F%BF%E7%9F%BF%E5%B1%B1%E4%BC%81%E4%B8%9A%E5%AE%89%E5%85%A8%E7%94%9F%E4%BA%A7%E8%AE%B8%E5%8F%AF%E8%AF%81%E5%AE%9E%E6%96%BD%E5%8A%9E%E6%B3%95/_blank" w:history="1">
              <w:r>
                <w:rPr>
                  <w:rFonts w:hint="eastAsia"/>
                  <w:bCs/>
                  <w:snapToGrid w:val="0"/>
                  <w:kern w:val="0"/>
                  <w:szCs w:val="21"/>
                </w:rPr>
                <w:t>业务主管部门</w:t>
              </w:r>
            </w:hyperlink>
            <w:r>
              <w:rPr>
                <w:rFonts w:hint="eastAsia"/>
                <w:bCs/>
                <w:snapToGrid w:val="0"/>
                <w:kern w:val="0"/>
                <w:szCs w:val="21"/>
              </w:rPr>
              <w:t>考核合格，取得特种作业操作资格证书。</w:t>
            </w:r>
          </w:p>
        </w:tc>
        <w:tc>
          <w:tcPr>
            <w:tcW w:w="2209" w:type="pct"/>
            <w:tcBorders>
              <w:tl2br w:val="nil"/>
              <w:tr2bl w:val="nil"/>
            </w:tcBorders>
            <w:tcMar>
              <w:top w:w="0" w:type="dxa"/>
              <w:left w:w="28" w:type="dxa"/>
              <w:bottom w:w="0" w:type="dxa"/>
              <w:right w:w="28" w:type="dxa"/>
            </w:tcMar>
            <w:vAlign w:val="center"/>
          </w:tcPr>
          <w:p w14:paraId="25C926CE" w14:textId="77777777" w:rsidR="003D6A63" w:rsidRDefault="00000000">
            <w:pPr>
              <w:adjustRightInd w:val="0"/>
              <w:snapToGrid w:val="0"/>
              <w:rPr>
                <w:bCs/>
                <w:snapToGrid w:val="0"/>
                <w:kern w:val="0"/>
                <w:szCs w:val="21"/>
              </w:rPr>
            </w:pPr>
            <w:r>
              <w:rPr>
                <w:rFonts w:hint="eastAsia"/>
                <w:bCs/>
                <w:snapToGrid w:val="0"/>
                <w:kern w:val="0"/>
                <w:szCs w:val="21"/>
              </w:rPr>
              <w:t>特种作业均由专业化公司进行，不涉及此项</w:t>
            </w:r>
          </w:p>
        </w:tc>
        <w:tc>
          <w:tcPr>
            <w:tcW w:w="813" w:type="pct"/>
            <w:tcBorders>
              <w:tl2br w:val="nil"/>
              <w:tr2bl w:val="nil"/>
            </w:tcBorders>
            <w:vAlign w:val="center"/>
          </w:tcPr>
          <w:p w14:paraId="30E278F7" w14:textId="77777777" w:rsidR="003D6A63" w:rsidRDefault="00000000">
            <w:pPr>
              <w:adjustRightInd w:val="0"/>
              <w:snapToGrid w:val="0"/>
              <w:jc w:val="center"/>
              <w:rPr>
                <w:bCs/>
                <w:snapToGrid w:val="0"/>
                <w:kern w:val="0"/>
                <w:szCs w:val="21"/>
              </w:rPr>
            </w:pPr>
            <w:r>
              <w:rPr>
                <w:rFonts w:hint="eastAsia"/>
                <w:bCs/>
                <w:snapToGrid w:val="0"/>
                <w:kern w:val="0"/>
                <w:szCs w:val="21"/>
              </w:rPr>
              <w:t>/</w:t>
            </w:r>
          </w:p>
        </w:tc>
      </w:tr>
      <w:tr w:rsidR="003D6A63" w14:paraId="4C496D2C" w14:textId="77777777">
        <w:trPr>
          <w:trHeight w:val="340"/>
          <w:jc w:val="center"/>
        </w:trPr>
        <w:tc>
          <w:tcPr>
            <w:tcW w:w="249" w:type="pct"/>
            <w:vMerge/>
            <w:tcBorders>
              <w:tl2br w:val="nil"/>
              <w:tr2bl w:val="nil"/>
            </w:tcBorders>
            <w:vAlign w:val="center"/>
          </w:tcPr>
          <w:p w14:paraId="7CDB51B6" w14:textId="77777777" w:rsidR="003D6A63" w:rsidRDefault="003D6A63">
            <w:pPr>
              <w:adjustRightInd w:val="0"/>
              <w:snapToGrid w:val="0"/>
              <w:rPr>
                <w:bCs/>
                <w:snapToGrid w:val="0"/>
                <w:kern w:val="0"/>
                <w:szCs w:val="21"/>
              </w:rPr>
            </w:pPr>
          </w:p>
        </w:tc>
        <w:tc>
          <w:tcPr>
            <w:tcW w:w="1727" w:type="pct"/>
            <w:tcBorders>
              <w:tl2br w:val="nil"/>
              <w:tr2bl w:val="nil"/>
            </w:tcBorders>
            <w:tcMar>
              <w:top w:w="57" w:type="dxa"/>
              <w:left w:w="28" w:type="dxa"/>
              <w:bottom w:w="57" w:type="dxa"/>
              <w:right w:w="28" w:type="dxa"/>
            </w:tcMar>
            <w:vAlign w:val="center"/>
          </w:tcPr>
          <w:p w14:paraId="04DAB007" w14:textId="77777777" w:rsidR="003D6A63" w:rsidRDefault="00000000">
            <w:pPr>
              <w:adjustRightInd w:val="0"/>
              <w:snapToGrid w:val="0"/>
              <w:rPr>
                <w:bCs/>
                <w:snapToGrid w:val="0"/>
                <w:kern w:val="0"/>
                <w:szCs w:val="21"/>
              </w:rPr>
            </w:pPr>
            <w:r>
              <w:rPr>
                <w:rFonts w:hint="eastAsia"/>
                <w:bCs/>
                <w:snapToGrid w:val="0"/>
                <w:kern w:val="0"/>
                <w:szCs w:val="21"/>
              </w:rPr>
              <w:t>6.</w:t>
            </w:r>
            <w:r>
              <w:rPr>
                <w:rFonts w:hint="eastAsia"/>
                <w:bCs/>
                <w:snapToGrid w:val="0"/>
                <w:kern w:val="0"/>
                <w:szCs w:val="21"/>
              </w:rPr>
              <w:t>其他从业人员依照规定接受安全生产教育和培训，并经考试合格。</w:t>
            </w:r>
          </w:p>
        </w:tc>
        <w:tc>
          <w:tcPr>
            <w:tcW w:w="2209" w:type="pct"/>
            <w:tcBorders>
              <w:tl2br w:val="nil"/>
              <w:tr2bl w:val="nil"/>
            </w:tcBorders>
            <w:tcMar>
              <w:top w:w="0" w:type="dxa"/>
              <w:left w:w="28" w:type="dxa"/>
              <w:bottom w:w="0" w:type="dxa"/>
              <w:right w:w="28" w:type="dxa"/>
            </w:tcMar>
            <w:vAlign w:val="center"/>
          </w:tcPr>
          <w:p w14:paraId="549FA83A" w14:textId="77777777" w:rsidR="003D6A63" w:rsidRDefault="00000000">
            <w:pPr>
              <w:adjustRightInd w:val="0"/>
              <w:snapToGrid w:val="0"/>
              <w:rPr>
                <w:bCs/>
                <w:snapToGrid w:val="0"/>
                <w:kern w:val="0"/>
                <w:szCs w:val="21"/>
              </w:rPr>
            </w:pPr>
            <w:r>
              <w:rPr>
                <w:bCs/>
                <w:snapToGrid w:val="0"/>
                <w:kern w:val="0"/>
                <w:szCs w:val="21"/>
              </w:rPr>
              <w:t>从业人员依照规定接受安全生产教育和培训，新员工培训时间不小于</w:t>
            </w:r>
            <w:r>
              <w:rPr>
                <w:bCs/>
                <w:snapToGrid w:val="0"/>
                <w:kern w:val="0"/>
                <w:szCs w:val="21"/>
              </w:rPr>
              <w:t>72</w:t>
            </w:r>
            <w:r>
              <w:rPr>
                <w:bCs/>
                <w:snapToGrid w:val="0"/>
                <w:kern w:val="0"/>
                <w:szCs w:val="21"/>
              </w:rPr>
              <w:t>学时，公司及东营项目管理部、滨州项目管理部针对不同人员分别制定安全教育培训计划，并根据计划组织安全教育培训</w:t>
            </w:r>
            <w:r>
              <w:rPr>
                <w:rFonts w:hint="eastAsia"/>
                <w:bCs/>
                <w:snapToGrid w:val="0"/>
                <w:kern w:val="0"/>
                <w:szCs w:val="21"/>
              </w:rPr>
              <w:t>，且考试合格</w:t>
            </w:r>
            <w:r>
              <w:rPr>
                <w:bCs/>
                <w:snapToGrid w:val="0"/>
                <w:kern w:val="0"/>
                <w:szCs w:val="21"/>
              </w:rPr>
              <w:t>。</w:t>
            </w:r>
          </w:p>
        </w:tc>
        <w:tc>
          <w:tcPr>
            <w:tcW w:w="813" w:type="pct"/>
            <w:tcBorders>
              <w:tl2br w:val="nil"/>
              <w:tr2bl w:val="nil"/>
            </w:tcBorders>
            <w:vAlign w:val="center"/>
          </w:tcPr>
          <w:p w14:paraId="0C058EF1" w14:textId="77777777" w:rsidR="003D6A63" w:rsidRDefault="00000000">
            <w:pPr>
              <w:adjustRightInd w:val="0"/>
              <w:snapToGrid w:val="0"/>
              <w:jc w:val="center"/>
              <w:rPr>
                <w:bCs/>
                <w:snapToGrid w:val="0"/>
                <w:kern w:val="0"/>
                <w:szCs w:val="21"/>
              </w:rPr>
            </w:pPr>
            <w:r>
              <w:rPr>
                <w:bCs/>
                <w:snapToGrid w:val="0"/>
                <w:kern w:val="0"/>
                <w:szCs w:val="21"/>
              </w:rPr>
              <w:t>符合要求</w:t>
            </w:r>
          </w:p>
        </w:tc>
      </w:tr>
      <w:tr w:rsidR="003D6A63" w14:paraId="49FF3477" w14:textId="77777777">
        <w:trPr>
          <w:trHeight w:val="340"/>
          <w:jc w:val="center"/>
        </w:trPr>
        <w:tc>
          <w:tcPr>
            <w:tcW w:w="249" w:type="pct"/>
            <w:vMerge/>
            <w:tcBorders>
              <w:tl2br w:val="nil"/>
              <w:tr2bl w:val="nil"/>
            </w:tcBorders>
            <w:vAlign w:val="center"/>
          </w:tcPr>
          <w:p w14:paraId="37EDFE9C" w14:textId="77777777" w:rsidR="003D6A63" w:rsidRDefault="003D6A63">
            <w:pPr>
              <w:adjustRightInd w:val="0"/>
              <w:snapToGrid w:val="0"/>
              <w:rPr>
                <w:bCs/>
                <w:snapToGrid w:val="0"/>
                <w:kern w:val="0"/>
                <w:szCs w:val="21"/>
              </w:rPr>
            </w:pPr>
          </w:p>
        </w:tc>
        <w:tc>
          <w:tcPr>
            <w:tcW w:w="1727" w:type="pct"/>
            <w:tcBorders>
              <w:tl2br w:val="nil"/>
              <w:tr2bl w:val="nil"/>
            </w:tcBorders>
            <w:tcMar>
              <w:top w:w="57" w:type="dxa"/>
              <w:left w:w="28" w:type="dxa"/>
              <w:bottom w:w="57" w:type="dxa"/>
              <w:right w:w="28" w:type="dxa"/>
            </w:tcMar>
            <w:vAlign w:val="center"/>
          </w:tcPr>
          <w:p w14:paraId="404D8768" w14:textId="77777777" w:rsidR="003D6A63" w:rsidRDefault="00000000">
            <w:pPr>
              <w:adjustRightInd w:val="0"/>
              <w:snapToGrid w:val="0"/>
              <w:rPr>
                <w:bCs/>
                <w:snapToGrid w:val="0"/>
                <w:kern w:val="0"/>
                <w:szCs w:val="21"/>
              </w:rPr>
            </w:pPr>
            <w:r>
              <w:rPr>
                <w:rFonts w:hint="eastAsia"/>
                <w:bCs/>
                <w:snapToGrid w:val="0"/>
                <w:kern w:val="0"/>
                <w:szCs w:val="21"/>
              </w:rPr>
              <w:t>7.</w:t>
            </w:r>
            <w:r>
              <w:rPr>
                <w:rFonts w:hint="eastAsia"/>
                <w:bCs/>
                <w:snapToGrid w:val="0"/>
                <w:kern w:val="0"/>
                <w:szCs w:val="21"/>
              </w:rPr>
              <w:t>依法参加工伤保险，为从业人员缴纳保险费。</w:t>
            </w:r>
          </w:p>
        </w:tc>
        <w:tc>
          <w:tcPr>
            <w:tcW w:w="2209" w:type="pct"/>
            <w:tcBorders>
              <w:tl2br w:val="nil"/>
              <w:tr2bl w:val="nil"/>
            </w:tcBorders>
            <w:tcMar>
              <w:top w:w="0" w:type="dxa"/>
              <w:left w:w="28" w:type="dxa"/>
              <w:bottom w:w="0" w:type="dxa"/>
              <w:right w:w="28" w:type="dxa"/>
            </w:tcMar>
            <w:vAlign w:val="center"/>
          </w:tcPr>
          <w:p w14:paraId="7950675C" w14:textId="77777777" w:rsidR="003D6A63" w:rsidRDefault="00000000">
            <w:pPr>
              <w:adjustRightInd w:val="0"/>
              <w:snapToGrid w:val="0"/>
              <w:rPr>
                <w:bCs/>
                <w:snapToGrid w:val="0"/>
                <w:kern w:val="0"/>
                <w:szCs w:val="21"/>
              </w:rPr>
            </w:pPr>
            <w:r>
              <w:rPr>
                <w:rFonts w:hint="eastAsia"/>
                <w:bCs/>
                <w:snapToGrid w:val="0"/>
                <w:kern w:val="0"/>
                <w:szCs w:val="21"/>
              </w:rPr>
              <w:t>中胜公司</w:t>
            </w:r>
            <w:r>
              <w:rPr>
                <w:rFonts w:hint="eastAsia"/>
                <w:bCs/>
                <w:snapToGrid w:val="0"/>
                <w:kern w:val="0"/>
                <w:szCs w:val="21"/>
                <w:lang w:val="zh-CN"/>
              </w:rPr>
              <w:t>按照《工伤保险条例》（国务院令</w:t>
            </w:r>
            <w:r>
              <w:rPr>
                <w:rFonts w:hint="eastAsia"/>
                <w:bCs/>
                <w:snapToGrid w:val="0"/>
                <w:kern w:val="0"/>
                <w:szCs w:val="21"/>
                <w:lang w:val="zh-CN"/>
              </w:rPr>
              <w:t>[2010]</w:t>
            </w:r>
            <w:r>
              <w:rPr>
                <w:rFonts w:hint="eastAsia"/>
                <w:bCs/>
                <w:snapToGrid w:val="0"/>
                <w:kern w:val="0"/>
                <w:szCs w:val="21"/>
                <w:lang w:val="zh-CN"/>
              </w:rPr>
              <w:t>第</w:t>
            </w:r>
            <w:r>
              <w:rPr>
                <w:rFonts w:hint="eastAsia"/>
                <w:bCs/>
                <w:snapToGrid w:val="0"/>
                <w:kern w:val="0"/>
                <w:szCs w:val="21"/>
                <w:lang w:val="zh-CN"/>
              </w:rPr>
              <w:t>586</w:t>
            </w:r>
            <w:r>
              <w:rPr>
                <w:rFonts w:hint="eastAsia"/>
                <w:bCs/>
                <w:snapToGrid w:val="0"/>
                <w:kern w:val="0"/>
                <w:szCs w:val="21"/>
                <w:lang w:val="zh-CN"/>
              </w:rPr>
              <w:t>号）的有关规定，为</w:t>
            </w:r>
            <w:r>
              <w:rPr>
                <w:rFonts w:hint="eastAsia"/>
                <w:bCs/>
                <w:snapToGrid w:val="0"/>
                <w:kern w:val="0"/>
                <w:szCs w:val="21"/>
              </w:rPr>
              <w:t>油田</w:t>
            </w:r>
            <w:r>
              <w:rPr>
                <w:rFonts w:hint="eastAsia"/>
                <w:bCs/>
                <w:snapToGrid w:val="0"/>
                <w:kern w:val="0"/>
                <w:szCs w:val="21"/>
                <w:lang w:val="zh-CN"/>
              </w:rPr>
              <w:t>职工缴纳了工伤保险</w:t>
            </w:r>
            <w:r>
              <w:rPr>
                <w:rFonts w:hint="eastAsia"/>
                <w:bCs/>
                <w:snapToGrid w:val="0"/>
                <w:kern w:val="0"/>
                <w:szCs w:val="21"/>
              </w:rPr>
              <w:t>；中胜实业为在中胜公司从业的员工缴纳了工伤保险。</w:t>
            </w:r>
          </w:p>
          <w:p w14:paraId="1C9A38AC" w14:textId="77777777" w:rsidR="003D6A63" w:rsidRDefault="00000000">
            <w:pPr>
              <w:adjustRightInd w:val="0"/>
              <w:snapToGrid w:val="0"/>
              <w:rPr>
                <w:bCs/>
                <w:snapToGrid w:val="0"/>
                <w:kern w:val="0"/>
                <w:szCs w:val="21"/>
              </w:rPr>
            </w:pPr>
            <w:r>
              <w:rPr>
                <w:rFonts w:hint="eastAsia"/>
                <w:bCs/>
                <w:snapToGrid w:val="0"/>
                <w:kern w:val="0"/>
                <w:szCs w:val="21"/>
              </w:rPr>
              <w:t>中胜公司</w:t>
            </w:r>
            <w:r>
              <w:rPr>
                <w:rFonts w:hint="eastAsia"/>
                <w:bCs/>
                <w:snapToGrid w:val="0"/>
                <w:kern w:val="0"/>
                <w:szCs w:val="21"/>
                <w:lang w:val="zh-CN"/>
              </w:rPr>
              <w:t>按照</w:t>
            </w:r>
            <w:r>
              <w:rPr>
                <w:rFonts w:hint="eastAsia"/>
                <w:bCs/>
                <w:snapToGrid w:val="0"/>
                <w:kern w:val="0"/>
                <w:szCs w:val="21"/>
              </w:rPr>
              <w:t>应急</w:t>
            </w:r>
            <w:r>
              <w:rPr>
                <w:rFonts w:hint="eastAsia"/>
                <w:bCs/>
                <w:snapToGrid w:val="0"/>
                <w:kern w:val="0"/>
                <w:szCs w:val="21"/>
                <w:lang w:val="zh-CN"/>
              </w:rPr>
              <w:t>管理部门要求，缴纳了安全生产责任险。</w:t>
            </w:r>
            <w:r>
              <w:rPr>
                <w:rFonts w:hint="eastAsia"/>
                <w:bCs/>
                <w:snapToGrid w:val="0"/>
                <w:kern w:val="0"/>
                <w:szCs w:val="21"/>
              </w:rPr>
              <w:t>其中油田职工由</w:t>
            </w:r>
            <w:r>
              <w:rPr>
                <w:rFonts w:hint="eastAsia"/>
                <w:bCs/>
                <w:snapToGrid w:val="0"/>
                <w:kern w:val="0"/>
                <w:szCs w:val="21"/>
                <w:lang w:val="zh-CN"/>
              </w:rPr>
              <w:t>中国石油化工股份有限公司胜利油田分公司统一缴纳，</w:t>
            </w:r>
            <w:r>
              <w:rPr>
                <w:rFonts w:hint="eastAsia"/>
                <w:bCs/>
                <w:snapToGrid w:val="0"/>
                <w:kern w:val="0"/>
                <w:szCs w:val="21"/>
              </w:rPr>
              <w:t>中胜实业员工由胜利油田中胜实业有限公司进行缴纳</w:t>
            </w:r>
            <w:r>
              <w:rPr>
                <w:rFonts w:hint="eastAsia"/>
                <w:bCs/>
                <w:snapToGrid w:val="0"/>
                <w:kern w:val="0"/>
                <w:szCs w:val="21"/>
                <w:lang w:val="zh-CN"/>
              </w:rPr>
              <w:t>。</w:t>
            </w:r>
          </w:p>
        </w:tc>
        <w:tc>
          <w:tcPr>
            <w:tcW w:w="813" w:type="pct"/>
            <w:tcBorders>
              <w:tl2br w:val="nil"/>
              <w:tr2bl w:val="nil"/>
            </w:tcBorders>
            <w:vAlign w:val="center"/>
          </w:tcPr>
          <w:p w14:paraId="637CE8E3" w14:textId="77777777" w:rsidR="003D6A63" w:rsidRDefault="00000000">
            <w:pPr>
              <w:adjustRightInd w:val="0"/>
              <w:snapToGrid w:val="0"/>
              <w:jc w:val="center"/>
              <w:rPr>
                <w:bCs/>
                <w:snapToGrid w:val="0"/>
                <w:kern w:val="0"/>
                <w:szCs w:val="21"/>
              </w:rPr>
            </w:pPr>
            <w:r>
              <w:rPr>
                <w:bCs/>
                <w:snapToGrid w:val="0"/>
                <w:kern w:val="0"/>
                <w:szCs w:val="21"/>
              </w:rPr>
              <w:t>符合要求</w:t>
            </w:r>
          </w:p>
        </w:tc>
      </w:tr>
      <w:tr w:rsidR="003D6A63" w14:paraId="09371889" w14:textId="77777777">
        <w:trPr>
          <w:trHeight w:val="340"/>
          <w:jc w:val="center"/>
        </w:trPr>
        <w:tc>
          <w:tcPr>
            <w:tcW w:w="249" w:type="pct"/>
            <w:vMerge/>
            <w:tcBorders>
              <w:tl2br w:val="nil"/>
              <w:tr2bl w:val="nil"/>
            </w:tcBorders>
            <w:vAlign w:val="center"/>
          </w:tcPr>
          <w:p w14:paraId="5E8C9790" w14:textId="77777777" w:rsidR="003D6A63" w:rsidRDefault="003D6A63">
            <w:pPr>
              <w:adjustRightInd w:val="0"/>
              <w:snapToGrid w:val="0"/>
              <w:rPr>
                <w:bCs/>
                <w:snapToGrid w:val="0"/>
                <w:kern w:val="0"/>
                <w:szCs w:val="21"/>
              </w:rPr>
            </w:pPr>
          </w:p>
        </w:tc>
        <w:tc>
          <w:tcPr>
            <w:tcW w:w="1727" w:type="pct"/>
            <w:tcBorders>
              <w:tl2br w:val="nil"/>
              <w:tr2bl w:val="nil"/>
            </w:tcBorders>
            <w:tcMar>
              <w:top w:w="57" w:type="dxa"/>
              <w:left w:w="28" w:type="dxa"/>
              <w:bottom w:w="57" w:type="dxa"/>
              <w:right w:w="28" w:type="dxa"/>
            </w:tcMar>
            <w:vAlign w:val="center"/>
          </w:tcPr>
          <w:p w14:paraId="529F6373" w14:textId="77777777" w:rsidR="003D6A63" w:rsidRDefault="00000000">
            <w:pPr>
              <w:adjustRightInd w:val="0"/>
              <w:snapToGrid w:val="0"/>
              <w:rPr>
                <w:bCs/>
                <w:snapToGrid w:val="0"/>
                <w:kern w:val="0"/>
                <w:szCs w:val="21"/>
              </w:rPr>
            </w:pPr>
            <w:r>
              <w:rPr>
                <w:rFonts w:hint="eastAsia"/>
                <w:bCs/>
                <w:snapToGrid w:val="0"/>
                <w:kern w:val="0"/>
                <w:szCs w:val="21"/>
              </w:rPr>
              <w:t>8.</w:t>
            </w:r>
            <w:r>
              <w:rPr>
                <w:rFonts w:hint="eastAsia"/>
                <w:bCs/>
                <w:snapToGrid w:val="0"/>
                <w:kern w:val="0"/>
                <w:szCs w:val="21"/>
              </w:rPr>
              <w:t>制定防治职业危害的具体措施，并为从业人员配备符合国家标准或者行业标准的</w:t>
            </w:r>
            <w:hyperlink r:id="rId27" w:tgtFrame="https://baike.baidu.com/item/%E9%9D%9E%E7%85%A4%E7%9F%BF%E7%9F%BF%E5%B1%B1%E4%BC%81%E4%B8%9A%E5%AE%89%E5%85%A8%E7%94%9F%E4%BA%A7%E8%AE%B8%E5%8F%AF%E8%AF%81%E5%AE%9E%E6%96%BD%E5%8A%9E%E6%B3%95/_blank" w:history="1">
              <w:r>
                <w:rPr>
                  <w:rFonts w:hint="eastAsia"/>
                  <w:bCs/>
                  <w:snapToGrid w:val="0"/>
                  <w:kern w:val="0"/>
                  <w:szCs w:val="21"/>
                </w:rPr>
                <w:t>劳动防护用品</w:t>
              </w:r>
            </w:hyperlink>
            <w:r>
              <w:rPr>
                <w:rFonts w:hint="eastAsia"/>
                <w:bCs/>
                <w:snapToGrid w:val="0"/>
                <w:kern w:val="0"/>
                <w:szCs w:val="21"/>
              </w:rPr>
              <w:t>。</w:t>
            </w:r>
          </w:p>
        </w:tc>
        <w:tc>
          <w:tcPr>
            <w:tcW w:w="2209" w:type="pct"/>
            <w:tcBorders>
              <w:tl2br w:val="nil"/>
              <w:tr2bl w:val="nil"/>
            </w:tcBorders>
            <w:tcMar>
              <w:top w:w="0" w:type="dxa"/>
              <w:left w:w="28" w:type="dxa"/>
              <w:bottom w:w="0" w:type="dxa"/>
              <w:right w:w="28" w:type="dxa"/>
            </w:tcMar>
            <w:vAlign w:val="center"/>
          </w:tcPr>
          <w:p w14:paraId="47B72172" w14:textId="77777777" w:rsidR="003D6A63" w:rsidRDefault="00000000">
            <w:pPr>
              <w:adjustRightInd w:val="0"/>
              <w:snapToGrid w:val="0"/>
              <w:rPr>
                <w:bCs/>
                <w:snapToGrid w:val="0"/>
                <w:kern w:val="0"/>
                <w:szCs w:val="21"/>
              </w:rPr>
            </w:pPr>
            <w:r>
              <w:rPr>
                <w:bCs/>
                <w:snapToGrid w:val="0"/>
                <w:kern w:val="0"/>
                <w:szCs w:val="21"/>
              </w:rPr>
              <w:t>制定职业病危害预防制度、职工工伤管理制度等制度，并为从业人员按照国家标准发放工衣、工鞋、安全帽、手套等，建有发放台账。</w:t>
            </w:r>
          </w:p>
        </w:tc>
        <w:tc>
          <w:tcPr>
            <w:tcW w:w="813" w:type="pct"/>
            <w:tcBorders>
              <w:tl2br w:val="nil"/>
              <w:tr2bl w:val="nil"/>
            </w:tcBorders>
            <w:vAlign w:val="center"/>
          </w:tcPr>
          <w:p w14:paraId="578AF71E" w14:textId="77777777" w:rsidR="003D6A63" w:rsidRDefault="00000000">
            <w:pPr>
              <w:adjustRightInd w:val="0"/>
              <w:snapToGrid w:val="0"/>
              <w:jc w:val="center"/>
              <w:rPr>
                <w:bCs/>
                <w:snapToGrid w:val="0"/>
                <w:kern w:val="0"/>
                <w:szCs w:val="21"/>
              </w:rPr>
            </w:pPr>
            <w:r>
              <w:rPr>
                <w:bCs/>
                <w:snapToGrid w:val="0"/>
                <w:kern w:val="0"/>
                <w:szCs w:val="21"/>
              </w:rPr>
              <w:t>符合要求</w:t>
            </w:r>
          </w:p>
        </w:tc>
      </w:tr>
      <w:tr w:rsidR="003D6A63" w14:paraId="58DEC110" w14:textId="77777777">
        <w:trPr>
          <w:trHeight w:val="340"/>
          <w:jc w:val="center"/>
        </w:trPr>
        <w:tc>
          <w:tcPr>
            <w:tcW w:w="249" w:type="pct"/>
            <w:vMerge/>
            <w:tcBorders>
              <w:tl2br w:val="nil"/>
              <w:tr2bl w:val="nil"/>
            </w:tcBorders>
            <w:vAlign w:val="center"/>
          </w:tcPr>
          <w:p w14:paraId="21B5030F" w14:textId="77777777" w:rsidR="003D6A63" w:rsidRDefault="003D6A63">
            <w:pPr>
              <w:adjustRightInd w:val="0"/>
              <w:snapToGrid w:val="0"/>
              <w:rPr>
                <w:bCs/>
                <w:snapToGrid w:val="0"/>
                <w:kern w:val="0"/>
                <w:szCs w:val="21"/>
              </w:rPr>
            </w:pPr>
          </w:p>
        </w:tc>
        <w:tc>
          <w:tcPr>
            <w:tcW w:w="1727" w:type="pct"/>
            <w:tcBorders>
              <w:tl2br w:val="nil"/>
              <w:tr2bl w:val="nil"/>
            </w:tcBorders>
            <w:tcMar>
              <w:top w:w="57" w:type="dxa"/>
              <w:left w:w="28" w:type="dxa"/>
              <w:bottom w:w="57" w:type="dxa"/>
              <w:right w:w="28" w:type="dxa"/>
            </w:tcMar>
            <w:vAlign w:val="center"/>
          </w:tcPr>
          <w:p w14:paraId="38430E46" w14:textId="77777777" w:rsidR="003D6A63" w:rsidRDefault="00000000">
            <w:pPr>
              <w:adjustRightInd w:val="0"/>
              <w:snapToGrid w:val="0"/>
              <w:rPr>
                <w:bCs/>
                <w:snapToGrid w:val="0"/>
                <w:kern w:val="0"/>
                <w:szCs w:val="21"/>
              </w:rPr>
            </w:pPr>
            <w:r>
              <w:rPr>
                <w:rFonts w:hint="eastAsia"/>
                <w:bCs/>
                <w:snapToGrid w:val="0"/>
                <w:kern w:val="0"/>
                <w:szCs w:val="21"/>
              </w:rPr>
              <w:t>9.</w:t>
            </w:r>
            <w:r>
              <w:rPr>
                <w:rFonts w:hint="eastAsia"/>
                <w:bCs/>
                <w:snapToGrid w:val="0"/>
                <w:kern w:val="0"/>
                <w:szCs w:val="21"/>
              </w:rPr>
              <w:t>新建、改建、扩建工程项目依法进行安全评价，其安全设施经验收合格。</w:t>
            </w:r>
          </w:p>
        </w:tc>
        <w:tc>
          <w:tcPr>
            <w:tcW w:w="2209" w:type="pct"/>
            <w:tcBorders>
              <w:tl2br w:val="nil"/>
              <w:tr2bl w:val="nil"/>
            </w:tcBorders>
            <w:tcMar>
              <w:top w:w="0" w:type="dxa"/>
              <w:left w:w="28" w:type="dxa"/>
              <w:bottom w:w="0" w:type="dxa"/>
              <w:right w:w="28" w:type="dxa"/>
            </w:tcMar>
            <w:vAlign w:val="center"/>
          </w:tcPr>
          <w:p w14:paraId="7F875344" w14:textId="77777777" w:rsidR="003D6A63" w:rsidRDefault="00000000">
            <w:pPr>
              <w:adjustRightInd w:val="0"/>
              <w:snapToGrid w:val="0"/>
              <w:rPr>
                <w:bCs/>
                <w:snapToGrid w:val="0"/>
                <w:kern w:val="0"/>
                <w:szCs w:val="21"/>
              </w:rPr>
            </w:pPr>
            <w:r>
              <w:rPr>
                <w:rFonts w:hint="eastAsia"/>
                <w:bCs/>
                <w:snapToGrid w:val="0"/>
                <w:kern w:val="0"/>
                <w:szCs w:val="21"/>
              </w:rPr>
              <w:t>2020-2022</w:t>
            </w:r>
            <w:r>
              <w:rPr>
                <w:rFonts w:hint="eastAsia"/>
                <w:bCs/>
                <w:snapToGrid w:val="0"/>
                <w:kern w:val="0"/>
                <w:szCs w:val="21"/>
              </w:rPr>
              <w:t>，中胜公司无新建、改建、扩建工程项目。</w:t>
            </w:r>
          </w:p>
        </w:tc>
        <w:tc>
          <w:tcPr>
            <w:tcW w:w="813" w:type="pct"/>
            <w:tcBorders>
              <w:tl2br w:val="nil"/>
              <w:tr2bl w:val="nil"/>
            </w:tcBorders>
            <w:vAlign w:val="center"/>
          </w:tcPr>
          <w:p w14:paraId="05924E9E" w14:textId="77777777" w:rsidR="003D6A63" w:rsidRDefault="00000000">
            <w:pPr>
              <w:adjustRightInd w:val="0"/>
              <w:snapToGrid w:val="0"/>
              <w:jc w:val="center"/>
              <w:rPr>
                <w:bCs/>
                <w:snapToGrid w:val="0"/>
                <w:kern w:val="0"/>
                <w:szCs w:val="21"/>
              </w:rPr>
            </w:pPr>
            <w:r>
              <w:rPr>
                <w:rFonts w:hint="eastAsia"/>
                <w:bCs/>
                <w:snapToGrid w:val="0"/>
                <w:kern w:val="0"/>
                <w:szCs w:val="21"/>
              </w:rPr>
              <w:t>符合要求</w:t>
            </w:r>
          </w:p>
        </w:tc>
      </w:tr>
      <w:tr w:rsidR="003D6A63" w14:paraId="42B4976B" w14:textId="77777777">
        <w:trPr>
          <w:trHeight w:val="340"/>
          <w:jc w:val="center"/>
        </w:trPr>
        <w:tc>
          <w:tcPr>
            <w:tcW w:w="249" w:type="pct"/>
            <w:vMerge/>
            <w:tcBorders>
              <w:tl2br w:val="nil"/>
              <w:tr2bl w:val="nil"/>
            </w:tcBorders>
            <w:vAlign w:val="center"/>
          </w:tcPr>
          <w:p w14:paraId="74A16F75" w14:textId="77777777" w:rsidR="003D6A63" w:rsidRDefault="003D6A63">
            <w:pPr>
              <w:adjustRightInd w:val="0"/>
              <w:snapToGrid w:val="0"/>
              <w:rPr>
                <w:bCs/>
                <w:snapToGrid w:val="0"/>
                <w:kern w:val="0"/>
                <w:szCs w:val="21"/>
              </w:rPr>
            </w:pPr>
          </w:p>
        </w:tc>
        <w:tc>
          <w:tcPr>
            <w:tcW w:w="1727" w:type="pct"/>
            <w:tcBorders>
              <w:tl2br w:val="nil"/>
              <w:tr2bl w:val="nil"/>
            </w:tcBorders>
            <w:tcMar>
              <w:top w:w="57" w:type="dxa"/>
              <w:left w:w="28" w:type="dxa"/>
              <w:bottom w:w="57" w:type="dxa"/>
              <w:right w:w="28" w:type="dxa"/>
            </w:tcMar>
            <w:vAlign w:val="center"/>
          </w:tcPr>
          <w:p w14:paraId="703DC3E0" w14:textId="77777777" w:rsidR="003D6A63" w:rsidRDefault="00000000">
            <w:pPr>
              <w:adjustRightInd w:val="0"/>
              <w:snapToGrid w:val="0"/>
              <w:rPr>
                <w:bCs/>
                <w:snapToGrid w:val="0"/>
                <w:kern w:val="0"/>
                <w:szCs w:val="21"/>
              </w:rPr>
            </w:pPr>
            <w:r>
              <w:rPr>
                <w:rFonts w:hint="eastAsia"/>
                <w:bCs/>
                <w:snapToGrid w:val="0"/>
                <w:kern w:val="0"/>
                <w:szCs w:val="21"/>
              </w:rPr>
              <w:t>10.</w:t>
            </w:r>
            <w:r>
              <w:rPr>
                <w:rFonts w:hint="eastAsia"/>
                <w:bCs/>
                <w:snapToGrid w:val="0"/>
                <w:kern w:val="0"/>
                <w:szCs w:val="21"/>
              </w:rPr>
              <w:t>危险性较大的设备、设施按照国家有关规定进行定期检测检验。</w:t>
            </w:r>
          </w:p>
        </w:tc>
        <w:tc>
          <w:tcPr>
            <w:tcW w:w="2209" w:type="pct"/>
            <w:tcBorders>
              <w:tl2br w:val="nil"/>
              <w:tr2bl w:val="nil"/>
            </w:tcBorders>
            <w:tcMar>
              <w:top w:w="0" w:type="dxa"/>
              <w:left w:w="28" w:type="dxa"/>
              <w:bottom w:w="0" w:type="dxa"/>
              <w:right w:w="28" w:type="dxa"/>
            </w:tcMar>
            <w:vAlign w:val="center"/>
          </w:tcPr>
          <w:p w14:paraId="0C9069A1" w14:textId="77777777" w:rsidR="003D6A63" w:rsidRDefault="00000000">
            <w:pPr>
              <w:adjustRightInd w:val="0"/>
              <w:snapToGrid w:val="0"/>
              <w:rPr>
                <w:bCs/>
                <w:snapToGrid w:val="0"/>
                <w:kern w:val="0"/>
                <w:szCs w:val="21"/>
              </w:rPr>
            </w:pPr>
            <w:r>
              <w:rPr>
                <w:rFonts w:hint="eastAsia"/>
                <w:bCs/>
                <w:snapToGrid w:val="0"/>
                <w:kern w:val="0"/>
                <w:szCs w:val="21"/>
              </w:rPr>
              <w:t>中胜公司现有特种设备</w:t>
            </w:r>
            <w:r>
              <w:rPr>
                <w:rFonts w:hint="eastAsia"/>
                <w:bCs/>
                <w:snapToGrid w:val="0"/>
                <w:kern w:val="0"/>
                <w:szCs w:val="21"/>
              </w:rPr>
              <w:t>25</w:t>
            </w:r>
            <w:r>
              <w:rPr>
                <w:rFonts w:hint="eastAsia"/>
                <w:bCs/>
                <w:snapToGrid w:val="0"/>
                <w:kern w:val="0"/>
                <w:szCs w:val="21"/>
              </w:rPr>
              <w:t>台，均在检验有效期内。公司涉及的压力表、安全阀、气体检测报警仪、正压式空气呼吸器等强制检验设备均根据有关标准、规范要求，定期检验检测，且均在检验有效期内。</w:t>
            </w:r>
          </w:p>
        </w:tc>
        <w:tc>
          <w:tcPr>
            <w:tcW w:w="813" w:type="pct"/>
            <w:tcBorders>
              <w:tl2br w:val="nil"/>
              <w:tr2bl w:val="nil"/>
            </w:tcBorders>
            <w:vAlign w:val="center"/>
          </w:tcPr>
          <w:p w14:paraId="1B3105B4" w14:textId="77777777" w:rsidR="003D6A63" w:rsidRDefault="00000000">
            <w:pPr>
              <w:adjustRightInd w:val="0"/>
              <w:snapToGrid w:val="0"/>
              <w:jc w:val="center"/>
              <w:rPr>
                <w:bCs/>
                <w:snapToGrid w:val="0"/>
                <w:kern w:val="0"/>
                <w:szCs w:val="21"/>
              </w:rPr>
            </w:pPr>
            <w:r>
              <w:rPr>
                <w:bCs/>
                <w:snapToGrid w:val="0"/>
                <w:kern w:val="0"/>
                <w:szCs w:val="21"/>
              </w:rPr>
              <w:t>符合要求</w:t>
            </w:r>
          </w:p>
        </w:tc>
      </w:tr>
      <w:tr w:rsidR="003D6A63" w14:paraId="05FEA2A1" w14:textId="77777777">
        <w:trPr>
          <w:trHeight w:val="340"/>
          <w:jc w:val="center"/>
        </w:trPr>
        <w:tc>
          <w:tcPr>
            <w:tcW w:w="249" w:type="pct"/>
            <w:vMerge/>
            <w:tcBorders>
              <w:tl2br w:val="nil"/>
              <w:tr2bl w:val="nil"/>
            </w:tcBorders>
            <w:vAlign w:val="center"/>
          </w:tcPr>
          <w:p w14:paraId="2521B339" w14:textId="77777777" w:rsidR="003D6A63" w:rsidRDefault="003D6A63">
            <w:pPr>
              <w:adjustRightInd w:val="0"/>
              <w:snapToGrid w:val="0"/>
              <w:rPr>
                <w:bCs/>
                <w:snapToGrid w:val="0"/>
                <w:kern w:val="0"/>
                <w:szCs w:val="21"/>
              </w:rPr>
            </w:pPr>
          </w:p>
        </w:tc>
        <w:tc>
          <w:tcPr>
            <w:tcW w:w="1727" w:type="pct"/>
            <w:tcBorders>
              <w:tl2br w:val="nil"/>
              <w:tr2bl w:val="nil"/>
            </w:tcBorders>
            <w:tcMar>
              <w:top w:w="57" w:type="dxa"/>
              <w:left w:w="28" w:type="dxa"/>
              <w:bottom w:w="57" w:type="dxa"/>
              <w:right w:w="28" w:type="dxa"/>
            </w:tcMar>
            <w:vAlign w:val="center"/>
          </w:tcPr>
          <w:p w14:paraId="18E552E6" w14:textId="77777777" w:rsidR="003D6A63" w:rsidRDefault="00000000">
            <w:pPr>
              <w:adjustRightInd w:val="0"/>
              <w:snapToGrid w:val="0"/>
              <w:rPr>
                <w:bCs/>
                <w:snapToGrid w:val="0"/>
                <w:kern w:val="0"/>
                <w:szCs w:val="21"/>
              </w:rPr>
            </w:pPr>
            <w:r>
              <w:rPr>
                <w:rFonts w:hint="eastAsia"/>
                <w:bCs/>
                <w:snapToGrid w:val="0"/>
                <w:kern w:val="0"/>
                <w:szCs w:val="21"/>
              </w:rPr>
              <w:t>11.</w:t>
            </w:r>
            <w:r>
              <w:rPr>
                <w:rFonts w:hint="eastAsia"/>
                <w:bCs/>
                <w:snapToGrid w:val="0"/>
                <w:kern w:val="0"/>
                <w:szCs w:val="21"/>
              </w:rPr>
              <w:t>制定事故应急救援预案，建立事故应急救援组织，配备必要的应急救援器材、设备；生产规模较小可以不建立事故应急救援组织的，应当指定兼职的应急救援人员，并与</w:t>
            </w:r>
            <w:r>
              <w:rPr>
                <w:rFonts w:hint="eastAsia"/>
                <w:bCs/>
                <w:snapToGrid w:val="0"/>
                <w:kern w:val="0"/>
                <w:szCs w:val="21"/>
              </w:rPr>
              <w:lastRenderedPageBreak/>
              <w:t>邻近的矿山救护队或者其他应急救援组织签订救护协议。</w:t>
            </w:r>
          </w:p>
        </w:tc>
        <w:tc>
          <w:tcPr>
            <w:tcW w:w="2209" w:type="pct"/>
            <w:tcBorders>
              <w:tl2br w:val="nil"/>
              <w:tr2bl w:val="nil"/>
            </w:tcBorders>
            <w:tcMar>
              <w:top w:w="0" w:type="dxa"/>
              <w:left w:w="28" w:type="dxa"/>
              <w:bottom w:w="0" w:type="dxa"/>
              <w:right w:w="28" w:type="dxa"/>
            </w:tcMar>
            <w:vAlign w:val="center"/>
          </w:tcPr>
          <w:p w14:paraId="30A9F615" w14:textId="77777777" w:rsidR="003D6A63" w:rsidRDefault="00000000">
            <w:pPr>
              <w:adjustRightInd w:val="0"/>
              <w:snapToGrid w:val="0"/>
              <w:rPr>
                <w:bCs/>
                <w:snapToGrid w:val="0"/>
                <w:kern w:val="0"/>
                <w:szCs w:val="21"/>
              </w:rPr>
            </w:pPr>
            <w:r>
              <w:rPr>
                <w:bCs/>
                <w:snapToGrid w:val="0"/>
                <w:kern w:val="0"/>
                <w:szCs w:val="21"/>
              </w:rPr>
              <w:lastRenderedPageBreak/>
              <w:t>应急救援预案于东营市应急管理局进行了备案，备案编号：</w:t>
            </w:r>
            <w:r>
              <w:rPr>
                <w:bCs/>
                <w:snapToGrid w:val="0"/>
                <w:kern w:val="0"/>
                <w:szCs w:val="21"/>
              </w:rPr>
              <w:t>370503-2022-000</w:t>
            </w:r>
            <w:r>
              <w:rPr>
                <w:rFonts w:hint="eastAsia"/>
                <w:bCs/>
                <w:snapToGrid w:val="0"/>
                <w:kern w:val="0"/>
                <w:szCs w:val="21"/>
              </w:rPr>
              <w:t>8</w:t>
            </w:r>
            <w:r>
              <w:rPr>
                <w:bCs/>
                <w:snapToGrid w:val="0"/>
                <w:kern w:val="0"/>
                <w:szCs w:val="21"/>
              </w:rPr>
              <w:t>，公司与</w:t>
            </w:r>
            <w:r>
              <w:rPr>
                <w:rFonts w:hint="eastAsia"/>
                <w:bCs/>
                <w:snapToGrid w:val="0"/>
                <w:kern w:val="0"/>
                <w:szCs w:val="21"/>
              </w:rPr>
              <w:t>胜利石油管理局</w:t>
            </w:r>
            <w:r>
              <w:rPr>
                <w:bCs/>
                <w:snapToGrid w:val="0"/>
                <w:kern w:val="0"/>
                <w:szCs w:val="21"/>
              </w:rPr>
              <w:t>签订了应急救援协议，能覆盖所有作业区域。</w:t>
            </w:r>
          </w:p>
        </w:tc>
        <w:tc>
          <w:tcPr>
            <w:tcW w:w="813" w:type="pct"/>
            <w:tcBorders>
              <w:tl2br w:val="nil"/>
              <w:tr2bl w:val="nil"/>
            </w:tcBorders>
            <w:vAlign w:val="center"/>
          </w:tcPr>
          <w:p w14:paraId="035243C6" w14:textId="77777777" w:rsidR="003D6A63" w:rsidRDefault="00000000">
            <w:pPr>
              <w:adjustRightInd w:val="0"/>
              <w:snapToGrid w:val="0"/>
              <w:jc w:val="center"/>
              <w:rPr>
                <w:bCs/>
                <w:snapToGrid w:val="0"/>
                <w:kern w:val="0"/>
                <w:szCs w:val="21"/>
              </w:rPr>
            </w:pPr>
            <w:r>
              <w:rPr>
                <w:bCs/>
                <w:snapToGrid w:val="0"/>
                <w:kern w:val="0"/>
                <w:szCs w:val="21"/>
              </w:rPr>
              <w:t>符合要求</w:t>
            </w:r>
          </w:p>
        </w:tc>
      </w:tr>
      <w:tr w:rsidR="003D6A63" w14:paraId="633F1561" w14:textId="77777777">
        <w:trPr>
          <w:trHeight w:val="340"/>
          <w:jc w:val="center"/>
        </w:trPr>
        <w:tc>
          <w:tcPr>
            <w:tcW w:w="249" w:type="pct"/>
            <w:vMerge/>
            <w:tcBorders>
              <w:tl2br w:val="nil"/>
              <w:tr2bl w:val="nil"/>
            </w:tcBorders>
            <w:vAlign w:val="center"/>
          </w:tcPr>
          <w:p w14:paraId="14B1A79A" w14:textId="77777777" w:rsidR="003D6A63" w:rsidRDefault="003D6A63">
            <w:pPr>
              <w:adjustRightInd w:val="0"/>
              <w:snapToGrid w:val="0"/>
              <w:rPr>
                <w:bCs/>
                <w:snapToGrid w:val="0"/>
                <w:kern w:val="0"/>
                <w:szCs w:val="21"/>
              </w:rPr>
            </w:pPr>
          </w:p>
        </w:tc>
        <w:tc>
          <w:tcPr>
            <w:tcW w:w="1727" w:type="pct"/>
            <w:tcBorders>
              <w:tl2br w:val="nil"/>
              <w:tr2bl w:val="nil"/>
            </w:tcBorders>
            <w:tcMar>
              <w:top w:w="57" w:type="dxa"/>
              <w:left w:w="28" w:type="dxa"/>
              <w:bottom w:w="57" w:type="dxa"/>
              <w:right w:w="28" w:type="dxa"/>
            </w:tcMar>
            <w:vAlign w:val="center"/>
          </w:tcPr>
          <w:p w14:paraId="7E777063" w14:textId="77777777" w:rsidR="003D6A63" w:rsidRDefault="00000000">
            <w:pPr>
              <w:adjustRightInd w:val="0"/>
              <w:snapToGrid w:val="0"/>
              <w:rPr>
                <w:bCs/>
                <w:snapToGrid w:val="0"/>
                <w:kern w:val="0"/>
                <w:szCs w:val="21"/>
              </w:rPr>
            </w:pPr>
            <w:r>
              <w:rPr>
                <w:bCs/>
                <w:snapToGrid w:val="0"/>
                <w:kern w:val="0"/>
                <w:szCs w:val="21"/>
              </w:rPr>
              <w:t>1</w:t>
            </w:r>
            <w:r>
              <w:rPr>
                <w:rFonts w:hint="eastAsia"/>
                <w:bCs/>
                <w:snapToGrid w:val="0"/>
                <w:kern w:val="0"/>
                <w:szCs w:val="21"/>
              </w:rPr>
              <w:t>2</w:t>
            </w:r>
            <w:r>
              <w:rPr>
                <w:bCs/>
                <w:snapToGrid w:val="0"/>
                <w:kern w:val="0"/>
                <w:szCs w:val="21"/>
              </w:rPr>
              <w:t>.</w:t>
            </w:r>
            <w:r>
              <w:rPr>
                <w:bCs/>
                <w:snapToGrid w:val="0"/>
                <w:kern w:val="0"/>
                <w:szCs w:val="21"/>
              </w:rPr>
              <w:t>符合有关国家标准、行业标准规定的其他条件。</w:t>
            </w:r>
          </w:p>
        </w:tc>
        <w:tc>
          <w:tcPr>
            <w:tcW w:w="2209" w:type="pct"/>
            <w:tcBorders>
              <w:tl2br w:val="nil"/>
              <w:tr2bl w:val="nil"/>
            </w:tcBorders>
            <w:tcMar>
              <w:top w:w="0" w:type="dxa"/>
              <w:left w:w="28" w:type="dxa"/>
              <w:bottom w:w="0" w:type="dxa"/>
              <w:right w:w="28" w:type="dxa"/>
            </w:tcMar>
            <w:vAlign w:val="center"/>
          </w:tcPr>
          <w:p w14:paraId="471F726C" w14:textId="77777777" w:rsidR="003D6A63" w:rsidRDefault="00000000">
            <w:pPr>
              <w:adjustRightInd w:val="0"/>
              <w:snapToGrid w:val="0"/>
              <w:rPr>
                <w:bCs/>
                <w:snapToGrid w:val="0"/>
                <w:kern w:val="0"/>
                <w:szCs w:val="21"/>
              </w:rPr>
            </w:pPr>
            <w:r>
              <w:rPr>
                <w:bCs/>
                <w:snapToGrid w:val="0"/>
                <w:kern w:val="0"/>
                <w:szCs w:val="21"/>
              </w:rPr>
              <w:t>具有有关国家标准、行业标准规定的其他条件。</w:t>
            </w:r>
          </w:p>
        </w:tc>
        <w:tc>
          <w:tcPr>
            <w:tcW w:w="813" w:type="pct"/>
            <w:tcBorders>
              <w:tl2br w:val="nil"/>
              <w:tr2bl w:val="nil"/>
            </w:tcBorders>
            <w:vAlign w:val="center"/>
          </w:tcPr>
          <w:p w14:paraId="1C758369" w14:textId="77777777" w:rsidR="003D6A63" w:rsidRDefault="00000000">
            <w:pPr>
              <w:adjustRightInd w:val="0"/>
              <w:snapToGrid w:val="0"/>
              <w:jc w:val="center"/>
              <w:rPr>
                <w:bCs/>
                <w:snapToGrid w:val="0"/>
                <w:kern w:val="0"/>
                <w:szCs w:val="21"/>
              </w:rPr>
            </w:pPr>
            <w:r>
              <w:rPr>
                <w:bCs/>
                <w:snapToGrid w:val="0"/>
                <w:kern w:val="0"/>
                <w:szCs w:val="21"/>
              </w:rPr>
              <w:t>符合要求</w:t>
            </w:r>
          </w:p>
        </w:tc>
      </w:tr>
    </w:tbl>
    <w:p w14:paraId="062419F6" w14:textId="77777777" w:rsidR="003D6A63" w:rsidRDefault="00000000">
      <w:pPr>
        <w:pStyle w:val="3"/>
        <w:keepNext w:val="0"/>
        <w:keepLines w:val="0"/>
        <w:spacing w:beforeLines="50" w:before="120" w:after="0" w:line="360" w:lineRule="auto"/>
        <w:rPr>
          <w:rFonts w:eastAsia="黑体"/>
          <w:b w:val="0"/>
          <w:spacing w:val="0"/>
          <w:sz w:val="24"/>
          <w:szCs w:val="24"/>
        </w:rPr>
      </w:pPr>
      <w:r>
        <w:rPr>
          <w:rFonts w:eastAsia="黑体" w:hint="eastAsia"/>
          <w:b w:val="0"/>
          <w:spacing w:val="0"/>
          <w:sz w:val="24"/>
          <w:szCs w:val="24"/>
        </w:rPr>
        <w:t xml:space="preserve">6.3.2  </w:t>
      </w:r>
      <w:r>
        <w:rPr>
          <w:rFonts w:eastAsia="黑体" w:hint="eastAsia"/>
          <w:b w:val="0"/>
          <w:spacing w:val="0"/>
          <w:sz w:val="24"/>
          <w:szCs w:val="24"/>
        </w:rPr>
        <w:t>重大安全风险隐患分析</w:t>
      </w:r>
    </w:p>
    <w:p w14:paraId="32049F2D" w14:textId="77777777" w:rsidR="003D6A63" w:rsidRDefault="00000000">
      <w:pPr>
        <w:pStyle w:val="affffffffff9"/>
        <w:adjustRightInd w:val="0"/>
        <w:snapToGrid w:val="0"/>
        <w:spacing w:beforeLines="0" w:line="360" w:lineRule="auto"/>
        <w:ind w:firstLine="471"/>
        <w:jc w:val="both"/>
        <w:rPr>
          <w:sz w:val="24"/>
          <w:szCs w:val="21"/>
        </w:rPr>
      </w:pPr>
      <w:r>
        <w:rPr>
          <w:sz w:val="24"/>
          <w:szCs w:val="21"/>
        </w:rPr>
        <w:t>根据《重点行业领域重大安全风险隐患清单》（鲁安发</w:t>
      </w:r>
      <w:r>
        <w:rPr>
          <w:rFonts w:hint="eastAsia"/>
          <w:sz w:val="24"/>
          <w:szCs w:val="21"/>
        </w:rPr>
        <w:t>〔</w:t>
      </w:r>
      <w:r>
        <w:rPr>
          <w:sz w:val="24"/>
          <w:szCs w:val="21"/>
        </w:rPr>
        <w:t>2022</w:t>
      </w:r>
      <w:r>
        <w:rPr>
          <w:rFonts w:hint="eastAsia"/>
          <w:sz w:val="24"/>
          <w:szCs w:val="21"/>
        </w:rPr>
        <w:t>〕</w:t>
      </w:r>
      <w:r>
        <w:rPr>
          <w:sz w:val="24"/>
          <w:szCs w:val="21"/>
        </w:rPr>
        <w:t>11</w:t>
      </w:r>
      <w:r>
        <w:rPr>
          <w:sz w:val="24"/>
          <w:szCs w:val="21"/>
        </w:rPr>
        <w:t>号），对本项目是否涉及重大安全风险隐患判定情况如下：</w:t>
      </w:r>
    </w:p>
    <w:p w14:paraId="765B4CA6" w14:textId="77777777" w:rsidR="003D6A63" w:rsidRDefault="00000000">
      <w:pPr>
        <w:pStyle w:val="af4"/>
        <w:adjustRightInd w:val="0"/>
        <w:snapToGrid w:val="0"/>
        <w:spacing w:line="360" w:lineRule="auto"/>
        <w:ind w:firstLine="480"/>
        <w:jc w:val="center"/>
        <w:rPr>
          <w:rFonts w:eastAsia="黑体"/>
        </w:rPr>
      </w:pPr>
      <w:r>
        <w:rPr>
          <w:rFonts w:eastAsia="黑体"/>
        </w:rPr>
        <w:t>表</w:t>
      </w:r>
      <w:r>
        <w:rPr>
          <w:rFonts w:eastAsia="黑体"/>
        </w:rPr>
        <w:t>6.3-</w:t>
      </w:r>
      <w:r>
        <w:rPr>
          <w:rFonts w:eastAsia="黑体" w:hint="eastAsia"/>
        </w:rPr>
        <w:t>2</w:t>
      </w:r>
      <w:r>
        <w:rPr>
          <w:rFonts w:eastAsia="黑体"/>
        </w:rPr>
        <w:t xml:space="preserve">  </w:t>
      </w:r>
      <w:r>
        <w:rPr>
          <w:rFonts w:eastAsia="黑体"/>
        </w:rPr>
        <w:t>重大安全风险隐患判定表</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33"/>
        <w:gridCol w:w="5456"/>
        <w:gridCol w:w="3099"/>
      </w:tblGrid>
      <w:tr w:rsidR="003D6A63" w14:paraId="7AB6DB4C" w14:textId="77777777">
        <w:trPr>
          <w:trHeight w:val="340"/>
          <w:tblHeader/>
        </w:trPr>
        <w:tc>
          <w:tcPr>
            <w:tcW w:w="738" w:type="dxa"/>
            <w:vAlign w:val="center"/>
          </w:tcPr>
          <w:p w14:paraId="27986B33" w14:textId="77777777" w:rsidR="003D6A63" w:rsidRDefault="00000000">
            <w:pPr>
              <w:widowControl/>
              <w:adjustRightInd w:val="0"/>
              <w:snapToGrid w:val="0"/>
              <w:jc w:val="center"/>
              <w:rPr>
                <w:b/>
                <w:snapToGrid w:val="0"/>
                <w:color w:val="000000" w:themeColor="text1"/>
                <w:szCs w:val="21"/>
              </w:rPr>
            </w:pPr>
            <w:r>
              <w:rPr>
                <w:b/>
                <w:snapToGrid w:val="0"/>
                <w:color w:val="000000" w:themeColor="text1"/>
                <w:szCs w:val="21"/>
              </w:rPr>
              <w:t>序号</w:t>
            </w:r>
          </w:p>
        </w:tc>
        <w:tc>
          <w:tcPr>
            <w:tcW w:w="5528" w:type="dxa"/>
            <w:vAlign w:val="center"/>
          </w:tcPr>
          <w:p w14:paraId="1D5556C6" w14:textId="77777777" w:rsidR="003D6A63" w:rsidRDefault="00000000">
            <w:pPr>
              <w:widowControl/>
              <w:adjustRightInd w:val="0"/>
              <w:snapToGrid w:val="0"/>
              <w:jc w:val="center"/>
              <w:rPr>
                <w:b/>
                <w:snapToGrid w:val="0"/>
                <w:color w:val="000000" w:themeColor="text1"/>
                <w:szCs w:val="21"/>
              </w:rPr>
            </w:pPr>
            <w:r>
              <w:rPr>
                <w:b/>
                <w:snapToGrid w:val="0"/>
                <w:color w:val="000000" w:themeColor="text1"/>
                <w:szCs w:val="21"/>
              </w:rPr>
              <w:t>重大安全风险隐患判定标准</w:t>
            </w:r>
          </w:p>
        </w:tc>
        <w:tc>
          <w:tcPr>
            <w:tcW w:w="3134" w:type="dxa"/>
            <w:vAlign w:val="center"/>
          </w:tcPr>
          <w:p w14:paraId="6DEEBC33" w14:textId="77777777" w:rsidR="003D6A63" w:rsidRDefault="00000000">
            <w:pPr>
              <w:widowControl/>
              <w:adjustRightInd w:val="0"/>
              <w:snapToGrid w:val="0"/>
              <w:jc w:val="center"/>
              <w:rPr>
                <w:b/>
                <w:snapToGrid w:val="0"/>
                <w:color w:val="000000" w:themeColor="text1"/>
                <w:szCs w:val="21"/>
              </w:rPr>
            </w:pPr>
            <w:r>
              <w:rPr>
                <w:b/>
                <w:snapToGrid w:val="0"/>
                <w:color w:val="000000" w:themeColor="text1"/>
                <w:szCs w:val="21"/>
              </w:rPr>
              <w:t>实际情况</w:t>
            </w:r>
          </w:p>
        </w:tc>
      </w:tr>
      <w:tr w:rsidR="003D6A63" w14:paraId="714C32EC" w14:textId="77777777">
        <w:trPr>
          <w:trHeight w:val="340"/>
        </w:trPr>
        <w:tc>
          <w:tcPr>
            <w:tcW w:w="738" w:type="dxa"/>
            <w:vAlign w:val="center"/>
          </w:tcPr>
          <w:p w14:paraId="5407ECAB"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1</w:t>
            </w:r>
          </w:p>
        </w:tc>
        <w:tc>
          <w:tcPr>
            <w:tcW w:w="5528" w:type="dxa"/>
            <w:vAlign w:val="center"/>
          </w:tcPr>
          <w:p w14:paraId="4F0F31EA" w14:textId="77777777" w:rsidR="003D6A63" w:rsidRDefault="00000000">
            <w:pPr>
              <w:widowControl/>
              <w:adjustRightInd w:val="0"/>
              <w:snapToGrid w:val="0"/>
              <w:rPr>
                <w:bCs/>
                <w:snapToGrid w:val="0"/>
                <w:color w:val="000000" w:themeColor="text1"/>
                <w:szCs w:val="21"/>
              </w:rPr>
            </w:pPr>
            <w:r>
              <w:rPr>
                <w:b/>
                <w:snapToGrid w:val="0"/>
                <w:color w:val="000000" w:themeColor="text1"/>
                <w:szCs w:val="21"/>
              </w:rPr>
              <w:t>主要负责人和安全生产管理人员安全风险隐患：</w:t>
            </w:r>
            <w:r>
              <w:rPr>
                <w:bCs/>
                <w:snapToGrid w:val="0"/>
                <w:color w:val="000000" w:themeColor="text1"/>
                <w:szCs w:val="21"/>
              </w:rPr>
              <w:t>未按要求配备主要负责人和安全生产管理人员，或者主要负责人和安全生产管理人员未依法经考核合格。</w:t>
            </w:r>
          </w:p>
        </w:tc>
        <w:tc>
          <w:tcPr>
            <w:tcW w:w="3134" w:type="dxa"/>
            <w:vAlign w:val="center"/>
          </w:tcPr>
          <w:p w14:paraId="14FAB707" w14:textId="77777777" w:rsidR="003D6A63" w:rsidRDefault="00000000">
            <w:pPr>
              <w:pStyle w:val="affff0"/>
              <w:widowControl/>
              <w:adjustRightInd w:val="0"/>
              <w:snapToGrid w:val="0"/>
              <w:spacing w:after="0"/>
              <w:ind w:firstLineChars="0" w:firstLine="0"/>
              <w:rPr>
                <w:color w:val="000000" w:themeColor="text1"/>
                <w:szCs w:val="21"/>
              </w:rPr>
            </w:pPr>
            <w:r>
              <w:rPr>
                <w:color w:val="000000" w:themeColor="text1"/>
                <w:spacing w:val="0"/>
                <w:szCs w:val="21"/>
              </w:rPr>
              <w:t>企业已按照要求配备有主要负责人、</w:t>
            </w:r>
            <w:r>
              <w:rPr>
                <w:rFonts w:hint="eastAsia"/>
                <w:color w:val="000000" w:themeColor="text1"/>
                <w:spacing w:val="0"/>
                <w:szCs w:val="21"/>
              </w:rPr>
              <w:t>安全分管负责人</w:t>
            </w:r>
            <w:r>
              <w:rPr>
                <w:color w:val="000000" w:themeColor="text1"/>
                <w:spacing w:val="0"/>
                <w:szCs w:val="21"/>
              </w:rPr>
              <w:t>和专职安全生产管理人员，</w:t>
            </w:r>
            <w:r>
              <w:rPr>
                <w:rFonts w:hint="eastAsia"/>
                <w:color w:val="000000" w:themeColor="text1"/>
                <w:spacing w:val="0"/>
                <w:szCs w:val="21"/>
              </w:rPr>
              <w:t>主要负责人及</w:t>
            </w:r>
            <w:r>
              <w:rPr>
                <w:color w:val="000000" w:themeColor="text1"/>
                <w:spacing w:val="0"/>
                <w:szCs w:val="21"/>
              </w:rPr>
              <w:t>安全生产管理人员</w:t>
            </w:r>
            <w:r>
              <w:rPr>
                <w:rFonts w:hint="eastAsia"/>
                <w:color w:val="000000" w:themeColor="text1"/>
                <w:spacing w:val="0"/>
                <w:szCs w:val="21"/>
              </w:rPr>
              <w:t>均</w:t>
            </w:r>
            <w:r>
              <w:rPr>
                <w:color w:val="000000" w:themeColor="text1"/>
                <w:spacing w:val="0"/>
                <w:szCs w:val="21"/>
              </w:rPr>
              <w:t>已取得安全合格证</w:t>
            </w:r>
          </w:p>
        </w:tc>
      </w:tr>
      <w:tr w:rsidR="003D6A63" w14:paraId="372178B6" w14:textId="77777777">
        <w:trPr>
          <w:trHeight w:val="340"/>
        </w:trPr>
        <w:tc>
          <w:tcPr>
            <w:tcW w:w="738" w:type="dxa"/>
            <w:vAlign w:val="center"/>
          </w:tcPr>
          <w:p w14:paraId="134A8E75"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2</w:t>
            </w:r>
          </w:p>
        </w:tc>
        <w:tc>
          <w:tcPr>
            <w:tcW w:w="5528" w:type="dxa"/>
            <w:vAlign w:val="center"/>
          </w:tcPr>
          <w:p w14:paraId="2E47E8C2"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技术管理机构安全风险隐患：</w:t>
            </w:r>
            <w:r>
              <w:rPr>
                <w:bCs/>
                <w:snapToGrid w:val="0"/>
                <w:color w:val="000000" w:themeColor="text1"/>
                <w:kern w:val="0"/>
                <w:szCs w:val="21"/>
              </w:rPr>
              <w:t>未按规定设立管理机构，或者管理机构未足额配备相关专业专职技术人员。</w:t>
            </w:r>
          </w:p>
        </w:tc>
        <w:tc>
          <w:tcPr>
            <w:tcW w:w="3134" w:type="dxa"/>
            <w:vAlign w:val="center"/>
          </w:tcPr>
          <w:p w14:paraId="17B9348B" w14:textId="77777777" w:rsidR="003D6A63" w:rsidRDefault="00000000">
            <w:pPr>
              <w:pStyle w:val="affff0"/>
              <w:widowControl/>
              <w:adjustRightInd w:val="0"/>
              <w:snapToGrid w:val="0"/>
              <w:spacing w:after="0"/>
              <w:ind w:firstLineChars="0" w:firstLine="0"/>
              <w:rPr>
                <w:color w:val="FF0000"/>
                <w:spacing w:val="0"/>
                <w:kern w:val="0"/>
                <w:szCs w:val="21"/>
              </w:rPr>
            </w:pPr>
            <w:r>
              <w:rPr>
                <w:rFonts w:hint="eastAsia"/>
                <w:color w:val="000000" w:themeColor="text1"/>
                <w:spacing w:val="0"/>
                <w:kern w:val="0"/>
                <w:szCs w:val="21"/>
              </w:rPr>
              <w:t>设立技术管理中心，并</w:t>
            </w:r>
            <w:r>
              <w:rPr>
                <w:bCs/>
                <w:snapToGrid w:val="0"/>
                <w:color w:val="000000" w:themeColor="text1"/>
                <w:kern w:val="0"/>
                <w:szCs w:val="21"/>
              </w:rPr>
              <w:t>足额配备相关专业专职技术人员。</w:t>
            </w:r>
          </w:p>
        </w:tc>
      </w:tr>
      <w:tr w:rsidR="003D6A63" w14:paraId="4F7DA8DD" w14:textId="77777777">
        <w:trPr>
          <w:trHeight w:val="340"/>
        </w:trPr>
        <w:tc>
          <w:tcPr>
            <w:tcW w:w="738" w:type="dxa"/>
            <w:vAlign w:val="center"/>
          </w:tcPr>
          <w:p w14:paraId="1A20AB25"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3</w:t>
            </w:r>
          </w:p>
        </w:tc>
        <w:tc>
          <w:tcPr>
            <w:tcW w:w="5528" w:type="dxa"/>
            <w:vAlign w:val="center"/>
          </w:tcPr>
          <w:p w14:paraId="725279CA"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从业人员安全风险隐患：</w:t>
            </w:r>
            <w:r>
              <w:rPr>
                <w:bCs/>
                <w:snapToGrid w:val="0"/>
                <w:color w:val="000000" w:themeColor="text1"/>
                <w:kern w:val="0"/>
                <w:szCs w:val="21"/>
              </w:rPr>
              <w:t>从业人员未经安全培训合格，特种作业人员未持证上岗。</w:t>
            </w:r>
          </w:p>
        </w:tc>
        <w:tc>
          <w:tcPr>
            <w:tcW w:w="3134" w:type="dxa"/>
            <w:vAlign w:val="center"/>
          </w:tcPr>
          <w:p w14:paraId="611721EF" w14:textId="77777777" w:rsidR="003D6A63" w:rsidRDefault="00000000">
            <w:pPr>
              <w:pStyle w:val="affff0"/>
              <w:widowControl/>
              <w:adjustRightInd w:val="0"/>
              <w:snapToGrid w:val="0"/>
              <w:spacing w:after="0"/>
              <w:ind w:firstLineChars="0" w:firstLine="0"/>
              <w:rPr>
                <w:color w:val="FF0000"/>
                <w:spacing w:val="0"/>
                <w:kern w:val="0"/>
                <w:szCs w:val="21"/>
              </w:rPr>
            </w:pPr>
            <w:r>
              <w:rPr>
                <w:rFonts w:hint="eastAsia"/>
                <w:color w:val="000000" w:themeColor="text1"/>
                <w:spacing w:val="0"/>
                <w:kern w:val="0"/>
                <w:szCs w:val="21"/>
              </w:rPr>
              <w:t>每年对</w:t>
            </w:r>
            <w:r>
              <w:rPr>
                <w:color w:val="000000" w:themeColor="text1"/>
                <w:spacing w:val="0"/>
                <w:kern w:val="0"/>
                <w:szCs w:val="21"/>
              </w:rPr>
              <w:t>从业人员</w:t>
            </w:r>
            <w:r>
              <w:rPr>
                <w:rFonts w:hint="eastAsia"/>
                <w:color w:val="000000" w:themeColor="text1"/>
                <w:spacing w:val="0"/>
                <w:kern w:val="0"/>
                <w:szCs w:val="21"/>
              </w:rPr>
              <w:t>再培训</w:t>
            </w:r>
            <w:r>
              <w:rPr>
                <w:color w:val="000000" w:themeColor="text1"/>
                <w:spacing w:val="0"/>
                <w:kern w:val="0"/>
                <w:szCs w:val="21"/>
              </w:rPr>
              <w:t>，</w:t>
            </w:r>
            <w:r>
              <w:rPr>
                <w:rFonts w:hint="eastAsia"/>
                <w:color w:val="000000" w:themeColor="text1"/>
                <w:spacing w:val="0"/>
                <w:kern w:val="0"/>
                <w:szCs w:val="21"/>
              </w:rPr>
              <w:t>不涉及</w:t>
            </w:r>
            <w:r>
              <w:rPr>
                <w:bCs/>
                <w:snapToGrid w:val="0"/>
                <w:color w:val="000000" w:themeColor="text1"/>
                <w:spacing w:val="0"/>
                <w:kern w:val="0"/>
                <w:szCs w:val="21"/>
              </w:rPr>
              <w:t>特种作业人员。</w:t>
            </w:r>
            <w:r>
              <w:rPr>
                <w:b/>
                <w:snapToGrid w:val="0"/>
                <w:color w:val="000000" w:themeColor="text1"/>
                <w:spacing w:val="0"/>
                <w:kern w:val="0"/>
                <w:szCs w:val="21"/>
              </w:rPr>
              <w:t>符合要求。</w:t>
            </w:r>
          </w:p>
        </w:tc>
      </w:tr>
      <w:tr w:rsidR="003D6A63" w14:paraId="38AD0C64" w14:textId="77777777">
        <w:trPr>
          <w:trHeight w:val="340"/>
        </w:trPr>
        <w:tc>
          <w:tcPr>
            <w:tcW w:w="738" w:type="dxa"/>
            <w:vAlign w:val="center"/>
          </w:tcPr>
          <w:p w14:paraId="22C3F45D"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4</w:t>
            </w:r>
          </w:p>
        </w:tc>
        <w:tc>
          <w:tcPr>
            <w:tcW w:w="5528" w:type="dxa"/>
            <w:vAlign w:val="center"/>
          </w:tcPr>
          <w:p w14:paraId="5282519A"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责任制度安全风险隐患：</w:t>
            </w:r>
            <w:r>
              <w:rPr>
                <w:bCs/>
                <w:snapToGrid w:val="0"/>
                <w:color w:val="000000" w:themeColor="text1"/>
                <w:kern w:val="0"/>
                <w:szCs w:val="21"/>
              </w:rPr>
              <w:t>未建立与岗位相匹配的全员安全生产责任制或者未制定实施生产安全事故隐患排查治理制度。</w:t>
            </w:r>
          </w:p>
        </w:tc>
        <w:tc>
          <w:tcPr>
            <w:tcW w:w="3134" w:type="dxa"/>
            <w:vAlign w:val="center"/>
          </w:tcPr>
          <w:p w14:paraId="6C81552A" w14:textId="77777777" w:rsidR="003D6A63" w:rsidRDefault="00000000">
            <w:pPr>
              <w:pStyle w:val="affff0"/>
              <w:widowControl/>
              <w:adjustRightInd w:val="0"/>
              <w:snapToGrid w:val="0"/>
              <w:spacing w:after="0"/>
              <w:ind w:firstLineChars="0" w:firstLine="0"/>
              <w:rPr>
                <w:color w:val="FF0000"/>
                <w:spacing w:val="0"/>
                <w:kern w:val="0"/>
                <w:szCs w:val="21"/>
              </w:rPr>
            </w:pPr>
            <w:r>
              <w:rPr>
                <w:color w:val="000000" w:themeColor="text1"/>
                <w:spacing w:val="0"/>
                <w:kern w:val="0"/>
                <w:szCs w:val="21"/>
              </w:rPr>
              <w:t>已建立</w:t>
            </w:r>
            <w:r>
              <w:rPr>
                <w:bCs/>
                <w:snapToGrid w:val="0"/>
                <w:color w:val="000000" w:themeColor="text1"/>
                <w:spacing w:val="0"/>
                <w:kern w:val="0"/>
                <w:szCs w:val="21"/>
              </w:rPr>
              <w:t>与岗位相匹配的全员安全生产责任制，并制定事故隐患排查治理制度。</w:t>
            </w:r>
            <w:r>
              <w:rPr>
                <w:b/>
                <w:snapToGrid w:val="0"/>
                <w:color w:val="000000" w:themeColor="text1"/>
                <w:spacing w:val="0"/>
                <w:kern w:val="0"/>
                <w:szCs w:val="21"/>
              </w:rPr>
              <w:t>符合要求。</w:t>
            </w:r>
          </w:p>
        </w:tc>
      </w:tr>
      <w:tr w:rsidR="003D6A63" w14:paraId="5ABD534E" w14:textId="77777777">
        <w:trPr>
          <w:trHeight w:val="340"/>
        </w:trPr>
        <w:tc>
          <w:tcPr>
            <w:tcW w:w="738" w:type="dxa"/>
            <w:vAlign w:val="center"/>
          </w:tcPr>
          <w:p w14:paraId="61C133F7"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5</w:t>
            </w:r>
          </w:p>
        </w:tc>
        <w:tc>
          <w:tcPr>
            <w:tcW w:w="5528" w:type="dxa"/>
            <w:vAlign w:val="center"/>
          </w:tcPr>
          <w:p w14:paraId="4BF36A30"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操作规程安全风险隐患：</w:t>
            </w:r>
            <w:r>
              <w:rPr>
                <w:bCs/>
                <w:snapToGrid w:val="0"/>
                <w:color w:val="000000" w:themeColor="text1"/>
                <w:kern w:val="0"/>
                <w:szCs w:val="21"/>
              </w:rPr>
              <w:t>未制定实施与岗位相匹配的操作规程。</w:t>
            </w:r>
          </w:p>
        </w:tc>
        <w:tc>
          <w:tcPr>
            <w:tcW w:w="3134" w:type="dxa"/>
            <w:vAlign w:val="center"/>
          </w:tcPr>
          <w:p w14:paraId="543D9D03" w14:textId="77777777" w:rsidR="003D6A63" w:rsidRDefault="00000000">
            <w:pPr>
              <w:pStyle w:val="affff0"/>
              <w:widowControl/>
              <w:adjustRightInd w:val="0"/>
              <w:snapToGrid w:val="0"/>
              <w:spacing w:after="0"/>
              <w:ind w:firstLineChars="0" w:firstLine="0"/>
              <w:rPr>
                <w:color w:val="FF0000"/>
                <w:spacing w:val="0"/>
                <w:kern w:val="0"/>
                <w:szCs w:val="21"/>
              </w:rPr>
            </w:pPr>
            <w:r>
              <w:rPr>
                <w:rFonts w:hint="eastAsia"/>
                <w:color w:val="000000" w:themeColor="text1"/>
                <w:spacing w:val="0"/>
                <w:kern w:val="0"/>
                <w:szCs w:val="21"/>
              </w:rPr>
              <w:t>执行油田制定的操作规程，</w:t>
            </w:r>
            <w:r>
              <w:rPr>
                <w:color w:val="000000" w:themeColor="text1"/>
                <w:spacing w:val="0"/>
                <w:kern w:val="0"/>
                <w:szCs w:val="21"/>
              </w:rPr>
              <w:t>实施与岗位相匹配的操作规程。</w:t>
            </w:r>
            <w:r>
              <w:rPr>
                <w:b/>
                <w:bCs/>
                <w:color w:val="000000" w:themeColor="text1"/>
                <w:spacing w:val="0"/>
                <w:kern w:val="0"/>
                <w:szCs w:val="21"/>
              </w:rPr>
              <w:t>符合要求。</w:t>
            </w:r>
          </w:p>
        </w:tc>
      </w:tr>
      <w:tr w:rsidR="003D6A63" w14:paraId="7F3CC616" w14:textId="77777777">
        <w:trPr>
          <w:trHeight w:val="340"/>
        </w:trPr>
        <w:tc>
          <w:tcPr>
            <w:tcW w:w="738" w:type="dxa"/>
            <w:vAlign w:val="center"/>
          </w:tcPr>
          <w:p w14:paraId="2C31C1A9"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6</w:t>
            </w:r>
          </w:p>
        </w:tc>
        <w:tc>
          <w:tcPr>
            <w:tcW w:w="5528" w:type="dxa"/>
            <w:vAlign w:val="center"/>
          </w:tcPr>
          <w:p w14:paraId="0BDF4092"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w:t>
            </w:r>
            <w:r>
              <w:rPr>
                <w:b/>
                <w:snapToGrid w:val="0"/>
                <w:color w:val="000000" w:themeColor="text1"/>
                <w:kern w:val="0"/>
                <w:szCs w:val="21"/>
              </w:rPr>
              <w:t>三同时</w:t>
            </w:r>
            <w:r>
              <w:rPr>
                <w:b/>
                <w:snapToGrid w:val="0"/>
                <w:color w:val="000000" w:themeColor="text1"/>
                <w:kern w:val="0"/>
                <w:szCs w:val="21"/>
              </w:rPr>
              <w:t>”</w:t>
            </w:r>
            <w:r>
              <w:rPr>
                <w:b/>
                <w:snapToGrid w:val="0"/>
                <w:color w:val="000000" w:themeColor="text1"/>
                <w:kern w:val="0"/>
                <w:szCs w:val="21"/>
              </w:rPr>
              <w:t>安全风险隐患：</w:t>
            </w:r>
            <w:r>
              <w:rPr>
                <w:bCs/>
                <w:snapToGrid w:val="0"/>
                <w:color w:val="000000" w:themeColor="text1"/>
                <w:kern w:val="0"/>
                <w:szCs w:val="21"/>
              </w:rPr>
              <w:t>不严格履行建设项目安全设施</w:t>
            </w:r>
            <w:r>
              <w:rPr>
                <w:bCs/>
                <w:snapToGrid w:val="0"/>
                <w:color w:val="000000" w:themeColor="text1"/>
                <w:kern w:val="0"/>
                <w:szCs w:val="21"/>
              </w:rPr>
              <w:t>“</w:t>
            </w:r>
            <w:r>
              <w:rPr>
                <w:bCs/>
                <w:snapToGrid w:val="0"/>
                <w:color w:val="000000" w:themeColor="text1"/>
                <w:kern w:val="0"/>
                <w:szCs w:val="21"/>
              </w:rPr>
              <w:t>三同时</w:t>
            </w:r>
            <w:r>
              <w:rPr>
                <w:bCs/>
                <w:snapToGrid w:val="0"/>
                <w:color w:val="000000" w:themeColor="text1"/>
                <w:kern w:val="0"/>
                <w:szCs w:val="21"/>
              </w:rPr>
              <w:t>”</w:t>
            </w:r>
            <w:r>
              <w:rPr>
                <w:bCs/>
                <w:snapToGrid w:val="0"/>
                <w:color w:val="000000" w:themeColor="text1"/>
                <w:kern w:val="0"/>
                <w:szCs w:val="21"/>
              </w:rPr>
              <w:t>制度，不按批准的安全设施设计建设、生产，安全生产许可证有效期满未办理延期手续。</w:t>
            </w:r>
          </w:p>
        </w:tc>
        <w:tc>
          <w:tcPr>
            <w:tcW w:w="3134" w:type="dxa"/>
            <w:vAlign w:val="center"/>
          </w:tcPr>
          <w:p w14:paraId="0EBCE228" w14:textId="77777777" w:rsidR="003D6A63" w:rsidRDefault="00000000">
            <w:pPr>
              <w:pStyle w:val="affff0"/>
              <w:widowControl/>
              <w:adjustRightInd w:val="0"/>
              <w:snapToGrid w:val="0"/>
              <w:spacing w:after="0"/>
              <w:ind w:firstLineChars="0" w:firstLine="0"/>
              <w:rPr>
                <w:color w:val="FF0000"/>
                <w:spacing w:val="0"/>
                <w:kern w:val="0"/>
                <w:szCs w:val="21"/>
              </w:rPr>
            </w:pPr>
            <w:r>
              <w:rPr>
                <w:bCs/>
                <w:snapToGrid w:val="0"/>
                <w:color w:val="000000" w:themeColor="text1"/>
                <w:kern w:val="0"/>
                <w:szCs w:val="21"/>
              </w:rPr>
              <w:t>严格履行建设项目安全设施</w:t>
            </w:r>
            <w:r>
              <w:rPr>
                <w:bCs/>
                <w:snapToGrid w:val="0"/>
                <w:color w:val="000000" w:themeColor="text1"/>
                <w:kern w:val="0"/>
                <w:szCs w:val="21"/>
              </w:rPr>
              <w:t>“</w:t>
            </w:r>
            <w:r>
              <w:rPr>
                <w:bCs/>
                <w:snapToGrid w:val="0"/>
                <w:color w:val="000000" w:themeColor="text1"/>
                <w:kern w:val="0"/>
                <w:szCs w:val="21"/>
              </w:rPr>
              <w:t>三同时</w:t>
            </w:r>
            <w:r>
              <w:rPr>
                <w:bCs/>
                <w:snapToGrid w:val="0"/>
                <w:color w:val="000000" w:themeColor="text1"/>
                <w:kern w:val="0"/>
                <w:szCs w:val="21"/>
              </w:rPr>
              <w:t>”</w:t>
            </w:r>
            <w:r>
              <w:rPr>
                <w:bCs/>
                <w:snapToGrid w:val="0"/>
                <w:color w:val="000000" w:themeColor="text1"/>
                <w:kern w:val="0"/>
                <w:szCs w:val="21"/>
              </w:rPr>
              <w:t>制度</w:t>
            </w:r>
            <w:r>
              <w:rPr>
                <w:rFonts w:hint="eastAsia"/>
                <w:bCs/>
                <w:snapToGrid w:val="0"/>
                <w:color w:val="000000" w:themeColor="text1"/>
                <w:kern w:val="0"/>
                <w:szCs w:val="21"/>
              </w:rPr>
              <w:t>。</w:t>
            </w:r>
          </w:p>
        </w:tc>
      </w:tr>
      <w:tr w:rsidR="003D6A63" w14:paraId="0AEF9E13" w14:textId="77777777">
        <w:trPr>
          <w:trHeight w:val="340"/>
        </w:trPr>
        <w:tc>
          <w:tcPr>
            <w:tcW w:w="738" w:type="dxa"/>
            <w:vAlign w:val="center"/>
          </w:tcPr>
          <w:p w14:paraId="5988249D"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7</w:t>
            </w:r>
          </w:p>
        </w:tc>
        <w:tc>
          <w:tcPr>
            <w:tcW w:w="5528" w:type="dxa"/>
            <w:vAlign w:val="center"/>
          </w:tcPr>
          <w:p w14:paraId="56F18728"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整合矿山安全风险隐患：</w:t>
            </w:r>
            <w:r>
              <w:rPr>
                <w:bCs/>
                <w:snapToGrid w:val="0"/>
                <w:color w:val="000000" w:themeColor="text1"/>
                <w:kern w:val="0"/>
                <w:szCs w:val="21"/>
              </w:rPr>
              <w:t>整合后的矿山管理不规范，纳入整合的生产系统仍然</w:t>
            </w:r>
            <w:r>
              <w:rPr>
                <w:bCs/>
                <w:snapToGrid w:val="0"/>
                <w:color w:val="000000" w:themeColor="text1"/>
                <w:kern w:val="0"/>
                <w:szCs w:val="21"/>
              </w:rPr>
              <w:t>“</w:t>
            </w:r>
            <w:r>
              <w:rPr>
                <w:bCs/>
                <w:snapToGrid w:val="0"/>
                <w:color w:val="000000" w:themeColor="text1"/>
                <w:kern w:val="0"/>
                <w:szCs w:val="21"/>
              </w:rPr>
              <w:t>各自为政</w:t>
            </w:r>
            <w:r>
              <w:rPr>
                <w:bCs/>
                <w:snapToGrid w:val="0"/>
                <w:color w:val="000000" w:themeColor="text1"/>
                <w:kern w:val="0"/>
                <w:szCs w:val="21"/>
              </w:rPr>
              <w:t>”</w:t>
            </w:r>
            <w:r>
              <w:rPr>
                <w:bCs/>
                <w:snapToGrid w:val="0"/>
                <w:color w:val="000000" w:themeColor="text1"/>
                <w:kern w:val="0"/>
                <w:szCs w:val="21"/>
              </w:rPr>
              <w:t>。</w:t>
            </w:r>
          </w:p>
        </w:tc>
        <w:tc>
          <w:tcPr>
            <w:tcW w:w="3134" w:type="dxa"/>
            <w:vAlign w:val="center"/>
          </w:tcPr>
          <w:p w14:paraId="0ADAE77F" w14:textId="77777777" w:rsidR="003D6A63" w:rsidRDefault="00000000">
            <w:pPr>
              <w:pStyle w:val="affff0"/>
              <w:widowControl/>
              <w:adjustRightInd w:val="0"/>
              <w:snapToGrid w:val="0"/>
              <w:spacing w:after="0"/>
              <w:ind w:firstLineChars="0" w:firstLine="0"/>
              <w:rPr>
                <w:color w:val="000000" w:themeColor="text1"/>
                <w:spacing w:val="0"/>
                <w:kern w:val="0"/>
                <w:szCs w:val="21"/>
              </w:rPr>
            </w:pPr>
            <w:r>
              <w:rPr>
                <w:color w:val="000000" w:themeColor="text1"/>
                <w:spacing w:val="0"/>
                <w:kern w:val="0"/>
                <w:szCs w:val="21"/>
              </w:rPr>
              <w:t>此项不涉及。</w:t>
            </w:r>
          </w:p>
        </w:tc>
      </w:tr>
      <w:tr w:rsidR="003D6A63" w14:paraId="608497CE" w14:textId="77777777">
        <w:trPr>
          <w:trHeight w:val="340"/>
        </w:trPr>
        <w:tc>
          <w:tcPr>
            <w:tcW w:w="738" w:type="dxa"/>
            <w:vAlign w:val="center"/>
          </w:tcPr>
          <w:p w14:paraId="258FF574"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8</w:t>
            </w:r>
          </w:p>
        </w:tc>
        <w:tc>
          <w:tcPr>
            <w:tcW w:w="5528" w:type="dxa"/>
            <w:vAlign w:val="center"/>
          </w:tcPr>
          <w:p w14:paraId="1EC81F9C"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基建矿山安全风险隐患：</w:t>
            </w:r>
            <w:r>
              <w:rPr>
                <w:bCs/>
                <w:snapToGrid w:val="0"/>
                <w:color w:val="000000" w:themeColor="text1"/>
                <w:kern w:val="0"/>
                <w:szCs w:val="21"/>
              </w:rPr>
              <w:t>未按规定合理编制基建工程进度计划，未明确优先贯通安全出口和尽快形成主要供电、通风、排水系统的要求。竖井、斜井、斜坡道等施工到底后，未按规定集中在一个中段贯通。</w:t>
            </w:r>
          </w:p>
        </w:tc>
        <w:tc>
          <w:tcPr>
            <w:tcW w:w="3134" w:type="dxa"/>
            <w:vAlign w:val="center"/>
          </w:tcPr>
          <w:p w14:paraId="7E716D8C" w14:textId="77777777" w:rsidR="003D6A63" w:rsidRDefault="00000000">
            <w:pPr>
              <w:pStyle w:val="affff0"/>
              <w:widowControl/>
              <w:adjustRightInd w:val="0"/>
              <w:snapToGrid w:val="0"/>
              <w:spacing w:after="0"/>
              <w:ind w:firstLineChars="0" w:firstLine="0"/>
              <w:rPr>
                <w:color w:val="000000" w:themeColor="text1"/>
                <w:spacing w:val="0"/>
                <w:kern w:val="0"/>
                <w:szCs w:val="21"/>
              </w:rPr>
            </w:pPr>
            <w:r>
              <w:rPr>
                <w:color w:val="000000" w:themeColor="text1"/>
                <w:spacing w:val="0"/>
                <w:kern w:val="0"/>
                <w:szCs w:val="21"/>
              </w:rPr>
              <w:t>此项不涉及。</w:t>
            </w:r>
          </w:p>
        </w:tc>
      </w:tr>
      <w:tr w:rsidR="003D6A63" w14:paraId="1CDA006A" w14:textId="77777777">
        <w:trPr>
          <w:trHeight w:val="340"/>
        </w:trPr>
        <w:tc>
          <w:tcPr>
            <w:tcW w:w="738" w:type="dxa"/>
            <w:vAlign w:val="center"/>
          </w:tcPr>
          <w:p w14:paraId="59C0B517"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9</w:t>
            </w:r>
          </w:p>
        </w:tc>
        <w:tc>
          <w:tcPr>
            <w:tcW w:w="5528" w:type="dxa"/>
            <w:vAlign w:val="center"/>
          </w:tcPr>
          <w:p w14:paraId="50F02BD7"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停产停建矿山安全风险隐患：</w:t>
            </w:r>
            <w:r>
              <w:rPr>
                <w:bCs/>
                <w:snapToGrid w:val="0"/>
                <w:color w:val="000000" w:themeColor="text1"/>
                <w:kern w:val="0"/>
                <w:szCs w:val="21"/>
              </w:rPr>
              <w:t>未制定落实停产停建期间安全风险管控措施，或者以设备调试、检修和设施维修等为由组织建设或生产。</w:t>
            </w:r>
          </w:p>
        </w:tc>
        <w:tc>
          <w:tcPr>
            <w:tcW w:w="3134" w:type="dxa"/>
            <w:vAlign w:val="center"/>
          </w:tcPr>
          <w:p w14:paraId="28CEB3F2" w14:textId="77777777" w:rsidR="003D6A63" w:rsidRDefault="00000000">
            <w:pPr>
              <w:pStyle w:val="affff0"/>
              <w:widowControl/>
              <w:adjustRightInd w:val="0"/>
              <w:snapToGrid w:val="0"/>
              <w:spacing w:after="0"/>
              <w:ind w:firstLineChars="0" w:firstLine="0"/>
              <w:rPr>
                <w:color w:val="000000" w:themeColor="text1"/>
                <w:spacing w:val="0"/>
                <w:kern w:val="0"/>
                <w:szCs w:val="21"/>
              </w:rPr>
            </w:pPr>
            <w:r>
              <w:rPr>
                <w:color w:val="000000" w:themeColor="text1"/>
                <w:spacing w:val="0"/>
                <w:kern w:val="0"/>
                <w:szCs w:val="21"/>
              </w:rPr>
              <w:t>此项不涉及。</w:t>
            </w:r>
          </w:p>
        </w:tc>
      </w:tr>
      <w:tr w:rsidR="003D6A63" w14:paraId="751DF14C" w14:textId="77777777">
        <w:trPr>
          <w:trHeight w:val="340"/>
        </w:trPr>
        <w:tc>
          <w:tcPr>
            <w:tcW w:w="738" w:type="dxa"/>
            <w:vAlign w:val="center"/>
          </w:tcPr>
          <w:p w14:paraId="724EB081"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10</w:t>
            </w:r>
          </w:p>
        </w:tc>
        <w:tc>
          <w:tcPr>
            <w:tcW w:w="5528" w:type="dxa"/>
            <w:vAlign w:val="center"/>
          </w:tcPr>
          <w:p w14:paraId="4FD64870" w14:textId="77777777" w:rsidR="003D6A63" w:rsidRDefault="00000000">
            <w:pPr>
              <w:widowControl/>
              <w:adjustRightInd w:val="0"/>
              <w:snapToGrid w:val="0"/>
              <w:rPr>
                <w:b/>
                <w:snapToGrid w:val="0"/>
                <w:color w:val="000000" w:themeColor="text1"/>
                <w:kern w:val="0"/>
                <w:szCs w:val="21"/>
              </w:rPr>
            </w:pPr>
            <w:r>
              <w:rPr>
                <w:b/>
                <w:snapToGrid w:val="0"/>
                <w:color w:val="000000" w:themeColor="text1"/>
                <w:kern w:val="0"/>
                <w:szCs w:val="21"/>
              </w:rPr>
              <w:t>动火作业安全风险隐患：</w:t>
            </w:r>
            <w:r>
              <w:rPr>
                <w:bCs/>
                <w:snapToGrid w:val="0"/>
                <w:color w:val="000000" w:themeColor="text1"/>
                <w:kern w:val="0"/>
                <w:szCs w:val="21"/>
              </w:rPr>
              <w:t>未按照要求制定动火作业管理和审批制度，或者制度未有效执行。</w:t>
            </w:r>
          </w:p>
        </w:tc>
        <w:tc>
          <w:tcPr>
            <w:tcW w:w="3134" w:type="dxa"/>
            <w:vAlign w:val="center"/>
          </w:tcPr>
          <w:p w14:paraId="6AA5C907" w14:textId="77777777" w:rsidR="003D6A63" w:rsidRDefault="00000000">
            <w:pPr>
              <w:pStyle w:val="affff0"/>
              <w:widowControl/>
              <w:adjustRightInd w:val="0"/>
              <w:snapToGrid w:val="0"/>
              <w:spacing w:after="0"/>
              <w:ind w:firstLineChars="0" w:firstLine="0"/>
              <w:rPr>
                <w:color w:val="000000" w:themeColor="text1"/>
                <w:spacing w:val="0"/>
                <w:kern w:val="0"/>
                <w:szCs w:val="21"/>
              </w:rPr>
            </w:pPr>
            <w:r>
              <w:rPr>
                <w:color w:val="000000" w:themeColor="text1"/>
                <w:spacing w:val="0"/>
                <w:kern w:val="0"/>
                <w:szCs w:val="21"/>
              </w:rPr>
              <w:t>按照要求制定动火作业管理和审批制度</w:t>
            </w:r>
            <w:r>
              <w:rPr>
                <w:rFonts w:hint="eastAsia"/>
                <w:color w:val="000000" w:themeColor="text1"/>
                <w:spacing w:val="0"/>
                <w:kern w:val="0"/>
                <w:szCs w:val="21"/>
              </w:rPr>
              <w:t>。</w:t>
            </w:r>
          </w:p>
        </w:tc>
      </w:tr>
      <w:tr w:rsidR="003D6A63" w14:paraId="0E9EC7C0" w14:textId="77777777">
        <w:trPr>
          <w:trHeight w:val="340"/>
        </w:trPr>
        <w:tc>
          <w:tcPr>
            <w:tcW w:w="738" w:type="dxa"/>
            <w:vAlign w:val="center"/>
          </w:tcPr>
          <w:p w14:paraId="18BEF60F"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11</w:t>
            </w:r>
          </w:p>
        </w:tc>
        <w:tc>
          <w:tcPr>
            <w:tcW w:w="5528" w:type="dxa"/>
            <w:vAlign w:val="center"/>
          </w:tcPr>
          <w:p w14:paraId="70F26441" w14:textId="77777777" w:rsidR="003D6A63" w:rsidRDefault="00000000">
            <w:pPr>
              <w:widowControl/>
              <w:adjustRightInd w:val="0"/>
              <w:snapToGrid w:val="0"/>
              <w:rPr>
                <w:b/>
                <w:snapToGrid w:val="0"/>
                <w:color w:val="000000" w:themeColor="text1"/>
                <w:kern w:val="0"/>
                <w:szCs w:val="21"/>
              </w:rPr>
            </w:pPr>
            <w:r>
              <w:rPr>
                <w:b/>
                <w:snapToGrid w:val="0"/>
                <w:color w:val="000000" w:themeColor="text1"/>
                <w:kern w:val="0"/>
                <w:szCs w:val="21"/>
              </w:rPr>
              <w:t>图纸管理安全风险隐患：</w:t>
            </w:r>
            <w:r>
              <w:rPr>
                <w:bCs/>
                <w:snapToGrid w:val="0"/>
                <w:color w:val="000000" w:themeColor="text1"/>
                <w:kern w:val="0"/>
                <w:szCs w:val="21"/>
              </w:rPr>
              <w:t>未及时填绘图纸，或者现状图与实际严重不符。</w:t>
            </w:r>
          </w:p>
        </w:tc>
        <w:tc>
          <w:tcPr>
            <w:tcW w:w="3134" w:type="dxa"/>
            <w:vAlign w:val="center"/>
          </w:tcPr>
          <w:p w14:paraId="1DFD0468" w14:textId="77777777" w:rsidR="003D6A63" w:rsidRDefault="00000000">
            <w:pPr>
              <w:pStyle w:val="affff0"/>
              <w:widowControl/>
              <w:adjustRightInd w:val="0"/>
              <w:snapToGrid w:val="0"/>
              <w:spacing w:after="0"/>
              <w:ind w:firstLineChars="0" w:firstLine="0"/>
              <w:rPr>
                <w:color w:val="FF0000"/>
                <w:spacing w:val="0"/>
                <w:kern w:val="0"/>
                <w:szCs w:val="21"/>
              </w:rPr>
            </w:pPr>
            <w:r>
              <w:rPr>
                <w:bCs/>
                <w:snapToGrid w:val="0"/>
                <w:color w:val="000000" w:themeColor="text1"/>
                <w:kern w:val="0"/>
                <w:szCs w:val="21"/>
              </w:rPr>
              <w:t>现状图与实际</w:t>
            </w:r>
            <w:r>
              <w:rPr>
                <w:rFonts w:hint="eastAsia"/>
                <w:bCs/>
                <w:snapToGrid w:val="0"/>
                <w:color w:val="000000" w:themeColor="text1"/>
                <w:kern w:val="0"/>
                <w:szCs w:val="21"/>
              </w:rPr>
              <w:t>相符。</w:t>
            </w:r>
          </w:p>
        </w:tc>
      </w:tr>
      <w:tr w:rsidR="003D6A63" w14:paraId="074B071D" w14:textId="77777777">
        <w:trPr>
          <w:trHeight w:val="340"/>
        </w:trPr>
        <w:tc>
          <w:tcPr>
            <w:tcW w:w="738" w:type="dxa"/>
            <w:vAlign w:val="center"/>
          </w:tcPr>
          <w:p w14:paraId="7C61CC8A"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12</w:t>
            </w:r>
          </w:p>
        </w:tc>
        <w:tc>
          <w:tcPr>
            <w:tcW w:w="5528" w:type="dxa"/>
            <w:vAlign w:val="center"/>
          </w:tcPr>
          <w:p w14:paraId="4EF0C863"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应急预案安全风险隐患：</w:t>
            </w:r>
            <w:r>
              <w:rPr>
                <w:bCs/>
                <w:snapToGrid w:val="0"/>
                <w:color w:val="000000" w:themeColor="text1"/>
                <w:kern w:val="0"/>
                <w:szCs w:val="21"/>
              </w:rPr>
              <w:t>未按要求编制符合实际的综</w:t>
            </w:r>
            <w:r>
              <w:rPr>
                <w:bCs/>
                <w:snapToGrid w:val="0"/>
                <w:color w:val="000000" w:themeColor="text1"/>
                <w:kern w:val="0"/>
                <w:szCs w:val="21"/>
              </w:rPr>
              <w:t xml:space="preserve"> </w:t>
            </w:r>
            <w:r>
              <w:rPr>
                <w:bCs/>
                <w:snapToGrid w:val="0"/>
                <w:color w:val="000000" w:themeColor="text1"/>
                <w:kern w:val="0"/>
                <w:szCs w:val="21"/>
              </w:rPr>
              <w:t>合应急预案、专项应急预案和现场处置方案，或者预案未进行评审、公布、备案。</w:t>
            </w:r>
          </w:p>
        </w:tc>
        <w:tc>
          <w:tcPr>
            <w:tcW w:w="3134" w:type="dxa"/>
            <w:vAlign w:val="center"/>
          </w:tcPr>
          <w:p w14:paraId="06445A5B" w14:textId="77777777" w:rsidR="003D6A63" w:rsidRDefault="00000000">
            <w:pPr>
              <w:pStyle w:val="affff0"/>
              <w:widowControl/>
              <w:adjustRightInd w:val="0"/>
              <w:snapToGrid w:val="0"/>
              <w:spacing w:after="0"/>
              <w:ind w:firstLineChars="0" w:firstLine="0"/>
              <w:rPr>
                <w:color w:val="FF0000"/>
                <w:spacing w:val="0"/>
                <w:kern w:val="0"/>
                <w:szCs w:val="21"/>
              </w:rPr>
            </w:pPr>
            <w:r>
              <w:rPr>
                <w:color w:val="000000" w:themeColor="text1"/>
                <w:spacing w:val="0"/>
                <w:kern w:val="0"/>
                <w:szCs w:val="21"/>
              </w:rPr>
              <w:t>已编制应急预案并在东营</w:t>
            </w:r>
            <w:r>
              <w:rPr>
                <w:rFonts w:hint="eastAsia"/>
                <w:color w:val="000000" w:themeColor="text1"/>
                <w:spacing w:val="0"/>
                <w:kern w:val="0"/>
                <w:szCs w:val="21"/>
              </w:rPr>
              <w:t>市</w:t>
            </w:r>
            <w:r>
              <w:rPr>
                <w:color w:val="000000" w:themeColor="text1"/>
                <w:spacing w:val="0"/>
                <w:kern w:val="0"/>
                <w:szCs w:val="21"/>
              </w:rPr>
              <w:t>应急管理</w:t>
            </w:r>
            <w:r>
              <w:rPr>
                <w:rFonts w:hint="eastAsia"/>
                <w:color w:val="000000" w:themeColor="text1"/>
                <w:spacing w:val="0"/>
                <w:kern w:val="0"/>
                <w:szCs w:val="21"/>
              </w:rPr>
              <w:t>局</w:t>
            </w:r>
            <w:r>
              <w:rPr>
                <w:color w:val="000000" w:themeColor="text1"/>
                <w:spacing w:val="0"/>
                <w:kern w:val="0"/>
                <w:szCs w:val="21"/>
              </w:rPr>
              <w:t>备案。</w:t>
            </w:r>
            <w:r>
              <w:rPr>
                <w:b/>
                <w:bCs/>
                <w:color w:val="000000" w:themeColor="text1"/>
                <w:spacing w:val="0"/>
                <w:kern w:val="0"/>
                <w:szCs w:val="21"/>
              </w:rPr>
              <w:t>符合要求。</w:t>
            </w:r>
          </w:p>
        </w:tc>
      </w:tr>
      <w:tr w:rsidR="003D6A63" w14:paraId="74B56988" w14:textId="77777777">
        <w:trPr>
          <w:trHeight w:val="340"/>
        </w:trPr>
        <w:tc>
          <w:tcPr>
            <w:tcW w:w="738" w:type="dxa"/>
            <w:vAlign w:val="center"/>
          </w:tcPr>
          <w:p w14:paraId="645CA3E6"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13</w:t>
            </w:r>
          </w:p>
        </w:tc>
        <w:tc>
          <w:tcPr>
            <w:tcW w:w="5528" w:type="dxa"/>
            <w:vAlign w:val="center"/>
          </w:tcPr>
          <w:p w14:paraId="51088984" w14:textId="77777777" w:rsidR="003D6A63" w:rsidRDefault="00000000">
            <w:pPr>
              <w:widowControl/>
              <w:adjustRightInd w:val="0"/>
              <w:snapToGrid w:val="0"/>
              <w:rPr>
                <w:b/>
                <w:snapToGrid w:val="0"/>
                <w:color w:val="000000" w:themeColor="text1"/>
                <w:kern w:val="0"/>
                <w:szCs w:val="21"/>
              </w:rPr>
            </w:pPr>
            <w:r>
              <w:rPr>
                <w:b/>
                <w:snapToGrid w:val="0"/>
                <w:color w:val="000000" w:themeColor="text1"/>
                <w:kern w:val="0"/>
                <w:szCs w:val="21"/>
              </w:rPr>
              <w:t>应急救援体系安全风险隐患：</w:t>
            </w:r>
            <w:r>
              <w:rPr>
                <w:bCs/>
                <w:snapToGrid w:val="0"/>
                <w:color w:val="000000" w:themeColor="text1"/>
                <w:kern w:val="0"/>
                <w:szCs w:val="21"/>
              </w:rPr>
              <w:t>未建立应急救援队伍，未按规定定期组织开展应急演练。</w:t>
            </w:r>
          </w:p>
        </w:tc>
        <w:tc>
          <w:tcPr>
            <w:tcW w:w="3134" w:type="dxa"/>
            <w:vAlign w:val="center"/>
          </w:tcPr>
          <w:p w14:paraId="4F907A6C" w14:textId="77777777" w:rsidR="003D6A63" w:rsidRDefault="00000000">
            <w:pPr>
              <w:widowControl/>
              <w:adjustRightInd w:val="0"/>
              <w:snapToGrid w:val="0"/>
              <w:rPr>
                <w:color w:val="000000" w:themeColor="text1"/>
                <w:kern w:val="0"/>
                <w:szCs w:val="21"/>
              </w:rPr>
            </w:pPr>
            <w:r>
              <w:rPr>
                <w:color w:val="000000" w:themeColor="text1"/>
                <w:kern w:val="0"/>
                <w:szCs w:val="21"/>
              </w:rPr>
              <w:t>已</w:t>
            </w:r>
            <w:r>
              <w:rPr>
                <w:bCs/>
                <w:snapToGrid w:val="0"/>
                <w:color w:val="000000" w:themeColor="text1"/>
                <w:kern w:val="0"/>
                <w:szCs w:val="21"/>
              </w:rPr>
              <w:t>建立应急救援队伍，并按规定定期组织开展应急演练。</w:t>
            </w:r>
            <w:r>
              <w:rPr>
                <w:b/>
                <w:bCs/>
                <w:color w:val="000000" w:themeColor="text1"/>
                <w:kern w:val="0"/>
                <w:szCs w:val="21"/>
              </w:rPr>
              <w:t>符合要求。</w:t>
            </w:r>
          </w:p>
        </w:tc>
      </w:tr>
      <w:tr w:rsidR="003D6A63" w14:paraId="0173F631" w14:textId="77777777">
        <w:trPr>
          <w:trHeight w:val="340"/>
        </w:trPr>
        <w:tc>
          <w:tcPr>
            <w:tcW w:w="738" w:type="dxa"/>
            <w:vAlign w:val="center"/>
          </w:tcPr>
          <w:p w14:paraId="6E9E809D"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lastRenderedPageBreak/>
              <w:t>14</w:t>
            </w:r>
          </w:p>
        </w:tc>
        <w:tc>
          <w:tcPr>
            <w:tcW w:w="5528" w:type="dxa"/>
            <w:vAlign w:val="center"/>
          </w:tcPr>
          <w:p w14:paraId="51B8EAC4"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设备检测检验安全风险隐患：</w:t>
            </w:r>
            <w:r>
              <w:rPr>
                <w:bCs/>
                <w:snapToGrid w:val="0"/>
                <w:color w:val="000000" w:themeColor="text1"/>
                <w:kern w:val="0"/>
                <w:szCs w:val="21"/>
              </w:rPr>
              <w:t>涉及人身安全、危险性较大的设备设施未按照相关规定进行检测检验，或者使用检测检验不合格的设备设施。</w:t>
            </w:r>
          </w:p>
        </w:tc>
        <w:tc>
          <w:tcPr>
            <w:tcW w:w="3134" w:type="dxa"/>
            <w:vAlign w:val="center"/>
          </w:tcPr>
          <w:p w14:paraId="3E13320D" w14:textId="77777777" w:rsidR="003D6A63" w:rsidRDefault="00000000">
            <w:pPr>
              <w:widowControl/>
              <w:adjustRightInd w:val="0"/>
              <w:snapToGrid w:val="0"/>
              <w:rPr>
                <w:color w:val="000000" w:themeColor="text1"/>
                <w:kern w:val="0"/>
                <w:szCs w:val="21"/>
              </w:rPr>
            </w:pPr>
            <w:r>
              <w:rPr>
                <w:color w:val="000000" w:themeColor="text1"/>
                <w:kern w:val="0"/>
                <w:szCs w:val="21"/>
              </w:rPr>
              <w:t>设备设施</w:t>
            </w:r>
            <w:r>
              <w:rPr>
                <w:bCs/>
                <w:snapToGrid w:val="0"/>
                <w:color w:val="000000" w:themeColor="text1"/>
                <w:kern w:val="0"/>
                <w:szCs w:val="21"/>
              </w:rPr>
              <w:t>按照相关规定进行检测检验。</w:t>
            </w:r>
            <w:r>
              <w:rPr>
                <w:b/>
                <w:bCs/>
                <w:color w:val="000000" w:themeColor="text1"/>
                <w:kern w:val="0"/>
                <w:szCs w:val="21"/>
              </w:rPr>
              <w:t>符合要求。</w:t>
            </w:r>
          </w:p>
        </w:tc>
      </w:tr>
      <w:tr w:rsidR="003D6A63" w14:paraId="72C821A0" w14:textId="77777777">
        <w:trPr>
          <w:trHeight w:val="340"/>
        </w:trPr>
        <w:tc>
          <w:tcPr>
            <w:tcW w:w="738" w:type="dxa"/>
            <w:vAlign w:val="center"/>
          </w:tcPr>
          <w:p w14:paraId="58B864A1"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15</w:t>
            </w:r>
          </w:p>
        </w:tc>
        <w:tc>
          <w:tcPr>
            <w:tcW w:w="5528" w:type="dxa"/>
            <w:vAlign w:val="center"/>
          </w:tcPr>
          <w:p w14:paraId="34F9627C"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淘汰落后工艺设备安全风险隐患：</w:t>
            </w:r>
            <w:r>
              <w:rPr>
                <w:bCs/>
                <w:snapToGrid w:val="0"/>
                <w:color w:val="000000" w:themeColor="text1"/>
                <w:kern w:val="0"/>
                <w:szCs w:val="21"/>
              </w:rPr>
              <w:t>使用禁止使用的设备及工艺目录列出的工艺、设备。</w:t>
            </w:r>
          </w:p>
        </w:tc>
        <w:tc>
          <w:tcPr>
            <w:tcW w:w="3134" w:type="dxa"/>
            <w:vAlign w:val="center"/>
          </w:tcPr>
          <w:p w14:paraId="5E4406DC" w14:textId="77777777" w:rsidR="003D6A63" w:rsidRDefault="00000000">
            <w:pPr>
              <w:widowControl/>
              <w:adjustRightInd w:val="0"/>
              <w:snapToGrid w:val="0"/>
              <w:rPr>
                <w:color w:val="000000" w:themeColor="text1"/>
                <w:kern w:val="0"/>
                <w:szCs w:val="21"/>
              </w:rPr>
            </w:pPr>
            <w:r>
              <w:rPr>
                <w:color w:val="000000" w:themeColor="text1"/>
                <w:kern w:val="0"/>
                <w:szCs w:val="21"/>
              </w:rPr>
              <w:t>未使用</w:t>
            </w:r>
            <w:r>
              <w:rPr>
                <w:bCs/>
                <w:snapToGrid w:val="0"/>
                <w:color w:val="000000" w:themeColor="text1"/>
                <w:kern w:val="0"/>
                <w:szCs w:val="21"/>
              </w:rPr>
              <w:t>禁止使用的设备及工艺目录列出的工艺、设备。</w:t>
            </w:r>
            <w:r>
              <w:rPr>
                <w:b/>
                <w:bCs/>
                <w:color w:val="000000" w:themeColor="text1"/>
                <w:kern w:val="0"/>
                <w:szCs w:val="21"/>
              </w:rPr>
              <w:t>符合要求。</w:t>
            </w:r>
          </w:p>
        </w:tc>
      </w:tr>
      <w:tr w:rsidR="003D6A63" w14:paraId="7FECBF8A" w14:textId="77777777">
        <w:trPr>
          <w:trHeight w:val="340"/>
        </w:trPr>
        <w:tc>
          <w:tcPr>
            <w:tcW w:w="738" w:type="dxa"/>
            <w:vAlign w:val="center"/>
          </w:tcPr>
          <w:p w14:paraId="02BEF30F"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16</w:t>
            </w:r>
          </w:p>
        </w:tc>
        <w:tc>
          <w:tcPr>
            <w:tcW w:w="5528" w:type="dxa"/>
            <w:vAlign w:val="center"/>
          </w:tcPr>
          <w:p w14:paraId="727F4AB5"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采空区及周边老窑安全风险隐患：</w:t>
            </w:r>
            <w:r>
              <w:rPr>
                <w:bCs/>
                <w:snapToGrid w:val="0"/>
                <w:color w:val="000000" w:themeColor="text1"/>
                <w:kern w:val="0"/>
                <w:szCs w:val="21"/>
              </w:rPr>
              <w:t>未查明遗留采空区、悬顶采空区、历史上形成的采空区以及周边废弃矿井（井筒）分布、积水等基本情况，或者未采取有效措施进行治理。</w:t>
            </w:r>
          </w:p>
        </w:tc>
        <w:tc>
          <w:tcPr>
            <w:tcW w:w="3134" w:type="dxa"/>
            <w:vAlign w:val="center"/>
          </w:tcPr>
          <w:p w14:paraId="1861EDCE" w14:textId="77777777" w:rsidR="003D6A63" w:rsidRDefault="00000000">
            <w:pPr>
              <w:widowControl/>
              <w:adjustRightInd w:val="0"/>
              <w:snapToGrid w:val="0"/>
              <w:rPr>
                <w:color w:val="000000" w:themeColor="text1"/>
                <w:kern w:val="0"/>
                <w:szCs w:val="21"/>
              </w:rPr>
            </w:pPr>
            <w:r>
              <w:rPr>
                <w:color w:val="000000" w:themeColor="text1"/>
                <w:kern w:val="0"/>
                <w:szCs w:val="21"/>
              </w:rPr>
              <w:t>此项不涉及。</w:t>
            </w:r>
          </w:p>
        </w:tc>
      </w:tr>
      <w:tr w:rsidR="003D6A63" w14:paraId="591C80A3" w14:textId="77777777">
        <w:trPr>
          <w:trHeight w:val="340"/>
        </w:trPr>
        <w:tc>
          <w:tcPr>
            <w:tcW w:w="738" w:type="dxa"/>
            <w:vAlign w:val="center"/>
          </w:tcPr>
          <w:p w14:paraId="387D0AD1"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17</w:t>
            </w:r>
          </w:p>
        </w:tc>
        <w:tc>
          <w:tcPr>
            <w:tcW w:w="5528" w:type="dxa"/>
            <w:vAlign w:val="center"/>
          </w:tcPr>
          <w:p w14:paraId="3014CD2B" w14:textId="77777777" w:rsidR="003D6A63" w:rsidRDefault="00000000">
            <w:pPr>
              <w:widowControl/>
              <w:adjustRightInd w:val="0"/>
              <w:snapToGrid w:val="0"/>
              <w:rPr>
                <w:b/>
                <w:snapToGrid w:val="0"/>
                <w:color w:val="000000" w:themeColor="text1"/>
                <w:kern w:val="0"/>
                <w:szCs w:val="21"/>
              </w:rPr>
            </w:pPr>
            <w:r>
              <w:rPr>
                <w:b/>
                <w:snapToGrid w:val="0"/>
                <w:color w:val="000000" w:themeColor="text1"/>
                <w:kern w:val="0"/>
                <w:szCs w:val="21"/>
              </w:rPr>
              <w:t>水文地质安全风险隐患：</w:t>
            </w:r>
            <w:r>
              <w:rPr>
                <w:bCs/>
                <w:snapToGrid w:val="0"/>
                <w:color w:val="000000" w:themeColor="text1"/>
                <w:kern w:val="0"/>
                <w:szCs w:val="21"/>
              </w:rPr>
              <w:t>未查明地下含水体、地下岩溶、地表水体和地质勘探钻孔、工程施工钻孔、防治水工程有关情况，或者未采取有效措施进行治理。</w:t>
            </w:r>
          </w:p>
        </w:tc>
        <w:tc>
          <w:tcPr>
            <w:tcW w:w="3134" w:type="dxa"/>
            <w:vAlign w:val="center"/>
          </w:tcPr>
          <w:p w14:paraId="290FAAE9" w14:textId="77777777" w:rsidR="003D6A63" w:rsidRDefault="00000000">
            <w:pPr>
              <w:widowControl/>
              <w:adjustRightInd w:val="0"/>
              <w:snapToGrid w:val="0"/>
              <w:rPr>
                <w:color w:val="000000" w:themeColor="text1"/>
                <w:kern w:val="0"/>
                <w:szCs w:val="21"/>
              </w:rPr>
            </w:pPr>
            <w:r>
              <w:rPr>
                <w:color w:val="000000" w:themeColor="text1"/>
                <w:kern w:val="0"/>
                <w:szCs w:val="21"/>
              </w:rPr>
              <w:t>此项不涉及。</w:t>
            </w:r>
          </w:p>
        </w:tc>
      </w:tr>
      <w:tr w:rsidR="003D6A63" w14:paraId="03385F28" w14:textId="77777777">
        <w:trPr>
          <w:trHeight w:val="340"/>
        </w:trPr>
        <w:tc>
          <w:tcPr>
            <w:tcW w:w="738" w:type="dxa"/>
            <w:vAlign w:val="center"/>
          </w:tcPr>
          <w:p w14:paraId="357FDECF"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18</w:t>
            </w:r>
          </w:p>
        </w:tc>
        <w:tc>
          <w:tcPr>
            <w:tcW w:w="5528" w:type="dxa"/>
            <w:vAlign w:val="center"/>
          </w:tcPr>
          <w:p w14:paraId="05936CC4"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地压灾害风险隐患：</w:t>
            </w:r>
            <w:r>
              <w:rPr>
                <w:bCs/>
                <w:snapToGrid w:val="0"/>
                <w:color w:val="000000" w:themeColor="text1"/>
                <w:kern w:val="0"/>
                <w:szCs w:val="21"/>
              </w:rPr>
              <w:t>未查明矿区主要地质构造、地压活动区域，或者未采取有效措施进行治理。</w:t>
            </w:r>
          </w:p>
        </w:tc>
        <w:tc>
          <w:tcPr>
            <w:tcW w:w="3134" w:type="dxa"/>
            <w:vAlign w:val="center"/>
          </w:tcPr>
          <w:p w14:paraId="03C04C36" w14:textId="77777777" w:rsidR="003D6A63" w:rsidRDefault="00000000">
            <w:pPr>
              <w:widowControl/>
              <w:adjustRightInd w:val="0"/>
              <w:snapToGrid w:val="0"/>
              <w:rPr>
                <w:color w:val="000000" w:themeColor="text1"/>
                <w:kern w:val="0"/>
                <w:szCs w:val="21"/>
              </w:rPr>
            </w:pPr>
            <w:r>
              <w:rPr>
                <w:color w:val="000000" w:themeColor="text1"/>
                <w:kern w:val="0"/>
                <w:szCs w:val="21"/>
              </w:rPr>
              <w:t>此项不涉及。</w:t>
            </w:r>
          </w:p>
        </w:tc>
      </w:tr>
      <w:tr w:rsidR="003D6A63" w14:paraId="66B46C79" w14:textId="77777777">
        <w:trPr>
          <w:trHeight w:val="340"/>
        </w:trPr>
        <w:tc>
          <w:tcPr>
            <w:tcW w:w="738" w:type="dxa"/>
            <w:vAlign w:val="center"/>
          </w:tcPr>
          <w:p w14:paraId="24A7231A"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19</w:t>
            </w:r>
          </w:p>
        </w:tc>
        <w:tc>
          <w:tcPr>
            <w:tcW w:w="5528" w:type="dxa"/>
            <w:vAlign w:val="center"/>
          </w:tcPr>
          <w:p w14:paraId="3AFA5E4F"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火灾安全风险隐患：</w:t>
            </w:r>
            <w:r>
              <w:rPr>
                <w:bCs/>
                <w:snapToGrid w:val="0"/>
                <w:color w:val="000000" w:themeColor="text1"/>
                <w:kern w:val="0"/>
                <w:szCs w:val="21"/>
              </w:rPr>
              <w:t>未查明矿石自燃倾向性以及井下木支护、油料电缆等非阻燃材料分布和使用情况，或者未采取有效措施进行治理。</w:t>
            </w:r>
          </w:p>
        </w:tc>
        <w:tc>
          <w:tcPr>
            <w:tcW w:w="3134" w:type="dxa"/>
            <w:vAlign w:val="center"/>
          </w:tcPr>
          <w:p w14:paraId="3200E094" w14:textId="77777777" w:rsidR="003D6A63" w:rsidRDefault="00000000">
            <w:pPr>
              <w:widowControl/>
              <w:adjustRightInd w:val="0"/>
              <w:snapToGrid w:val="0"/>
              <w:rPr>
                <w:color w:val="000000" w:themeColor="text1"/>
                <w:kern w:val="0"/>
                <w:szCs w:val="21"/>
              </w:rPr>
            </w:pPr>
            <w:r>
              <w:rPr>
                <w:color w:val="000000" w:themeColor="text1"/>
                <w:kern w:val="0"/>
                <w:szCs w:val="21"/>
              </w:rPr>
              <w:t>此项不涉及。</w:t>
            </w:r>
          </w:p>
        </w:tc>
      </w:tr>
      <w:tr w:rsidR="003D6A63" w14:paraId="0702F04E" w14:textId="77777777">
        <w:trPr>
          <w:trHeight w:val="340"/>
        </w:trPr>
        <w:tc>
          <w:tcPr>
            <w:tcW w:w="738" w:type="dxa"/>
            <w:vAlign w:val="center"/>
          </w:tcPr>
          <w:p w14:paraId="32B24E93"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20</w:t>
            </w:r>
          </w:p>
        </w:tc>
        <w:tc>
          <w:tcPr>
            <w:tcW w:w="5528" w:type="dxa"/>
            <w:vAlign w:val="center"/>
          </w:tcPr>
          <w:p w14:paraId="7D7D3776"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保安矿柱安全风险隐患：</w:t>
            </w:r>
            <w:r>
              <w:rPr>
                <w:bCs/>
                <w:snapToGrid w:val="0"/>
                <w:color w:val="000000" w:themeColor="text1"/>
                <w:kern w:val="0"/>
                <w:szCs w:val="21"/>
              </w:rPr>
              <w:t>未按规定或设计留设保安矿柱，或者擅自开采保安矿柱。</w:t>
            </w:r>
          </w:p>
        </w:tc>
        <w:tc>
          <w:tcPr>
            <w:tcW w:w="3134" w:type="dxa"/>
            <w:vAlign w:val="center"/>
          </w:tcPr>
          <w:p w14:paraId="47C5B6CF" w14:textId="77777777" w:rsidR="003D6A63" w:rsidRDefault="00000000">
            <w:pPr>
              <w:widowControl/>
              <w:adjustRightInd w:val="0"/>
              <w:snapToGrid w:val="0"/>
              <w:rPr>
                <w:color w:val="000000" w:themeColor="text1"/>
                <w:kern w:val="0"/>
                <w:szCs w:val="21"/>
              </w:rPr>
            </w:pPr>
            <w:r>
              <w:rPr>
                <w:color w:val="000000" w:themeColor="text1"/>
                <w:kern w:val="0"/>
                <w:szCs w:val="21"/>
              </w:rPr>
              <w:t>此项不涉及。</w:t>
            </w:r>
          </w:p>
        </w:tc>
      </w:tr>
      <w:tr w:rsidR="003D6A63" w14:paraId="3D04E522" w14:textId="77777777">
        <w:trPr>
          <w:trHeight w:val="340"/>
        </w:trPr>
        <w:tc>
          <w:tcPr>
            <w:tcW w:w="738" w:type="dxa"/>
            <w:vAlign w:val="center"/>
          </w:tcPr>
          <w:p w14:paraId="16C9904B"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21</w:t>
            </w:r>
          </w:p>
        </w:tc>
        <w:tc>
          <w:tcPr>
            <w:tcW w:w="5528" w:type="dxa"/>
            <w:vAlign w:val="center"/>
          </w:tcPr>
          <w:p w14:paraId="4DB14A50"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排水系统安全风险隐患：</w:t>
            </w:r>
            <w:r>
              <w:rPr>
                <w:bCs/>
                <w:snapToGrid w:val="0"/>
                <w:color w:val="000000" w:themeColor="text1"/>
                <w:kern w:val="0"/>
                <w:szCs w:val="21"/>
              </w:rPr>
              <w:t>未按照设计和规程要求建立排水系统，或者排水系统不完好、不可靠。</w:t>
            </w:r>
          </w:p>
        </w:tc>
        <w:tc>
          <w:tcPr>
            <w:tcW w:w="3134" w:type="dxa"/>
            <w:vAlign w:val="center"/>
          </w:tcPr>
          <w:p w14:paraId="257CBA54" w14:textId="77777777" w:rsidR="003D6A63" w:rsidRDefault="00000000">
            <w:pPr>
              <w:widowControl/>
              <w:adjustRightInd w:val="0"/>
              <w:snapToGrid w:val="0"/>
              <w:rPr>
                <w:color w:val="000000" w:themeColor="text1"/>
                <w:kern w:val="0"/>
                <w:szCs w:val="21"/>
              </w:rPr>
            </w:pPr>
            <w:r>
              <w:rPr>
                <w:color w:val="000000" w:themeColor="text1"/>
                <w:kern w:val="0"/>
                <w:szCs w:val="21"/>
              </w:rPr>
              <w:t>此项不涉及。</w:t>
            </w:r>
          </w:p>
        </w:tc>
      </w:tr>
      <w:tr w:rsidR="003D6A63" w14:paraId="5D389E07" w14:textId="77777777">
        <w:trPr>
          <w:trHeight w:val="340"/>
        </w:trPr>
        <w:tc>
          <w:tcPr>
            <w:tcW w:w="738" w:type="dxa"/>
            <w:vAlign w:val="center"/>
          </w:tcPr>
          <w:p w14:paraId="7FD7212A"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22</w:t>
            </w:r>
          </w:p>
        </w:tc>
        <w:tc>
          <w:tcPr>
            <w:tcW w:w="5528" w:type="dxa"/>
            <w:vAlign w:val="center"/>
          </w:tcPr>
          <w:p w14:paraId="7B2043F6"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探放水安全风险隐患：</w:t>
            </w:r>
            <w:r>
              <w:rPr>
                <w:bCs/>
                <w:snapToGrid w:val="0"/>
                <w:color w:val="000000" w:themeColor="text1"/>
                <w:kern w:val="0"/>
                <w:szCs w:val="21"/>
              </w:rPr>
              <w:t>未制定并落实探放水制度，或者未落实</w:t>
            </w:r>
            <w:r>
              <w:rPr>
                <w:bCs/>
                <w:snapToGrid w:val="0"/>
                <w:color w:val="000000" w:themeColor="text1"/>
                <w:kern w:val="0"/>
                <w:szCs w:val="21"/>
              </w:rPr>
              <w:t>“</w:t>
            </w:r>
            <w:r>
              <w:rPr>
                <w:bCs/>
                <w:snapToGrid w:val="0"/>
                <w:color w:val="000000" w:themeColor="text1"/>
                <w:kern w:val="0"/>
                <w:szCs w:val="21"/>
              </w:rPr>
              <w:t>防、堵、疏、排、截</w:t>
            </w:r>
            <w:r>
              <w:rPr>
                <w:bCs/>
                <w:snapToGrid w:val="0"/>
                <w:color w:val="000000" w:themeColor="text1"/>
                <w:kern w:val="0"/>
                <w:szCs w:val="21"/>
              </w:rPr>
              <w:t>”</w:t>
            </w:r>
            <w:r>
              <w:rPr>
                <w:bCs/>
                <w:snapToGrid w:val="0"/>
                <w:color w:val="000000" w:themeColor="text1"/>
                <w:kern w:val="0"/>
                <w:szCs w:val="21"/>
              </w:rPr>
              <w:t>和</w:t>
            </w:r>
            <w:r>
              <w:rPr>
                <w:bCs/>
                <w:snapToGrid w:val="0"/>
                <w:color w:val="000000" w:themeColor="text1"/>
                <w:kern w:val="0"/>
                <w:szCs w:val="21"/>
              </w:rPr>
              <w:t>“</w:t>
            </w:r>
            <w:r>
              <w:rPr>
                <w:bCs/>
                <w:snapToGrid w:val="0"/>
                <w:color w:val="000000" w:themeColor="text1"/>
                <w:kern w:val="0"/>
                <w:szCs w:val="21"/>
              </w:rPr>
              <w:t>三专两探一撤</w:t>
            </w:r>
            <w:r>
              <w:rPr>
                <w:bCs/>
                <w:snapToGrid w:val="0"/>
                <w:color w:val="000000" w:themeColor="text1"/>
                <w:kern w:val="0"/>
                <w:szCs w:val="21"/>
              </w:rPr>
              <w:t>”</w:t>
            </w:r>
            <w:r>
              <w:rPr>
                <w:bCs/>
                <w:snapToGrid w:val="0"/>
                <w:color w:val="000000" w:themeColor="text1"/>
                <w:kern w:val="0"/>
                <w:szCs w:val="21"/>
              </w:rPr>
              <w:t>等措施。</w:t>
            </w:r>
          </w:p>
        </w:tc>
        <w:tc>
          <w:tcPr>
            <w:tcW w:w="3134" w:type="dxa"/>
            <w:vAlign w:val="center"/>
          </w:tcPr>
          <w:p w14:paraId="1FDC3060" w14:textId="77777777" w:rsidR="003D6A63" w:rsidRDefault="00000000">
            <w:pPr>
              <w:widowControl/>
              <w:adjustRightInd w:val="0"/>
              <w:snapToGrid w:val="0"/>
              <w:rPr>
                <w:color w:val="000000" w:themeColor="text1"/>
                <w:kern w:val="0"/>
                <w:szCs w:val="21"/>
              </w:rPr>
            </w:pPr>
            <w:r>
              <w:rPr>
                <w:color w:val="000000" w:themeColor="text1"/>
                <w:kern w:val="0"/>
                <w:szCs w:val="21"/>
              </w:rPr>
              <w:t>此项不涉及。</w:t>
            </w:r>
          </w:p>
        </w:tc>
      </w:tr>
      <w:tr w:rsidR="003D6A63" w14:paraId="10520CC8" w14:textId="77777777">
        <w:trPr>
          <w:trHeight w:val="340"/>
        </w:trPr>
        <w:tc>
          <w:tcPr>
            <w:tcW w:w="738" w:type="dxa"/>
            <w:vAlign w:val="center"/>
          </w:tcPr>
          <w:p w14:paraId="60135380"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23</w:t>
            </w:r>
          </w:p>
        </w:tc>
        <w:tc>
          <w:tcPr>
            <w:tcW w:w="5528" w:type="dxa"/>
            <w:vAlign w:val="center"/>
          </w:tcPr>
          <w:p w14:paraId="607730FC"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通风系统安全风险隐患：</w:t>
            </w:r>
            <w:r>
              <w:rPr>
                <w:bCs/>
                <w:snapToGrid w:val="0"/>
                <w:color w:val="000000" w:themeColor="text1"/>
                <w:kern w:val="0"/>
                <w:szCs w:val="21"/>
              </w:rPr>
              <w:t>未按要求建立机械通风系统、安装通风构筑物。未按规定安装主要通风机和局部通风机，或者风速、风量、风质不符合标准。</w:t>
            </w:r>
          </w:p>
        </w:tc>
        <w:tc>
          <w:tcPr>
            <w:tcW w:w="3134" w:type="dxa"/>
            <w:vAlign w:val="center"/>
          </w:tcPr>
          <w:p w14:paraId="579F2B6E" w14:textId="77777777" w:rsidR="003D6A63" w:rsidRDefault="00000000">
            <w:pPr>
              <w:widowControl/>
              <w:adjustRightInd w:val="0"/>
              <w:snapToGrid w:val="0"/>
              <w:rPr>
                <w:color w:val="000000" w:themeColor="text1"/>
                <w:kern w:val="0"/>
                <w:szCs w:val="21"/>
              </w:rPr>
            </w:pPr>
            <w:r>
              <w:rPr>
                <w:color w:val="000000" w:themeColor="text1"/>
                <w:kern w:val="0"/>
                <w:szCs w:val="21"/>
              </w:rPr>
              <w:t>此项不涉及。</w:t>
            </w:r>
          </w:p>
        </w:tc>
      </w:tr>
      <w:tr w:rsidR="003D6A63" w14:paraId="6DE8DB23" w14:textId="77777777">
        <w:trPr>
          <w:trHeight w:val="340"/>
        </w:trPr>
        <w:tc>
          <w:tcPr>
            <w:tcW w:w="738" w:type="dxa"/>
            <w:vAlign w:val="center"/>
          </w:tcPr>
          <w:p w14:paraId="36C104C3"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24</w:t>
            </w:r>
          </w:p>
        </w:tc>
        <w:tc>
          <w:tcPr>
            <w:tcW w:w="5528" w:type="dxa"/>
            <w:vAlign w:val="center"/>
          </w:tcPr>
          <w:p w14:paraId="25E077D8" w14:textId="77777777" w:rsidR="003D6A63" w:rsidRDefault="00000000">
            <w:pPr>
              <w:widowControl/>
              <w:adjustRightInd w:val="0"/>
              <w:snapToGrid w:val="0"/>
              <w:rPr>
                <w:b/>
                <w:snapToGrid w:val="0"/>
                <w:color w:val="000000" w:themeColor="text1"/>
                <w:kern w:val="0"/>
                <w:szCs w:val="21"/>
              </w:rPr>
            </w:pPr>
            <w:r>
              <w:rPr>
                <w:b/>
                <w:snapToGrid w:val="0"/>
                <w:color w:val="000000" w:themeColor="text1"/>
                <w:kern w:val="0"/>
                <w:szCs w:val="21"/>
              </w:rPr>
              <w:t>提升系统安全风险隐患：</w:t>
            </w:r>
            <w:r>
              <w:rPr>
                <w:bCs/>
                <w:snapToGrid w:val="0"/>
                <w:color w:val="000000" w:themeColor="text1"/>
                <w:kern w:val="0"/>
                <w:szCs w:val="21"/>
              </w:rPr>
              <w:t>罐笼、安全门、摇台（托台）、阻车器等未与提升机信号实现连锁，提升信号未与提升机控制闭锁。斜井未按规定设置常闭式防跑车装置、阻车器或挡车栏、躲避硐室、轨道防滑装置等设施。</w:t>
            </w:r>
          </w:p>
        </w:tc>
        <w:tc>
          <w:tcPr>
            <w:tcW w:w="3134" w:type="dxa"/>
            <w:vAlign w:val="center"/>
          </w:tcPr>
          <w:p w14:paraId="2F626C7E" w14:textId="77777777" w:rsidR="003D6A63" w:rsidRDefault="00000000">
            <w:pPr>
              <w:widowControl/>
              <w:adjustRightInd w:val="0"/>
              <w:snapToGrid w:val="0"/>
              <w:rPr>
                <w:color w:val="000000" w:themeColor="text1"/>
                <w:kern w:val="0"/>
                <w:szCs w:val="21"/>
              </w:rPr>
            </w:pPr>
            <w:r>
              <w:rPr>
                <w:color w:val="000000" w:themeColor="text1"/>
                <w:kern w:val="0"/>
                <w:szCs w:val="21"/>
              </w:rPr>
              <w:t>此项不涉及。</w:t>
            </w:r>
          </w:p>
        </w:tc>
      </w:tr>
      <w:tr w:rsidR="003D6A63" w14:paraId="1713C470" w14:textId="77777777">
        <w:trPr>
          <w:trHeight w:val="340"/>
        </w:trPr>
        <w:tc>
          <w:tcPr>
            <w:tcW w:w="738" w:type="dxa"/>
            <w:vAlign w:val="center"/>
          </w:tcPr>
          <w:p w14:paraId="192BC4DB"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25</w:t>
            </w:r>
          </w:p>
        </w:tc>
        <w:tc>
          <w:tcPr>
            <w:tcW w:w="5528" w:type="dxa"/>
            <w:vAlign w:val="center"/>
          </w:tcPr>
          <w:p w14:paraId="3F2BB1D7" w14:textId="77777777" w:rsidR="003D6A63" w:rsidRDefault="00000000">
            <w:pPr>
              <w:widowControl/>
              <w:adjustRightInd w:val="0"/>
              <w:snapToGrid w:val="0"/>
              <w:rPr>
                <w:b/>
                <w:snapToGrid w:val="0"/>
                <w:color w:val="000000" w:themeColor="text1"/>
                <w:kern w:val="0"/>
                <w:szCs w:val="21"/>
              </w:rPr>
            </w:pPr>
            <w:r>
              <w:rPr>
                <w:b/>
                <w:snapToGrid w:val="0"/>
                <w:color w:val="000000" w:themeColor="text1"/>
                <w:kern w:val="0"/>
                <w:szCs w:val="21"/>
              </w:rPr>
              <w:t>露天矿山安全风险隐患：</w:t>
            </w:r>
            <w:r>
              <w:rPr>
                <w:bCs/>
                <w:snapToGrid w:val="0"/>
                <w:color w:val="000000" w:themeColor="text1"/>
                <w:kern w:val="0"/>
                <w:szCs w:val="21"/>
              </w:rPr>
              <w:t>未按规定采用自上而下、分台阶或者分层的方式进行开采。或者工作帮坡角、台阶（分层）高度等开采参数不符合设计或标准要求。</w:t>
            </w:r>
          </w:p>
        </w:tc>
        <w:tc>
          <w:tcPr>
            <w:tcW w:w="3134" w:type="dxa"/>
            <w:vAlign w:val="center"/>
          </w:tcPr>
          <w:p w14:paraId="0A526C5C" w14:textId="77777777" w:rsidR="003D6A63" w:rsidRDefault="00000000">
            <w:pPr>
              <w:widowControl/>
              <w:adjustRightInd w:val="0"/>
              <w:snapToGrid w:val="0"/>
              <w:rPr>
                <w:color w:val="000000" w:themeColor="text1"/>
                <w:kern w:val="0"/>
                <w:szCs w:val="21"/>
              </w:rPr>
            </w:pPr>
            <w:r>
              <w:rPr>
                <w:color w:val="000000" w:themeColor="text1"/>
                <w:kern w:val="0"/>
                <w:szCs w:val="21"/>
              </w:rPr>
              <w:t>此项不涉及。</w:t>
            </w:r>
          </w:p>
        </w:tc>
      </w:tr>
      <w:tr w:rsidR="003D6A63" w14:paraId="03573B2C" w14:textId="77777777">
        <w:trPr>
          <w:trHeight w:val="340"/>
        </w:trPr>
        <w:tc>
          <w:tcPr>
            <w:tcW w:w="738" w:type="dxa"/>
            <w:vAlign w:val="center"/>
          </w:tcPr>
          <w:p w14:paraId="6C63CD4F"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26</w:t>
            </w:r>
          </w:p>
        </w:tc>
        <w:tc>
          <w:tcPr>
            <w:tcW w:w="5528" w:type="dxa"/>
            <w:vAlign w:val="center"/>
          </w:tcPr>
          <w:p w14:paraId="4BC83A9F" w14:textId="77777777" w:rsidR="003D6A63" w:rsidRDefault="00000000">
            <w:pPr>
              <w:widowControl/>
              <w:adjustRightInd w:val="0"/>
              <w:snapToGrid w:val="0"/>
              <w:rPr>
                <w:b/>
                <w:snapToGrid w:val="0"/>
                <w:color w:val="000000" w:themeColor="text1"/>
                <w:kern w:val="0"/>
                <w:szCs w:val="21"/>
              </w:rPr>
            </w:pPr>
            <w:r>
              <w:rPr>
                <w:b/>
                <w:snapToGrid w:val="0"/>
                <w:color w:val="000000" w:themeColor="text1"/>
                <w:kern w:val="0"/>
                <w:szCs w:val="21"/>
              </w:rPr>
              <w:t>尾矿库安全风险隐患：</w:t>
            </w:r>
            <w:r>
              <w:rPr>
                <w:bCs/>
                <w:snapToGrid w:val="0"/>
                <w:color w:val="000000" w:themeColor="text1"/>
                <w:kern w:val="0"/>
                <w:szCs w:val="21"/>
              </w:rPr>
              <w:t>尾矿库坝高、库容、坡比、安全超高、干滩长度、浸润线埋深以及堆积坝上升速率等参数不符合设计或标准要求，未按规定对坝体稳定性进行评估、对排洪系统进行检查。</w:t>
            </w:r>
          </w:p>
        </w:tc>
        <w:tc>
          <w:tcPr>
            <w:tcW w:w="3134" w:type="dxa"/>
            <w:vAlign w:val="center"/>
          </w:tcPr>
          <w:p w14:paraId="5B7DC764" w14:textId="77777777" w:rsidR="003D6A63" w:rsidRDefault="00000000">
            <w:pPr>
              <w:widowControl/>
              <w:adjustRightInd w:val="0"/>
              <w:snapToGrid w:val="0"/>
              <w:rPr>
                <w:color w:val="000000" w:themeColor="text1"/>
                <w:kern w:val="0"/>
                <w:szCs w:val="21"/>
              </w:rPr>
            </w:pPr>
            <w:r>
              <w:rPr>
                <w:color w:val="000000" w:themeColor="text1"/>
                <w:kern w:val="0"/>
                <w:szCs w:val="21"/>
              </w:rPr>
              <w:t>此项不涉及。</w:t>
            </w:r>
          </w:p>
        </w:tc>
      </w:tr>
      <w:tr w:rsidR="003D6A63" w14:paraId="27B29CD9" w14:textId="77777777">
        <w:trPr>
          <w:trHeight w:val="340"/>
        </w:trPr>
        <w:tc>
          <w:tcPr>
            <w:tcW w:w="738" w:type="dxa"/>
            <w:vAlign w:val="center"/>
          </w:tcPr>
          <w:p w14:paraId="4485B36B"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27</w:t>
            </w:r>
          </w:p>
        </w:tc>
        <w:tc>
          <w:tcPr>
            <w:tcW w:w="5528" w:type="dxa"/>
            <w:vAlign w:val="center"/>
          </w:tcPr>
          <w:p w14:paraId="5840DEB2"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应急电源安全风险隐患：</w:t>
            </w:r>
            <w:r>
              <w:rPr>
                <w:bCs/>
                <w:snapToGrid w:val="0"/>
                <w:color w:val="000000" w:themeColor="text1"/>
                <w:kern w:val="0"/>
                <w:szCs w:val="21"/>
              </w:rPr>
              <w:t>矿山未按规定配备应急电源，一级负荷未按规定采用双回路或双电源供电。</w:t>
            </w:r>
          </w:p>
        </w:tc>
        <w:tc>
          <w:tcPr>
            <w:tcW w:w="3134" w:type="dxa"/>
            <w:vAlign w:val="center"/>
          </w:tcPr>
          <w:p w14:paraId="4BAC2FCD" w14:textId="77777777" w:rsidR="003D6A63" w:rsidRDefault="00000000">
            <w:pPr>
              <w:widowControl/>
              <w:adjustRightInd w:val="0"/>
              <w:snapToGrid w:val="0"/>
              <w:rPr>
                <w:color w:val="000000" w:themeColor="text1"/>
                <w:kern w:val="0"/>
                <w:szCs w:val="21"/>
              </w:rPr>
            </w:pPr>
            <w:r>
              <w:rPr>
                <w:color w:val="000000" w:themeColor="text1"/>
                <w:kern w:val="0"/>
                <w:szCs w:val="21"/>
              </w:rPr>
              <w:t>此项不涉及。</w:t>
            </w:r>
          </w:p>
        </w:tc>
      </w:tr>
      <w:tr w:rsidR="003D6A63" w14:paraId="4EB16450" w14:textId="77777777">
        <w:trPr>
          <w:trHeight w:val="340"/>
        </w:trPr>
        <w:tc>
          <w:tcPr>
            <w:tcW w:w="738" w:type="dxa"/>
            <w:vAlign w:val="center"/>
          </w:tcPr>
          <w:p w14:paraId="0A37EE5A" w14:textId="77777777" w:rsidR="003D6A63" w:rsidRDefault="00000000">
            <w:pPr>
              <w:widowControl/>
              <w:adjustRightInd w:val="0"/>
              <w:snapToGrid w:val="0"/>
              <w:jc w:val="center"/>
              <w:rPr>
                <w:bCs/>
                <w:snapToGrid w:val="0"/>
                <w:color w:val="000000" w:themeColor="text1"/>
                <w:szCs w:val="21"/>
              </w:rPr>
            </w:pPr>
            <w:r>
              <w:rPr>
                <w:bCs/>
                <w:snapToGrid w:val="0"/>
                <w:color w:val="000000" w:themeColor="text1"/>
                <w:szCs w:val="21"/>
              </w:rPr>
              <w:t>28</w:t>
            </w:r>
          </w:p>
        </w:tc>
        <w:tc>
          <w:tcPr>
            <w:tcW w:w="5528" w:type="dxa"/>
            <w:vAlign w:val="center"/>
          </w:tcPr>
          <w:p w14:paraId="1EBFAB0B" w14:textId="77777777" w:rsidR="003D6A63" w:rsidRDefault="00000000">
            <w:pPr>
              <w:widowControl/>
              <w:adjustRightInd w:val="0"/>
              <w:snapToGrid w:val="0"/>
              <w:rPr>
                <w:bCs/>
                <w:snapToGrid w:val="0"/>
                <w:color w:val="000000" w:themeColor="text1"/>
                <w:kern w:val="0"/>
                <w:szCs w:val="21"/>
              </w:rPr>
            </w:pPr>
            <w:r>
              <w:rPr>
                <w:b/>
                <w:snapToGrid w:val="0"/>
                <w:color w:val="000000" w:themeColor="text1"/>
                <w:kern w:val="0"/>
                <w:szCs w:val="21"/>
              </w:rPr>
              <w:t>外包工程安全风险隐患：</w:t>
            </w:r>
            <w:r>
              <w:rPr>
                <w:bCs/>
                <w:snapToGrid w:val="0"/>
                <w:color w:val="000000" w:themeColor="text1"/>
                <w:kern w:val="0"/>
                <w:szCs w:val="21"/>
              </w:rPr>
              <w:t>外包工程未实行</w:t>
            </w:r>
            <w:r>
              <w:rPr>
                <w:bCs/>
                <w:snapToGrid w:val="0"/>
                <w:color w:val="000000" w:themeColor="text1"/>
                <w:kern w:val="0"/>
                <w:szCs w:val="21"/>
              </w:rPr>
              <w:t>“</w:t>
            </w:r>
            <w:r>
              <w:rPr>
                <w:bCs/>
                <w:snapToGrid w:val="0"/>
                <w:color w:val="000000" w:themeColor="text1"/>
                <w:kern w:val="0"/>
                <w:szCs w:val="21"/>
              </w:rPr>
              <w:t>五统一</w:t>
            </w:r>
            <w:r>
              <w:rPr>
                <w:bCs/>
                <w:snapToGrid w:val="0"/>
                <w:color w:val="000000" w:themeColor="text1"/>
                <w:kern w:val="0"/>
                <w:szCs w:val="21"/>
              </w:rPr>
              <w:t>”</w:t>
            </w:r>
            <w:r>
              <w:rPr>
                <w:bCs/>
                <w:snapToGrid w:val="0"/>
                <w:color w:val="000000" w:themeColor="text1"/>
                <w:kern w:val="0"/>
                <w:szCs w:val="21"/>
              </w:rPr>
              <w:t>管理，非法分包、转包。项目部未按规定设置管理机构、配备安全管理人员和技术人员。</w:t>
            </w:r>
          </w:p>
        </w:tc>
        <w:tc>
          <w:tcPr>
            <w:tcW w:w="3134" w:type="dxa"/>
            <w:vAlign w:val="center"/>
          </w:tcPr>
          <w:p w14:paraId="3A118F40" w14:textId="77777777" w:rsidR="003D6A63" w:rsidRDefault="00000000">
            <w:pPr>
              <w:widowControl/>
              <w:adjustRightInd w:val="0"/>
              <w:snapToGrid w:val="0"/>
              <w:rPr>
                <w:color w:val="000000" w:themeColor="text1"/>
                <w:kern w:val="0"/>
                <w:szCs w:val="21"/>
              </w:rPr>
            </w:pPr>
            <w:r>
              <w:rPr>
                <w:rFonts w:hint="eastAsia"/>
                <w:color w:val="000000" w:themeColor="text1"/>
                <w:szCs w:val="21"/>
              </w:rPr>
              <w:t>建立有《中胜公司承包商</w:t>
            </w:r>
            <w:r>
              <w:rPr>
                <w:rFonts w:hint="eastAsia"/>
                <w:color w:val="000000" w:themeColor="text1"/>
                <w:szCs w:val="21"/>
              </w:rPr>
              <w:t>HSE</w:t>
            </w:r>
            <w:r>
              <w:rPr>
                <w:rFonts w:hint="eastAsia"/>
                <w:color w:val="000000" w:themeColor="text1"/>
                <w:szCs w:val="21"/>
              </w:rPr>
              <w:t>监督管理细则》，实行“五统一”管理</w:t>
            </w:r>
            <w:r>
              <w:rPr>
                <w:rFonts w:hint="eastAsia"/>
                <w:color w:val="000000" w:themeColor="text1"/>
                <w:szCs w:val="21"/>
                <w:lang w:val="zh-CN"/>
              </w:rPr>
              <w:t>。</w:t>
            </w:r>
          </w:p>
        </w:tc>
      </w:tr>
    </w:tbl>
    <w:p w14:paraId="066237A5" w14:textId="77777777" w:rsidR="003D6A63" w:rsidRDefault="00000000">
      <w:pPr>
        <w:pStyle w:val="3"/>
        <w:keepNext w:val="0"/>
        <w:keepLines w:val="0"/>
        <w:spacing w:beforeLines="50" w:before="120" w:after="0" w:line="360" w:lineRule="auto"/>
        <w:rPr>
          <w:rFonts w:eastAsia="黑体"/>
          <w:b w:val="0"/>
          <w:spacing w:val="0"/>
          <w:sz w:val="24"/>
          <w:szCs w:val="24"/>
        </w:rPr>
      </w:pPr>
      <w:r>
        <w:rPr>
          <w:rFonts w:eastAsia="黑体" w:hint="eastAsia"/>
          <w:b w:val="0"/>
          <w:spacing w:val="0"/>
          <w:sz w:val="24"/>
          <w:szCs w:val="24"/>
        </w:rPr>
        <w:t xml:space="preserve">6.3.3  </w:t>
      </w:r>
      <w:r>
        <w:rPr>
          <w:rFonts w:eastAsia="黑体" w:hint="eastAsia"/>
          <w:b w:val="0"/>
          <w:spacing w:val="0"/>
          <w:sz w:val="24"/>
          <w:szCs w:val="24"/>
        </w:rPr>
        <w:t>单元小结</w:t>
      </w:r>
    </w:p>
    <w:p w14:paraId="00FD5B9C" w14:textId="77777777" w:rsidR="003D6A63" w:rsidRDefault="00000000">
      <w:pPr>
        <w:adjustRightInd w:val="0"/>
        <w:snapToGrid w:val="0"/>
        <w:spacing w:line="360" w:lineRule="auto"/>
        <w:ind w:firstLineChars="200" w:firstLine="480"/>
        <w:rPr>
          <w:color w:val="000000" w:themeColor="text1"/>
          <w:sz w:val="24"/>
        </w:rPr>
      </w:pPr>
      <w:r>
        <w:rPr>
          <w:rFonts w:hint="eastAsia"/>
          <w:sz w:val="24"/>
        </w:rPr>
        <w:t>根据《非煤矿矿山企业安全生产许可证实施办法》（原国家安全生产监督管理总局令〔</w:t>
      </w:r>
      <w:r>
        <w:rPr>
          <w:rFonts w:hint="eastAsia"/>
          <w:sz w:val="24"/>
        </w:rPr>
        <w:t>2009</w:t>
      </w:r>
      <w:r>
        <w:rPr>
          <w:rFonts w:hint="eastAsia"/>
          <w:sz w:val="24"/>
        </w:rPr>
        <w:t>〕第</w:t>
      </w:r>
      <w:r>
        <w:rPr>
          <w:rFonts w:hint="eastAsia"/>
          <w:sz w:val="24"/>
        </w:rPr>
        <w:t>20</w:t>
      </w:r>
      <w:r>
        <w:rPr>
          <w:rFonts w:hint="eastAsia"/>
          <w:sz w:val="24"/>
        </w:rPr>
        <w:t>号，</w:t>
      </w:r>
      <w:r>
        <w:rPr>
          <w:rFonts w:hint="eastAsia"/>
          <w:sz w:val="24"/>
        </w:rPr>
        <w:t>2015</w:t>
      </w:r>
      <w:r>
        <w:rPr>
          <w:rFonts w:hint="eastAsia"/>
          <w:sz w:val="24"/>
        </w:rPr>
        <w:t>第</w:t>
      </w:r>
      <w:r>
        <w:rPr>
          <w:rFonts w:hint="eastAsia"/>
          <w:sz w:val="24"/>
        </w:rPr>
        <w:t>78</w:t>
      </w:r>
      <w:r>
        <w:rPr>
          <w:rFonts w:hint="eastAsia"/>
          <w:sz w:val="24"/>
        </w:rPr>
        <w:t>号令修订）对胜利油田中胜石油开发有限责任公司的</w:t>
      </w:r>
      <w:r>
        <w:rPr>
          <w:rFonts w:hint="eastAsia"/>
          <w:sz w:val="24"/>
        </w:rPr>
        <w:t>12</w:t>
      </w:r>
      <w:r>
        <w:rPr>
          <w:rFonts w:hint="eastAsia"/>
          <w:sz w:val="24"/>
        </w:rPr>
        <w:t>项</w:t>
      </w:r>
      <w:r>
        <w:rPr>
          <w:sz w:val="24"/>
        </w:rPr>
        <w:t>非煤矿矿山企业的安全生产条件进行审查</w:t>
      </w:r>
      <w:r>
        <w:rPr>
          <w:rFonts w:hint="eastAsia"/>
          <w:bCs/>
          <w:snapToGrid w:val="0"/>
          <w:kern w:val="0"/>
          <w:sz w:val="24"/>
        </w:rPr>
        <w:t>，</w:t>
      </w:r>
      <w:r>
        <w:rPr>
          <w:bCs/>
          <w:snapToGrid w:val="0"/>
          <w:kern w:val="0"/>
          <w:sz w:val="24"/>
        </w:rPr>
        <w:t>有</w:t>
      </w:r>
      <w:r>
        <w:rPr>
          <w:bCs/>
          <w:snapToGrid w:val="0"/>
          <w:kern w:val="0"/>
          <w:sz w:val="24"/>
        </w:rPr>
        <w:t>1</w:t>
      </w:r>
      <w:r>
        <w:rPr>
          <w:rFonts w:hint="eastAsia"/>
          <w:bCs/>
          <w:snapToGrid w:val="0"/>
          <w:kern w:val="0"/>
          <w:sz w:val="24"/>
        </w:rPr>
        <w:t>1</w:t>
      </w:r>
      <w:r>
        <w:rPr>
          <w:bCs/>
          <w:snapToGrid w:val="0"/>
          <w:kern w:val="0"/>
          <w:sz w:val="24"/>
        </w:rPr>
        <w:t>项检查项为符合，</w:t>
      </w:r>
      <w:r>
        <w:rPr>
          <w:rFonts w:hint="eastAsia"/>
          <w:bCs/>
          <w:snapToGrid w:val="0"/>
          <w:kern w:val="0"/>
          <w:sz w:val="24"/>
        </w:rPr>
        <w:t>1</w:t>
      </w:r>
      <w:r>
        <w:rPr>
          <w:bCs/>
          <w:snapToGrid w:val="0"/>
          <w:kern w:val="0"/>
          <w:sz w:val="24"/>
        </w:rPr>
        <w:t>项检查项</w:t>
      </w:r>
      <w:r>
        <w:rPr>
          <w:rFonts w:hint="eastAsia"/>
          <w:bCs/>
          <w:snapToGrid w:val="0"/>
          <w:kern w:val="0"/>
          <w:sz w:val="24"/>
        </w:rPr>
        <w:t>不</w:t>
      </w:r>
      <w:r>
        <w:rPr>
          <w:rFonts w:hint="eastAsia"/>
          <w:bCs/>
          <w:snapToGrid w:val="0"/>
          <w:kern w:val="0"/>
          <w:sz w:val="24"/>
        </w:rPr>
        <w:lastRenderedPageBreak/>
        <w:t>涉及。</w:t>
      </w:r>
      <w:r>
        <w:rPr>
          <w:bCs/>
          <w:snapToGrid w:val="0"/>
          <w:kern w:val="0"/>
          <w:sz w:val="24"/>
        </w:rPr>
        <w:t>因此，</w:t>
      </w:r>
      <w:r>
        <w:rPr>
          <w:rFonts w:hint="eastAsia"/>
          <w:bCs/>
          <w:snapToGrid w:val="0"/>
          <w:kern w:val="0"/>
          <w:sz w:val="24"/>
        </w:rPr>
        <w:t>中胜公司具备陆上采油（气）</w:t>
      </w:r>
      <w:r>
        <w:rPr>
          <w:sz w:val="24"/>
        </w:rPr>
        <w:t>安全生产条件</w:t>
      </w:r>
      <w:r>
        <w:rPr>
          <w:bCs/>
          <w:snapToGrid w:val="0"/>
          <w:kern w:val="0"/>
          <w:sz w:val="24"/>
        </w:rPr>
        <w:t>。</w:t>
      </w:r>
    </w:p>
    <w:p w14:paraId="12B018A9" w14:textId="77777777" w:rsidR="003D6A63" w:rsidRDefault="00000000">
      <w:pPr>
        <w:adjustRightInd w:val="0"/>
        <w:snapToGrid w:val="0"/>
        <w:spacing w:line="360" w:lineRule="auto"/>
        <w:ind w:firstLineChars="200" w:firstLine="480"/>
        <w:rPr>
          <w:bCs/>
          <w:snapToGrid w:val="0"/>
          <w:kern w:val="0"/>
          <w:sz w:val="24"/>
        </w:rPr>
      </w:pPr>
      <w:r>
        <w:rPr>
          <w:rFonts w:hint="eastAsia"/>
          <w:bCs/>
          <w:snapToGrid w:val="0"/>
          <w:kern w:val="0"/>
          <w:sz w:val="24"/>
        </w:rPr>
        <w:t>根据</w:t>
      </w:r>
      <w:r>
        <w:rPr>
          <w:sz w:val="24"/>
          <w:szCs w:val="21"/>
        </w:rPr>
        <w:t>《重点行业领域重大安全风险隐患清单》（鲁安发</w:t>
      </w:r>
      <w:r>
        <w:rPr>
          <w:rFonts w:hint="eastAsia"/>
          <w:sz w:val="24"/>
          <w:szCs w:val="21"/>
        </w:rPr>
        <w:t>〔</w:t>
      </w:r>
      <w:r>
        <w:rPr>
          <w:sz w:val="24"/>
          <w:szCs w:val="21"/>
        </w:rPr>
        <w:t>2022</w:t>
      </w:r>
      <w:r>
        <w:rPr>
          <w:rFonts w:hint="eastAsia"/>
          <w:sz w:val="24"/>
          <w:szCs w:val="21"/>
        </w:rPr>
        <w:t>〕</w:t>
      </w:r>
      <w:r>
        <w:rPr>
          <w:sz w:val="24"/>
          <w:szCs w:val="21"/>
        </w:rPr>
        <w:t>11</w:t>
      </w:r>
      <w:r>
        <w:rPr>
          <w:sz w:val="24"/>
          <w:szCs w:val="21"/>
        </w:rPr>
        <w:t>号）</w:t>
      </w:r>
      <w:r>
        <w:rPr>
          <w:rFonts w:hint="eastAsia"/>
          <w:sz w:val="24"/>
          <w:szCs w:val="21"/>
        </w:rPr>
        <w:t>，对中胜公司是否涉及重大安全风险隐患进行了判定，检查项为</w:t>
      </w:r>
      <w:r>
        <w:rPr>
          <w:rFonts w:hint="eastAsia"/>
          <w:sz w:val="24"/>
          <w:szCs w:val="21"/>
        </w:rPr>
        <w:t>28</w:t>
      </w:r>
      <w:r>
        <w:rPr>
          <w:rFonts w:hint="eastAsia"/>
          <w:sz w:val="24"/>
          <w:szCs w:val="21"/>
        </w:rPr>
        <w:t>项，</w:t>
      </w:r>
      <w:r>
        <w:rPr>
          <w:rFonts w:hint="eastAsia"/>
          <w:sz w:val="24"/>
          <w:szCs w:val="21"/>
        </w:rPr>
        <w:t>13</w:t>
      </w:r>
      <w:r>
        <w:rPr>
          <w:rFonts w:hint="eastAsia"/>
          <w:sz w:val="24"/>
          <w:szCs w:val="21"/>
        </w:rPr>
        <w:t>向符合要求，</w:t>
      </w:r>
      <w:r>
        <w:rPr>
          <w:rFonts w:hint="eastAsia"/>
          <w:sz w:val="24"/>
          <w:szCs w:val="21"/>
        </w:rPr>
        <w:t>15</w:t>
      </w:r>
      <w:r>
        <w:rPr>
          <w:rFonts w:hint="eastAsia"/>
          <w:sz w:val="24"/>
          <w:szCs w:val="21"/>
        </w:rPr>
        <w:t>项不涉及。因此，</w:t>
      </w:r>
      <w:r>
        <w:rPr>
          <w:rFonts w:hint="eastAsia"/>
          <w:color w:val="000000" w:themeColor="text1"/>
          <w:sz w:val="24"/>
        </w:rPr>
        <w:t>中胜公司</w:t>
      </w:r>
      <w:r>
        <w:rPr>
          <w:color w:val="000000" w:themeColor="text1"/>
          <w:sz w:val="24"/>
        </w:rPr>
        <w:t>不存在《重点行业领域重大安全风险隐患清单》（鲁安发</w:t>
      </w:r>
      <w:r>
        <w:rPr>
          <w:rFonts w:hint="eastAsia"/>
          <w:color w:val="000000" w:themeColor="text1"/>
          <w:sz w:val="24"/>
        </w:rPr>
        <w:t>〔</w:t>
      </w:r>
      <w:r>
        <w:rPr>
          <w:color w:val="000000" w:themeColor="text1"/>
          <w:sz w:val="24"/>
        </w:rPr>
        <w:t>2022</w:t>
      </w:r>
      <w:r>
        <w:rPr>
          <w:rFonts w:hint="eastAsia"/>
          <w:color w:val="000000" w:themeColor="text1"/>
          <w:sz w:val="24"/>
        </w:rPr>
        <w:t>〕</w:t>
      </w:r>
      <w:r>
        <w:rPr>
          <w:color w:val="000000" w:themeColor="text1"/>
          <w:sz w:val="24"/>
        </w:rPr>
        <w:t>11</w:t>
      </w:r>
      <w:r>
        <w:rPr>
          <w:color w:val="000000" w:themeColor="text1"/>
          <w:sz w:val="24"/>
        </w:rPr>
        <w:t>号）规定的重大安全风险隐患。</w:t>
      </w:r>
    </w:p>
    <w:p w14:paraId="08AECC96" w14:textId="77777777" w:rsidR="003D6A63" w:rsidRDefault="003D6A63">
      <w:pPr>
        <w:adjustRightInd w:val="0"/>
        <w:snapToGrid w:val="0"/>
        <w:spacing w:line="360" w:lineRule="auto"/>
        <w:ind w:firstLineChars="200" w:firstLine="482"/>
        <w:jc w:val="center"/>
        <w:rPr>
          <w:b/>
          <w:sz w:val="24"/>
          <w:szCs w:val="28"/>
        </w:rPr>
        <w:sectPr w:rsidR="003D6A63">
          <w:pgSz w:w="11906" w:h="16838"/>
          <w:pgMar w:top="1417" w:right="1417" w:bottom="1417" w:left="1417" w:header="964" w:footer="964" w:gutter="0"/>
          <w:cols w:space="425"/>
          <w:docGrid w:linePitch="312" w:charSpace="-1489"/>
        </w:sectPr>
      </w:pPr>
    </w:p>
    <w:p w14:paraId="34EB5685" w14:textId="77777777" w:rsidR="003D6A63" w:rsidRDefault="00000000">
      <w:pPr>
        <w:pStyle w:val="1"/>
        <w:keepNext w:val="0"/>
        <w:keepLines w:val="0"/>
        <w:spacing w:beforeLines="100" w:before="240" w:afterLines="100" w:after="240" w:line="360" w:lineRule="auto"/>
        <w:ind w:firstLine="200"/>
        <w:rPr>
          <w:rFonts w:eastAsia="黑体"/>
          <w:b w:val="0"/>
          <w:spacing w:val="0"/>
        </w:rPr>
      </w:pPr>
      <w:bookmarkStart w:id="109" w:name="_Toc6363"/>
      <w:bookmarkStart w:id="110" w:name="_Toc2591"/>
      <w:bookmarkStart w:id="111" w:name="_Toc31222"/>
      <w:bookmarkStart w:id="112" w:name="_Toc341963434"/>
      <w:r>
        <w:rPr>
          <w:rFonts w:eastAsia="黑体" w:hint="eastAsia"/>
          <w:b w:val="0"/>
          <w:spacing w:val="0"/>
        </w:rPr>
        <w:lastRenderedPageBreak/>
        <w:t xml:space="preserve">7  </w:t>
      </w:r>
      <w:r>
        <w:rPr>
          <w:rFonts w:eastAsia="黑体" w:hint="eastAsia"/>
          <w:b w:val="0"/>
          <w:spacing w:val="0"/>
        </w:rPr>
        <w:t>事故案例</w:t>
      </w:r>
      <w:bookmarkEnd w:id="109"/>
      <w:bookmarkEnd w:id="110"/>
      <w:bookmarkEnd w:id="111"/>
      <w:bookmarkEnd w:id="112"/>
    </w:p>
    <w:p w14:paraId="4362FB1B" w14:textId="77777777" w:rsidR="003D6A63" w:rsidRDefault="00000000">
      <w:pPr>
        <w:pStyle w:val="2"/>
        <w:keepNext w:val="0"/>
        <w:keepLines w:val="0"/>
        <w:spacing w:before="0" w:after="0" w:line="360" w:lineRule="auto"/>
        <w:rPr>
          <w:rFonts w:ascii="Times New Roman" w:hAnsi="Times New Roman"/>
          <w:b w:val="0"/>
          <w:spacing w:val="0"/>
          <w:sz w:val="28"/>
        </w:rPr>
      </w:pPr>
      <w:bookmarkStart w:id="113" w:name="_Toc4328"/>
      <w:bookmarkStart w:id="114" w:name="_Toc9638"/>
      <w:bookmarkStart w:id="115" w:name="_Toc442080413"/>
      <w:bookmarkStart w:id="116" w:name="_Toc275465145"/>
      <w:bookmarkStart w:id="117" w:name="_Toc9333"/>
      <w:bookmarkStart w:id="118" w:name="_Toc275238175"/>
      <w:bookmarkStart w:id="119" w:name="_Toc12406"/>
      <w:bookmarkStart w:id="120" w:name="_Toc289178365"/>
      <w:bookmarkStart w:id="121" w:name="_Toc386376986"/>
      <w:bookmarkStart w:id="122" w:name="_Toc370237579"/>
      <w:bookmarkStart w:id="123" w:name="_Toc370150576"/>
      <w:r>
        <w:rPr>
          <w:rFonts w:ascii="Times New Roman" w:hAnsi="Times New Roman" w:hint="eastAsia"/>
          <w:b w:val="0"/>
          <w:spacing w:val="0"/>
          <w:sz w:val="28"/>
        </w:rPr>
        <w:t xml:space="preserve">7.1  </w:t>
      </w:r>
      <w:r>
        <w:rPr>
          <w:rFonts w:ascii="Times New Roman" w:hAnsi="Times New Roman" w:hint="eastAsia"/>
          <w:b w:val="0"/>
          <w:spacing w:val="0"/>
          <w:sz w:val="28"/>
        </w:rPr>
        <w:t>未停机进防护栏，平衡块击中致人死亡</w:t>
      </w:r>
      <w:bookmarkEnd w:id="113"/>
      <w:bookmarkEnd w:id="114"/>
    </w:p>
    <w:p w14:paraId="47480147" w14:textId="77777777" w:rsidR="003D6A63" w:rsidRDefault="00000000">
      <w:pPr>
        <w:pStyle w:val="3"/>
        <w:keepNext w:val="0"/>
        <w:keepLines w:val="0"/>
        <w:spacing w:before="0" w:after="0" w:line="360" w:lineRule="auto"/>
        <w:rPr>
          <w:rFonts w:eastAsia="黑体"/>
          <w:b w:val="0"/>
          <w:spacing w:val="0"/>
          <w:sz w:val="24"/>
          <w:szCs w:val="24"/>
        </w:rPr>
      </w:pPr>
      <w:r>
        <w:rPr>
          <w:rFonts w:eastAsia="黑体" w:hint="eastAsia"/>
          <w:b w:val="0"/>
          <w:spacing w:val="0"/>
          <w:sz w:val="24"/>
          <w:szCs w:val="24"/>
        </w:rPr>
        <w:t xml:space="preserve">7.1.1  </w:t>
      </w:r>
      <w:r>
        <w:rPr>
          <w:rFonts w:eastAsia="黑体" w:hint="eastAsia"/>
          <w:b w:val="0"/>
          <w:spacing w:val="0"/>
          <w:sz w:val="24"/>
          <w:szCs w:val="24"/>
        </w:rPr>
        <w:t>事故经过</w:t>
      </w:r>
    </w:p>
    <w:p w14:paraId="3065E772" w14:textId="77777777" w:rsidR="003D6A63" w:rsidRDefault="00000000">
      <w:pPr>
        <w:pStyle w:val="28"/>
        <w:adjustRightInd w:val="0"/>
        <w:snapToGrid w:val="0"/>
        <w:ind w:left="0" w:firstLine="480"/>
        <w:rPr>
          <w:szCs w:val="24"/>
        </w:rPr>
      </w:pPr>
      <w:r>
        <w:rPr>
          <w:szCs w:val="24"/>
        </w:rPr>
        <w:t>某年7月25日，某</w:t>
      </w:r>
      <w:r>
        <w:rPr>
          <w:rFonts w:hint="eastAsia"/>
          <w:szCs w:val="24"/>
        </w:rPr>
        <w:t>公司</w:t>
      </w:r>
      <w:r>
        <w:rPr>
          <w:szCs w:val="24"/>
        </w:rPr>
        <w:t>计量站站长曾某和职工赵某对某井抽油机进行检查，检查完毕后在路过某站时，赵某到站内喝水，曾某独自骑三轮车南行。赵某喝完水后，循路往南找曾某，在骑车经过一口路边井时，发现曾某被平衡块击中倒在抽油机南侧的水泥基础上，经抢救无效死亡。</w:t>
      </w:r>
    </w:p>
    <w:p w14:paraId="506CD468" w14:textId="77777777" w:rsidR="003D6A63" w:rsidRDefault="00000000">
      <w:pPr>
        <w:pStyle w:val="3"/>
        <w:keepNext w:val="0"/>
        <w:keepLines w:val="0"/>
        <w:spacing w:before="0" w:after="0" w:line="360" w:lineRule="auto"/>
        <w:rPr>
          <w:rFonts w:eastAsia="黑体"/>
          <w:b w:val="0"/>
          <w:spacing w:val="0"/>
          <w:sz w:val="24"/>
          <w:szCs w:val="24"/>
        </w:rPr>
      </w:pPr>
      <w:r>
        <w:rPr>
          <w:rFonts w:eastAsia="黑体" w:hint="eastAsia"/>
          <w:b w:val="0"/>
          <w:spacing w:val="0"/>
          <w:sz w:val="24"/>
          <w:szCs w:val="24"/>
        </w:rPr>
        <w:t xml:space="preserve">7.1.2  </w:t>
      </w:r>
      <w:r>
        <w:rPr>
          <w:rFonts w:eastAsia="黑体" w:hint="eastAsia"/>
          <w:b w:val="0"/>
          <w:spacing w:val="0"/>
          <w:sz w:val="24"/>
          <w:szCs w:val="24"/>
        </w:rPr>
        <w:t>事故原因</w:t>
      </w:r>
    </w:p>
    <w:p w14:paraId="7A1D8B5F" w14:textId="77777777" w:rsidR="003D6A63" w:rsidRDefault="00000000">
      <w:pPr>
        <w:pStyle w:val="28"/>
        <w:adjustRightInd w:val="0"/>
        <w:snapToGrid w:val="0"/>
        <w:ind w:left="0" w:firstLineChars="100" w:firstLine="240"/>
        <w:rPr>
          <w:szCs w:val="24"/>
        </w:rPr>
      </w:pPr>
      <w:r>
        <w:rPr>
          <w:szCs w:val="24"/>
        </w:rPr>
        <w:t>（1）曾某违章作业，在未停机的情况下进入抽油机防护栏内，被平衡块击中，是导致事故发生的直接原因。</w:t>
      </w:r>
    </w:p>
    <w:p w14:paraId="5A78A370" w14:textId="77777777" w:rsidR="003D6A63" w:rsidRDefault="00000000">
      <w:pPr>
        <w:pStyle w:val="28"/>
        <w:adjustRightInd w:val="0"/>
        <w:snapToGrid w:val="0"/>
        <w:ind w:left="0" w:firstLineChars="100" w:firstLine="240"/>
        <w:rPr>
          <w:szCs w:val="24"/>
        </w:rPr>
      </w:pPr>
      <w:r>
        <w:rPr>
          <w:szCs w:val="24"/>
        </w:rPr>
        <w:t>（2）曾某安全意识淡薄，自我保护意识差，是造成本次事故的主要原因。</w:t>
      </w:r>
    </w:p>
    <w:p w14:paraId="6122D721" w14:textId="77777777" w:rsidR="003D6A63" w:rsidRDefault="00000000">
      <w:pPr>
        <w:pStyle w:val="3"/>
        <w:keepNext w:val="0"/>
        <w:keepLines w:val="0"/>
        <w:spacing w:before="0" w:after="0" w:line="360" w:lineRule="auto"/>
        <w:rPr>
          <w:rFonts w:eastAsia="黑体"/>
          <w:b w:val="0"/>
          <w:spacing w:val="0"/>
          <w:sz w:val="24"/>
          <w:szCs w:val="24"/>
        </w:rPr>
      </w:pPr>
      <w:r>
        <w:rPr>
          <w:rFonts w:eastAsia="黑体" w:hint="eastAsia"/>
          <w:b w:val="0"/>
          <w:spacing w:val="0"/>
          <w:sz w:val="24"/>
          <w:szCs w:val="24"/>
        </w:rPr>
        <w:t xml:space="preserve">7.1.3  </w:t>
      </w:r>
      <w:r>
        <w:rPr>
          <w:rFonts w:eastAsia="黑体" w:hint="eastAsia"/>
          <w:b w:val="0"/>
          <w:spacing w:val="0"/>
          <w:sz w:val="24"/>
          <w:szCs w:val="24"/>
        </w:rPr>
        <w:t>防范措施</w:t>
      </w:r>
    </w:p>
    <w:p w14:paraId="10A3E5DB" w14:textId="77777777" w:rsidR="003D6A63" w:rsidRDefault="00000000">
      <w:pPr>
        <w:pStyle w:val="28"/>
        <w:adjustRightInd w:val="0"/>
        <w:snapToGrid w:val="0"/>
        <w:ind w:left="0" w:firstLineChars="100" w:firstLine="240"/>
        <w:rPr>
          <w:szCs w:val="24"/>
        </w:rPr>
      </w:pPr>
      <w:r>
        <w:rPr>
          <w:szCs w:val="24"/>
        </w:rPr>
        <w:t>（1）进入抽油机防护栏作业必须停机。</w:t>
      </w:r>
    </w:p>
    <w:p w14:paraId="7AB5C65E" w14:textId="77777777" w:rsidR="003D6A63" w:rsidRDefault="00000000">
      <w:pPr>
        <w:pStyle w:val="28"/>
        <w:adjustRightInd w:val="0"/>
        <w:snapToGrid w:val="0"/>
        <w:ind w:left="0" w:firstLineChars="100" w:firstLine="240"/>
        <w:rPr>
          <w:szCs w:val="24"/>
          <w:lang w:bidi="en-US"/>
        </w:rPr>
      </w:pPr>
      <w:r>
        <w:rPr>
          <w:szCs w:val="24"/>
        </w:rPr>
        <w:t>（2）强化员工的安全教育培训，增强安全生产意识和遵章守纪的自觉性。</w:t>
      </w:r>
    </w:p>
    <w:p w14:paraId="2A87ECC0" w14:textId="77777777" w:rsidR="003D6A63" w:rsidRDefault="00000000">
      <w:pPr>
        <w:pStyle w:val="2"/>
        <w:keepNext w:val="0"/>
        <w:keepLines w:val="0"/>
        <w:spacing w:before="0" w:after="0" w:line="360" w:lineRule="auto"/>
        <w:rPr>
          <w:rFonts w:ascii="Times New Roman" w:hAnsi="Times New Roman"/>
          <w:b w:val="0"/>
          <w:spacing w:val="0"/>
          <w:sz w:val="28"/>
        </w:rPr>
      </w:pPr>
      <w:bookmarkStart w:id="124" w:name="_Toc801"/>
      <w:bookmarkStart w:id="125" w:name="_Toc21117"/>
      <w:bookmarkEnd w:id="115"/>
      <w:bookmarkEnd w:id="116"/>
      <w:bookmarkEnd w:id="117"/>
      <w:bookmarkEnd w:id="118"/>
      <w:bookmarkEnd w:id="119"/>
      <w:bookmarkEnd w:id="120"/>
      <w:bookmarkEnd w:id="121"/>
      <w:r>
        <w:rPr>
          <w:rFonts w:ascii="Times New Roman" w:hAnsi="Times New Roman" w:hint="eastAsia"/>
          <w:b w:val="0"/>
          <w:spacing w:val="0"/>
          <w:sz w:val="28"/>
        </w:rPr>
        <w:t xml:space="preserve">7.2  </w:t>
      </w:r>
      <w:r>
        <w:rPr>
          <w:rFonts w:ascii="Times New Roman" w:hAnsi="Times New Roman" w:hint="eastAsia"/>
          <w:b w:val="0"/>
          <w:spacing w:val="0"/>
          <w:sz w:val="28"/>
        </w:rPr>
        <w:t>设备磨损留隐患，油品泄漏着大火</w:t>
      </w:r>
      <w:bookmarkEnd w:id="124"/>
      <w:bookmarkEnd w:id="125"/>
    </w:p>
    <w:p w14:paraId="3B924B1B" w14:textId="77777777" w:rsidR="003D6A63" w:rsidRDefault="00000000">
      <w:pPr>
        <w:pStyle w:val="3"/>
        <w:keepNext w:val="0"/>
        <w:keepLines w:val="0"/>
        <w:spacing w:before="0" w:after="0" w:line="360" w:lineRule="auto"/>
        <w:rPr>
          <w:rFonts w:eastAsia="黑体"/>
          <w:b w:val="0"/>
          <w:spacing w:val="0"/>
          <w:sz w:val="24"/>
          <w:szCs w:val="24"/>
        </w:rPr>
      </w:pPr>
      <w:r>
        <w:rPr>
          <w:rFonts w:eastAsia="黑体" w:hint="eastAsia"/>
          <w:b w:val="0"/>
          <w:spacing w:val="0"/>
          <w:sz w:val="24"/>
          <w:szCs w:val="24"/>
        </w:rPr>
        <w:t xml:space="preserve">7.2.1  </w:t>
      </w:r>
      <w:r>
        <w:rPr>
          <w:rFonts w:eastAsia="黑体" w:hint="eastAsia"/>
          <w:b w:val="0"/>
          <w:spacing w:val="0"/>
          <w:sz w:val="24"/>
          <w:szCs w:val="24"/>
        </w:rPr>
        <w:t>事故经过</w:t>
      </w:r>
    </w:p>
    <w:p w14:paraId="76581DFA" w14:textId="77777777" w:rsidR="003D6A63" w:rsidRDefault="00000000">
      <w:pPr>
        <w:adjustRightInd w:val="0"/>
        <w:snapToGrid w:val="0"/>
        <w:spacing w:line="360" w:lineRule="auto"/>
        <w:ind w:firstLine="471"/>
        <w:rPr>
          <w:sz w:val="24"/>
        </w:rPr>
      </w:pPr>
      <w:r>
        <w:rPr>
          <w:rFonts w:hint="eastAsia"/>
          <w:sz w:val="24"/>
        </w:rPr>
        <w:t>某年</w:t>
      </w:r>
      <w:r>
        <w:rPr>
          <w:rFonts w:hint="eastAsia"/>
          <w:sz w:val="24"/>
        </w:rPr>
        <w:t>10</w:t>
      </w:r>
      <w:r>
        <w:rPr>
          <w:rFonts w:hint="eastAsia"/>
          <w:sz w:val="24"/>
        </w:rPr>
        <w:t>月</w:t>
      </w:r>
      <w:r>
        <w:rPr>
          <w:rFonts w:hint="eastAsia"/>
          <w:sz w:val="24"/>
        </w:rPr>
        <w:t>30</w:t>
      </w:r>
      <w:r>
        <w:rPr>
          <w:rFonts w:hint="eastAsia"/>
          <w:sz w:val="24"/>
        </w:rPr>
        <w:t>日，某站输油泵房可燃气体报警器突然报警，值班工人王某等三人到泵房查看情况，发现</w:t>
      </w:r>
      <w:r>
        <w:rPr>
          <w:rFonts w:hint="eastAsia"/>
          <w:sz w:val="24"/>
        </w:rPr>
        <w:t>1</w:t>
      </w:r>
      <w:r>
        <w:rPr>
          <w:rFonts w:hint="eastAsia"/>
          <w:sz w:val="24"/>
        </w:rPr>
        <w:t>号输油泵下方起火，且迅速蔓延，三人退出泵房取灭火器时，发生爆燃，火势加大，王某等人用干粉灭火器灭火无效，随即报警。</w:t>
      </w:r>
      <w:r>
        <w:rPr>
          <w:rFonts w:hint="eastAsia"/>
          <w:sz w:val="24"/>
        </w:rPr>
        <w:t>7</w:t>
      </w:r>
      <w:r>
        <w:rPr>
          <w:rFonts w:hint="eastAsia"/>
          <w:sz w:val="24"/>
        </w:rPr>
        <w:t>时左右，经理孟某等人赶赴现场，组织大家切断油源、关井、断电。</w:t>
      </w:r>
      <w:r>
        <w:rPr>
          <w:rFonts w:hint="eastAsia"/>
          <w:sz w:val="24"/>
        </w:rPr>
        <w:t>7</w:t>
      </w:r>
      <w:r>
        <w:rPr>
          <w:rFonts w:hint="eastAsia"/>
          <w:sz w:val="24"/>
        </w:rPr>
        <w:t>时</w:t>
      </w:r>
      <w:r>
        <w:rPr>
          <w:rFonts w:hint="eastAsia"/>
          <w:sz w:val="24"/>
        </w:rPr>
        <w:t>15</w:t>
      </w:r>
      <w:r>
        <w:rPr>
          <w:rFonts w:hint="eastAsia"/>
          <w:sz w:val="24"/>
        </w:rPr>
        <w:t>分左右，消防车赶到，经</w:t>
      </w:r>
      <w:r>
        <w:rPr>
          <w:rFonts w:hint="eastAsia"/>
          <w:sz w:val="24"/>
        </w:rPr>
        <w:t>15min</w:t>
      </w:r>
      <w:r>
        <w:rPr>
          <w:rFonts w:hint="eastAsia"/>
          <w:sz w:val="24"/>
        </w:rPr>
        <w:t>扑救，火势得以控制，后将余火扑灭。</w:t>
      </w:r>
    </w:p>
    <w:p w14:paraId="2D82F17D" w14:textId="77777777" w:rsidR="003D6A63" w:rsidRDefault="00000000">
      <w:pPr>
        <w:pStyle w:val="3"/>
        <w:keepNext w:val="0"/>
        <w:keepLines w:val="0"/>
        <w:spacing w:before="0" w:after="0" w:line="360" w:lineRule="auto"/>
        <w:rPr>
          <w:rFonts w:eastAsia="黑体"/>
          <w:b w:val="0"/>
          <w:spacing w:val="0"/>
          <w:sz w:val="24"/>
          <w:szCs w:val="24"/>
        </w:rPr>
      </w:pPr>
      <w:r>
        <w:rPr>
          <w:rFonts w:eastAsia="黑体" w:hint="eastAsia"/>
          <w:b w:val="0"/>
          <w:spacing w:val="0"/>
          <w:sz w:val="24"/>
          <w:szCs w:val="24"/>
        </w:rPr>
        <w:t xml:space="preserve">7.2.2  </w:t>
      </w:r>
      <w:r>
        <w:rPr>
          <w:rFonts w:eastAsia="黑体" w:hint="eastAsia"/>
          <w:b w:val="0"/>
          <w:spacing w:val="0"/>
          <w:sz w:val="24"/>
          <w:szCs w:val="24"/>
        </w:rPr>
        <w:t>事故原因</w:t>
      </w:r>
    </w:p>
    <w:p w14:paraId="13771105"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1</w:t>
      </w:r>
      <w:r>
        <w:rPr>
          <w:rFonts w:hint="eastAsia"/>
          <w:sz w:val="24"/>
        </w:rPr>
        <w:t>）</w:t>
      </w:r>
      <w:r>
        <w:rPr>
          <w:rFonts w:hint="eastAsia"/>
          <w:sz w:val="24"/>
        </w:rPr>
        <w:t>1</w:t>
      </w:r>
      <w:r>
        <w:rPr>
          <w:rFonts w:hint="eastAsia"/>
          <w:sz w:val="24"/>
        </w:rPr>
        <w:t>号输油泵电机下轴承磨损，引起电机轴连同传动部分外磁环（铝制）下窜，造成外磁环与隔离套固定螺丝产生磨擦，碎屑磨挤玻璃钢隔离套，导致玻璃钢隔离套破裂，油气泄漏。磁块固定环固定螺钉与隔离固定螺丝继续磨擦碰撞产生火花，引燃泄漏油气，是导致事故发生的直接原因。</w:t>
      </w:r>
    </w:p>
    <w:p w14:paraId="59D4A0AA" w14:textId="77777777" w:rsidR="003D6A63" w:rsidRDefault="00000000">
      <w:pPr>
        <w:adjustRightInd w:val="0"/>
        <w:snapToGrid w:val="0"/>
        <w:spacing w:line="360" w:lineRule="auto"/>
        <w:ind w:firstLineChars="100" w:firstLine="240"/>
        <w:rPr>
          <w:sz w:val="24"/>
        </w:rPr>
      </w:pPr>
      <w:r>
        <w:rPr>
          <w:rFonts w:hint="eastAsia"/>
          <w:sz w:val="24"/>
        </w:rPr>
        <w:t>（</w:t>
      </w:r>
      <w:r>
        <w:rPr>
          <w:rFonts w:hint="eastAsia"/>
          <w:sz w:val="24"/>
        </w:rPr>
        <w:t>2</w:t>
      </w:r>
      <w:r>
        <w:rPr>
          <w:rFonts w:hint="eastAsia"/>
          <w:sz w:val="24"/>
        </w:rPr>
        <w:t>）设备检查不到位，保养维护不及时，没有及时发现设备隐患，是导致事故发生的主要原因。</w:t>
      </w:r>
    </w:p>
    <w:p w14:paraId="4D248E45" w14:textId="77777777" w:rsidR="003D6A63" w:rsidRDefault="00000000">
      <w:pPr>
        <w:pStyle w:val="3"/>
        <w:keepNext w:val="0"/>
        <w:keepLines w:val="0"/>
        <w:spacing w:before="0" w:after="0" w:line="360" w:lineRule="auto"/>
        <w:rPr>
          <w:rFonts w:eastAsia="黑体"/>
          <w:b w:val="0"/>
          <w:spacing w:val="0"/>
          <w:sz w:val="24"/>
          <w:szCs w:val="24"/>
        </w:rPr>
      </w:pPr>
      <w:r>
        <w:rPr>
          <w:rFonts w:eastAsia="黑体" w:hint="eastAsia"/>
          <w:b w:val="0"/>
          <w:spacing w:val="0"/>
          <w:sz w:val="24"/>
          <w:szCs w:val="24"/>
        </w:rPr>
        <w:lastRenderedPageBreak/>
        <w:t xml:space="preserve">7.2.3  </w:t>
      </w:r>
      <w:r>
        <w:rPr>
          <w:rFonts w:eastAsia="黑体" w:hint="eastAsia"/>
          <w:b w:val="0"/>
          <w:spacing w:val="0"/>
          <w:sz w:val="24"/>
          <w:szCs w:val="24"/>
        </w:rPr>
        <w:t>防范措施</w:t>
      </w:r>
      <w:r>
        <w:rPr>
          <w:rFonts w:eastAsia="黑体" w:hint="eastAsia"/>
          <w:b w:val="0"/>
          <w:spacing w:val="0"/>
          <w:sz w:val="24"/>
          <w:szCs w:val="24"/>
        </w:rPr>
        <w:t xml:space="preserve"> </w:t>
      </w:r>
    </w:p>
    <w:p w14:paraId="0E72D838" w14:textId="77777777" w:rsidR="003D6A63" w:rsidRDefault="00000000">
      <w:pPr>
        <w:adjustRightInd w:val="0"/>
        <w:snapToGrid w:val="0"/>
        <w:spacing w:line="360" w:lineRule="auto"/>
        <w:rPr>
          <w:sz w:val="24"/>
        </w:rPr>
      </w:pPr>
      <w:r>
        <w:rPr>
          <w:rFonts w:hint="eastAsia"/>
          <w:sz w:val="24"/>
        </w:rPr>
        <w:t>（</w:t>
      </w:r>
      <w:r>
        <w:rPr>
          <w:rFonts w:hint="eastAsia"/>
          <w:sz w:val="24"/>
        </w:rPr>
        <w:t>1</w:t>
      </w:r>
      <w:r>
        <w:rPr>
          <w:rFonts w:hint="eastAsia"/>
          <w:sz w:val="24"/>
        </w:rPr>
        <w:t>）定期检查油泵及电机轴套的磨损情况，磨损较大时及时更换。</w:t>
      </w:r>
    </w:p>
    <w:p w14:paraId="66DD8614" w14:textId="77777777" w:rsidR="003D6A63" w:rsidRDefault="00000000">
      <w:pPr>
        <w:adjustRightInd w:val="0"/>
        <w:snapToGrid w:val="0"/>
        <w:spacing w:line="360" w:lineRule="auto"/>
        <w:rPr>
          <w:sz w:val="24"/>
        </w:rPr>
      </w:pPr>
      <w:r>
        <w:rPr>
          <w:rFonts w:hint="eastAsia"/>
          <w:sz w:val="24"/>
        </w:rPr>
        <w:t>（</w:t>
      </w:r>
      <w:r>
        <w:rPr>
          <w:rFonts w:hint="eastAsia"/>
          <w:sz w:val="24"/>
        </w:rPr>
        <w:t>2</w:t>
      </w:r>
      <w:r>
        <w:rPr>
          <w:rFonts w:hint="eastAsia"/>
          <w:sz w:val="24"/>
        </w:rPr>
        <w:t>）加强对输油设备的日常保养与定期检查，保障设施安全运行。</w:t>
      </w:r>
    </w:p>
    <w:p w14:paraId="5B6D8DC6" w14:textId="77777777" w:rsidR="003D6A63" w:rsidRDefault="00000000">
      <w:pPr>
        <w:adjustRightInd w:val="0"/>
        <w:snapToGrid w:val="0"/>
        <w:spacing w:line="360" w:lineRule="auto"/>
        <w:rPr>
          <w:sz w:val="24"/>
        </w:rPr>
      </w:pPr>
      <w:r>
        <w:rPr>
          <w:rFonts w:hint="eastAsia"/>
          <w:sz w:val="24"/>
        </w:rPr>
        <w:t>（</w:t>
      </w:r>
      <w:r>
        <w:rPr>
          <w:rFonts w:hint="eastAsia"/>
          <w:sz w:val="24"/>
        </w:rPr>
        <w:t>3</w:t>
      </w:r>
      <w:r>
        <w:rPr>
          <w:rFonts w:hint="eastAsia"/>
          <w:sz w:val="24"/>
        </w:rPr>
        <w:t>）加强应急预案演练，提高职工在应急情况下的应对和处理能力。</w:t>
      </w:r>
      <w:bookmarkStart w:id="126" w:name="_Toc234376615"/>
      <w:bookmarkStart w:id="127" w:name="_Toc231982947"/>
      <w:bookmarkStart w:id="128" w:name="_Toc235095142"/>
      <w:bookmarkStart w:id="129" w:name="_Toc231888594"/>
      <w:bookmarkStart w:id="130" w:name="_Toc231960002"/>
      <w:bookmarkStart w:id="131" w:name="_Toc237079027"/>
      <w:bookmarkStart w:id="132" w:name="_Toc231982683"/>
      <w:bookmarkStart w:id="133" w:name="_Toc232930643"/>
      <w:bookmarkStart w:id="134" w:name="_Toc230679181"/>
      <w:bookmarkStart w:id="135" w:name="_Toc233510089"/>
      <w:bookmarkStart w:id="136" w:name="_Toc232828038"/>
      <w:bookmarkStart w:id="137" w:name="_Toc237078513"/>
      <w:bookmarkStart w:id="138" w:name="_Toc235095986"/>
      <w:bookmarkEnd w:id="122"/>
      <w:bookmarkEnd w:id="123"/>
    </w:p>
    <w:bookmarkEnd w:id="126"/>
    <w:bookmarkEnd w:id="127"/>
    <w:bookmarkEnd w:id="128"/>
    <w:bookmarkEnd w:id="129"/>
    <w:bookmarkEnd w:id="130"/>
    <w:bookmarkEnd w:id="131"/>
    <w:bookmarkEnd w:id="132"/>
    <w:bookmarkEnd w:id="133"/>
    <w:bookmarkEnd w:id="134"/>
    <w:bookmarkEnd w:id="135"/>
    <w:bookmarkEnd w:id="136"/>
    <w:bookmarkEnd w:id="137"/>
    <w:bookmarkEnd w:id="138"/>
    <w:p w14:paraId="14E4BCF9" w14:textId="77777777" w:rsidR="003D6A63" w:rsidRDefault="003D6A63">
      <w:pPr>
        <w:pStyle w:val="nlw10"/>
        <w:spacing w:beforeLines="0" w:before="0" w:afterLines="0" w:after="0" w:line="360" w:lineRule="auto"/>
        <w:jc w:val="center"/>
        <w:rPr>
          <w:rFonts w:ascii="Times New Roman" w:hAnsi="Times New Roman"/>
          <w:sz w:val="24"/>
          <w:szCs w:val="24"/>
        </w:rPr>
        <w:sectPr w:rsidR="003D6A63">
          <w:pgSz w:w="11906" w:h="16838"/>
          <w:pgMar w:top="1417" w:right="1417" w:bottom="1417" w:left="1417" w:header="907" w:footer="964" w:gutter="0"/>
          <w:cols w:space="425"/>
          <w:docGrid w:linePitch="312" w:charSpace="-1489"/>
        </w:sectPr>
      </w:pPr>
    </w:p>
    <w:p w14:paraId="26326058" w14:textId="77777777" w:rsidR="003D6A63" w:rsidRDefault="00000000">
      <w:pPr>
        <w:pStyle w:val="1"/>
        <w:keepNext w:val="0"/>
        <w:keepLines w:val="0"/>
        <w:spacing w:beforeLines="100" w:before="240" w:afterLines="100" w:after="240" w:line="360" w:lineRule="auto"/>
        <w:ind w:firstLine="200"/>
        <w:rPr>
          <w:rFonts w:eastAsia="黑体"/>
          <w:b w:val="0"/>
          <w:spacing w:val="0"/>
        </w:rPr>
      </w:pPr>
      <w:bookmarkStart w:id="139" w:name="_Toc28782"/>
      <w:r>
        <w:rPr>
          <w:rFonts w:eastAsia="黑体" w:hint="eastAsia"/>
          <w:b w:val="0"/>
          <w:spacing w:val="0"/>
        </w:rPr>
        <w:lastRenderedPageBreak/>
        <w:t xml:space="preserve">8  </w:t>
      </w:r>
      <w:r>
        <w:rPr>
          <w:rFonts w:eastAsia="黑体" w:hint="eastAsia"/>
          <w:b w:val="0"/>
          <w:spacing w:val="0"/>
        </w:rPr>
        <w:t>安全对策措施</w:t>
      </w:r>
      <w:bookmarkEnd w:id="139"/>
    </w:p>
    <w:p w14:paraId="75A6D92C" w14:textId="77777777" w:rsidR="003D6A63" w:rsidRDefault="00000000">
      <w:pPr>
        <w:pStyle w:val="3"/>
        <w:keepNext w:val="0"/>
        <w:keepLines w:val="0"/>
        <w:spacing w:before="0" w:after="0" w:line="360" w:lineRule="auto"/>
        <w:rPr>
          <w:rFonts w:eastAsia="黑体"/>
          <w:b w:val="0"/>
          <w:spacing w:val="0"/>
          <w:sz w:val="24"/>
          <w:szCs w:val="24"/>
        </w:rPr>
      </w:pPr>
      <w:bookmarkStart w:id="140" w:name="_Toc5514"/>
      <w:r>
        <w:rPr>
          <w:rFonts w:eastAsia="黑体" w:hint="eastAsia"/>
          <w:b w:val="0"/>
          <w:spacing w:val="0"/>
          <w:sz w:val="24"/>
          <w:szCs w:val="24"/>
        </w:rPr>
        <w:t>8</w:t>
      </w:r>
      <w:r>
        <w:rPr>
          <w:rFonts w:eastAsia="黑体"/>
          <w:b w:val="0"/>
          <w:spacing w:val="0"/>
          <w:sz w:val="24"/>
          <w:szCs w:val="24"/>
        </w:rPr>
        <w:t xml:space="preserve">.1  </w:t>
      </w:r>
      <w:r>
        <w:rPr>
          <w:rFonts w:eastAsia="黑体"/>
          <w:b w:val="0"/>
          <w:spacing w:val="0"/>
          <w:sz w:val="24"/>
          <w:szCs w:val="24"/>
        </w:rPr>
        <w:t>安全对策措施</w:t>
      </w:r>
      <w:bookmarkEnd w:id="140"/>
    </w:p>
    <w:p w14:paraId="1CE65895" w14:textId="77777777" w:rsidR="003D6A63" w:rsidRDefault="00000000">
      <w:pPr>
        <w:adjustRightInd w:val="0"/>
        <w:snapToGrid w:val="0"/>
        <w:spacing w:line="360" w:lineRule="auto"/>
        <w:ind w:firstLine="471"/>
        <w:rPr>
          <w:sz w:val="24"/>
        </w:rPr>
      </w:pPr>
      <w:r>
        <w:rPr>
          <w:rFonts w:hint="eastAsia"/>
          <w:sz w:val="24"/>
        </w:rPr>
        <w:t>本次安全评价共发现现场隐患</w:t>
      </w:r>
      <w:r>
        <w:rPr>
          <w:rFonts w:hint="eastAsia"/>
          <w:sz w:val="24"/>
        </w:rPr>
        <w:t>25</w:t>
      </w:r>
      <w:r>
        <w:rPr>
          <w:rFonts w:hint="eastAsia"/>
          <w:sz w:val="24"/>
        </w:rPr>
        <w:t>项，</w:t>
      </w:r>
      <w:r>
        <w:rPr>
          <w:rFonts w:hint="eastAsia"/>
          <w:sz w:val="24"/>
          <w:lang w:val="zh-CN"/>
        </w:rPr>
        <w:t>安全评价项目组就安全评价及现场检查发现的问题及整改建议措施，与中胜公司进行了充分的意见交流。</w:t>
      </w:r>
      <w:r>
        <w:rPr>
          <w:sz w:val="24"/>
        </w:rPr>
        <w:t>企业接受了本评价组提出的整改建议，对存在的问题进行了整改，</w:t>
      </w:r>
      <w:r>
        <w:rPr>
          <w:rFonts w:hint="eastAsia"/>
          <w:sz w:val="24"/>
          <w:lang w:val="zh-CN"/>
        </w:rPr>
        <w:t>部分暂时无法整改的项目，中胜公司也制定了有效的整改计划，并实施了能有效消减风险的措施。</w:t>
      </w:r>
      <w:r>
        <w:rPr>
          <w:rFonts w:hint="eastAsia"/>
          <w:sz w:val="24"/>
        </w:rPr>
        <w:t>隐患整改复查情况见表</w:t>
      </w:r>
      <w:r>
        <w:rPr>
          <w:rFonts w:hint="eastAsia"/>
          <w:sz w:val="24"/>
        </w:rPr>
        <w:t>8.1-1</w:t>
      </w:r>
      <w:r>
        <w:rPr>
          <w:rFonts w:hint="eastAsia"/>
          <w:sz w:val="24"/>
          <w:lang w:val="zh-CN"/>
        </w:rPr>
        <w:t>。</w:t>
      </w:r>
    </w:p>
    <w:p w14:paraId="4BE11FAC" w14:textId="77777777" w:rsidR="003D6A63" w:rsidRDefault="003D6A63">
      <w:pPr>
        <w:adjustRightInd w:val="0"/>
        <w:snapToGrid w:val="0"/>
        <w:spacing w:line="360" w:lineRule="auto"/>
        <w:ind w:firstLine="471"/>
        <w:rPr>
          <w:sz w:val="24"/>
        </w:rPr>
        <w:sectPr w:rsidR="003D6A63">
          <w:pgSz w:w="11906" w:h="16838"/>
          <w:pgMar w:top="1417" w:right="1417" w:bottom="1417" w:left="1417" w:header="964" w:footer="964" w:gutter="0"/>
          <w:cols w:space="425"/>
          <w:docGrid w:linePitch="312" w:charSpace="-1489"/>
        </w:sectPr>
      </w:pPr>
    </w:p>
    <w:p w14:paraId="1688F7A2" w14:textId="77777777" w:rsidR="003D6A63" w:rsidRDefault="00000000">
      <w:pPr>
        <w:widowControl/>
        <w:spacing w:line="360" w:lineRule="auto"/>
        <w:jc w:val="center"/>
        <w:rPr>
          <w:rFonts w:eastAsia="黑体"/>
          <w:szCs w:val="21"/>
        </w:rPr>
      </w:pPr>
      <w:r>
        <w:rPr>
          <w:rFonts w:eastAsia="黑体"/>
          <w:szCs w:val="21"/>
        </w:rPr>
        <w:lastRenderedPageBreak/>
        <w:t>表</w:t>
      </w:r>
      <w:r>
        <w:rPr>
          <w:rFonts w:eastAsia="黑体" w:hint="eastAsia"/>
          <w:szCs w:val="21"/>
        </w:rPr>
        <w:t>8.1</w:t>
      </w:r>
      <w:r>
        <w:rPr>
          <w:rFonts w:eastAsia="黑体"/>
          <w:szCs w:val="21"/>
        </w:rPr>
        <w:t xml:space="preserve">-1  </w:t>
      </w:r>
      <w:r>
        <w:rPr>
          <w:rFonts w:eastAsia="黑体"/>
          <w:szCs w:val="21"/>
        </w:rPr>
        <w:t>本次评价发现的问题、隐患整改建议以及复查情况一览表</w:t>
      </w:r>
    </w:p>
    <w:p w14:paraId="1F90B5C7" w14:textId="77777777" w:rsidR="003D6A63" w:rsidRDefault="00000000">
      <w:pPr>
        <w:pStyle w:val="Default"/>
      </w:pPr>
      <w:r>
        <w:rPr>
          <w:noProof/>
        </w:rPr>
        <w:drawing>
          <wp:inline distT="0" distB="0" distL="114300" distR="114300" wp14:anchorId="32DEF351" wp14:editId="2E2927CB">
            <wp:extent cx="8147685" cy="5307965"/>
            <wp:effectExtent l="0" t="0" r="5715" b="635"/>
            <wp:docPr id="132" name="图片 132" descr="文字文稿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文字文稿1_01"/>
                    <pic:cNvPicPr>
                      <a:picLocks noChangeAspect="1"/>
                    </pic:cNvPicPr>
                  </pic:nvPicPr>
                  <pic:blipFill>
                    <a:blip r:embed="rId28"/>
                    <a:srcRect t="7839"/>
                    <a:stretch>
                      <a:fillRect/>
                    </a:stretch>
                  </pic:blipFill>
                  <pic:spPr>
                    <a:xfrm>
                      <a:off x="0" y="0"/>
                      <a:ext cx="8147685" cy="5307965"/>
                    </a:xfrm>
                    <a:prstGeom prst="rect">
                      <a:avLst/>
                    </a:prstGeom>
                  </pic:spPr>
                </pic:pic>
              </a:graphicData>
            </a:graphic>
          </wp:inline>
        </w:drawing>
      </w:r>
      <w:r>
        <w:rPr>
          <w:noProof/>
        </w:rPr>
        <w:lastRenderedPageBreak/>
        <w:drawing>
          <wp:inline distT="0" distB="0" distL="114300" distR="114300" wp14:anchorId="7BE86784" wp14:editId="1DD82BD1">
            <wp:extent cx="8147685" cy="5759450"/>
            <wp:effectExtent l="0" t="0" r="5715" b="6350"/>
            <wp:docPr id="131" name="图片 131" descr="文字文稿1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文字文稿1_02"/>
                    <pic:cNvPicPr>
                      <a:picLocks noChangeAspect="1"/>
                    </pic:cNvPicPr>
                  </pic:nvPicPr>
                  <pic:blipFill>
                    <a:blip r:embed="rId29"/>
                    <a:stretch>
                      <a:fillRect/>
                    </a:stretch>
                  </pic:blipFill>
                  <pic:spPr>
                    <a:xfrm>
                      <a:off x="0" y="0"/>
                      <a:ext cx="8147685" cy="5759450"/>
                    </a:xfrm>
                    <a:prstGeom prst="rect">
                      <a:avLst/>
                    </a:prstGeom>
                  </pic:spPr>
                </pic:pic>
              </a:graphicData>
            </a:graphic>
          </wp:inline>
        </w:drawing>
      </w:r>
      <w:r>
        <w:rPr>
          <w:noProof/>
        </w:rPr>
        <w:lastRenderedPageBreak/>
        <w:drawing>
          <wp:inline distT="0" distB="0" distL="114300" distR="114300" wp14:anchorId="0915A3F5" wp14:editId="1E3F95DE">
            <wp:extent cx="8147685" cy="5759450"/>
            <wp:effectExtent l="0" t="0" r="5715" b="6350"/>
            <wp:docPr id="130" name="图片 130" descr="文字文稿1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descr="文字文稿1_03"/>
                    <pic:cNvPicPr>
                      <a:picLocks noChangeAspect="1"/>
                    </pic:cNvPicPr>
                  </pic:nvPicPr>
                  <pic:blipFill>
                    <a:blip r:embed="rId30"/>
                    <a:stretch>
                      <a:fillRect/>
                    </a:stretch>
                  </pic:blipFill>
                  <pic:spPr>
                    <a:xfrm>
                      <a:off x="0" y="0"/>
                      <a:ext cx="8147685" cy="5759450"/>
                    </a:xfrm>
                    <a:prstGeom prst="rect">
                      <a:avLst/>
                    </a:prstGeom>
                  </pic:spPr>
                </pic:pic>
              </a:graphicData>
            </a:graphic>
          </wp:inline>
        </w:drawing>
      </w:r>
      <w:r>
        <w:rPr>
          <w:noProof/>
        </w:rPr>
        <w:lastRenderedPageBreak/>
        <w:drawing>
          <wp:inline distT="0" distB="0" distL="114300" distR="114300" wp14:anchorId="08653168" wp14:editId="2D250866">
            <wp:extent cx="8147685" cy="5759450"/>
            <wp:effectExtent l="0" t="0" r="5715" b="6350"/>
            <wp:docPr id="129" name="图片 129" descr="文字文稿1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文字文稿1_04"/>
                    <pic:cNvPicPr>
                      <a:picLocks noChangeAspect="1"/>
                    </pic:cNvPicPr>
                  </pic:nvPicPr>
                  <pic:blipFill>
                    <a:blip r:embed="rId31"/>
                    <a:stretch>
                      <a:fillRect/>
                    </a:stretch>
                  </pic:blipFill>
                  <pic:spPr>
                    <a:xfrm>
                      <a:off x="0" y="0"/>
                      <a:ext cx="8147685" cy="5759450"/>
                    </a:xfrm>
                    <a:prstGeom prst="rect">
                      <a:avLst/>
                    </a:prstGeom>
                  </pic:spPr>
                </pic:pic>
              </a:graphicData>
            </a:graphic>
          </wp:inline>
        </w:drawing>
      </w:r>
      <w:r>
        <w:rPr>
          <w:noProof/>
        </w:rPr>
        <w:lastRenderedPageBreak/>
        <w:drawing>
          <wp:inline distT="0" distB="0" distL="114300" distR="114300" wp14:anchorId="00BFEB94" wp14:editId="5DBD3AEC">
            <wp:extent cx="8147685" cy="5759450"/>
            <wp:effectExtent l="0" t="0" r="5715" b="6350"/>
            <wp:docPr id="128" name="图片 128" descr="文字文稿1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文字文稿1_05"/>
                    <pic:cNvPicPr>
                      <a:picLocks noChangeAspect="1"/>
                    </pic:cNvPicPr>
                  </pic:nvPicPr>
                  <pic:blipFill>
                    <a:blip r:embed="rId32"/>
                    <a:stretch>
                      <a:fillRect/>
                    </a:stretch>
                  </pic:blipFill>
                  <pic:spPr>
                    <a:xfrm>
                      <a:off x="0" y="0"/>
                      <a:ext cx="8147685" cy="5759450"/>
                    </a:xfrm>
                    <a:prstGeom prst="rect">
                      <a:avLst/>
                    </a:prstGeom>
                  </pic:spPr>
                </pic:pic>
              </a:graphicData>
            </a:graphic>
          </wp:inline>
        </w:drawing>
      </w:r>
      <w:r>
        <w:rPr>
          <w:noProof/>
        </w:rPr>
        <w:lastRenderedPageBreak/>
        <w:drawing>
          <wp:inline distT="0" distB="0" distL="114300" distR="114300" wp14:anchorId="3F8A4561" wp14:editId="369470C8">
            <wp:extent cx="8147685" cy="5759450"/>
            <wp:effectExtent l="0" t="0" r="5715" b="6350"/>
            <wp:docPr id="127" name="图片 127" descr="文字文稿1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文字文稿1_06"/>
                    <pic:cNvPicPr>
                      <a:picLocks noChangeAspect="1"/>
                    </pic:cNvPicPr>
                  </pic:nvPicPr>
                  <pic:blipFill>
                    <a:blip r:embed="rId33"/>
                    <a:stretch>
                      <a:fillRect/>
                    </a:stretch>
                  </pic:blipFill>
                  <pic:spPr>
                    <a:xfrm>
                      <a:off x="0" y="0"/>
                      <a:ext cx="8147685" cy="5759450"/>
                    </a:xfrm>
                    <a:prstGeom prst="rect">
                      <a:avLst/>
                    </a:prstGeom>
                  </pic:spPr>
                </pic:pic>
              </a:graphicData>
            </a:graphic>
          </wp:inline>
        </w:drawing>
      </w:r>
      <w:r>
        <w:rPr>
          <w:noProof/>
        </w:rPr>
        <w:lastRenderedPageBreak/>
        <w:drawing>
          <wp:inline distT="0" distB="0" distL="114300" distR="114300" wp14:anchorId="77B77AA0" wp14:editId="54E84163">
            <wp:extent cx="8147685" cy="5759450"/>
            <wp:effectExtent l="0" t="0" r="5715" b="6350"/>
            <wp:docPr id="126" name="图片 126" descr="文字文稿1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文字文稿1_07"/>
                    <pic:cNvPicPr>
                      <a:picLocks noChangeAspect="1"/>
                    </pic:cNvPicPr>
                  </pic:nvPicPr>
                  <pic:blipFill>
                    <a:blip r:embed="rId34"/>
                    <a:stretch>
                      <a:fillRect/>
                    </a:stretch>
                  </pic:blipFill>
                  <pic:spPr>
                    <a:xfrm>
                      <a:off x="0" y="0"/>
                      <a:ext cx="8147685" cy="5759450"/>
                    </a:xfrm>
                    <a:prstGeom prst="rect">
                      <a:avLst/>
                    </a:prstGeom>
                  </pic:spPr>
                </pic:pic>
              </a:graphicData>
            </a:graphic>
          </wp:inline>
        </w:drawing>
      </w:r>
      <w:r>
        <w:rPr>
          <w:noProof/>
        </w:rPr>
        <w:lastRenderedPageBreak/>
        <w:drawing>
          <wp:inline distT="0" distB="0" distL="114300" distR="114300" wp14:anchorId="6D215724" wp14:editId="3318FAA9">
            <wp:extent cx="8147685" cy="5759450"/>
            <wp:effectExtent l="0" t="0" r="5715" b="6350"/>
            <wp:docPr id="125" name="图片 125" descr="文字文稿1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descr="文字文稿1_08"/>
                    <pic:cNvPicPr>
                      <a:picLocks noChangeAspect="1"/>
                    </pic:cNvPicPr>
                  </pic:nvPicPr>
                  <pic:blipFill>
                    <a:blip r:embed="rId35"/>
                    <a:stretch>
                      <a:fillRect/>
                    </a:stretch>
                  </pic:blipFill>
                  <pic:spPr>
                    <a:xfrm>
                      <a:off x="0" y="0"/>
                      <a:ext cx="8147685" cy="5759450"/>
                    </a:xfrm>
                    <a:prstGeom prst="rect">
                      <a:avLst/>
                    </a:prstGeom>
                  </pic:spPr>
                </pic:pic>
              </a:graphicData>
            </a:graphic>
          </wp:inline>
        </w:drawing>
      </w:r>
      <w:r>
        <w:rPr>
          <w:noProof/>
        </w:rPr>
        <w:lastRenderedPageBreak/>
        <w:drawing>
          <wp:inline distT="0" distB="0" distL="114300" distR="114300" wp14:anchorId="60550587" wp14:editId="38C1E79B">
            <wp:extent cx="8145780" cy="5758815"/>
            <wp:effectExtent l="0" t="0" r="7620" b="6985"/>
            <wp:docPr id="155" name="图片 155" descr="SKM_C754e23041111450_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descr="SKM_C754e23041111450_0002"/>
                    <pic:cNvPicPr>
                      <a:picLocks noChangeAspect="1"/>
                    </pic:cNvPicPr>
                  </pic:nvPicPr>
                  <pic:blipFill>
                    <a:blip r:embed="rId36"/>
                    <a:stretch>
                      <a:fillRect/>
                    </a:stretch>
                  </pic:blipFill>
                  <pic:spPr>
                    <a:xfrm>
                      <a:off x="0" y="0"/>
                      <a:ext cx="8145780" cy="5758815"/>
                    </a:xfrm>
                    <a:prstGeom prst="rect">
                      <a:avLst/>
                    </a:prstGeom>
                  </pic:spPr>
                </pic:pic>
              </a:graphicData>
            </a:graphic>
          </wp:inline>
        </w:drawing>
      </w:r>
    </w:p>
    <w:p w14:paraId="0D9A686A" w14:textId="77777777" w:rsidR="003D6A63" w:rsidRDefault="003D6A63">
      <w:pPr>
        <w:pStyle w:val="nlw2"/>
        <w:jc w:val="both"/>
        <w:rPr>
          <w:rFonts w:ascii="Times New Roman" w:eastAsia="宋体" w:hAnsi="Times New Roman"/>
          <w:b/>
          <w:bCs w:val="0"/>
        </w:rPr>
        <w:sectPr w:rsidR="003D6A63">
          <w:pgSz w:w="16838" w:h="11906" w:orient="landscape"/>
          <w:pgMar w:top="1417" w:right="1417" w:bottom="1417" w:left="1417" w:header="1077" w:footer="964" w:gutter="0"/>
          <w:cols w:space="425"/>
          <w:docGrid w:linePitch="312" w:charSpace="-1489"/>
        </w:sectPr>
      </w:pPr>
      <w:bookmarkStart w:id="141" w:name="_Toc5460"/>
      <w:bookmarkStart w:id="142" w:name="_Toc281310755"/>
      <w:bookmarkStart w:id="143" w:name="_Toc7654"/>
      <w:bookmarkStart w:id="144" w:name="_Toc479924368"/>
    </w:p>
    <w:p w14:paraId="77A46B2B" w14:textId="77777777" w:rsidR="003D6A63" w:rsidRDefault="00000000">
      <w:pPr>
        <w:pStyle w:val="3"/>
        <w:keepNext w:val="0"/>
        <w:keepLines w:val="0"/>
        <w:spacing w:before="0" w:after="0" w:line="360" w:lineRule="auto"/>
        <w:rPr>
          <w:rFonts w:eastAsia="黑体"/>
          <w:b w:val="0"/>
          <w:spacing w:val="0"/>
          <w:sz w:val="24"/>
          <w:szCs w:val="24"/>
        </w:rPr>
      </w:pPr>
      <w:bookmarkStart w:id="145" w:name="_Toc29789"/>
      <w:r>
        <w:rPr>
          <w:rFonts w:eastAsia="黑体" w:hint="eastAsia"/>
          <w:b w:val="0"/>
          <w:spacing w:val="0"/>
          <w:sz w:val="24"/>
          <w:szCs w:val="24"/>
        </w:rPr>
        <w:lastRenderedPageBreak/>
        <w:t xml:space="preserve">8.2  </w:t>
      </w:r>
      <w:r>
        <w:rPr>
          <w:rFonts w:eastAsia="黑体" w:hint="eastAsia"/>
          <w:b w:val="0"/>
          <w:spacing w:val="0"/>
          <w:sz w:val="24"/>
          <w:szCs w:val="24"/>
        </w:rPr>
        <w:t>安全管理建议</w:t>
      </w:r>
      <w:bookmarkEnd w:id="141"/>
      <w:bookmarkEnd w:id="142"/>
      <w:bookmarkEnd w:id="143"/>
      <w:bookmarkEnd w:id="144"/>
      <w:bookmarkEnd w:id="145"/>
    </w:p>
    <w:p w14:paraId="79B04774" w14:textId="77777777" w:rsidR="003D6A63" w:rsidRDefault="00000000">
      <w:pPr>
        <w:pStyle w:val="af1"/>
        <w:widowControl w:val="0"/>
        <w:numPr>
          <w:ilvl w:val="0"/>
          <w:numId w:val="0"/>
        </w:numPr>
        <w:adjustRightInd w:val="0"/>
        <w:snapToGrid w:val="0"/>
        <w:spacing w:line="360" w:lineRule="auto"/>
        <w:ind w:firstLineChars="200" w:firstLine="480"/>
        <w:rPr>
          <w:rFonts w:ascii="Times New Roman" w:cs="宋体"/>
          <w:sz w:val="24"/>
          <w:szCs w:val="24"/>
        </w:rPr>
      </w:pPr>
      <w:r>
        <w:rPr>
          <w:rFonts w:ascii="Times New Roman" w:cs="宋体" w:hint="eastAsia"/>
          <w:sz w:val="24"/>
          <w:szCs w:val="24"/>
        </w:rPr>
        <w:t>中胜公司</w:t>
      </w:r>
      <w:r>
        <w:rPr>
          <w:rFonts w:ascii="Times New Roman" w:cs="宋体"/>
          <w:sz w:val="24"/>
          <w:szCs w:val="24"/>
        </w:rPr>
        <w:t>及所属</w:t>
      </w:r>
      <w:r>
        <w:rPr>
          <w:rFonts w:ascii="Times New Roman" w:cs="宋体" w:hint="eastAsia"/>
          <w:sz w:val="24"/>
          <w:szCs w:val="24"/>
        </w:rPr>
        <w:t>部门、开发区</w:t>
      </w:r>
      <w:r>
        <w:rPr>
          <w:rFonts w:ascii="Times New Roman" w:cs="宋体"/>
          <w:sz w:val="24"/>
          <w:szCs w:val="24"/>
        </w:rPr>
        <w:t>还应落实本评价报告所提出的以下建议措施，以确保能够长期、安全、稳定的生产运营。</w:t>
      </w:r>
    </w:p>
    <w:p w14:paraId="7AB230A3" w14:textId="77777777" w:rsidR="003D6A63" w:rsidRDefault="00000000">
      <w:pPr>
        <w:pStyle w:val="affffffffff7"/>
        <w:ind w:firstLineChars="100" w:firstLine="240"/>
        <w:rPr>
          <w:sz w:val="24"/>
          <w:szCs w:val="24"/>
        </w:rPr>
      </w:pPr>
      <w:r>
        <w:rPr>
          <w:rFonts w:hint="eastAsia"/>
          <w:sz w:val="24"/>
          <w:szCs w:val="24"/>
        </w:rPr>
        <w:t>（</w:t>
      </w:r>
      <w:r>
        <w:rPr>
          <w:rFonts w:hint="eastAsia"/>
          <w:sz w:val="24"/>
          <w:szCs w:val="24"/>
        </w:rPr>
        <w:t>1</w:t>
      </w:r>
      <w:r>
        <w:rPr>
          <w:rFonts w:hint="eastAsia"/>
          <w:sz w:val="24"/>
          <w:szCs w:val="24"/>
        </w:rPr>
        <w:t>）中胜公司应根据本次安全评价过程中发现的隐患及问题，组织各开发区进行全面检查，排查安全隐患并及时整改，确保安全生产。</w:t>
      </w:r>
    </w:p>
    <w:p w14:paraId="2100D507" w14:textId="77777777" w:rsidR="003D6A63" w:rsidRDefault="00000000">
      <w:pPr>
        <w:autoSpaceDE w:val="0"/>
        <w:autoSpaceDN w:val="0"/>
        <w:adjustRightInd w:val="0"/>
        <w:snapToGrid w:val="0"/>
        <w:spacing w:line="360" w:lineRule="auto"/>
        <w:ind w:firstLineChars="100" w:firstLine="240"/>
        <w:rPr>
          <w:rFonts w:cs="宋体"/>
          <w:kern w:val="0"/>
          <w:sz w:val="24"/>
        </w:rPr>
      </w:pPr>
      <w:r>
        <w:rPr>
          <w:rFonts w:cs="宋体" w:hint="eastAsia"/>
          <w:kern w:val="0"/>
          <w:sz w:val="24"/>
        </w:rPr>
        <w:t>（</w:t>
      </w:r>
      <w:r>
        <w:rPr>
          <w:rFonts w:cs="宋体" w:hint="eastAsia"/>
          <w:kern w:val="0"/>
          <w:sz w:val="24"/>
        </w:rPr>
        <w:t>2</w:t>
      </w:r>
      <w:r>
        <w:rPr>
          <w:rFonts w:cs="宋体" w:hint="eastAsia"/>
          <w:kern w:val="0"/>
          <w:sz w:val="24"/>
        </w:rPr>
        <w:t>）针对河</w:t>
      </w:r>
      <w:r>
        <w:rPr>
          <w:rFonts w:cs="宋体" w:hint="eastAsia"/>
          <w:kern w:val="0"/>
          <w:sz w:val="24"/>
        </w:rPr>
        <w:t>67-8</w:t>
      </w:r>
      <w:r>
        <w:rPr>
          <w:rFonts w:cs="宋体" w:hint="eastAsia"/>
          <w:kern w:val="0"/>
          <w:sz w:val="24"/>
        </w:rPr>
        <w:t>站、河</w:t>
      </w:r>
      <w:r>
        <w:rPr>
          <w:rFonts w:cs="宋体" w:hint="eastAsia"/>
          <w:kern w:val="0"/>
          <w:sz w:val="24"/>
        </w:rPr>
        <w:t>55</w:t>
      </w:r>
      <w:r>
        <w:rPr>
          <w:rFonts w:cs="宋体" w:hint="eastAsia"/>
          <w:kern w:val="0"/>
          <w:sz w:val="24"/>
        </w:rPr>
        <w:t>站存在部分设施与周边建构筑物防火间距不满足标准要求的情况，在不能改变现有状况的情况下，建议中胜公司加强对上述设备设施的日常巡检及隐患排查，做好相邻单位、居民风险告知，将相关单位、居民纳入站场火灾爆炸、应急疏散等相关演习联动。</w:t>
      </w:r>
    </w:p>
    <w:p w14:paraId="37F9321A" w14:textId="77777777" w:rsidR="003D6A63" w:rsidRDefault="00000000">
      <w:pPr>
        <w:autoSpaceDE w:val="0"/>
        <w:autoSpaceDN w:val="0"/>
        <w:adjustRightInd w:val="0"/>
        <w:snapToGrid w:val="0"/>
        <w:spacing w:line="360" w:lineRule="auto"/>
        <w:ind w:firstLineChars="100" w:firstLine="240"/>
        <w:rPr>
          <w:rFonts w:cs="宋体"/>
          <w:kern w:val="0"/>
          <w:sz w:val="24"/>
        </w:rPr>
      </w:pPr>
      <w:r>
        <w:rPr>
          <w:rFonts w:cs="宋体" w:hint="eastAsia"/>
          <w:kern w:val="0"/>
          <w:sz w:val="24"/>
        </w:rPr>
        <w:t>（</w:t>
      </w:r>
      <w:r>
        <w:rPr>
          <w:rFonts w:cs="宋体" w:hint="eastAsia"/>
          <w:kern w:val="0"/>
          <w:sz w:val="24"/>
        </w:rPr>
        <w:t>3</w:t>
      </w:r>
      <w:r>
        <w:rPr>
          <w:rFonts w:cs="宋体" w:hint="eastAsia"/>
          <w:kern w:val="0"/>
          <w:sz w:val="24"/>
        </w:rPr>
        <w:t>）应对本单位建立的安全生产责任制、安全生产规章制度和操作规程有效实施并持续改进，</w:t>
      </w:r>
      <w:r>
        <w:rPr>
          <w:color w:val="000000" w:themeColor="text1"/>
          <w:sz w:val="24"/>
        </w:rPr>
        <w:t>不断完善各项安全管理制度、安全操作规程及安全生产责任制，同时要加强制度、规程执行力建设，理清责任部门，落实岗位责任，建立健全制度执行的监督机制和问责机制，加强日常监督、定期监督和专项检查，拓宽监督渠道，增加监督方式，狠抓制度落实，保证每项制度得到彻底贯彻实施</w:t>
      </w:r>
      <w:r>
        <w:rPr>
          <w:rFonts w:hint="eastAsia"/>
          <w:color w:val="000000" w:themeColor="text1"/>
          <w:sz w:val="24"/>
        </w:rPr>
        <w:t>。</w:t>
      </w:r>
    </w:p>
    <w:p w14:paraId="6E03F100" w14:textId="77777777" w:rsidR="003D6A63" w:rsidRDefault="00000000">
      <w:pPr>
        <w:autoSpaceDE w:val="0"/>
        <w:autoSpaceDN w:val="0"/>
        <w:adjustRightInd w:val="0"/>
        <w:snapToGrid w:val="0"/>
        <w:spacing w:line="360" w:lineRule="auto"/>
        <w:ind w:firstLineChars="100" w:firstLine="240"/>
        <w:rPr>
          <w:rFonts w:cs="宋体"/>
          <w:kern w:val="0"/>
          <w:sz w:val="24"/>
          <w:lang w:val="zh-CN"/>
        </w:rPr>
      </w:pPr>
      <w:r>
        <w:rPr>
          <w:rFonts w:cs="宋体" w:hint="eastAsia"/>
          <w:kern w:val="0"/>
          <w:sz w:val="24"/>
        </w:rPr>
        <w:t>（</w:t>
      </w:r>
      <w:r>
        <w:rPr>
          <w:rFonts w:cs="宋体" w:hint="eastAsia"/>
          <w:kern w:val="0"/>
          <w:sz w:val="24"/>
        </w:rPr>
        <w:t>4</w:t>
      </w:r>
      <w:r>
        <w:rPr>
          <w:rFonts w:cs="宋体" w:hint="eastAsia"/>
          <w:kern w:val="0"/>
          <w:sz w:val="24"/>
        </w:rPr>
        <w:t>）</w:t>
      </w:r>
      <w:r>
        <w:rPr>
          <w:rFonts w:cs="宋体" w:hint="eastAsia"/>
          <w:kern w:val="0"/>
          <w:sz w:val="24"/>
          <w:lang w:val="zh-CN"/>
        </w:rPr>
        <w:t>定期对职工进行安全教育培训和考核，不断提高职工的安全意识和操作技能，培训应针对公司人员具体接触到的设备设施及相应的事故应急处理措施进行。教育培训情况应当记录备查。</w:t>
      </w:r>
    </w:p>
    <w:p w14:paraId="284179DF" w14:textId="77777777" w:rsidR="003D6A63" w:rsidRDefault="00000000">
      <w:pPr>
        <w:autoSpaceDE w:val="0"/>
        <w:autoSpaceDN w:val="0"/>
        <w:adjustRightInd w:val="0"/>
        <w:snapToGrid w:val="0"/>
        <w:spacing w:line="360" w:lineRule="auto"/>
        <w:ind w:firstLineChars="100" w:firstLine="240"/>
        <w:rPr>
          <w:rFonts w:cs="宋体"/>
          <w:kern w:val="0"/>
          <w:sz w:val="24"/>
        </w:rPr>
      </w:pPr>
      <w:r>
        <w:rPr>
          <w:rFonts w:cs="宋体" w:hint="eastAsia"/>
          <w:kern w:val="0"/>
          <w:sz w:val="24"/>
        </w:rPr>
        <w:t>（</w:t>
      </w:r>
      <w:r>
        <w:rPr>
          <w:rFonts w:cs="宋体" w:hint="eastAsia"/>
          <w:kern w:val="0"/>
          <w:sz w:val="24"/>
        </w:rPr>
        <w:t>5</w:t>
      </w:r>
      <w:r>
        <w:rPr>
          <w:rFonts w:cs="宋体" w:hint="eastAsia"/>
          <w:kern w:val="0"/>
          <w:sz w:val="24"/>
        </w:rPr>
        <w:t>）公司各级管理人员应熟悉相关安全技术标准和要求，并严格执行，不得违章指挥；作业人员应熟悉并遵守相关安全技术规定及岗位安全操作规程，正确使用安全防护用具、机械设备等，不得违章作业。</w:t>
      </w:r>
    </w:p>
    <w:p w14:paraId="72ED3700" w14:textId="77777777" w:rsidR="003D6A63" w:rsidRDefault="00000000">
      <w:pPr>
        <w:autoSpaceDE w:val="0"/>
        <w:autoSpaceDN w:val="0"/>
        <w:adjustRightInd w:val="0"/>
        <w:snapToGrid w:val="0"/>
        <w:spacing w:line="360" w:lineRule="auto"/>
        <w:ind w:firstLineChars="100" w:firstLine="240"/>
        <w:rPr>
          <w:rFonts w:cs="宋体"/>
          <w:kern w:val="0"/>
          <w:sz w:val="24"/>
          <w:lang w:val="zh-CN"/>
        </w:rPr>
      </w:pPr>
      <w:r>
        <w:rPr>
          <w:rFonts w:cs="宋体" w:hint="eastAsia"/>
          <w:kern w:val="0"/>
          <w:sz w:val="24"/>
          <w:lang w:val="zh-CN"/>
        </w:rPr>
        <w:t>（</w:t>
      </w:r>
      <w:r>
        <w:rPr>
          <w:rFonts w:cs="宋体" w:hint="eastAsia"/>
          <w:kern w:val="0"/>
          <w:sz w:val="24"/>
        </w:rPr>
        <w:t>6</w:t>
      </w:r>
      <w:r>
        <w:rPr>
          <w:rFonts w:cs="宋体" w:hint="eastAsia"/>
          <w:kern w:val="0"/>
          <w:sz w:val="24"/>
          <w:lang w:val="zh-CN"/>
        </w:rPr>
        <w:t>）</w:t>
      </w:r>
      <w:r>
        <w:rPr>
          <w:rFonts w:cs="宋体" w:hint="eastAsia"/>
          <w:kern w:val="0"/>
          <w:sz w:val="24"/>
        </w:rPr>
        <w:t>对动火、临时用电、动土等特殊作业，应严格按照《胜利油田作业许可管理实施细则》（胜油局发〔</w:t>
      </w:r>
      <w:r>
        <w:rPr>
          <w:rFonts w:cs="宋体" w:hint="eastAsia"/>
          <w:kern w:val="0"/>
          <w:sz w:val="24"/>
        </w:rPr>
        <w:t>2022</w:t>
      </w:r>
      <w:r>
        <w:rPr>
          <w:rFonts w:cs="宋体" w:hint="eastAsia"/>
          <w:kern w:val="0"/>
          <w:sz w:val="24"/>
        </w:rPr>
        <w:t>〕</w:t>
      </w:r>
      <w:r>
        <w:rPr>
          <w:rFonts w:cs="宋体" w:hint="eastAsia"/>
          <w:kern w:val="0"/>
          <w:sz w:val="24"/>
        </w:rPr>
        <w:t>99</w:t>
      </w:r>
      <w:r>
        <w:rPr>
          <w:rFonts w:cs="宋体" w:hint="eastAsia"/>
          <w:kern w:val="0"/>
          <w:sz w:val="24"/>
        </w:rPr>
        <w:t>号）的要求，按照“管业务必须管安全”“风险管控最有利”和“谁签字谁负责、谁审批谁负责”的原则实施作业许可管理，严格作业安全分析、作业安全交底和作业许可</w:t>
      </w:r>
      <w:r>
        <w:rPr>
          <w:rFonts w:cs="宋体" w:hint="eastAsia"/>
          <w:kern w:val="0"/>
          <w:sz w:val="24"/>
          <w:lang w:val="zh-CN"/>
        </w:rPr>
        <w:t>。</w:t>
      </w:r>
    </w:p>
    <w:p w14:paraId="1163F6C9" w14:textId="77777777" w:rsidR="003D6A63" w:rsidRDefault="00000000">
      <w:pPr>
        <w:pStyle w:val="Default"/>
        <w:spacing w:line="360" w:lineRule="auto"/>
        <w:ind w:firstLineChars="100" w:firstLine="240"/>
        <w:rPr>
          <w:rFonts w:ascii="Times New Roman"/>
          <w:lang w:val="zh-CN"/>
        </w:rPr>
      </w:pPr>
      <w:r>
        <w:rPr>
          <w:rFonts w:ascii="Times New Roman" w:hint="eastAsia"/>
          <w:lang w:val="zh-CN"/>
        </w:rPr>
        <w:t>（</w:t>
      </w:r>
      <w:r>
        <w:rPr>
          <w:rFonts w:ascii="Times New Roman" w:hint="eastAsia"/>
        </w:rPr>
        <w:t>7</w:t>
      </w:r>
      <w:r>
        <w:rPr>
          <w:rFonts w:ascii="Times New Roman" w:hint="eastAsia"/>
          <w:lang w:val="zh-CN"/>
        </w:rPr>
        <w:t>）</w:t>
      </w:r>
      <w:r>
        <w:rPr>
          <w:rFonts w:ascii="Times New Roman" w:hint="eastAsia"/>
        </w:rPr>
        <w:t>加强承包商的管理：特别是</w:t>
      </w:r>
      <w:r>
        <w:rPr>
          <w:rFonts w:ascii="Times New Roman"/>
        </w:rPr>
        <w:t>钻井、井下作业、地面工程建设、电力、维修等业务</w:t>
      </w:r>
      <w:r>
        <w:rPr>
          <w:rFonts w:ascii="Times New Roman" w:hint="eastAsia"/>
        </w:rPr>
        <w:t>，中胜公司</w:t>
      </w:r>
      <w:r>
        <w:rPr>
          <w:rFonts w:ascii="Times New Roman"/>
        </w:rPr>
        <w:t>应</w:t>
      </w:r>
      <w:r>
        <w:rPr>
          <w:rFonts w:ascii="Times New Roman" w:hint="eastAsia"/>
        </w:rPr>
        <w:t>按照公司制度要求</w:t>
      </w:r>
      <w:r>
        <w:rPr>
          <w:rFonts w:ascii="Times New Roman"/>
        </w:rPr>
        <w:t>对相应承包商的准入审核严格把关，做好承包商的安全交底和开工确认，并明确责任签订安全协议。加强承包商的安全资质审查、日常监督检查与考核管理工作</w:t>
      </w:r>
    </w:p>
    <w:p w14:paraId="42FF3331" w14:textId="77777777" w:rsidR="003D6A63" w:rsidRDefault="00000000">
      <w:pPr>
        <w:adjustRightInd w:val="0"/>
        <w:snapToGrid w:val="0"/>
        <w:spacing w:line="360" w:lineRule="auto"/>
        <w:ind w:firstLineChars="100" w:firstLine="240"/>
        <w:rPr>
          <w:rFonts w:cs="宋体"/>
          <w:kern w:val="0"/>
          <w:sz w:val="24"/>
          <w:lang w:val="zh-CN"/>
        </w:rPr>
      </w:pPr>
      <w:r>
        <w:rPr>
          <w:rFonts w:cs="宋体" w:hint="eastAsia"/>
          <w:kern w:val="0"/>
          <w:sz w:val="24"/>
          <w:lang w:val="zh-CN"/>
        </w:rPr>
        <w:t>（</w:t>
      </w:r>
      <w:r>
        <w:rPr>
          <w:rFonts w:cs="宋体" w:hint="eastAsia"/>
          <w:kern w:val="0"/>
          <w:sz w:val="24"/>
        </w:rPr>
        <w:t>8</w:t>
      </w:r>
      <w:r>
        <w:rPr>
          <w:rFonts w:cs="宋体" w:hint="eastAsia"/>
          <w:kern w:val="0"/>
          <w:sz w:val="24"/>
          <w:lang w:val="zh-CN"/>
        </w:rPr>
        <w:t>）</w:t>
      </w:r>
      <w:r>
        <w:rPr>
          <w:color w:val="000000" w:themeColor="text1"/>
          <w:sz w:val="24"/>
        </w:rPr>
        <w:t>加强和推进安全生产风险分级管控和隐患排查治理体系的运行，不断完善和更新</w:t>
      </w:r>
      <w:r>
        <w:rPr>
          <w:rFonts w:hint="eastAsia"/>
          <w:color w:val="000000" w:themeColor="text1"/>
          <w:sz w:val="24"/>
        </w:rPr>
        <w:t>公司</w:t>
      </w:r>
      <w:r>
        <w:rPr>
          <w:color w:val="000000" w:themeColor="text1"/>
          <w:sz w:val="24"/>
        </w:rPr>
        <w:t>各层级风险管控清单和隐患排查清单，确保风险受控、隐患及时治理</w:t>
      </w:r>
      <w:r>
        <w:rPr>
          <w:rFonts w:cs="宋体"/>
          <w:kern w:val="0"/>
          <w:sz w:val="24"/>
          <w:lang w:val="zh-CN"/>
        </w:rPr>
        <w:t>。</w:t>
      </w:r>
    </w:p>
    <w:p w14:paraId="535BC527" w14:textId="77777777" w:rsidR="003D6A63" w:rsidRDefault="00000000">
      <w:pPr>
        <w:autoSpaceDE w:val="0"/>
        <w:autoSpaceDN w:val="0"/>
        <w:adjustRightInd w:val="0"/>
        <w:snapToGrid w:val="0"/>
        <w:spacing w:line="360" w:lineRule="auto"/>
        <w:ind w:firstLineChars="100" w:firstLine="240"/>
        <w:rPr>
          <w:lang w:val="zh-CN"/>
        </w:rPr>
      </w:pPr>
      <w:r>
        <w:rPr>
          <w:rFonts w:hint="eastAsia"/>
          <w:color w:val="000000" w:themeColor="text1"/>
          <w:sz w:val="24"/>
        </w:rPr>
        <w:lastRenderedPageBreak/>
        <w:t>（</w:t>
      </w:r>
      <w:r>
        <w:rPr>
          <w:rFonts w:hint="eastAsia"/>
          <w:color w:val="000000" w:themeColor="text1"/>
          <w:sz w:val="24"/>
        </w:rPr>
        <w:t>9</w:t>
      </w:r>
      <w:r>
        <w:rPr>
          <w:rFonts w:hint="eastAsia"/>
          <w:color w:val="000000" w:themeColor="text1"/>
          <w:sz w:val="24"/>
        </w:rPr>
        <w:t>）</w:t>
      </w:r>
      <w:r>
        <w:rPr>
          <w:color w:val="000000" w:themeColor="text1"/>
          <w:sz w:val="24"/>
        </w:rPr>
        <w:t>加强应急管理工作，应根据设备设施、工艺技术以及应急演练情况，对应急预案及应急措施进行修订和完善，做好与承包商的应急联动。加强应急培训与演练，</w:t>
      </w:r>
      <w:r>
        <w:rPr>
          <w:rFonts w:hint="eastAsia"/>
          <w:color w:val="000000" w:themeColor="text1"/>
          <w:sz w:val="24"/>
        </w:rPr>
        <w:t>并做好应急演练记录，</w:t>
      </w:r>
      <w:r>
        <w:rPr>
          <w:color w:val="000000" w:themeColor="text1"/>
          <w:sz w:val="24"/>
        </w:rPr>
        <w:t>将工作做到实处</w:t>
      </w:r>
      <w:r>
        <w:rPr>
          <w:rFonts w:hint="eastAsia"/>
          <w:color w:val="000000" w:themeColor="text1"/>
          <w:sz w:val="24"/>
        </w:rPr>
        <w:t>；</w:t>
      </w:r>
      <w:r>
        <w:rPr>
          <w:rFonts w:cs="宋体" w:hint="eastAsia"/>
          <w:kern w:val="0"/>
          <w:sz w:val="24"/>
          <w:lang w:val="zh-CN"/>
        </w:rPr>
        <w:t>加强对应急预案的培训、演练，完善演练记录；在生产条件、应急救援条件发生变化时，应及时修订事故应急救援预案，保持事故应急救援预案的适宜性和有效性。</w:t>
      </w:r>
    </w:p>
    <w:p w14:paraId="02A747A8" w14:textId="77777777" w:rsidR="003D6A63" w:rsidRDefault="00000000">
      <w:pPr>
        <w:adjustRightInd w:val="0"/>
        <w:snapToGrid w:val="0"/>
        <w:spacing w:line="360" w:lineRule="auto"/>
        <w:ind w:firstLineChars="100" w:firstLine="240"/>
        <w:rPr>
          <w:rFonts w:cs="宋体"/>
          <w:kern w:val="0"/>
          <w:sz w:val="24"/>
        </w:rPr>
      </w:pPr>
      <w:r>
        <w:rPr>
          <w:rFonts w:cs="宋体" w:hint="eastAsia"/>
          <w:kern w:val="0"/>
          <w:sz w:val="24"/>
          <w:lang w:val="zh-CN"/>
        </w:rPr>
        <w:t>（</w:t>
      </w:r>
      <w:r>
        <w:rPr>
          <w:rFonts w:cs="宋体" w:hint="eastAsia"/>
          <w:kern w:val="0"/>
          <w:sz w:val="24"/>
        </w:rPr>
        <w:t>10</w:t>
      </w:r>
      <w:r>
        <w:rPr>
          <w:rFonts w:cs="宋体" w:hint="eastAsia"/>
          <w:kern w:val="0"/>
          <w:sz w:val="24"/>
          <w:lang w:val="zh-CN"/>
        </w:rPr>
        <w:t>）</w:t>
      </w:r>
      <w:r>
        <w:rPr>
          <w:rFonts w:cs="宋体"/>
          <w:kern w:val="0"/>
          <w:sz w:val="24"/>
        </w:rPr>
        <w:t>规范生产过程中变更的安全管理，按照谁主管谁负责、谁变更谁负责、谁审批谁负责的原则，进一步做好变更申请、变更风险评估、变更审批、变更效果评估和变更告知等工作。</w:t>
      </w:r>
    </w:p>
    <w:p w14:paraId="6674AD61" w14:textId="77777777" w:rsidR="003D6A63" w:rsidRDefault="00000000">
      <w:pPr>
        <w:pStyle w:val="Default"/>
        <w:spacing w:line="360" w:lineRule="auto"/>
        <w:ind w:firstLineChars="100" w:firstLine="240"/>
        <w:rPr>
          <w:rFonts w:ascii="Times New Roman"/>
          <w:color w:val="auto"/>
          <w:lang w:val="zh-CN"/>
        </w:rPr>
      </w:pPr>
      <w:r>
        <w:rPr>
          <w:rFonts w:ascii="Times New Roman" w:hint="eastAsia"/>
          <w:color w:val="auto"/>
          <w:lang w:val="zh-CN"/>
        </w:rPr>
        <w:t>（</w:t>
      </w:r>
      <w:r>
        <w:rPr>
          <w:rFonts w:ascii="Times New Roman" w:hint="eastAsia"/>
          <w:color w:val="auto"/>
        </w:rPr>
        <w:t>11</w:t>
      </w:r>
      <w:r>
        <w:rPr>
          <w:rFonts w:ascii="Times New Roman" w:hint="eastAsia"/>
          <w:color w:val="auto"/>
          <w:lang w:val="zh-CN"/>
        </w:rPr>
        <w:t>）</w:t>
      </w:r>
      <w:r>
        <w:rPr>
          <w:rFonts w:ascii="Times New Roman"/>
          <w:color w:val="auto"/>
        </w:rPr>
        <w:t>加强对作业人员的安全教育、培训及取证工作，对作业人员即使持有相关资质证书的，也应进行安全能力和知识的考核，确保作业人员的安全知识和能力满足作业的要求</w:t>
      </w:r>
      <w:r>
        <w:rPr>
          <w:rFonts w:ascii="Times New Roman" w:hint="eastAsia"/>
          <w:color w:val="auto"/>
        </w:rPr>
        <w:t>。</w:t>
      </w:r>
    </w:p>
    <w:p w14:paraId="252C48AB" w14:textId="77777777" w:rsidR="003D6A63" w:rsidRDefault="00000000">
      <w:pPr>
        <w:adjustRightInd w:val="0"/>
        <w:snapToGrid w:val="0"/>
        <w:spacing w:line="360" w:lineRule="auto"/>
        <w:ind w:firstLineChars="100" w:firstLine="240"/>
        <w:rPr>
          <w:rFonts w:cs="宋体"/>
          <w:kern w:val="0"/>
          <w:sz w:val="24"/>
          <w:lang w:val="zh-CN"/>
        </w:rPr>
      </w:pPr>
      <w:r>
        <w:rPr>
          <w:rFonts w:cs="宋体" w:hint="eastAsia"/>
          <w:kern w:val="0"/>
          <w:sz w:val="24"/>
          <w:lang w:val="zh-CN"/>
        </w:rPr>
        <w:t>（</w:t>
      </w:r>
      <w:r>
        <w:rPr>
          <w:rFonts w:cs="宋体" w:hint="eastAsia"/>
          <w:kern w:val="0"/>
          <w:sz w:val="24"/>
        </w:rPr>
        <w:t>12</w:t>
      </w:r>
      <w:r>
        <w:rPr>
          <w:rFonts w:cs="宋体" w:hint="eastAsia"/>
          <w:kern w:val="0"/>
          <w:sz w:val="24"/>
          <w:lang w:val="zh-CN"/>
        </w:rPr>
        <w:t>）</w:t>
      </w:r>
      <w:r>
        <w:rPr>
          <w:rFonts w:cs="宋体"/>
          <w:kern w:val="0"/>
          <w:sz w:val="24"/>
          <w:lang w:val="zh-CN"/>
        </w:rPr>
        <w:t>各种安全设施应有专人负责管理，不得随意拆除、挪用或弃置不用，按规定检查、检测和保养、维护。按照国家有关标准规范的要求，对安全设施定期更新与改进，确保安全设施齐全、有效。</w:t>
      </w:r>
    </w:p>
    <w:p w14:paraId="2EEC9E37" w14:textId="77777777" w:rsidR="003D6A63" w:rsidRDefault="00000000">
      <w:pPr>
        <w:adjustRightInd w:val="0"/>
        <w:snapToGrid w:val="0"/>
        <w:spacing w:line="360" w:lineRule="auto"/>
        <w:ind w:firstLineChars="100" w:firstLine="240"/>
        <w:rPr>
          <w:rFonts w:cs="宋体"/>
          <w:kern w:val="0"/>
          <w:sz w:val="24"/>
          <w:lang w:val="zh-CN"/>
        </w:rPr>
      </w:pPr>
      <w:r>
        <w:rPr>
          <w:rFonts w:cs="宋体" w:hint="eastAsia"/>
          <w:kern w:val="0"/>
          <w:sz w:val="24"/>
          <w:lang w:val="zh-CN"/>
        </w:rPr>
        <w:t>（</w:t>
      </w:r>
      <w:r>
        <w:rPr>
          <w:rFonts w:cs="宋体" w:hint="eastAsia"/>
          <w:kern w:val="0"/>
          <w:sz w:val="24"/>
        </w:rPr>
        <w:t>13</w:t>
      </w:r>
      <w:r>
        <w:rPr>
          <w:rFonts w:cs="宋体" w:hint="eastAsia"/>
          <w:kern w:val="0"/>
          <w:sz w:val="24"/>
          <w:lang w:val="zh-CN"/>
        </w:rPr>
        <w:t>）</w:t>
      </w:r>
      <w:r>
        <w:rPr>
          <w:rFonts w:cs="宋体"/>
          <w:kern w:val="0"/>
          <w:sz w:val="24"/>
          <w:lang w:val="zh-CN"/>
        </w:rPr>
        <w:t>对设备设施进行定期检测、更新，对压力表等定期检测，保证其在安全有效期内使用，对气体检测仪和正压呼吸器等防护设施定期校验，保证设备设施和防护仪器完好可靠。</w:t>
      </w:r>
    </w:p>
    <w:p w14:paraId="467E7281" w14:textId="77777777" w:rsidR="003D6A63" w:rsidRDefault="00000000">
      <w:pPr>
        <w:pStyle w:val="affffd"/>
        <w:spacing w:line="360" w:lineRule="auto"/>
        <w:ind w:firstLineChars="100" w:firstLine="240"/>
        <w:rPr>
          <w:rFonts w:cs="宋体"/>
          <w:kern w:val="0"/>
          <w:sz w:val="24"/>
          <w:szCs w:val="24"/>
          <w:lang w:val="zh-CN"/>
        </w:rPr>
      </w:pPr>
      <w:r>
        <w:rPr>
          <w:rFonts w:cs="宋体" w:hint="eastAsia"/>
          <w:kern w:val="0"/>
          <w:sz w:val="24"/>
          <w:szCs w:val="24"/>
        </w:rPr>
        <w:t>（</w:t>
      </w:r>
      <w:r>
        <w:rPr>
          <w:rFonts w:cs="宋体" w:hint="eastAsia"/>
          <w:kern w:val="0"/>
          <w:sz w:val="24"/>
          <w:szCs w:val="24"/>
        </w:rPr>
        <w:t>14</w:t>
      </w:r>
      <w:r>
        <w:rPr>
          <w:rFonts w:cs="宋体" w:hint="eastAsia"/>
          <w:kern w:val="0"/>
          <w:sz w:val="24"/>
          <w:szCs w:val="24"/>
        </w:rPr>
        <w:t>）</w:t>
      </w:r>
      <w:r>
        <w:rPr>
          <w:rFonts w:cs="宋体"/>
          <w:kern w:val="0"/>
          <w:sz w:val="24"/>
          <w:szCs w:val="24"/>
          <w:lang w:val="zh-CN"/>
        </w:rPr>
        <w:t>劳动防护用品按照国家有关标准规范的要求配备，并定期检查、维护，确保安全防护用品齐全、有效。</w:t>
      </w:r>
    </w:p>
    <w:p w14:paraId="7BFBA67C" w14:textId="77777777" w:rsidR="003D6A63" w:rsidRDefault="003D6A63">
      <w:pPr>
        <w:pStyle w:val="nlw10"/>
        <w:rPr>
          <w:rFonts w:ascii="Times New Roman" w:hAnsi="Times New Roman"/>
          <w:sz w:val="24"/>
          <w:szCs w:val="24"/>
        </w:rPr>
        <w:sectPr w:rsidR="003D6A63">
          <w:pgSz w:w="11906" w:h="16838"/>
          <w:pgMar w:top="1417" w:right="1417" w:bottom="1417" w:left="1417" w:header="907" w:footer="964" w:gutter="0"/>
          <w:cols w:space="425"/>
          <w:docGrid w:linePitch="312" w:charSpace="-1489"/>
        </w:sectPr>
      </w:pPr>
    </w:p>
    <w:p w14:paraId="002EEB45" w14:textId="77777777" w:rsidR="003D6A63" w:rsidRDefault="00000000">
      <w:pPr>
        <w:pStyle w:val="1"/>
        <w:keepNext w:val="0"/>
        <w:keepLines w:val="0"/>
        <w:spacing w:beforeLines="100" w:before="240" w:afterLines="100" w:after="240" w:line="360" w:lineRule="auto"/>
        <w:ind w:firstLine="200"/>
        <w:rPr>
          <w:rFonts w:eastAsia="黑体"/>
          <w:b w:val="0"/>
          <w:spacing w:val="0"/>
        </w:rPr>
      </w:pPr>
      <w:bookmarkStart w:id="146" w:name="_Toc28130"/>
      <w:r>
        <w:rPr>
          <w:rFonts w:eastAsia="黑体" w:hint="eastAsia"/>
          <w:b w:val="0"/>
          <w:spacing w:val="0"/>
        </w:rPr>
        <w:lastRenderedPageBreak/>
        <w:t xml:space="preserve">9  </w:t>
      </w:r>
      <w:r>
        <w:rPr>
          <w:rFonts w:eastAsia="黑体" w:hint="eastAsia"/>
          <w:b w:val="0"/>
          <w:spacing w:val="0"/>
        </w:rPr>
        <w:t>安全评价结论</w:t>
      </w:r>
      <w:bookmarkEnd w:id="146"/>
    </w:p>
    <w:p w14:paraId="2304723C" w14:textId="77777777" w:rsidR="003D6A63" w:rsidRDefault="00000000">
      <w:pPr>
        <w:adjustRightInd w:val="0"/>
        <w:snapToGrid w:val="0"/>
        <w:spacing w:line="360" w:lineRule="auto"/>
        <w:ind w:firstLineChars="200" w:firstLine="480"/>
        <w:rPr>
          <w:rFonts w:ascii="宋体" w:hAnsi="宋体"/>
          <w:kern w:val="0"/>
          <w:sz w:val="24"/>
        </w:rPr>
      </w:pPr>
      <w:r>
        <w:rPr>
          <w:rFonts w:ascii="宋体" w:hAnsi="宋体" w:hint="eastAsia"/>
          <w:kern w:val="0"/>
          <w:sz w:val="24"/>
        </w:rPr>
        <w:t>根据中胜公司提供的有关资料，在主要危险、有害因素辨识、分析的基础上，依据国家有关法律法规、技术标准的要求，运用安全检查表评价方法，对中胜公司进行了安全现状评价，得出以下评价结论：</w:t>
      </w:r>
    </w:p>
    <w:p w14:paraId="7C9F3C2A" w14:textId="77777777" w:rsidR="003D6A63" w:rsidRDefault="00000000">
      <w:pPr>
        <w:adjustRightInd w:val="0"/>
        <w:snapToGrid w:val="0"/>
        <w:spacing w:line="360" w:lineRule="auto"/>
        <w:ind w:firstLineChars="200" w:firstLine="480"/>
        <w:rPr>
          <w:rFonts w:ascii="宋体" w:hAnsi="宋体"/>
          <w:kern w:val="0"/>
          <w:sz w:val="24"/>
        </w:rPr>
      </w:pPr>
      <w:r>
        <w:rPr>
          <w:rFonts w:ascii="宋体" w:hAnsi="宋体" w:hint="eastAsia"/>
          <w:kern w:val="0"/>
          <w:sz w:val="24"/>
        </w:rPr>
        <w:t>中胜公司陆上采油生产过程中，涉及的主要危险、有害物质有：原油、天然气、化学药剂、高压水等。</w:t>
      </w:r>
    </w:p>
    <w:p w14:paraId="03D413B8" w14:textId="77777777" w:rsidR="003D6A63" w:rsidRDefault="00000000">
      <w:pPr>
        <w:adjustRightInd w:val="0"/>
        <w:snapToGrid w:val="0"/>
        <w:spacing w:line="360" w:lineRule="auto"/>
        <w:ind w:firstLineChars="200" w:firstLine="480"/>
        <w:rPr>
          <w:rFonts w:ascii="宋体" w:hAnsi="宋体"/>
          <w:kern w:val="0"/>
          <w:sz w:val="24"/>
        </w:rPr>
      </w:pPr>
      <w:r>
        <w:rPr>
          <w:rFonts w:ascii="宋体" w:hAnsi="宋体" w:hint="eastAsia"/>
          <w:kern w:val="0"/>
          <w:sz w:val="24"/>
        </w:rPr>
        <w:t>主要危险、有害因素：火灾爆炸、容器爆炸、中毒和窒息、物体打击、机械伤害、触电、车辆伤害、灼烫、淹溺、高处坠落、噪声等。</w:t>
      </w:r>
    </w:p>
    <w:p w14:paraId="7A052214" w14:textId="77777777" w:rsidR="003D6A63" w:rsidRDefault="00000000">
      <w:pPr>
        <w:adjustRightInd w:val="0"/>
        <w:snapToGrid w:val="0"/>
        <w:spacing w:line="360" w:lineRule="auto"/>
        <w:ind w:firstLineChars="200" w:firstLine="480"/>
        <w:rPr>
          <w:rFonts w:ascii="宋体" w:hAnsi="宋体"/>
          <w:kern w:val="0"/>
          <w:sz w:val="24"/>
        </w:rPr>
      </w:pPr>
      <w:r>
        <w:rPr>
          <w:rFonts w:ascii="宋体" w:hAnsi="宋体" w:hint="eastAsia"/>
          <w:kern w:val="0"/>
          <w:sz w:val="24"/>
        </w:rPr>
        <w:t>自然灾害：雷电袭击、大风、高温和低温、洪涝灾害、地震灾害、腐蚀等。</w:t>
      </w:r>
    </w:p>
    <w:p w14:paraId="31F947DC" w14:textId="77777777" w:rsidR="003D6A63" w:rsidRDefault="00000000">
      <w:pPr>
        <w:adjustRightInd w:val="0"/>
        <w:snapToGrid w:val="0"/>
        <w:spacing w:line="360" w:lineRule="auto"/>
        <w:ind w:firstLineChars="200" w:firstLine="480"/>
        <w:rPr>
          <w:rFonts w:ascii="宋体" w:hAnsi="宋体"/>
          <w:kern w:val="0"/>
          <w:sz w:val="24"/>
        </w:rPr>
      </w:pPr>
      <w:r>
        <w:rPr>
          <w:rFonts w:ascii="宋体" w:hAnsi="宋体" w:hint="eastAsia"/>
          <w:kern w:val="0"/>
          <w:sz w:val="24"/>
        </w:rPr>
        <w:t>中胜公司不</w:t>
      </w:r>
      <w:r>
        <w:rPr>
          <w:rFonts w:ascii="宋体" w:hAnsi="宋体" w:hint="eastAsia"/>
          <w:kern w:val="0"/>
          <w:sz w:val="24"/>
          <w:lang w:val="zh-CN"/>
        </w:rPr>
        <w:t>构成危险化学品重大危险源</w:t>
      </w:r>
      <w:r>
        <w:rPr>
          <w:rFonts w:ascii="宋体" w:hAnsi="宋体" w:hint="eastAsia"/>
          <w:kern w:val="0"/>
          <w:sz w:val="24"/>
        </w:rPr>
        <w:t>。</w:t>
      </w:r>
    </w:p>
    <w:p w14:paraId="4346A0A8" w14:textId="77777777" w:rsidR="003D6A63" w:rsidRDefault="00000000">
      <w:pPr>
        <w:adjustRightInd w:val="0"/>
        <w:snapToGrid w:val="0"/>
        <w:spacing w:line="360" w:lineRule="auto"/>
        <w:ind w:firstLineChars="200" w:firstLine="480"/>
        <w:rPr>
          <w:rFonts w:ascii="宋体" w:hAnsi="宋体"/>
          <w:kern w:val="0"/>
          <w:sz w:val="24"/>
        </w:rPr>
      </w:pPr>
      <w:r>
        <w:rPr>
          <w:rFonts w:ascii="宋体" w:hAnsi="宋体" w:hint="eastAsia"/>
          <w:kern w:val="0"/>
          <w:sz w:val="24"/>
        </w:rPr>
        <w:t>本次现状评价共提出不符合项25项，中胜公司针对不符合项进行了相应整改。</w:t>
      </w:r>
    </w:p>
    <w:p w14:paraId="078E2FCA" w14:textId="77777777" w:rsidR="003D6A63" w:rsidRDefault="00000000">
      <w:pPr>
        <w:adjustRightInd w:val="0"/>
        <w:snapToGrid w:val="0"/>
        <w:spacing w:line="360" w:lineRule="auto"/>
        <w:ind w:firstLineChars="200" w:firstLine="480"/>
        <w:rPr>
          <w:rFonts w:ascii="宋体" w:hAnsi="宋体"/>
          <w:kern w:val="0"/>
          <w:sz w:val="24"/>
        </w:rPr>
      </w:pPr>
      <w:r>
        <w:rPr>
          <w:rFonts w:ascii="宋体" w:hAnsi="宋体" w:hint="eastAsia"/>
          <w:kern w:val="0"/>
          <w:sz w:val="24"/>
        </w:rPr>
        <w:t>中胜公司主要负责人（法人）、安全管理人员经培训并考核合格，持有安全合格证。胜利油田中胜石油开发有限责任公司按要求设置安全生产管理机构，并配备专职安全管理人员；建立健全本单位主要负责人（法人）、其他负责人、职能部门负责人、一般从业人员等全体人员的安全生产责任制；安全管理制度和安全操作规程齐全；制定有应急救援预案并备案，建立了应急救援组织，配备有必要的应急救援器材、设备，制定有应急演练计划，并按照演练计划进行演练、评估。</w:t>
      </w:r>
    </w:p>
    <w:p w14:paraId="74CC1B4A" w14:textId="77777777" w:rsidR="003D6A63" w:rsidRDefault="00000000">
      <w:pPr>
        <w:adjustRightInd w:val="0"/>
        <w:snapToGrid w:val="0"/>
        <w:spacing w:line="360" w:lineRule="auto"/>
        <w:ind w:firstLineChars="200" w:firstLine="480"/>
        <w:rPr>
          <w:rFonts w:ascii="宋体" w:hAnsi="宋体"/>
          <w:kern w:val="0"/>
          <w:sz w:val="24"/>
        </w:rPr>
      </w:pPr>
      <w:r>
        <w:rPr>
          <w:rFonts w:ascii="宋体" w:hAnsi="宋体" w:hint="eastAsia"/>
          <w:kern w:val="0"/>
          <w:sz w:val="24"/>
        </w:rPr>
        <w:t>中胜公司依法提取安全生产费用并使用；依法参加工伤保险，为从业人员缴纳工伤保险和安全生产责任险；按规定为从业人员配备符合国家标准要求的劳动防护用品；定期对强制检验的安全设施及附件等进行检测检验。</w:t>
      </w:r>
    </w:p>
    <w:p w14:paraId="553FEDF4" w14:textId="77777777" w:rsidR="003D6A63" w:rsidRDefault="00000000">
      <w:pPr>
        <w:adjustRightInd w:val="0"/>
        <w:snapToGrid w:val="0"/>
        <w:spacing w:line="360" w:lineRule="auto"/>
        <w:ind w:firstLineChars="200" w:firstLine="480"/>
        <w:rPr>
          <w:rFonts w:ascii="宋体" w:hAnsi="宋体"/>
          <w:kern w:val="0"/>
          <w:sz w:val="24"/>
        </w:rPr>
      </w:pPr>
      <w:r>
        <w:rPr>
          <w:rFonts w:ascii="宋体" w:hAnsi="宋体" w:hint="eastAsia"/>
          <w:kern w:val="0"/>
          <w:sz w:val="24"/>
        </w:rPr>
        <w:t>中胜公司还应落实本次安全评价所提出的安全建议措施，严格执行各项安全管理制度，落实安全生产责任制，严格遵守各项安全操作规程，持续保持安全生产条件，从组织、管理、制度、人员等各个层面确保安全生产。</w:t>
      </w:r>
    </w:p>
    <w:p w14:paraId="10987E17" w14:textId="77777777" w:rsidR="003D6A63" w:rsidRDefault="00000000">
      <w:pPr>
        <w:pStyle w:val="nlw1"/>
        <w:adjustRightInd w:val="0"/>
        <w:snapToGrid w:val="0"/>
        <w:spacing w:line="360" w:lineRule="auto"/>
        <w:ind w:firstLine="482"/>
        <w:rPr>
          <w:rFonts w:ascii="Times New Roman" w:hAnsi="Times New Roman"/>
          <w:sz w:val="24"/>
          <w:szCs w:val="24"/>
        </w:rPr>
      </w:pPr>
      <w:r>
        <w:rPr>
          <w:rFonts w:hint="eastAsia"/>
          <w:b/>
          <w:sz w:val="24"/>
          <w:szCs w:val="24"/>
        </w:rPr>
        <w:t>综上所述，</w:t>
      </w:r>
      <w:r>
        <w:rPr>
          <w:rFonts w:hint="eastAsia"/>
          <w:b/>
          <w:sz w:val="24"/>
          <w:szCs w:val="24"/>
          <w:lang w:val="en-US"/>
        </w:rPr>
        <w:t>胜利油田中胜石油开发有限责任公司的设备设施、安全管理状况符合国家法律法规和国家及石油行业技术标准要求，具备陆上采油（气）</w:t>
      </w:r>
      <w:r>
        <w:rPr>
          <w:rFonts w:hint="eastAsia"/>
          <w:b/>
          <w:sz w:val="24"/>
          <w:szCs w:val="24"/>
        </w:rPr>
        <w:t>安全生产的条件。</w:t>
      </w:r>
    </w:p>
    <w:p w14:paraId="4529E0AB" w14:textId="77777777" w:rsidR="003D6A63" w:rsidRDefault="00000000">
      <w:pPr>
        <w:adjustRightInd w:val="0"/>
        <w:snapToGrid w:val="0"/>
        <w:spacing w:line="360" w:lineRule="auto"/>
        <w:rPr>
          <w:bCs/>
        </w:rPr>
      </w:pPr>
      <w:r>
        <w:rPr>
          <w:bCs/>
        </w:rPr>
        <w:br w:type="page"/>
      </w:r>
    </w:p>
    <w:p w14:paraId="729CCF51" w14:textId="77777777" w:rsidR="003D6A63" w:rsidRDefault="00000000">
      <w:pPr>
        <w:pStyle w:val="1"/>
        <w:keepNext w:val="0"/>
        <w:keepLines w:val="0"/>
        <w:spacing w:beforeLines="100" w:before="240" w:afterLines="100" w:after="240" w:line="360" w:lineRule="auto"/>
        <w:ind w:firstLine="200"/>
        <w:rPr>
          <w:rFonts w:eastAsia="黑体"/>
          <w:b w:val="0"/>
          <w:spacing w:val="0"/>
        </w:rPr>
      </w:pPr>
      <w:bookmarkStart w:id="147" w:name="_Toc32260"/>
      <w:r>
        <w:rPr>
          <w:rFonts w:eastAsia="黑体" w:hint="eastAsia"/>
          <w:b w:val="0"/>
          <w:spacing w:val="0"/>
        </w:rPr>
        <w:lastRenderedPageBreak/>
        <w:t xml:space="preserve">10  </w:t>
      </w:r>
      <w:r>
        <w:rPr>
          <w:rFonts w:eastAsia="黑体" w:hint="eastAsia"/>
          <w:b w:val="0"/>
          <w:spacing w:val="0"/>
        </w:rPr>
        <w:t>与被评价单位交换意见的情况</w:t>
      </w:r>
      <w:bookmarkEnd w:id="147"/>
    </w:p>
    <w:p w14:paraId="04CA5668" w14:textId="77777777" w:rsidR="003D6A63" w:rsidRDefault="00000000">
      <w:pPr>
        <w:pStyle w:val="nlw1"/>
        <w:widowControl/>
        <w:spacing w:line="360" w:lineRule="auto"/>
        <w:ind w:firstLine="480"/>
        <w:rPr>
          <w:rFonts w:ascii="Times New Roman" w:hAnsi="Times New Roman"/>
          <w:sz w:val="24"/>
          <w:szCs w:val="24"/>
          <w:lang w:val="en-US"/>
        </w:rPr>
      </w:pPr>
      <w:r>
        <w:rPr>
          <w:rFonts w:ascii="Times New Roman" w:hAnsi="Times New Roman" w:hint="eastAsia"/>
          <w:sz w:val="24"/>
          <w:szCs w:val="24"/>
          <w:lang w:val="en-US"/>
        </w:rPr>
        <w:t>山东实华安全技术有限公司接到中胜公司的委托后，认真研究了项目的有关资料，到现场查看并与有关技术人员进行了交流。被评价单位进行了认真准备并与评价单位进行了交流。</w:t>
      </w:r>
    </w:p>
    <w:p w14:paraId="6161908C" w14:textId="77777777" w:rsidR="003D6A63" w:rsidRDefault="00000000">
      <w:pPr>
        <w:pStyle w:val="nlw1"/>
        <w:widowControl/>
        <w:spacing w:line="360" w:lineRule="auto"/>
        <w:ind w:firstLine="480"/>
        <w:rPr>
          <w:rFonts w:ascii="Times New Roman" w:hAnsi="Times New Roman"/>
          <w:sz w:val="24"/>
          <w:szCs w:val="24"/>
          <w:lang w:val="en-US"/>
        </w:rPr>
      </w:pPr>
      <w:r>
        <w:rPr>
          <w:rFonts w:ascii="Times New Roman" w:hAnsi="Times New Roman" w:hint="eastAsia"/>
          <w:sz w:val="24"/>
          <w:szCs w:val="24"/>
          <w:lang w:val="en-US"/>
        </w:rPr>
        <w:t>项目安全现状评价报告初稿完成后，项目评价组与中胜公司进行了沟通，达成了一致意见，企业对本报告中提出的问题进行了认真整改，企业整改完毕后，项目评价组进行了现场复查。与中胜公司交换意见情况见表</w:t>
      </w:r>
      <w:r>
        <w:rPr>
          <w:rFonts w:ascii="Times New Roman" w:hAnsi="Times New Roman" w:hint="eastAsia"/>
          <w:sz w:val="24"/>
          <w:szCs w:val="24"/>
          <w:lang w:val="en-US"/>
        </w:rPr>
        <w:t>10-1</w:t>
      </w:r>
      <w:r>
        <w:rPr>
          <w:rFonts w:ascii="Times New Roman" w:hAnsi="Times New Roman" w:hint="eastAsia"/>
          <w:sz w:val="24"/>
          <w:szCs w:val="24"/>
          <w:lang w:val="en-US"/>
        </w:rPr>
        <w:t>。</w:t>
      </w:r>
    </w:p>
    <w:p w14:paraId="76F3309C" w14:textId="77777777" w:rsidR="003D6A63" w:rsidRDefault="00000000">
      <w:pPr>
        <w:jc w:val="center"/>
        <w:rPr>
          <w:bCs/>
        </w:rPr>
      </w:pPr>
      <w:r>
        <w:rPr>
          <w:bCs/>
          <w:noProof/>
        </w:rPr>
        <w:drawing>
          <wp:inline distT="0" distB="0" distL="114300" distR="114300" wp14:anchorId="01DEFDCE" wp14:editId="62BB68CD">
            <wp:extent cx="5800725" cy="6289675"/>
            <wp:effectExtent l="0" t="0" r="3175" b="9525"/>
            <wp:docPr id="157" name="图片 157" descr="SKM_C754e23041111450_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descr="SKM_C754e23041111450_0001"/>
                    <pic:cNvPicPr>
                      <a:picLocks noChangeAspect="1"/>
                    </pic:cNvPicPr>
                  </pic:nvPicPr>
                  <pic:blipFill>
                    <a:blip r:embed="rId37"/>
                    <a:srcRect l="13838" t="9955" r="8579" b="30574"/>
                    <a:stretch>
                      <a:fillRect/>
                    </a:stretch>
                  </pic:blipFill>
                  <pic:spPr>
                    <a:xfrm>
                      <a:off x="0" y="0"/>
                      <a:ext cx="5800725" cy="6289675"/>
                    </a:xfrm>
                    <a:prstGeom prst="rect">
                      <a:avLst/>
                    </a:prstGeom>
                  </pic:spPr>
                </pic:pic>
              </a:graphicData>
            </a:graphic>
          </wp:inline>
        </w:drawing>
      </w:r>
      <w:r>
        <w:rPr>
          <w:bCs/>
        </w:rPr>
        <w:br w:type="page"/>
      </w:r>
    </w:p>
    <w:p w14:paraId="6A9CC422" w14:textId="77777777" w:rsidR="003D6A63" w:rsidRDefault="003D6A63">
      <w:pPr>
        <w:pStyle w:val="nlw1"/>
        <w:rPr>
          <w:rFonts w:ascii="Times New Roman" w:hAnsi="Times New Roman"/>
          <w:bCs/>
        </w:rPr>
        <w:sectPr w:rsidR="003D6A63">
          <w:pgSz w:w="11906" w:h="16838"/>
          <w:pgMar w:top="1440" w:right="1418" w:bottom="1134" w:left="1418" w:header="964" w:footer="964" w:gutter="0"/>
          <w:cols w:space="425"/>
          <w:docGrid w:linePitch="312" w:charSpace="-1489"/>
        </w:sectPr>
      </w:pPr>
    </w:p>
    <w:p w14:paraId="1B1D491C" w14:textId="77777777" w:rsidR="003D6A63" w:rsidRDefault="00000000">
      <w:pPr>
        <w:pStyle w:val="nlw2"/>
        <w:spacing w:afterLines="0" w:line="360" w:lineRule="auto"/>
        <w:rPr>
          <w:rFonts w:ascii="Times New Roman" w:hAnsi="Times New Roman"/>
        </w:rPr>
      </w:pPr>
      <w:bookmarkStart w:id="148" w:name="_Toc23420"/>
      <w:bookmarkStart w:id="149" w:name="_Hlk55860554"/>
      <w:r>
        <w:rPr>
          <w:rFonts w:ascii="Times New Roman" w:hAnsi="Times New Roman" w:hint="eastAsia"/>
        </w:rPr>
        <w:lastRenderedPageBreak/>
        <w:t>附表</w:t>
      </w:r>
      <w:r>
        <w:rPr>
          <w:rFonts w:ascii="Times New Roman" w:hAnsi="Times New Roman" w:hint="eastAsia"/>
        </w:rPr>
        <w:t xml:space="preserve">1  </w:t>
      </w:r>
      <w:r>
        <w:rPr>
          <w:rFonts w:ascii="Times New Roman" w:hAnsi="Times New Roman" w:hint="eastAsia"/>
        </w:rPr>
        <w:t>原油的危险、有害特性</w:t>
      </w:r>
      <w:bookmarkEnd w:id="148"/>
    </w:p>
    <w:tbl>
      <w:tblPr>
        <w:tblW w:w="4997"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54"/>
        <w:gridCol w:w="1931"/>
        <w:gridCol w:w="1547"/>
        <w:gridCol w:w="464"/>
        <w:gridCol w:w="768"/>
        <w:gridCol w:w="772"/>
        <w:gridCol w:w="620"/>
        <w:gridCol w:w="614"/>
        <w:gridCol w:w="1385"/>
        <w:gridCol w:w="525"/>
      </w:tblGrid>
      <w:tr w:rsidR="003D6A63" w14:paraId="6FF13AE0" w14:textId="77777777">
        <w:trPr>
          <w:cantSplit/>
          <w:trHeight w:val="397"/>
          <w:jc w:val="center"/>
        </w:trPr>
        <w:tc>
          <w:tcPr>
            <w:tcW w:w="352" w:type="pct"/>
            <w:vMerge w:val="restart"/>
            <w:vAlign w:val="center"/>
          </w:tcPr>
          <w:p w14:paraId="4D8A7B35" w14:textId="77777777" w:rsidR="003D6A63" w:rsidRDefault="00000000">
            <w:pPr>
              <w:adjustRightInd w:val="0"/>
              <w:snapToGrid w:val="0"/>
              <w:jc w:val="center"/>
              <w:rPr>
                <w:color w:val="000000" w:themeColor="text1"/>
              </w:rPr>
            </w:pPr>
            <w:r>
              <w:rPr>
                <w:color w:val="000000" w:themeColor="text1"/>
              </w:rPr>
              <w:t>标识</w:t>
            </w:r>
          </w:p>
        </w:tc>
        <w:tc>
          <w:tcPr>
            <w:tcW w:w="1040" w:type="pct"/>
            <w:vAlign w:val="center"/>
          </w:tcPr>
          <w:p w14:paraId="54A57765" w14:textId="77777777" w:rsidR="003D6A63" w:rsidRDefault="00000000">
            <w:pPr>
              <w:adjustRightInd w:val="0"/>
              <w:snapToGrid w:val="0"/>
              <w:jc w:val="center"/>
              <w:rPr>
                <w:color w:val="000000" w:themeColor="text1"/>
              </w:rPr>
            </w:pPr>
            <w:r>
              <w:rPr>
                <w:color w:val="000000" w:themeColor="text1"/>
              </w:rPr>
              <w:t>中文名</w:t>
            </w:r>
          </w:p>
        </w:tc>
        <w:tc>
          <w:tcPr>
            <w:tcW w:w="833" w:type="pct"/>
            <w:vAlign w:val="center"/>
          </w:tcPr>
          <w:p w14:paraId="6AE2410B" w14:textId="77777777" w:rsidR="003D6A63" w:rsidRDefault="00000000">
            <w:pPr>
              <w:adjustRightInd w:val="0"/>
              <w:snapToGrid w:val="0"/>
              <w:jc w:val="center"/>
              <w:rPr>
                <w:color w:val="000000" w:themeColor="text1"/>
              </w:rPr>
            </w:pPr>
            <w:r>
              <w:rPr>
                <w:color w:val="000000" w:themeColor="text1"/>
              </w:rPr>
              <w:t>原油</w:t>
            </w:r>
          </w:p>
        </w:tc>
        <w:tc>
          <w:tcPr>
            <w:tcW w:w="1080" w:type="pct"/>
            <w:gridSpan w:val="3"/>
            <w:vAlign w:val="center"/>
          </w:tcPr>
          <w:p w14:paraId="04E63DA8" w14:textId="77777777" w:rsidR="003D6A63" w:rsidRDefault="00000000">
            <w:pPr>
              <w:adjustRightInd w:val="0"/>
              <w:snapToGrid w:val="0"/>
              <w:jc w:val="center"/>
              <w:rPr>
                <w:color w:val="000000" w:themeColor="text1"/>
              </w:rPr>
            </w:pPr>
            <w:r>
              <w:rPr>
                <w:color w:val="000000" w:themeColor="text1"/>
              </w:rPr>
              <w:t>CAS</w:t>
            </w:r>
          </w:p>
        </w:tc>
        <w:tc>
          <w:tcPr>
            <w:tcW w:w="1693" w:type="pct"/>
            <w:gridSpan w:val="4"/>
            <w:vAlign w:val="center"/>
          </w:tcPr>
          <w:p w14:paraId="0FD816D9" w14:textId="77777777" w:rsidR="003D6A63" w:rsidRDefault="00000000">
            <w:pPr>
              <w:adjustRightInd w:val="0"/>
              <w:snapToGrid w:val="0"/>
              <w:jc w:val="center"/>
              <w:rPr>
                <w:color w:val="000000" w:themeColor="text1"/>
              </w:rPr>
            </w:pPr>
            <w:r>
              <w:rPr>
                <w:color w:val="000000" w:themeColor="text1"/>
              </w:rPr>
              <w:t>8002-05-9</w:t>
            </w:r>
          </w:p>
        </w:tc>
      </w:tr>
      <w:tr w:rsidR="003D6A63" w14:paraId="1C1F26C1" w14:textId="77777777">
        <w:trPr>
          <w:cantSplit/>
          <w:trHeight w:val="397"/>
          <w:jc w:val="center"/>
        </w:trPr>
        <w:tc>
          <w:tcPr>
            <w:tcW w:w="352" w:type="pct"/>
            <w:vMerge/>
            <w:vAlign w:val="center"/>
          </w:tcPr>
          <w:p w14:paraId="146C9E7C" w14:textId="77777777" w:rsidR="003D6A63" w:rsidRDefault="003D6A63">
            <w:pPr>
              <w:adjustRightInd w:val="0"/>
              <w:snapToGrid w:val="0"/>
              <w:jc w:val="center"/>
              <w:rPr>
                <w:color w:val="000000" w:themeColor="text1"/>
              </w:rPr>
            </w:pPr>
          </w:p>
        </w:tc>
        <w:tc>
          <w:tcPr>
            <w:tcW w:w="1040" w:type="pct"/>
            <w:vAlign w:val="center"/>
          </w:tcPr>
          <w:p w14:paraId="2608BF4F" w14:textId="77777777" w:rsidR="003D6A63" w:rsidRDefault="00000000">
            <w:pPr>
              <w:adjustRightInd w:val="0"/>
              <w:snapToGrid w:val="0"/>
              <w:jc w:val="center"/>
              <w:rPr>
                <w:color w:val="000000" w:themeColor="text1"/>
              </w:rPr>
            </w:pPr>
            <w:r>
              <w:rPr>
                <w:color w:val="000000" w:themeColor="text1"/>
              </w:rPr>
              <w:t>分子量</w:t>
            </w:r>
          </w:p>
        </w:tc>
        <w:tc>
          <w:tcPr>
            <w:tcW w:w="833" w:type="pct"/>
            <w:vAlign w:val="center"/>
          </w:tcPr>
          <w:p w14:paraId="389FFF62" w14:textId="77777777" w:rsidR="003D6A63" w:rsidRDefault="00000000">
            <w:pPr>
              <w:adjustRightInd w:val="0"/>
              <w:snapToGrid w:val="0"/>
              <w:jc w:val="center"/>
              <w:rPr>
                <w:color w:val="000000" w:themeColor="text1"/>
              </w:rPr>
            </w:pPr>
            <w:r>
              <w:rPr>
                <w:color w:val="000000" w:themeColor="text1"/>
              </w:rPr>
              <w:t>无资料</w:t>
            </w:r>
          </w:p>
        </w:tc>
        <w:tc>
          <w:tcPr>
            <w:tcW w:w="1080" w:type="pct"/>
            <w:gridSpan w:val="3"/>
            <w:vAlign w:val="center"/>
          </w:tcPr>
          <w:p w14:paraId="6D152997" w14:textId="77777777" w:rsidR="003D6A63" w:rsidRDefault="00000000">
            <w:pPr>
              <w:adjustRightInd w:val="0"/>
              <w:snapToGrid w:val="0"/>
              <w:jc w:val="center"/>
              <w:rPr>
                <w:color w:val="000000" w:themeColor="text1"/>
              </w:rPr>
            </w:pPr>
            <w:r>
              <w:rPr>
                <w:color w:val="000000" w:themeColor="text1"/>
              </w:rPr>
              <w:t>UN</w:t>
            </w:r>
            <w:r>
              <w:rPr>
                <w:color w:val="000000" w:themeColor="text1"/>
              </w:rPr>
              <w:t>编号</w:t>
            </w:r>
          </w:p>
        </w:tc>
        <w:tc>
          <w:tcPr>
            <w:tcW w:w="1693" w:type="pct"/>
            <w:gridSpan w:val="4"/>
            <w:vAlign w:val="center"/>
          </w:tcPr>
          <w:p w14:paraId="5FE981A3" w14:textId="77777777" w:rsidR="003D6A63" w:rsidRDefault="00000000">
            <w:pPr>
              <w:adjustRightInd w:val="0"/>
              <w:snapToGrid w:val="0"/>
              <w:jc w:val="center"/>
              <w:rPr>
                <w:color w:val="000000" w:themeColor="text1"/>
              </w:rPr>
            </w:pPr>
            <w:r>
              <w:rPr>
                <w:color w:val="000000" w:themeColor="text1"/>
              </w:rPr>
              <w:t>1267</w:t>
            </w:r>
          </w:p>
        </w:tc>
      </w:tr>
      <w:tr w:rsidR="003D6A63" w14:paraId="64A38948" w14:textId="77777777">
        <w:trPr>
          <w:cantSplit/>
          <w:trHeight w:val="397"/>
          <w:jc w:val="center"/>
        </w:trPr>
        <w:tc>
          <w:tcPr>
            <w:tcW w:w="352" w:type="pct"/>
            <w:vMerge w:val="restart"/>
            <w:vAlign w:val="center"/>
          </w:tcPr>
          <w:p w14:paraId="721E7A19" w14:textId="77777777" w:rsidR="003D6A63" w:rsidRDefault="00000000">
            <w:pPr>
              <w:adjustRightInd w:val="0"/>
              <w:snapToGrid w:val="0"/>
              <w:jc w:val="center"/>
              <w:rPr>
                <w:color w:val="000000" w:themeColor="text1"/>
              </w:rPr>
            </w:pPr>
            <w:r>
              <w:rPr>
                <w:color w:val="000000" w:themeColor="text1"/>
              </w:rPr>
              <w:t>理化性质</w:t>
            </w:r>
          </w:p>
        </w:tc>
        <w:tc>
          <w:tcPr>
            <w:tcW w:w="1040" w:type="pct"/>
            <w:vAlign w:val="center"/>
          </w:tcPr>
          <w:p w14:paraId="163F15EF" w14:textId="77777777" w:rsidR="003D6A63" w:rsidRDefault="00000000">
            <w:pPr>
              <w:adjustRightInd w:val="0"/>
              <w:snapToGrid w:val="0"/>
              <w:jc w:val="center"/>
              <w:rPr>
                <w:color w:val="000000" w:themeColor="text1"/>
              </w:rPr>
            </w:pPr>
            <w:r>
              <w:rPr>
                <w:color w:val="000000" w:themeColor="text1"/>
              </w:rPr>
              <w:t>外观性状</w:t>
            </w:r>
          </w:p>
        </w:tc>
        <w:tc>
          <w:tcPr>
            <w:tcW w:w="3606" w:type="pct"/>
            <w:gridSpan w:val="8"/>
            <w:vAlign w:val="center"/>
          </w:tcPr>
          <w:p w14:paraId="0D392740" w14:textId="77777777" w:rsidR="003D6A63" w:rsidRDefault="00000000">
            <w:pPr>
              <w:adjustRightInd w:val="0"/>
              <w:snapToGrid w:val="0"/>
              <w:rPr>
                <w:color w:val="000000" w:themeColor="text1"/>
              </w:rPr>
            </w:pPr>
            <w:r>
              <w:rPr>
                <w:color w:val="000000" w:themeColor="text1"/>
              </w:rPr>
              <w:t>红色、红棕色或黑色有绿色荧光的稠厚性油状液体。</w:t>
            </w:r>
          </w:p>
        </w:tc>
      </w:tr>
      <w:tr w:rsidR="003D6A63" w14:paraId="546694AC" w14:textId="77777777">
        <w:trPr>
          <w:cantSplit/>
          <w:trHeight w:val="397"/>
          <w:jc w:val="center"/>
        </w:trPr>
        <w:tc>
          <w:tcPr>
            <w:tcW w:w="352" w:type="pct"/>
            <w:vMerge/>
            <w:vAlign w:val="center"/>
          </w:tcPr>
          <w:p w14:paraId="70D6707C" w14:textId="77777777" w:rsidR="003D6A63" w:rsidRDefault="003D6A63">
            <w:pPr>
              <w:adjustRightInd w:val="0"/>
              <w:snapToGrid w:val="0"/>
              <w:jc w:val="center"/>
              <w:rPr>
                <w:color w:val="000000" w:themeColor="text1"/>
              </w:rPr>
            </w:pPr>
          </w:p>
        </w:tc>
        <w:tc>
          <w:tcPr>
            <w:tcW w:w="1040" w:type="pct"/>
            <w:vAlign w:val="center"/>
          </w:tcPr>
          <w:p w14:paraId="6DA64360" w14:textId="77777777" w:rsidR="003D6A63" w:rsidRDefault="00000000">
            <w:pPr>
              <w:adjustRightInd w:val="0"/>
              <w:snapToGrid w:val="0"/>
              <w:jc w:val="center"/>
              <w:rPr>
                <w:color w:val="000000" w:themeColor="text1"/>
              </w:rPr>
            </w:pPr>
            <w:r>
              <w:rPr>
                <w:color w:val="000000" w:themeColor="text1"/>
              </w:rPr>
              <w:t>主要用途</w:t>
            </w:r>
          </w:p>
        </w:tc>
        <w:tc>
          <w:tcPr>
            <w:tcW w:w="3606" w:type="pct"/>
            <w:gridSpan w:val="8"/>
            <w:vAlign w:val="center"/>
          </w:tcPr>
          <w:p w14:paraId="1E739D4F" w14:textId="77777777" w:rsidR="003D6A63" w:rsidRDefault="00000000">
            <w:pPr>
              <w:adjustRightInd w:val="0"/>
              <w:snapToGrid w:val="0"/>
              <w:rPr>
                <w:color w:val="000000" w:themeColor="text1"/>
              </w:rPr>
            </w:pPr>
            <w:r>
              <w:rPr>
                <w:color w:val="000000" w:themeColor="text1"/>
              </w:rPr>
              <w:t>可分离出多种有机原料，如汽油，苯、煤油、沥青等。</w:t>
            </w:r>
          </w:p>
        </w:tc>
      </w:tr>
      <w:tr w:rsidR="003D6A63" w14:paraId="05FD44B1" w14:textId="77777777">
        <w:trPr>
          <w:cantSplit/>
          <w:trHeight w:val="397"/>
          <w:jc w:val="center"/>
        </w:trPr>
        <w:tc>
          <w:tcPr>
            <w:tcW w:w="352" w:type="pct"/>
            <w:vMerge/>
            <w:vAlign w:val="center"/>
          </w:tcPr>
          <w:p w14:paraId="7E62746E" w14:textId="77777777" w:rsidR="003D6A63" w:rsidRDefault="003D6A63">
            <w:pPr>
              <w:adjustRightInd w:val="0"/>
              <w:snapToGrid w:val="0"/>
              <w:jc w:val="center"/>
              <w:rPr>
                <w:color w:val="000000" w:themeColor="text1"/>
              </w:rPr>
            </w:pPr>
          </w:p>
        </w:tc>
        <w:tc>
          <w:tcPr>
            <w:tcW w:w="1040" w:type="pct"/>
            <w:vAlign w:val="center"/>
          </w:tcPr>
          <w:p w14:paraId="22199A05" w14:textId="77777777" w:rsidR="003D6A63" w:rsidRDefault="00000000">
            <w:pPr>
              <w:adjustRightInd w:val="0"/>
              <w:snapToGrid w:val="0"/>
              <w:jc w:val="center"/>
              <w:rPr>
                <w:color w:val="000000" w:themeColor="text1"/>
              </w:rPr>
            </w:pPr>
            <w:r>
              <w:rPr>
                <w:color w:val="000000" w:themeColor="text1"/>
              </w:rPr>
              <w:t>溶解性</w:t>
            </w:r>
          </w:p>
        </w:tc>
        <w:tc>
          <w:tcPr>
            <w:tcW w:w="3606" w:type="pct"/>
            <w:gridSpan w:val="8"/>
            <w:vAlign w:val="center"/>
          </w:tcPr>
          <w:p w14:paraId="4B36879C" w14:textId="77777777" w:rsidR="003D6A63" w:rsidRDefault="00000000">
            <w:pPr>
              <w:adjustRightInd w:val="0"/>
              <w:snapToGrid w:val="0"/>
              <w:rPr>
                <w:color w:val="000000" w:themeColor="text1"/>
              </w:rPr>
            </w:pPr>
            <w:r>
              <w:rPr>
                <w:color w:val="000000" w:themeColor="text1"/>
              </w:rPr>
              <w:t>不溶于水，溶于多数有机溶剂。</w:t>
            </w:r>
          </w:p>
        </w:tc>
      </w:tr>
      <w:tr w:rsidR="003D6A63" w14:paraId="41340057" w14:textId="77777777">
        <w:trPr>
          <w:cantSplit/>
          <w:trHeight w:val="397"/>
          <w:jc w:val="center"/>
        </w:trPr>
        <w:tc>
          <w:tcPr>
            <w:tcW w:w="352" w:type="pct"/>
            <w:vMerge/>
            <w:vAlign w:val="center"/>
          </w:tcPr>
          <w:p w14:paraId="6040E5AF" w14:textId="77777777" w:rsidR="003D6A63" w:rsidRDefault="003D6A63">
            <w:pPr>
              <w:adjustRightInd w:val="0"/>
              <w:snapToGrid w:val="0"/>
              <w:jc w:val="center"/>
              <w:rPr>
                <w:color w:val="000000" w:themeColor="text1"/>
              </w:rPr>
            </w:pPr>
          </w:p>
        </w:tc>
        <w:tc>
          <w:tcPr>
            <w:tcW w:w="1040" w:type="pct"/>
            <w:vAlign w:val="center"/>
          </w:tcPr>
          <w:p w14:paraId="34B84AEF" w14:textId="77777777" w:rsidR="003D6A63" w:rsidRDefault="00000000">
            <w:pPr>
              <w:adjustRightInd w:val="0"/>
              <w:snapToGrid w:val="0"/>
              <w:jc w:val="center"/>
              <w:rPr>
                <w:color w:val="000000" w:themeColor="text1"/>
              </w:rPr>
            </w:pPr>
            <w:r>
              <w:rPr>
                <w:color w:val="000000" w:themeColor="text1"/>
              </w:rPr>
              <w:t>熔点（</w:t>
            </w:r>
            <w:r>
              <w:rPr>
                <w:color w:val="000000" w:themeColor="text1"/>
              </w:rPr>
              <w:t>℃</w:t>
            </w:r>
            <w:r>
              <w:rPr>
                <w:color w:val="000000" w:themeColor="text1"/>
              </w:rPr>
              <w:t>）</w:t>
            </w:r>
          </w:p>
        </w:tc>
        <w:tc>
          <w:tcPr>
            <w:tcW w:w="833" w:type="pct"/>
            <w:vAlign w:val="center"/>
          </w:tcPr>
          <w:p w14:paraId="1D1F7CEE" w14:textId="77777777" w:rsidR="003D6A63" w:rsidRDefault="00000000">
            <w:pPr>
              <w:adjustRightInd w:val="0"/>
              <w:snapToGrid w:val="0"/>
              <w:jc w:val="center"/>
              <w:rPr>
                <w:color w:val="000000" w:themeColor="text1"/>
              </w:rPr>
            </w:pPr>
            <w:r>
              <w:rPr>
                <w:color w:val="000000" w:themeColor="text1"/>
              </w:rPr>
              <w:t>6</w:t>
            </w:r>
          </w:p>
        </w:tc>
        <w:tc>
          <w:tcPr>
            <w:tcW w:w="1080" w:type="pct"/>
            <w:gridSpan w:val="3"/>
            <w:vAlign w:val="center"/>
          </w:tcPr>
          <w:p w14:paraId="5C088296" w14:textId="77777777" w:rsidR="003D6A63" w:rsidRDefault="00000000">
            <w:pPr>
              <w:adjustRightInd w:val="0"/>
              <w:snapToGrid w:val="0"/>
              <w:jc w:val="center"/>
              <w:rPr>
                <w:color w:val="000000" w:themeColor="text1"/>
              </w:rPr>
            </w:pPr>
            <w:r>
              <w:rPr>
                <w:color w:val="000000" w:themeColor="text1"/>
              </w:rPr>
              <w:t>燃烧热（</w:t>
            </w:r>
            <w:r>
              <w:rPr>
                <w:color w:val="000000" w:themeColor="text1"/>
              </w:rPr>
              <w:t>kJ/mol</w:t>
            </w:r>
            <w:r>
              <w:rPr>
                <w:color w:val="000000" w:themeColor="text1"/>
              </w:rPr>
              <w:t>）</w:t>
            </w:r>
          </w:p>
        </w:tc>
        <w:tc>
          <w:tcPr>
            <w:tcW w:w="1693" w:type="pct"/>
            <w:gridSpan w:val="4"/>
            <w:vAlign w:val="center"/>
          </w:tcPr>
          <w:p w14:paraId="4D86A350" w14:textId="77777777" w:rsidR="003D6A63" w:rsidRDefault="00000000">
            <w:pPr>
              <w:adjustRightInd w:val="0"/>
              <w:snapToGrid w:val="0"/>
              <w:jc w:val="center"/>
              <w:rPr>
                <w:color w:val="000000" w:themeColor="text1"/>
              </w:rPr>
            </w:pPr>
            <w:r>
              <w:rPr>
                <w:color w:val="000000" w:themeColor="text1"/>
              </w:rPr>
              <w:t>无资料</w:t>
            </w:r>
          </w:p>
        </w:tc>
      </w:tr>
      <w:tr w:rsidR="003D6A63" w14:paraId="5AFC3448" w14:textId="77777777">
        <w:trPr>
          <w:cantSplit/>
          <w:trHeight w:val="397"/>
          <w:jc w:val="center"/>
        </w:trPr>
        <w:tc>
          <w:tcPr>
            <w:tcW w:w="352" w:type="pct"/>
            <w:vMerge/>
            <w:vAlign w:val="center"/>
          </w:tcPr>
          <w:p w14:paraId="02FDE000" w14:textId="77777777" w:rsidR="003D6A63" w:rsidRDefault="003D6A63">
            <w:pPr>
              <w:adjustRightInd w:val="0"/>
              <w:snapToGrid w:val="0"/>
              <w:jc w:val="center"/>
              <w:rPr>
                <w:color w:val="000000" w:themeColor="text1"/>
              </w:rPr>
            </w:pPr>
          </w:p>
        </w:tc>
        <w:tc>
          <w:tcPr>
            <w:tcW w:w="1040" w:type="pct"/>
            <w:vAlign w:val="center"/>
          </w:tcPr>
          <w:p w14:paraId="60872409" w14:textId="77777777" w:rsidR="003D6A63" w:rsidRDefault="00000000">
            <w:pPr>
              <w:adjustRightInd w:val="0"/>
              <w:snapToGrid w:val="0"/>
              <w:jc w:val="center"/>
              <w:rPr>
                <w:color w:val="000000" w:themeColor="text1"/>
              </w:rPr>
            </w:pPr>
            <w:r>
              <w:rPr>
                <w:color w:val="000000" w:themeColor="text1"/>
              </w:rPr>
              <w:t>沸点（</w:t>
            </w:r>
            <w:r>
              <w:rPr>
                <w:color w:val="000000" w:themeColor="text1"/>
              </w:rPr>
              <w:t>℃</w:t>
            </w:r>
            <w:r>
              <w:rPr>
                <w:color w:val="000000" w:themeColor="text1"/>
              </w:rPr>
              <w:t>）</w:t>
            </w:r>
          </w:p>
        </w:tc>
        <w:tc>
          <w:tcPr>
            <w:tcW w:w="833" w:type="pct"/>
            <w:vAlign w:val="center"/>
          </w:tcPr>
          <w:p w14:paraId="3B7E446A" w14:textId="77777777" w:rsidR="003D6A63" w:rsidRDefault="00000000">
            <w:pPr>
              <w:adjustRightInd w:val="0"/>
              <w:snapToGrid w:val="0"/>
              <w:jc w:val="center"/>
              <w:rPr>
                <w:color w:val="000000" w:themeColor="text1"/>
              </w:rPr>
            </w:pPr>
            <w:r>
              <w:rPr>
                <w:color w:val="000000" w:themeColor="text1"/>
              </w:rPr>
              <w:t>自常温至</w:t>
            </w:r>
            <w:r>
              <w:rPr>
                <w:color w:val="000000" w:themeColor="text1"/>
              </w:rPr>
              <w:t>500℃</w:t>
            </w:r>
            <w:r>
              <w:rPr>
                <w:color w:val="000000" w:themeColor="text1"/>
              </w:rPr>
              <w:t>以上</w:t>
            </w:r>
          </w:p>
        </w:tc>
        <w:tc>
          <w:tcPr>
            <w:tcW w:w="1080" w:type="pct"/>
            <w:gridSpan w:val="3"/>
            <w:vAlign w:val="center"/>
          </w:tcPr>
          <w:p w14:paraId="76136A80" w14:textId="77777777" w:rsidR="003D6A63" w:rsidRDefault="00000000">
            <w:pPr>
              <w:adjustRightInd w:val="0"/>
              <w:snapToGrid w:val="0"/>
              <w:jc w:val="center"/>
              <w:rPr>
                <w:color w:val="000000" w:themeColor="text1"/>
              </w:rPr>
            </w:pPr>
            <w:r>
              <w:rPr>
                <w:rFonts w:hint="eastAsia"/>
                <w:color w:val="000000" w:themeColor="text1"/>
              </w:rPr>
              <w:t>饱和蒸汽</w:t>
            </w:r>
            <w:r>
              <w:rPr>
                <w:color w:val="000000" w:themeColor="text1"/>
              </w:rPr>
              <w:t>压（</w:t>
            </w:r>
            <w:r>
              <w:rPr>
                <w:color w:val="000000" w:themeColor="text1"/>
              </w:rPr>
              <w:t>kPa</w:t>
            </w:r>
            <w:r>
              <w:rPr>
                <w:color w:val="000000" w:themeColor="text1"/>
              </w:rPr>
              <w:t>）</w:t>
            </w:r>
          </w:p>
        </w:tc>
        <w:tc>
          <w:tcPr>
            <w:tcW w:w="1693" w:type="pct"/>
            <w:gridSpan w:val="4"/>
            <w:vAlign w:val="center"/>
          </w:tcPr>
          <w:p w14:paraId="61E9A217" w14:textId="77777777" w:rsidR="003D6A63" w:rsidRDefault="00000000">
            <w:pPr>
              <w:adjustRightInd w:val="0"/>
              <w:snapToGrid w:val="0"/>
              <w:jc w:val="center"/>
              <w:rPr>
                <w:color w:val="000000" w:themeColor="text1"/>
              </w:rPr>
            </w:pPr>
            <w:r>
              <w:rPr>
                <w:color w:val="000000" w:themeColor="text1"/>
              </w:rPr>
              <w:t>无资料</w:t>
            </w:r>
          </w:p>
        </w:tc>
      </w:tr>
      <w:tr w:rsidR="003D6A63" w14:paraId="00B2802C" w14:textId="77777777">
        <w:trPr>
          <w:cantSplit/>
          <w:trHeight w:val="397"/>
          <w:jc w:val="center"/>
        </w:trPr>
        <w:tc>
          <w:tcPr>
            <w:tcW w:w="352" w:type="pct"/>
            <w:vMerge/>
            <w:vAlign w:val="center"/>
          </w:tcPr>
          <w:p w14:paraId="186E8586" w14:textId="77777777" w:rsidR="003D6A63" w:rsidRDefault="003D6A63">
            <w:pPr>
              <w:adjustRightInd w:val="0"/>
              <w:snapToGrid w:val="0"/>
              <w:jc w:val="center"/>
              <w:rPr>
                <w:color w:val="000000" w:themeColor="text1"/>
              </w:rPr>
            </w:pPr>
          </w:p>
        </w:tc>
        <w:tc>
          <w:tcPr>
            <w:tcW w:w="1040" w:type="pct"/>
            <w:vAlign w:val="center"/>
          </w:tcPr>
          <w:p w14:paraId="63053793" w14:textId="77777777" w:rsidR="003D6A63" w:rsidRDefault="00000000">
            <w:pPr>
              <w:adjustRightInd w:val="0"/>
              <w:snapToGrid w:val="0"/>
              <w:jc w:val="center"/>
              <w:rPr>
                <w:color w:val="000000" w:themeColor="text1"/>
              </w:rPr>
            </w:pPr>
            <w:r>
              <w:rPr>
                <w:color w:val="000000" w:themeColor="text1"/>
              </w:rPr>
              <w:t>相对密度（水</w:t>
            </w:r>
            <w:r>
              <w:rPr>
                <w:color w:val="000000" w:themeColor="text1"/>
              </w:rPr>
              <w:t>=1</w:t>
            </w:r>
            <w:r>
              <w:rPr>
                <w:color w:val="000000" w:themeColor="text1"/>
              </w:rPr>
              <w:t>）</w:t>
            </w:r>
          </w:p>
        </w:tc>
        <w:tc>
          <w:tcPr>
            <w:tcW w:w="833" w:type="pct"/>
            <w:vAlign w:val="center"/>
          </w:tcPr>
          <w:p w14:paraId="5A31F0B2" w14:textId="77777777" w:rsidR="003D6A63" w:rsidRDefault="00000000">
            <w:pPr>
              <w:adjustRightInd w:val="0"/>
              <w:snapToGrid w:val="0"/>
              <w:jc w:val="center"/>
              <w:rPr>
                <w:color w:val="000000" w:themeColor="text1"/>
              </w:rPr>
            </w:pPr>
            <w:r>
              <w:rPr>
                <w:color w:val="000000" w:themeColor="text1"/>
              </w:rPr>
              <w:t>0.78</w:t>
            </w:r>
            <w:r>
              <w:rPr>
                <w:color w:val="000000" w:themeColor="text1"/>
              </w:rPr>
              <w:t>～</w:t>
            </w:r>
            <w:r>
              <w:rPr>
                <w:color w:val="000000" w:themeColor="text1"/>
              </w:rPr>
              <w:t>0.97</w:t>
            </w:r>
          </w:p>
        </w:tc>
        <w:tc>
          <w:tcPr>
            <w:tcW w:w="1080" w:type="pct"/>
            <w:gridSpan w:val="3"/>
            <w:vAlign w:val="center"/>
          </w:tcPr>
          <w:p w14:paraId="48EBC4E4" w14:textId="77777777" w:rsidR="003D6A63" w:rsidRDefault="00000000">
            <w:pPr>
              <w:adjustRightInd w:val="0"/>
              <w:snapToGrid w:val="0"/>
              <w:jc w:val="center"/>
              <w:rPr>
                <w:color w:val="000000" w:themeColor="text1"/>
              </w:rPr>
            </w:pPr>
            <w:r>
              <w:rPr>
                <w:color w:val="000000" w:themeColor="text1"/>
              </w:rPr>
              <w:t>临界温度（</w:t>
            </w:r>
            <w:r>
              <w:rPr>
                <w:color w:val="000000" w:themeColor="text1"/>
              </w:rPr>
              <w:t>℃</w:t>
            </w:r>
            <w:r>
              <w:rPr>
                <w:color w:val="000000" w:themeColor="text1"/>
              </w:rPr>
              <w:t>）</w:t>
            </w:r>
          </w:p>
        </w:tc>
        <w:tc>
          <w:tcPr>
            <w:tcW w:w="1693" w:type="pct"/>
            <w:gridSpan w:val="4"/>
            <w:vAlign w:val="center"/>
          </w:tcPr>
          <w:p w14:paraId="17ED2BB5" w14:textId="77777777" w:rsidR="003D6A63" w:rsidRDefault="00000000">
            <w:pPr>
              <w:adjustRightInd w:val="0"/>
              <w:snapToGrid w:val="0"/>
              <w:jc w:val="center"/>
              <w:rPr>
                <w:color w:val="000000" w:themeColor="text1"/>
              </w:rPr>
            </w:pPr>
            <w:r>
              <w:rPr>
                <w:color w:val="000000" w:themeColor="text1"/>
              </w:rPr>
              <w:t>无资料</w:t>
            </w:r>
          </w:p>
        </w:tc>
      </w:tr>
      <w:tr w:rsidR="003D6A63" w14:paraId="7C66ABC2" w14:textId="77777777">
        <w:trPr>
          <w:cantSplit/>
          <w:trHeight w:val="397"/>
          <w:jc w:val="center"/>
        </w:trPr>
        <w:tc>
          <w:tcPr>
            <w:tcW w:w="352" w:type="pct"/>
            <w:vMerge/>
            <w:vAlign w:val="center"/>
          </w:tcPr>
          <w:p w14:paraId="5AEBBB0D" w14:textId="77777777" w:rsidR="003D6A63" w:rsidRDefault="003D6A63">
            <w:pPr>
              <w:adjustRightInd w:val="0"/>
              <w:snapToGrid w:val="0"/>
              <w:jc w:val="center"/>
              <w:rPr>
                <w:color w:val="000000" w:themeColor="text1"/>
              </w:rPr>
            </w:pPr>
          </w:p>
        </w:tc>
        <w:tc>
          <w:tcPr>
            <w:tcW w:w="1040" w:type="pct"/>
            <w:vAlign w:val="center"/>
          </w:tcPr>
          <w:p w14:paraId="2073BBDD" w14:textId="77777777" w:rsidR="003D6A63" w:rsidRDefault="00000000">
            <w:pPr>
              <w:adjustRightInd w:val="0"/>
              <w:snapToGrid w:val="0"/>
              <w:jc w:val="center"/>
              <w:rPr>
                <w:color w:val="000000" w:themeColor="text1"/>
              </w:rPr>
            </w:pPr>
            <w:r>
              <w:rPr>
                <w:color w:val="000000" w:themeColor="text1"/>
              </w:rPr>
              <w:t>相对密度（空气</w:t>
            </w:r>
            <w:r>
              <w:rPr>
                <w:color w:val="000000" w:themeColor="text1"/>
              </w:rPr>
              <w:t>=1</w:t>
            </w:r>
            <w:r>
              <w:rPr>
                <w:color w:val="000000" w:themeColor="text1"/>
              </w:rPr>
              <w:t>）</w:t>
            </w:r>
          </w:p>
        </w:tc>
        <w:tc>
          <w:tcPr>
            <w:tcW w:w="833" w:type="pct"/>
            <w:vAlign w:val="center"/>
          </w:tcPr>
          <w:p w14:paraId="12FADFEF" w14:textId="77777777" w:rsidR="003D6A63" w:rsidRDefault="00000000">
            <w:pPr>
              <w:adjustRightInd w:val="0"/>
              <w:snapToGrid w:val="0"/>
              <w:jc w:val="center"/>
              <w:rPr>
                <w:color w:val="000000" w:themeColor="text1"/>
              </w:rPr>
            </w:pPr>
            <w:r>
              <w:rPr>
                <w:color w:val="000000" w:themeColor="text1"/>
              </w:rPr>
              <w:t>无资料</w:t>
            </w:r>
          </w:p>
        </w:tc>
        <w:tc>
          <w:tcPr>
            <w:tcW w:w="1080" w:type="pct"/>
            <w:gridSpan w:val="3"/>
            <w:vAlign w:val="center"/>
          </w:tcPr>
          <w:p w14:paraId="3D6D94B6" w14:textId="77777777" w:rsidR="003D6A63" w:rsidRDefault="00000000">
            <w:pPr>
              <w:adjustRightInd w:val="0"/>
              <w:snapToGrid w:val="0"/>
              <w:jc w:val="center"/>
              <w:rPr>
                <w:color w:val="000000" w:themeColor="text1"/>
              </w:rPr>
            </w:pPr>
            <w:r>
              <w:rPr>
                <w:color w:val="000000" w:themeColor="text1"/>
              </w:rPr>
              <w:t>临界压力（</w:t>
            </w:r>
            <w:r>
              <w:rPr>
                <w:color w:val="000000" w:themeColor="text1"/>
              </w:rPr>
              <w:t>MPa</w:t>
            </w:r>
            <w:r>
              <w:rPr>
                <w:color w:val="000000" w:themeColor="text1"/>
              </w:rPr>
              <w:t>）</w:t>
            </w:r>
          </w:p>
        </w:tc>
        <w:tc>
          <w:tcPr>
            <w:tcW w:w="1693" w:type="pct"/>
            <w:gridSpan w:val="4"/>
            <w:vAlign w:val="center"/>
          </w:tcPr>
          <w:p w14:paraId="2FEEEF7F" w14:textId="77777777" w:rsidR="003D6A63" w:rsidRDefault="00000000">
            <w:pPr>
              <w:adjustRightInd w:val="0"/>
              <w:snapToGrid w:val="0"/>
              <w:jc w:val="center"/>
              <w:rPr>
                <w:color w:val="000000" w:themeColor="text1"/>
              </w:rPr>
            </w:pPr>
            <w:r>
              <w:rPr>
                <w:color w:val="000000" w:themeColor="text1"/>
              </w:rPr>
              <w:t>无资料</w:t>
            </w:r>
          </w:p>
        </w:tc>
      </w:tr>
      <w:tr w:rsidR="003D6A63" w14:paraId="66705907" w14:textId="77777777">
        <w:trPr>
          <w:cantSplit/>
          <w:trHeight w:val="397"/>
          <w:jc w:val="center"/>
        </w:trPr>
        <w:tc>
          <w:tcPr>
            <w:tcW w:w="352" w:type="pct"/>
            <w:vMerge w:val="restart"/>
            <w:vAlign w:val="center"/>
          </w:tcPr>
          <w:p w14:paraId="09D81C67" w14:textId="77777777" w:rsidR="003D6A63" w:rsidRDefault="00000000">
            <w:pPr>
              <w:adjustRightInd w:val="0"/>
              <w:snapToGrid w:val="0"/>
              <w:jc w:val="center"/>
              <w:rPr>
                <w:color w:val="000000" w:themeColor="text1"/>
              </w:rPr>
            </w:pPr>
            <w:r>
              <w:rPr>
                <w:color w:val="000000" w:themeColor="text1"/>
              </w:rPr>
              <w:t>燃烧爆炸危险性</w:t>
            </w:r>
          </w:p>
        </w:tc>
        <w:tc>
          <w:tcPr>
            <w:tcW w:w="1040" w:type="pct"/>
            <w:vAlign w:val="center"/>
          </w:tcPr>
          <w:p w14:paraId="42C656B0" w14:textId="77777777" w:rsidR="003D6A63" w:rsidRDefault="00000000">
            <w:pPr>
              <w:adjustRightInd w:val="0"/>
              <w:snapToGrid w:val="0"/>
              <w:jc w:val="center"/>
              <w:rPr>
                <w:color w:val="000000" w:themeColor="text1"/>
              </w:rPr>
            </w:pPr>
            <w:r>
              <w:rPr>
                <w:color w:val="000000" w:themeColor="text1"/>
              </w:rPr>
              <w:t>燃烧性：</w:t>
            </w:r>
          </w:p>
        </w:tc>
        <w:tc>
          <w:tcPr>
            <w:tcW w:w="833" w:type="pct"/>
            <w:vAlign w:val="center"/>
          </w:tcPr>
          <w:p w14:paraId="4DF86B6A" w14:textId="77777777" w:rsidR="003D6A63" w:rsidRDefault="00000000">
            <w:pPr>
              <w:adjustRightInd w:val="0"/>
              <w:snapToGrid w:val="0"/>
              <w:jc w:val="center"/>
              <w:rPr>
                <w:color w:val="000000" w:themeColor="text1"/>
              </w:rPr>
            </w:pPr>
            <w:r>
              <w:rPr>
                <w:color w:val="000000" w:themeColor="text1"/>
              </w:rPr>
              <w:t>可燃</w:t>
            </w:r>
          </w:p>
        </w:tc>
        <w:tc>
          <w:tcPr>
            <w:tcW w:w="1080" w:type="pct"/>
            <w:gridSpan w:val="3"/>
            <w:vMerge w:val="restart"/>
            <w:vAlign w:val="center"/>
          </w:tcPr>
          <w:p w14:paraId="4E3D944E" w14:textId="77777777" w:rsidR="003D6A63" w:rsidRDefault="00000000">
            <w:pPr>
              <w:adjustRightInd w:val="0"/>
              <w:snapToGrid w:val="0"/>
              <w:jc w:val="center"/>
              <w:rPr>
                <w:color w:val="000000" w:themeColor="text1"/>
              </w:rPr>
            </w:pPr>
            <w:r>
              <w:rPr>
                <w:color w:val="000000" w:themeColor="text1"/>
              </w:rPr>
              <w:t>危险特性</w:t>
            </w:r>
          </w:p>
        </w:tc>
        <w:tc>
          <w:tcPr>
            <w:tcW w:w="1693" w:type="pct"/>
            <w:gridSpan w:val="4"/>
            <w:vMerge w:val="restart"/>
            <w:vAlign w:val="center"/>
          </w:tcPr>
          <w:p w14:paraId="2B6F4329" w14:textId="77777777" w:rsidR="003D6A63" w:rsidRDefault="00000000">
            <w:pPr>
              <w:adjustRightInd w:val="0"/>
              <w:snapToGrid w:val="0"/>
              <w:rPr>
                <w:color w:val="000000" w:themeColor="text1"/>
              </w:rPr>
            </w:pPr>
            <w:r>
              <w:rPr>
                <w:color w:val="000000" w:themeColor="text1"/>
              </w:rPr>
              <w:t>其蒸气与空气形成爆炸性混合物，遇明火、高热能引起燃烧爆炸。与氧化剂能发生强烈反应，若遇高热，容器内压增大，有开裂和爆炸的危险。</w:t>
            </w:r>
          </w:p>
        </w:tc>
      </w:tr>
      <w:tr w:rsidR="003D6A63" w14:paraId="77FD7E9A" w14:textId="77777777">
        <w:trPr>
          <w:cantSplit/>
          <w:trHeight w:val="397"/>
          <w:jc w:val="center"/>
        </w:trPr>
        <w:tc>
          <w:tcPr>
            <w:tcW w:w="352" w:type="pct"/>
            <w:vMerge/>
            <w:vAlign w:val="center"/>
          </w:tcPr>
          <w:p w14:paraId="7F145946" w14:textId="77777777" w:rsidR="003D6A63" w:rsidRDefault="003D6A63">
            <w:pPr>
              <w:adjustRightInd w:val="0"/>
              <w:snapToGrid w:val="0"/>
              <w:jc w:val="center"/>
              <w:rPr>
                <w:color w:val="000000" w:themeColor="text1"/>
              </w:rPr>
            </w:pPr>
          </w:p>
        </w:tc>
        <w:tc>
          <w:tcPr>
            <w:tcW w:w="1040" w:type="pct"/>
            <w:vAlign w:val="center"/>
          </w:tcPr>
          <w:p w14:paraId="4AB1DCAC" w14:textId="77777777" w:rsidR="003D6A63" w:rsidRDefault="00000000">
            <w:pPr>
              <w:adjustRightInd w:val="0"/>
              <w:snapToGrid w:val="0"/>
              <w:jc w:val="center"/>
              <w:rPr>
                <w:color w:val="000000" w:themeColor="text1"/>
              </w:rPr>
            </w:pPr>
            <w:r>
              <w:rPr>
                <w:color w:val="000000" w:themeColor="text1"/>
              </w:rPr>
              <w:t>建规火险分级</w:t>
            </w:r>
          </w:p>
        </w:tc>
        <w:tc>
          <w:tcPr>
            <w:tcW w:w="833" w:type="pct"/>
            <w:vAlign w:val="center"/>
          </w:tcPr>
          <w:p w14:paraId="246B9145" w14:textId="77777777" w:rsidR="003D6A63" w:rsidRDefault="00000000">
            <w:pPr>
              <w:adjustRightInd w:val="0"/>
              <w:snapToGrid w:val="0"/>
              <w:jc w:val="center"/>
              <w:rPr>
                <w:color w:val="000000" w:themeColor="text1"/>
              </w:rPr>
            </w:pPr>
            <w:r>
              <w:rPr>
                <w:color w:val="000000" w:themeColor="text1"/>
              </w:rPr>
              <w:t>无资料</w:t>
            </w:r>
          </w:p>
        </w:tc>
        <w:tc>
          <w:tcPr>
            <w:tcW w:w="1080" w:type="pct"/>
            <w:gridSpan w:val="3"/>
            <w:vMerge/>
            <w:vAlign w:val="center"/>
          </w:tcPr>
          <w:p w14:paraId="4DB0D54A" w14:textId="77777777" w:rsidR="003D6A63" w:rsidRDefault="003D6A63">
            <w:pPr>
              <w:adjustRightInd w:val="0"/>
              <w:snapToGrid w:val="0"/>
              <w:jc w:val="center"/>
              <w:rPr>
                <w:color w:val="000000" w:themeColor="text1"/>
              </w:rPr>
            </w:pPr>
          </w:p>
        </w:tc>
        <w:tc>
          <w:tcPr>
            <w:tcW w:w="1693" w:type="pct"/>
            <w:gridSpan w:val="4"/>
            <w:vMerge/>
            <w:vAlign w:val="center"/>
          </w:tcPr>
          <w:p w14:paraId="13F34DD4" w14:textId="77777777" w:rsidR="003D6A63" w:rsidRDefault="003D6A63">
            <w:pPr>
              <w:adjustRightInd w:val="0"/>
              <w:snapToGrid w:val="0"/>
              <w:jc w:val="center"/>
              <w:rPr>
                <w:color w:val="000000" w:themeColor="text1"/>
              </w:rPr>
            </w:pPr>
          </w:p>
        </w:tc>
      </w:tr>
      <w:tr w:rsidR="003D6A63" w14:paraId="580FAFF3" w14:textId="77777777">
        <w:trPr>
          <w:cantSplit/>
          <w:trHeight w:val="397"/>
          <w:jc w:val="center"/>
        </w:trPr>
        <w:tc>
          <w:tcPr>
            <w:tcW w:w="352" w:type="pct"/>
            <w:vMerge/>
            <w:vAlign w:val="center"/>
          </w:tcPr>
          <w:p w14:paraId="52EEC9D0" w14:textId="77777777" w:rsidR="003D6A63" w:rsidRDefault="003D6A63">
            <w:pPr>
              <w:adjustRightInd w:val="0"/>
              <w:snapToGrid w:val="0"/>
              <w:jc w:val="center"/>
              <w:rPr>
                <w:color w:val="000000" w:themeColor="text1"/>
              </w:rPr>
            </w:pPr>
          </w:p>
        </w:tc>
        <w:tc>
          <w:tcPr>
            <w:tcW w:w="1040" w:type="pct"/>
            <w:vAlign w:val="center"/>
          </w:tcPr>
          <w:p w14:paraId="2DC111BF" w14:textId="77777777" w:rsidR="003D6A63" w:rsidRDefault="00000000">
            <w:pPr>
              <w:adjustRightInd w:val="0"/>
              <w:snapToGrid w:val="0"/>
              <w:jc w:val="center"/>
              <w:rPr>
                <w:color w:val="000000" w:themeColor="text1"/>
              </w:rPr>
            </w:pPr>
            <w:r>
              <w:rPr>
                <w:color w:val="000000" w:themeColor="text1"/>
              </w:rPr>
              <w:t>闪点（</w:t>
            </w:r>
            <w:r>
              <w:rPr>
                <w:color w:val="000000" w:themeColor="text1"/>
              </w:rPr>
              <w:t>℃</w:t>
            </w:r>
            <w:r>
              <w:rPr>
                <w:color w:val="000000" w:themeColor="text1"/>
              </w:rPr>
              <w:t>）</w:t>
            </w:r>
          </w:p>
        </w:tc>
        <w:tc>
          <w:tcPr>
            <w:tcW w:w="833" w:type="pct"/>
            <w:vAlign w:val="center"/>
          </w:tcPr>
          <w:p w14:paraId="62D2966A" w14:textId="77777777" w:rsidR="003D6A63" w:rsidRDefault="00000000">
            <w:pPr>
              <w:adjustRightInd w:val="0"/>
              <w:snapToGrid w:val="0"/>
              <w:jc w:val="center"/>
              <w:rPr>
                <w:color w:val="000000" w:themeColor="text1"/>
              </w:rPr>
            </w:pPr>
            <w:r>
              <w:rPr>
                <w:color w:val="000000" w:themeColor="text1"/>
              </w:rPr>
              <w:t>20</w:t>
            </w:r>
            <w:r>
              <w:rPr>
                <w:color w:val="000000" w:themeColor="text1"/>
              </w:rPr>
              <w:t>～</w:t>
            </w:r>
            <w:r>
              <w:rPr>
                <w:color w:val="000000" w:themeColor="text1"/>
              </w:rPr>
              <w:t>100</w:t>
            </w:r>
          </w:p>
        </w:tc>
        <w:tc>
          <w:tcPr>
            <w:tcW w:w="1080" w:type="pct"/>
            <w:gridSpan w:val="3"/>
            <w:vMerge/>
            <w:vAlign w:val="center"/>
          </w:tcPr>
          <w:p w14:paraId="43E14C08" w14:textId="77777777" w:rsidR="003D6A63" w:rsidRDefault="003D6A63">
            <w:pPr>
              <w:adjustRightInd w:val="0"/>
              <w:snapToGrid w:val="0"/>
              <w:jc w:val="center"/>
              <w:rPr>
                <w:color w:val="000000" w:themeColor="text1"/>
              </w:rPr>
            </w:pPr>
          </w:p>
        </w:tc>
        <w:tc>
          <w:tcPr>
            <w:tcW w:w="1693" w:type="pct"/>
            <w:gridSpan w:val="4"/>
            <w:vMerge/>
            <w:vAlign w:val="center"/>
          </w:tcPr>
          <w:p w14:paraId="352E9B7C" w14:textId="77777777" w:rsidR="003D6A63" w:rsidRDefault="003D6A63">
            <w:pPr>
              <w:adjustRightInd w:val="0"/>
              <w:snapToGrid w:val="0"/>
              <w:jc w:val="center"/>
              <w:rPr>
                <w:color w:val="000000" w:themeColor="text1"/>
              </w:rPr>
            </w:pPr>
          </w:p>
        </w:tc>
      </w:tr>
      <w:tr w:rsidR="003D6A63" w14:paraId="30CCB6F7" w14:textId="77777777">
        <w:trPr>
          <w:cantSplit/>
          <w:trHeight w:val="397"/>
          <w:jc w:val="center"/>
        </w:trPr>
        <w:tc>
          <w:tcPr>
            <w:tcW w:w="352" w:type="pct"/>
            <w:vMerge/>
            <w:vAlign w:val="center"/>
          </w:tcPr>
          <w:p w14:paraId="6CDDD730" w14:textId="77777777" w:rsidR="003D6A63" w:rsidRDefault="003D6A63">
            <w:pPr>
              <w:adjustRightInd w:val="0"/>
              <w:snapToGrid w:val="0"/>
              <w:jc w:val="center"/>
              <w:rPr>
                <w:color w:val="000000" w:themeColor="text1"/>
              </w:rPr>
            </w:pPr>
          </w:p>
        </w:tc>
        <w:tc>
          <w:tcPr>
            <w:tcW w:w="1040" w:type="pct"/>
            <w:vAlign w:val="center"/>
          </w:tcPr>
          <w:p w14:paraId="15954B72" w14:textId="77777777" w:rsidR="003D6A63" w:rsidRDefault="00000000">
            <w:pPr>
              <w:adjustRightInd w:val="0"/>
              <w:snapToGrid w:val="0"/>
              <w:jc w:val="center"/>
              <w:rPr>
                <w:color w:val="000000" w:themeColor="text1"/>
              </w:rPr>
            </w:pPr>
            <w:r>
              <w:rPr>
                <w:color w:val="000000" w:themeColor="text1"/>
              </w:rPr>
              <w:t>引燃温度（</w:t>
            </w:r>
            <w:r>
              <w:rPr>
                <w:color w:val="000000" w:themeColor="text1"/>
              </w:rPr>
              <w:t>℃</w:t>
            </w:r>
            <w:r>
              <w:rPr>
                <w:color w:val="000000" w:themeColor="text1"/>
              </w:rPr>
              <w:t>）</w:t>
            </w:r>
          </w:p>
        </w:tc>
        <w:tc>
          <w:tcPr>
            <w:tcW w:w="833" w:type="pct"/>
            <w:vAlign w:val="center"/>
          </w:tcPr>
          <w:p w14:paraId="1B7C0366" w14:textId="77777777" w:rsidR="003D6A63" w:rsidRDefault="00000000">
            <w:pPr>
              <w:adjustRightInd w:val="0"/>
              <w:snapToGrid w:val="0"/>
              <w:jc w:val="center"/>
              <w:rPr>
                <w:color w:val="000000" w:themeColor="text1"/>
              </w:rPr>
            </w:pPr>
            <w:r>
              <w:rPr>
                <w:color w:val="000000" w:themeColor="text1"/>
              </w:rPr>
              <w:t>350</w:t>
            </w:r>
          </w:p>
        </w:tc>
        <w:tc>
          <w:tcPr>
            <w:tcW w:w="1080" w:type="pct"/>
            <w:gridSpan w:val="3"/>
            <w:vMerge/>
            <w:vAlign w:val="center"/>
          </w:tcPr>
          <w:p w14:paraId="7F9B0F42" w14:textId="77777777" w:rsidR="003D6A63" w:rsidRDefault="003D6A63">
            <w:pPr>
              <w:adjustRightInd w:val="0"/>
              <w:snapToGrid w:val="0"/>
              <w:jc w:val="center"/>
              <w:rPr>
                <w:color w:val="000000" w:themeColor="text1"/>
              </w:rPr>
            </w:pPr>
          </w:p>
        </w:tc>
        <w:tc>
          <w:tcPr>
            <w:tcW w:w="1693" w:type="pct"/>
            <w:gridSpan w:val="4"/>
            <w:vMerge/>
            <w:vAlign w:val="center"/>
          </w:tcPr>
          <w:p w14:paraId="7AA54172" w14:textId="77777777" w:rsidR="003D6A63" w:rsidRDefault="003D6A63">
            <w:pPr>
              <w:adjustRightInd w:val="0"/>
              <w:snapToGrid w:val="0"/>
              <w:jc w:val="center"/>
              <w:rPr>
                <w:color w:val="000000" w:themeColor="text1"/>
              </w:rPr>
            </w:pPr>
          </w:p>
        </w:tc>
      </w:tr>
      <w:tr w:rsidR="003D6A63" w14:paraId="2020A58B" w14:textId="77777777">
        <w:trPr>
          <w:cantSplit/>
          <w:trHeight w:val="397"/>
          <w:jc w:val="center"/>
        </w:trPr>
        <w:tc>
          <w:tcPr>
            <w:tcW w:w="352" w:type="pct"/>
            <w:vMerge/>
            <w:vAlign w:val="center"/>
          </w:tcPr>
          <w:p w14:paraId="3893E1A5" w14:textId="77777777" w:rsidR="003D6A63" w:rsidRDefault="003D6A63">
            <w:pPr>
              <w:adjustRightInd w:val="0"/>
              <w:snapToGrid w:val="0"/>
              <w:jc w:val="center"/>
              <w:rPr>
                <w:color w:val="000000" w:themeColor="text1"/>
              </w:rPr>
            </w:pPr>
          </w:p>
        </w:tc>
        <w:tc>
          <w:tcPr>
            <w:tcW w:w="1040" w:type="pct"/>
            <w:vAlign w:val="center"/>
          </w:tcPr>
          <w:p w14:paraId="1C444E76" w14:textId="77777777" w:rsidR="003D6A63" w:rsidRDefault="00000000">
            <w:pPr>
              <w:adjustRightInd w:val="0"/>
              <w:snapToGrid w:val="0"/>
              <w:jc w:val="center"/>
              <w:rPr>
                <w:color w:val="000000" w:themeColor="text1"/>
              </w:rPr>
            </w:pPr>
            <w:r>
              <w:rPr>
                <w:color w:val="000000" w:themeColor="text1"/>
              </w:rPr>
              <w:t>爆炸下限（</w:t>
            </w:r>
            <w:r>
              <w:rPr>
                <w:color w:val="000000" w:themeColor="text1"/>
              </w:rPr>
              <w:t>V/%</w:t>
            </w:r>
            <w:r>
              <w:rPr>
                <w:color w:val="000000" w:themeColor="text1"/>
              </w:rPr>
              <w:t>）</w:t>
            </w:r>
          </w:p>
        </w:tc>
        <w:tc>
          <w:tcPr>
            <w:tcW w:w="833" w:type="pct"/>
            <w:vAlign w:val="center"/>
          </w:tcPr>
          <w:p w14:paraId="0382BE57" w14:textId="77777777" w:rsidR="003D6A63" w:rsidRDefault="00000000">
            <w:pPr>
              <w:adjustRightInd w:val="0"/>
              <w:snapToGrid w:val="0"/>
              <w:jc w:val="center"/>
              <w:rPr>
                <w:color w:val="000000" w:themeColor="text1"/>
              </w:rPr>
            </w:pPr>
            <w:r>
              <w:rPr>
                <w:color w:val="000000" w:themeColor="text1"/>
              </w:rPr>
              <w:t>1.1</w:t>
            </w:r>
          </w:p>
        </w:tc>
        <w:tc>
          <w:tcPr>
            <w:tcW w:w="1080" w:type="pct"/>
            <w:gridSpan w:val="3"/>
            <w:vMerge/>
            <w:vAlign w:val="center"/>
          </w:tcPr>
          <w:p w14:paraId="49CCCF4B" w14:textId="77777777" w:rsidR="003D6A63" w:rsidRDefault="003D6A63">
            <w:pPr>
              <w:adjustRightInd w:val="0"/>
              <w:snapToGrid w:val="0"/>
              <w:jc w:val="center"/>
              <w:rPr>
                <w:color w:val="000000" w:themeColor="text1"/>
              </w:rPr>
            </w:pPr>
          </w:p>
        </w:tc>
        <w:tc>
          <w:tcPr>
            <w:tcW w:w="1693" w:type="pct"/>
            <w:gridSpan w:val="4"/>
            <w:vMerge/>
            <w:vAlign w:val="center"/>
          </w:tcPr>
          <w:p w14:paraId="51395938" w14:textId="77777777" w:rsidR="003D6A63" w:rsidRDefault="003D6A63">
            <w:pPr>
              <w:adjustRightInd w:val="0"/>
              <w:snapToGrid w:val="0"/>
              <w:jc w:val="center"/>
              <w:rPr>
                <w:color w:val="000000" w:themeColor="text1"/>
              </w:rPr>
            </w:pPr>
          </w:p>
        </w:tc>
      </w:tr>
      <w:tr w:rsidR="003D6A63" w14:paraId="7CDE7DAD" w14:textId="77777777">
        <w:trPr>
          <w:cantSplit/>
          <w:trHeight w:val="397"/>
          <w:jc w:val="center"/>
        </w:trPr>
        <w:tc>
          <w:tcPr>
            <w:tcW w:w="352" w:type="pct"/>
            <w:vMerge/>
            <w:vAlign w:val="center"/>
          </w:tcPr>
          <w:p w14:paraId="1F7B8410" w14:textId="77777777" w:rsidR="003D6A63" w:rsidRDefault="003D6A63">
            <w:pPr>
              <w:adjustRightInd w:val="0"/>
              <w:snapToGrid w:val="0"/>
              <w:jc w:val="center"/>
              <w:rPr>
                <w:color w:val="000000" w:themeColor="text1"/>
              </w:rPr>
            </w:pPr>
          </w:p>
        </w:tc>
        <w:tc>
          <w:tcPr>
            <w:tcW w:w="1040" w:type="pct"/>
            <w:vAlign w:val="center"/>
          </w:tcPr>
          <w:p w14:paraId="608626FD" w14:textId="77777777" w:rsidR="003D6A63" w:rsidRDefault="00000000">
            <w:pPr>
              <w:adjustRightInd w:val="0"/>
              <w:snapToGrid w:val="0"/>
              <w:jc w:val="center"/>
              <w:rPr>
                <w:color w:val="000000" w:themeColor="text1"/>
              </w:rPr>
            </w:pPr>
            <w:r>
              <w:rPr>
                <w:color w:val="000000" w:themeColor="text1"/>
              </w:rPr>
              <w:t>爆炸上限（</w:t>
            </w:r>
            <w:r>
              <w:rPr>
                <w:color w:val="000000" w:themeColor="text1"/>
              </w:rPr>
              <w:t>V/%</w:t>
            </w:r>
            <w:r>
              <w:rPr>
                <w:color w:val="000000" w:themeColor="text1"/>
              </w:rPr>
              <w:t>）</w:t>
            </w:r>
          </w:p>
        </w:tc>
        <w:tc>
          <w:tcPr>
            <w:tcW w:w="833" w:type="pct"/>
            <w:vAlign w:val="center"/>
          </w:tcPr>
          <w:p w14:paraId="15929533" w14:textId="77777777" w:rsidR="003D6A63" w:rsidRDefault="00000000">
            <w:pPr>
              <w:adjustRightInd w:val="0"/>
              <w:snapToGrid w:val="0"/>
              <w:jc w:val="center"/>
              <w:rPr>
                <w:color w:val="000000" w:themeColor="text1"/>
              </w:rPr>
            </w:pPr>
            <w:r>
              <w:rPr>
                <w:color w:val="000000" w:themeColor="text1"/>
              </w:rPr>
              <w:t>8.7</w:t>
            </w:r>
          </w:p>
        </w:tc>
        <w:tc>
          <w:tcPr>
            <w:tcW w:w="1080" w:type="pct"/>
            <w:gridSpan w:val="3"/>
            <w:vAlign w:val="center"/>
          </w:tcPr>
          <w:p w14:paraId="33727E79" w14:textId="77777777" w:rsidR="003D6A63" w:rsidRDefault="00000000">
            <w:pPr>
              <w:adjustRightInd w:val="0"/>
              <w:snapToGrid w:val="0"/>
              <w:jc w:val="center"/>
              <w:rPr>
                <w:color w:val="000000" w:themeColor="text1"/>
              </w:rPr>
            </w:pPr>
            <w:r>
              <w:rPr>
                <w:color w:val="000000" w:themeColor="text1"/>
              </w:rPr>
              <w:t>燃烧（分解）产物</w:t>
            </w:r>
          </w:p>
        </w:tc>
        <w:tc>
          <w:tcPr>
            <w:tcW w:w="1693" w:type="pct"/>
            <w:gridSpan w:val="4"/>
            <w:vAlign w:val="center"/>
          </w:tcPr>
          <w:p w14:paraId="4A6AC398" w14:textId="77777777" w:rsidR="003D6A63" w:rsidRDefault="00000000">
            <w:pPr>
              <w:adjustRightInd w:val="0"/>
              <w:snapToGrid w:val="0"/>
              <w:rPr>
                <w:color w:val="000000" w:themeColor="text1"/>
              </w:rPr>
            </w:pPr>
            <w:r>
              <w:rPr>
                <w:color w:val="000000" w:themeColor="text1"/>
              </w:rPr>
              <w:t>一氧化碳、二氧化碳。</w:t>
            </w:r>
          </w:p>
        </w:tc>
      </w:tr>
      <w:tr w:rsidR="003D6A63" w14:paraId="0BE564DF" w14:textId="77777777">
        <w:trPr>
          <w:cantSplit/>
          <w:trHeight w:val="397"/>
          <w:jc w:val="center"/>
        </w:trPr>
        <w:tc>
          <w:tcPr>
            <w:tcW w:w="352" w:type="pct"/>
            <w:vMerge/>
            <w:vAlign w:val="center"/>
          </w:tcPr>
          <w:p w14:paraId="7E883F6B" w14:textId="77777777" w:rsidR="003D6A63" w:rsidRDefault="003D6A63">
            <w:pPr>
              <w:adjustRightInd w:val="0"/>
              <w:snapToGrid w:val="0"/>
              <w:jc w:val="center"/>
              <w:rPr>
                <w:color w:val="000000" w:themeColor="text1"/>
              </w:rPr>
            </w:pPr>
          </w:p>
        </w:tc>
        <w:tc>
          <w:tcPr>
            <w:tcW w:w="1040" w:type="pct"/>
            <w:vAlign w:val="center"/>
          </w:tcPr>
          <w:p w14:paraId="4BF5E987" w14:textId="77777777" w:rsidR="003D6A63" w:rsidRDefault="00000000">
            <w:pPr>
              <w:adjustRightInd w:val="0"/>
              <w:snapToGrid w:val="0"/>
              <w:jc w:val="center"/>
              <w:rPr>
                <w:color w:val="000000" w:themeColor="text1"/>
              </w:rPr>
            </w:pPr>
            <w:r>
              <w:rPr>
                <w:color w:val="000000" w:themeColor="text1"/>
              </w:rPr>
              <w:t>稳定性</w:t>
            </w:r>
          </w:p>
        </w:tc>
        <w:tc>
          <w:tcPr>
            <w:tcW w:w="833" w:type="pct"/>
            <w:vAlign w:val="center"/>
          </w:tcPr>
          <w:p w14:paraId="340CAB0C" w14:textId="77777777" w:rsidR="003D6A63" w:rsidRDefault="00000000">
            <w:pPr>
              <w:adjustRightInd w:val="0"/>
              <w:snapToGrid w:val="0"/>
              <w:jc w:val="center"/>
              <w:rPr>
                <w:color w:val="000000" w:themeColor="text1"/>
              </w:rPr>
            </w:pPr>
            <w:r>
              <w:rPr>
                <w:color w:val="000000" w:themeColor="text1"/>
              </w:rPr>
              <w:t>稳定</w:t>
            </w:r>
          </w:p>
        </w:tc>
        <w:tc>
          <w:tcPr>
            <w:tcW w:w="664" w:type="pct"/>
            <w:gridSpan w:val="2"/>
            <w:vAlign w:val="center"/>
          </w:tcPr>
          <w:p w14:paraId="650ABE61" w14:textId="77777777" w:rsidR="003D6A63" w:rsidRDefault="00000000">
            <w:pPr>
              <w:adjustRightInd w:val="0"/>
              <w:snapToGrid w:val="0"/>
              <w:jc w:val="center"/>
              <w:rPr>
                <w:color w:val="000000" w:themeColor="text1"/>
              </w:rPr>
            </w:pPr>
            <w:r>
              <w:rPr>
                <w:color w:val="000000" w:themeColor="text1"/>
              </w:rPr>
              <w:t>灭火方法</w:t>
            </w:r>
          </w:p>
        </w:tc>
        <w:tc>
          <w:tcPr>
            <w:tcW w:w="2109" w:type="pct"/>
            <w:gridSpan w:val="5"/>
            <w:vAlign w:val="center"/>
          </w:tcPr>
          <w:p w14:paraId="683672F7" w14:textId="77777777" w:rsidR="003D6A63" w:rsidRDefault="00000000">
            <w:pPr>
              <w:adjustRightInd w:val="0"/>
              <w:snapToGrid w:val="0"/>
              <w:rPr>
                <w:color w:val="000000" w:themeColor="text1"/>
              </w:rPr>
            </w:pPr>
            <w:r>
              <w:rPr>
                <w:color w:val="000000" w:themeColor="text1"/>
              </w:rPr>
              <w:t>泡沫、干粉、二氧化碳，砂土。</w:t>
            </w:r>
          </w:p>
        </w:tc>
      </w:tr>
      <w:tr w:rsidR="003D6A63" w14:paraId="22E921E6" w14:textId="77777777">
        <w:trPr>
          <w:cantSplit/>
          <w:trHeight w:val="397"/>
          <w:jc w:val="center"/>
        </w:trPr>
        <w:tc>
          <w:tcPr>
            <w:tcW w:w="352" w:type="pct"/>
            <w:vMerge/>
            <w:vAlign w:val="center"/>
          </w:tcPr>
          <w:p w14:paraId="7A5B6B24" w14:textId="77777777" w:rsidR="003D6A63" w:rsidRDefault="003D6A63">
            <w:pPr>
              <w:adjustRightInd w:val="0"/>
              <w:snapToGrid w:val="0"/>
              <w:jc w:val="center"/>
              <w:rPr>
                <w:color w:val="000000" w:themeColor="text1"/>
              </w:rPr>
            </w:pPr>
          </w:p>
        </w:tc>
        <w:tc>
          <w:tcPr>
            <w:tcW w:w="1040" w:type="pct"/>
            <w:vAlign w:val="center"/>
          </w:tcPr>
          <w:p w14:paraId="202A43C2" w14:textId="77777777" w:rsidR="003D6A63" w:rsidRDefault="00000000">
            <w:pPr>
              <w:adjustRightInd w:val="0"/>
              <w:snapToGrid w:val="0"/>
              <w:jc w:val="center"/>
              <w:rPr>
                <w:color w:val="000000" w:themeColor="text1"/>
              </w:rPr>
            </w:pPr>
            <w:r>
              <w:rPr>
                <w:color w:val="000000" w:themeColor="text1"/>
              </w:rPr>
              <w:t>聚合危害</w:t>
            </w:r>
          </w:p>
        </w:tc>
        <w:tc>
          <w:tcPr>
            <w:tcW w:w="833" w:type="pct"/>
            <w:vAlign w:val="center"/>
          </w:tcPr>
          <w:p w14:paraId="107630BD" w14:textId="77777777" w:rsidR="003D6A63" w:rsidRDefault="00000000">
            <w:pPr>
              <w:adjustRightInd w:val="0"/>
              <w:snapToGrid w:val="0"/>
              <w:jc w:val="center"/>
              <w:rPr>
                <w:color w:val="000000" w:themeColor="text1"/>
              </w:rPr>
            </w:pPr>
            <w:r>
              <w:rPr>
                <w:color w:val="000000" w:themeColor="text1"/>
              </w:rPr>
              <w:t>不能出现</w:t>
            </w:r>
          </w:p>
        </w:tc>
        <w:tc>
          <w:tcPr>
            <w:tcW w:w="1414" w:type="pct"/>
            <w:gridSpan w:val="4"/>
            <w:vAlign w:val="center"/>
          </w:tcPr>
          <w:p w14:paraId="21386C2C" w14:textId="77777777" w:rsidR="003D6A63" w:rsidRDefault="00000000">
            <w:pPr>
              <w:adjustRightInd w:val="0"/>
              <w:snapToGrid w:val="0"/>
              <w:jc w:val="center"/>
              <w:rPr>
                <w:color w:val="000000" w:themeColor="text1"/>
              </w:rPr>
            </w:pPr>
            <w:r>
              <w:rPr>
                <w:color w:val="000000" w:themeColor="text1"/>
              </w:rPr>
              <w:t>禁忌物</w:t>
            </w:r>
          </w:p>
        </w:tc>
        <w:tc>
          <w:tcPr>
            <w:tcW w:w="1359" w:type="pct"/>
            <w:gridSpan w:val="3"/>
            <w:vAlign w:val="center"/>
          </w:tcPr>
          <w:p w14:paraId="0C9A9F97" w14:textId="77777777" w:rsidR="003D6A63" w:rsidRDefault="00000000">
            <w:pPr>
              <w:adjustRightInd w:val="0"/>
              <w:snapToGrid w:val="0"/>
              <w:jc w:val="center"/>
              <w:rPr>
                <w:color w:val="000000" w:themeColor="text1"/>
              </w:rPr>
            </w:pPr>
            <w:r>
              <w:rPr>
                <w:color w:val="000000" w:themeColor="text1"/>
              </w:rPr>
              <w:t>强氧化剂。</w:t>
            </w:r>
          </w:p>
        </w:tc>
      </w:tr>
      <w:tr w:rsidR="003D6A63" w14:paraId="6109BA60" w14:textId="77777777">
        <w:trPr>
          <w:cantSplit/>
          <w:trHeight w:val="397"/>
          <w:jc w:val="center"/>
        </w:trPr>
        <w:tc>
          <w:tcPr>
            <w:tcW w:w="352" w:type="pct"/>
            <w:vMerge w:val="restart"/>
            <w:vAlign w:val="center"/>
          </w:tcPr>
          <w:p w14:paraId="64C63750" w14:textId="77777777" w:rsidR="003D6A63" w:rsidRDefault="00000000">
            <w:pPr>
              <w:adjustRightInd w:val="0"/>
              <w:snapToGrid w:val="0"/>
              <w:jc w:val="center"/>
              <w:rPr>
                <w:color w:val="000000" w:themeColor="text1"/>
              </w:rPr>
            </w:pPr>
            <w:r>
              <w:rPr>
                <w:color w:val="000000" w:themeColor="text1"/>
              </w:rPr>
              <w:t>包装与储运</w:t>
            </w:r>
          </w:p>
        </w:tc>
        <w:tc>
          <w:tcPr>
            <w:tcW w:w="1040" w:type="pct"/>
            <w:vAlign w:val="center"/>
          </w:tcPr>
          <w:p w14:paraId="2344F233" w14:textId="77777777" w:rsidR="003D6A63" w:rsidRDefault="00000000">
            <w:pPr>
              <w:adjustRightInd w:val="0"/>
              <w:snapToGrid w:val="0"/>
              <w:jc w:val="center"/>
              <w:rPr>
                <w:color w:val="000000" w:themeColor="text1"/>
              </w:rPr>
            </w:pPr>
            <w:r>
              <w:rPr>
                <w:color w:val="000000" w:themeColor="text1"/>
              </w:rPr>
              <w:t>危险性类别</w:t>
            </w:r>
          </w:p>
        </w:tc>
        <w:tc>
          <w:tcPr>
            <w:tcW w:w="1083" w:type="pct"/>
            <w:gridSpan w:val="2"/>
            <w:vAlign w:val="center"/>
          </w:tcPr>
          <w:p w14:paraId="270C44DA" w14:textId="77777777" w:rsidR="003D6A63" w:rsidRDefault="00000000">
            <w:pPr>
              <w:adjustRightInd w:val="0"/>
              <w:snapToGrid w:val="0"/>
              <w:jc w:val="center"/>
              <w:rPr>
                <w:color w:val="000000" w:themeColor="text1"/>
              </w:rPr>
            </w:pPr>
            <w:r>
              <w:rPr>
                <w:color w:val="000000" w:themeColor="text1"/>
              </w:rPr>
              <w:t>第</w:t>
            </w:r>
            <w:r>
              <w:rPr>
                <w:color w:val="000000" w:themeColor="text1"/>
              </w:rPr>
              <w:t>3.2</w:t>
            </w:r>
            <w:r>
              <w:rPr>
                <w:color w:val="000000" w:themeColor="text1"/>
              </w:rPr>
              <w:t>类</w:t>
            </w:r>
            <w:r>
              <w:rPr>
                <w:color w:val="000000" w:themeColor="text1"/>
              </w:rPr>
              <w:t xml:space="preserve"> </w:t>
            </w:r>
            <w:r>
              <w:rPr>
                <w:color w:val="000000" w:themeColor="text1"/>
              </w:rPr>
              <w:t>中闪点易燃液体</w:t>
            </w:r>
          </w:p>
        </w:tc>
        <w:tc>
          <w:tcPr>
            <w:tcW w:w="1164" w:type="pct"/>
            <w:gridSpan w:val="3"/>
            <w:vAlign w:val="center"/>
          </w:tcPr>
          <w:p w14:paraId="1CBA2D20" w14:textId="77777777" w:rsidR="003D6A63" w:rsidRDefault="00000000">
            <w:pPr>
              <w:adjustRightInd w:val="0"/>
              <w:snapToGrid w:val="0"/>
              <w:jc w:val="center"/>
              <w:rPr>
                <w:color w:val="000000" w:themeColor="text1"/>
              </w:rPr>
            </w:pPr>
            <w:r>
              <w:rPr>
                <w:color w:val="000000" w:themeColor="text1"/>
              </w:rPr>
              <w:t>危险货物包装标志</w:t>
            </w:r>
          </w:p>
        </w:tc>
        <w:tc>
          <w:tcPr>
            <w:tcW w:w="331" w:type="pct"/>
            <w:vAlign w:val="center"/>
          </w:tcPr>
          <w:p w14:paraId="2D61D481" w14:textId="77777777" w:rsidR="003D6A63" w:rsidRDefault="00000000">
            <w:pPr>
              <w:adjustRightInd w:val="0"/>
              <w:snapToGrid w:val="0"/>
              <w:jc w:val="center"/>
              <w:rPr>
                <w:color w:val="000000" w:themeColor="text1"/>
              </w:rPr>
            </w:pPr>
            <w:r>
              <w:rPr>
                <w:color w:val="000000" w:themeColor="text1"/>
              </w:rPr>
              <w:t>7</w:t>
            </w:r>
          </w:p>
        </w:tc>
        <w:tc>
          <w:tcPr>
            <w:tcW w:w="746" w:type="pct"/>
            <w:vAlign w:val="center"/>
          </w:tcPr>
          <w:p w14:paraId="1D223554" w14:textId="77777777" w:rsidR="003D6A63" w:rsidRDefault="00000000">
            <w:pPr>
              <w:adjustRightInd w:val="0"/>
              <w:snapToGrid w:val="0"/>
              <w:jc w:val="center"/>
              <w:rPr>
                <w:color w:val="000000" w:themeColor="text1"/>
              </w:rPr>
            </w:pPr>
            <w:r>
              <w:rPr>
                <w:color w:val="000000" w:themeColor="text1"/>
              </w:rPr>
              <w:t>包装类别</w:t>
            </w:r>
          </w:p>
        </w:tc>
        <w:tc>
          <w:tcPr>
            <w:tcW w:w="282" w:type="pct"/>
            <w:vAlign w:val="center"/>
          </w:tcPr>
          <w:p w14:paraId="44649089" w14:textId="77777777" w:rsidR="003D6A63" w:rsidRDefault="00000000">
            <w:pPr>
              <w:adjustRightInd w:val="0"/>
              <w:snapToGrid w:val="0"/>
              <w:jc w:val="center"/>
              <w:rPr>
                <w:color w:val="000000" w:themeColor="text1"/>
              </w:rPr>
            </w:pPr>
            <w:r>
              <w:rPr>
                <w:color w:val="000000" w:themeColor="text1"/>
              </w:rPr>
              <w:t>Ⅰ</w:t>
            </w:r>
          </w:p>
        </w:tc>
      </w:tr>
      <w:tr w:rsidR="003D6A63" w14:paraId="68B6813A" w14:textId="77777777">
        <w:trPr>
          <w:cantSplit/>
          <w:trHeight w:val="397"/>
          <w:jc w:val="center"/>
        </w:trPr>
        <w:tc>
          <w:tcPr>
            <w:tcW w:w="352" w:type="pct"/>
            <w:vMerge/>
            <w:vAlign w:val="center"/>
          </w:tcPr>
          <w:p w14:paraId="4D3FD036" w14:textId="77777777" w:rsidR="003D6A63" w:rsidRDefault="003D6A63">
            <w:pPr>
              <w:adjustRightInd w:val="0"/>
              <w:snapToGrid w:val="0"/>
              <w:jc w:val="center"/>
              <w:rPr>
                <w:color w:val="000000" w:themeColor="text1"/>
              </w:rPr>
            </w:pPr>
          </w:p>
        </w:tc>
        <w:tc>
          <w:tcPr>
            <w:tcW w:w="1040" w:type="pct"/>
            <w:vAlign w:val="center"/>
          </w:tcPr>
          <w:p w14:paraId="24239191" w14:textId="77777777" w:rsidR="003D6A63" w:rsidRDefault="00000000">
            <w:pPr>
              <w:adjustRightInd w:val="0"/>
              <w:snapToGrid w:val="0"/>
              <w:jc w:val="center"/>
              <w:rPr>
                <w:color w:val="000000" w:themeColor="text1"/>
              </w:rPr>
            </w:pPr>
            <w:r>
              <w:rPr>
                <w:color w:val="000000" w:themeColor="text1"/>
              </w:rPr>
              <w:t>储运注意事项</w:t>
            </w:r>
          </w:p>
        </w:tc>
        <w:tc>
          <w:tcPr>
            <w:tcW w:w="3606" w:type="pct"/>
            <w:gridSpan w:val="8"/>
            <w:vAlign w:val="center"/>
          </w:tcPr>
          <w:p w14:paraId="03943B60" w14:textId="77777777" w:rsidR="003D6A63" w:rsidRDefault="00000000">
            <w:pPr>
              <w:adjustRightInd w:val="0"/>
              <w:snapToGrid w:val="0"/>
              <w:jc w:val="left"/>
              <w:rPr>
                <w:color w:val="000000" w:themeColor="text1"/>
              </w:rPr>
            </w:pPr>
            <w:r>
              <w:rPr>
                <w:color w:val="000000" w:themeColor="text1"/>
              </w:rPr>
              <w:t>储存于阴凉、通风仓间内。远寓火种、热源。仓温不宜超过</w:t>
            </w:r>
            <w:r>
              <w:rPr>
                <w:color w:val="000000" w:themeColor="text1"/>
              </w:rPr>
              <w:t>30℃</w:t>
            </w:r>
            <w:r>
              <w:rPr>
                <w:color w:val="000000" w:themeColor="text1"/>
              </w:rPr>
              <w:t>。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w:t>
            </w:r>
            <w:r>
              <w:rPr>
                <w:color w:val="000000" w:themeColor="text1"/>
              </w:rPr>
              <w:t>3m/s</w:t>
            </w:r>
            <w:r>
              <w:rPr>
                <w:color w:val="000000" w:themeColor="text1"/>
              </w:rPr>
              <w:t>），且有接地装置，防止静电积聚。搬运时要轻装轻卸，防止包装及容器损坏。</w:t>
            </w:r>
          </w:p>
        </w:tc>
      </w:tr>
      <w:tr w:rsidR="003D6A63" w14:paraId="68B01DE1" w14:textId="77777777">
        <w:trPr>
          <w:cantSplit/>
          <w:trHeight w:val="397"/>
          <w:jc w:val="center"/>
        </w:trPr>
        <w:tc>
          <w:tcPr>
            <w:tcW w:w="352" w:type="pct"/>
            <w:vMerge w:val="restart"/>
            <w:vAlign w:val="center"/>
          </w:tcPr>
          <w:p w14:paraId="3C88867B" w14:textId="77777777" w:rsidR="003D6A63" w:rsidRDefault="00000000">
            <w:pPr>
              <w:adjustRightInd w:val="0"/>
              <w:snapToGrid w:val="0"/>
              <w:jc w:val="center"/>
              <w:rPr>
                <w:color w:val="000000" w:themeColor="text1"/>
              </w:rPr>
            </w:pPr>
            <w:r>
              <w:rPr>
                <w:color w:val="000000" w:themeColor="text1"/>
              </w:rPr>
              <w:t>毒性与健康危害性</w:t>
            </w:r>
          </w:p>
        </w:tc>
        <w:tc>
          <w:tcPr>
            <w:tcW w:w="1040" w:type="pct"/>
            <w:vAlign w:val="center"/>
          </w:tcPr>
          <w:p w14:paraId="5C9BF28D" w14:textId="77777777" w:rsidR="003D6A63" w:rsidRDefault="00000000">
            <w:pPr>
              <w:adjustRightInd w:val="0"/>
              <w:snapToGrid w:val="0"/>
              <w:jc w:val="center"/>
              <w:rPr>
                <w:color w:val="000000" w:themeColor="text1"/>
              </w:rPr>
            </w:pPr>
            <w:r>
              <w:rPr>
                <w:color w:val="000000" w:themeColor="text1"/>
              </w:rPr>
              <w:t>接触限值</w:t>
            </w:r>
          </w:p>
        </w:tc>
        <w:tc>
          <w:tcPr>
            <w:tcW w:w="3606" w:type="pct"/>
            <w:gridSpan w:val="8"/>
            <w:vAlign w:val="center"/>
          </w:tcPr>
          <w:p w14:paraId="65B4EB34" w14:textId="77777777" w:rsidR="003D6A63" w:rsidRDefault="00000000">
            <w:pPr>
              <w:adjustRightInd w:val="0"/>
              <w:snapToGrid w:val="0"/>
              <w:rPr>
                <w:color w:val="000000" w:themeColor="text1"/>
              </w:rPr>
            </w:pPr>
            <w:r>
              <w:rPr>
                <w:color w:val="000000" w:themeColor="text1"/>
              </w:rPr>
              <w:t>无资料</w:t>
            </w:r>
          </w:p>
        </w:tc>
      </w:tr>
      <w:tr w:rsidR="003D6A63" w14:paraId="4FAD3325" w14:textId="77777777">
        <w:trPr>
          <w:cantSplit/>
          <w:trHeight w:val="397"/>
          <w:jc w:val="center"/>
        </w:trPr>
        <w:tc>
          <w:tcPr>
            <w:tcW w:w="352" w:type="pct"/>
            <w:vMerge/>
            <w:vAlign w:val="center"/>
          </w:tcPr>
          <w:p w14:paraId="47772178" w14:textId="77777777" w:rsidR="003D6A63" w:rsidRDefault="003D6A63">
            <w:pPr>
              <w:adjustRightInd w:val="0"/>
              <w:snapToGrid w:val="0"/>
              <w:jc w:val="center"/>
              <w:rPr>
                <w:color w:val="000000" w:themeColor="text1"/>
              </w:rPr>
            </w:pPr>
          </w:p>
        </w:tc>
        <w:tc>
          <w:tcPr>
            <w:tcW w:w="1040" w:type="pct"/>
            <w:vAlign w:val="center"/>
          </w:tcPr>
          <w:p w14:paraId="404BE58A" w14:textId="77777777" w:rsidR="003D6A63" w:rsidRDefault="00000000">
            <w:pPr>
              <w:adjustRightInd w:val="0"/>
              <w:snapToGrid w:val="0"/>
              <w:jc w:val="center"/>
              <w:rPr>
                <w:color w:val="000000" w:themeColor="text1"/>
              </w:rPr>
            </w:pPr>
            <w:r>
              <w:rPr>
                <w:color w:val="000000" w:themeColor="text1"/>
              </w:rPr>
              <w:t>毒性</w:t>
            </w:r>
          </w:p>
        </w:tc>
        <w:tc>
          <w:tcPr>
            <w:tcW w:w="3606" w:type="pct"/>
            <w:gridSpan w:val="8"/>
            <w:vAlign w:val="center"/>
          </w:tcPr>
          <w:p w14:paraId="3AB1BD05" w14:textId="77777777" w:rsidR="003D6A63" w:rsidRDefault="00000000">
            <w:pPr>
              <w:adjustRightInd w:val="0"/>
              <w:snapToGrid w:val="0"/>
              <w:rPr>
                <w:color w:val="000000" w:themeColor="text1"/>
              </w:rPr>
            </w:pPr>
            <w:r>
              <w:rPr>
                <w:color w:val="000000" w:themeColor="text1"/>
              </w:rPr>
              <w:t>LD</w:t>
            </w:r>
            <w:r>
              <w:rPr>
                <w:color w:val="000000" w:themeColor="text1"/>
                <w:vertAlign w:val="subscript"/>
              </w:rPr>
              <w:t>50</w:t>
            </w:r>
            <w:r>
              <w:rPr>
                <w:color w:val="000000" w:themeColor="text1"/>
              </w:rPr>
              <w:t>：</w:t>
            </w:r>
            <w:r>
              <w:rPr>
                <w:color w:val="000000" w:themeColor="text1"/>
              </w:rPr>
              <w:t>500</w:t>
            </w:r>
            <w:r>
              <w:rPr>
                <w:color w:val="000000" w:themeColor="text1"/>
              </w:rPr>
              <w:t>～</w:t>
            </w:r>
            <w:r>
              <w:rPr>
                <w:color w:val="000000" w:themeColor="text1"/>
              </w:rPr>
              <w:t>5000mg/kg</w:t>
            </w:r>
            <w:r>
              <w:rPr>
                <w:color w:val="000000" w:themeColor="text1"/>
              </w:rPr>
              <w:t>（哺乳动物吸入）</w:t>
            </w:r>
          </w:p>
        </w:tc>
      </w:tr>
      <w:tr w:rsidR="003D6A63" w14:paraId="6F8B2C78" w14:textId="77777777">
        <w:trPr>
          <w:cantSplit/>
          <w:trHeight w:val="397"/>
          <w:jc w:val="center"/>
        </w:trPr>
        <w:tc>
          <w:tcPr>
            <w:tcW w:w="352" w:type="pct"/>
            <w:vMerge/>
            <w:vAlign w:val="center"/>
          </w:tcPr>
          <w:p w14:paraId="428FF379" w14:textId="77777777" w:rsidR="003D6A63" w:rsidRDefault="003D6A63">
            <w:pPr>
              <w:adjustRightInd w:val="0"/>
              <w:snapToGrid w:val="0"/>
              <w:jc w:val="center"/>
              <w:rPr>
                <w:color w:val="000000" w:themeColor="text1"/>
              </w:rPr>
            </w:pPr>
          </w:p>
        </w:tc>
        <w:tc>
          <w:tcPr>
            <w:tcW w:w="1040" w:type="pct"/>
            <w:vAlign w:val="center"/>
          </w:tcPr>
          <w:p w14:paraId="277C4B6A" w14:textId="77777777" w:rsidR="003D6A63" w:rsidRDefault="00000000">
            <w:pPr>
              <w:adjustRightInd w:val="0"/>
              <w:snapToGrid w:val="0"/>
              <w:jc w:val="center"/>
              <w:rPr>
                <w:color w:val="000000" w:themeColor="text1"/>
              </w:rPr>
            </w:pPr>
            <w:r>
              <w:rPr>
                <w:color w:val="000000" w:themeColor="text1"/>
              </w:rPr>
              <w:t>健康危害</w:t>
            </w:r>
          </w:p>
        </w:tc>
        <w:tc>
          <w:tcPr>
            <w:tcW w:w="3606" w:type="pct"/>
            <w:gridSpan w:val="8"/>
            <w:vAlign w:val="center"/>
          </w:tcPr>
          <w:p w14:paraId="6665EEE8" w14:textId="77777777" w:rsidR="003D6A63" w:rsidRDefault="00000000">
            <w:pPr>
              <w:adjustRightInd w:val="0"/>
              <w:snapToGrid w:val="0"/>
              <w:rPr>
                <w:color w:val="000000" w:themeColor="text1"/>
              </w:rPr>
            </w:pPr>
            <w:r>
              <w:rPr>
                <w:color w:val="000000" w:themeColor="text1"/>
              </w:rPr>
              <w:t>原油蒸气可引起眼及上呼吸道刺激症状，如浓度过高，几分钟即可引起呼吸困难、</w:t>
            </w:r>
            <w:r>
              <w:rPr>
                <w:rFonts w:hint="eastAsia"/>
                <w:color w:val="000000" w:themeColor="text1"/>
              </w:rPr>
              <w:t>发绀</w:t>
            </w:r>
            <w:r>
              <w:rPr>
                <w:color w:val="000000" w:themeColor="text1"/>
              </w:rPr>
              <w:t>等缺氧症状。</w:t>
            </w:r>
          </w:p>
        </w:tc>
      </w:tr>
      <w:tr w:rsidR="003D6A63" w14:paraId="79D009D1" w14:textId="77777777">
        <w:trPr>
          <w:cantSplit/>
          <w:trHeight w:val="397"/>
          <w:jc w:val="center"/>
        </w:trPr>
        <w:tc>
          <w:tcPr>
            <w:tcW w:w="352" w:type="pct"/>
            <w:vMerge/>
            <w:vAlign w:val="center"/>
          </w:tcPr>
          <w:p w14:paraId="4935F0E7" w14:textId="77777777" w:rsidR="003D6A63" w:rsidRDefault="003D6A63">
            <w:pPr>
              <w:adjustRightInd w:val="0"/>
              <w:snapToGrid w:val="0"/>
              <w:jc w:val="center"/>
              <w:rPr>
                <w:color w:val="000000" w:themeColor="text1"/>
              </w:rPr>
            </w:pPr>
          </w:p>
        </w:tc>
        <w:tc>
          <w:tcPr>
            <w:tcW w:w="1040" w:type="pct"/>
            <w:vAlign w:val="center"/>
          </w:tcPr>
          <w:p w14:paraId="3567AAC1" w14:textId="77777777" w:rsidR="003D6A63" w:rsidRDefault="00000000">
            <w:pPr>
              <w:adjustRightInd w:val="0"/>
              <w:snapToGrid w:val="0"/>
              <w:jc w:val="center"/>
              <w:rPr>
                <w:color w:val="000000" w:themeColor="text1"/>
              </w:rPr>
            </w:pPr>
            <w:r>
              <w:rPr>
                <w:color w:val="000000" w:themeColor="text1"/>
              </w:rPr>
              <w:t>侵入途径</w:t>
            </w:r>
          </w:p>
        </w:tc>
        <w:tc>
          <w:tcPr>
            <w:tcW w:w="3606" w:type="pct"/>
            <w:gridSpan w:val="8"/>
            <w:vAlign w:val="center"/>
          </w:tcPr>
          <w:p w14:paraId="650E89F9" w14:textId="77777777" w:rsidR="003D6A63" w:rsidRDefault="00000000">
            <w:pPr>
              <w:adjustRightInd w:val="0"/>
              <w:snapToGrid w:val="0"/>
              <w:rPr>
                <w:color w:val="000000" w:themeColor="text1"/>
              </w:rPr>
            </w:pPr>
            <w:r>
              <w:rPr>
                <w:color w:val="000000" w:themeColor="text1"/>
              </w:rPr>
              <w:t>吸入、食入</w:t>
            </w:r>
          </w:p>
        </w:tc>
      </w:tr>
      <w:tr w:rsidR="003D6A63" w14:paraId="16481060" w14:textId="77777777">
        <w:trPr>
          <w:cantSplit/>
          <w:trHeight w:val="397"/>
          <w:jc w:val="center"/>
        </w:trPr>
        <w:tc>
          <w:tcPr>
            <w:tcW w:w="352" w:type="pct"/>
            <w:vMerge w:val="restart"/>
            <w:vAlign w:val="center"/>
          </w:tcPr>
          <w:p w14:paraId="3D159A80" w14:textId="77777777" w:rsidR="003D6A63" w:rsidRDefault="00000000">
            <w:pPr>
              <w:adjustRightInd w:val="0"/>
              <w:snapToGrid w:val="0"/>
              <w:jc w:val="center"/>
              <w:rPr>
                <w:color w:val="000000" w:themeColor="text1"/>
              </w:rPr>
            </w:pPr>
            <w:r>
              <w:rPr>
                <w:color w:val="000000" w:themeColor="text1"/>
              </w:rPr>
              <w:t>急救</w:t>
            </w:r>
          </w:p>
        </w:tc>
        <w:tc>
          <w:tcPr>
            <w:tcW w:w="1040" w:type="pct"/>
            <w:vAlign w:val="center"/>
          </w:tcPr>
          <w:p w14:paraId="00D4F8D8" w14:textId="77777777" w:rsidR="003D6A63" w:rsidRDefault="00000000">
            <w:pPr>
              <w:adjustRightInd w:val="0"/>
              <w:snapToGrid w:val="0"/>
              <w:jc w:val="center"/>
              <w:rPr>
                <w:color w:val="000000" w:themeColor="text1"/>
              </w:rPr>
            </w:pPr>
            <w:r>
              <w:rPr>
                <w:color w:val="000000" w:themeColor="text1"/>
              </w:rPr>
              <w:t>皮肤接触</w:t>
            </w:r>
          </w:p>
        </w:tc>
        <w:tc>
          <w:tcPr>
            <w:tcW w:w="3606" w:type="pct"/>
            <w:gridSpan w:val="8"/>
            <w:vAlign w:val="center"/>
          </w:tcPr>
          <w:p w14:paraId="055B2FDE" w14:textId="77777777" w:rsidR="003D6A63" w:rsidRDefault="00000000">
            <w:pPr>
              <w:adjustRightInd w:val="0"/>
              <w:snapToGrid w:val="0"/>
              <w:rPr>
                <w:color w:val="000000" w:themeColor="text1"/>
              </w:rPr>
            </w:pPr>
            <w:r>
              <w:rPr>
                <w:color w:val="000000" w:themeColor="text1"/>
              </w:rPr>
              <w:t>脱去污染的衣着，用肥皂水及清水彻底冲洗。</w:t>
            </w:r>
          </w:p>
        </w:tc>
      </w:tr>
      <w:tr w:rsidR="003D6A63" w14:paraId="6A8C9859" w14:textId="77777777">
        <w:trPr>
          <w:cantSplit/>
          <w:trHeight w:val="397"/>
          <w:jc w:val="center"/>
        </w:trPr>
        <w:tc>
          <w:tcPr>
            <w:tcW w:w="352" w:type="pct"/>
            <w:vMerge/>
            <w:vAlign w:val="center"/>
          </w:tcPr>
          <w:p w14:paraId="65A8DEBD" w14:textId="77777777" w:rsidR="003D6A63" w:rsidRDefault="003D6A63">
            <w:pPr>
              <w:adjustRightInd w:val="0"/>
              <w:snapToGrid w:val="0"/>
              <w:jc w:val="center"/>
              <w:rPr>
                <w:color w:val="000000" w:themeColor="text1"/>
              </w:rPr>
            </w:pPr>
          </w:p>
        </w:tc>
        <w:tc>
          <w:tcPr>
            <w:tcW w:w="1040" w:type="pct"/>
            <w:vAlign w:val="center"/>
          </w:tcPr>
          <w:p w14:paraId="1A75EB82" w14:textId="77777777" w:rsidR="003D6A63" w:rsidRDefault="00000000">
            <w:pPr>
              <w:adjustRightInd w:val="0"/>
              <w:snapToGrid w:val="0"/>
              <w:jc w:val="center"/>
              <w:rPr>
                <w:color w:val="000000" w:themeColor="text1"/>
              </w:rPr>
            </w:pPr>
            <w:r>
              <w:rPr>
                <w:color w:val="000000" w:themeColor="text1"/>
              </w:rPr>
              <w:t>眼睛接触</w:t>
            </w:r>
          </w:p>
        </w:tc>
        <w:tc>
          <w:tcPr>
            <w:tcW w:w="3606" w:type="pct"/>
            <w:gridSpan w:val="8"/>
            <w:vAlign w:val="center"/>
          </w:tcPr>
          <w:p w14:paraId="38D8A707" w14:textId="77777777" w:rsidR="003D6A63" w:rsidRDefault="00000000">
            <w:pPr>
              <w:adjustRightInd w:val="0"/>
              <w:snapToGrid w:val="0"/>
              <w:rPr>
                <w:color w:val="000000" w:themeColor="text1"/>
              </w:rPr>
            </w:pPr>
            <w:r>
              <w:rPr>
                <w:color w:val="000000" w:themeColor="text1"/>
              </w:rPr>
              <w:t>立即提起眼睑，用流动清水冲洗。</w:t>
            </w:r>
          </w:p>
        </w:tc>
      </w:tr>
      <w:tr w:rsidR="003D6A63" w14:paraId="2143AB06" w14:textId="77777777">
        <w:trPr>
          <w:cantSplit/>
          <w:trHeight w:val="397"/>
          <w:jc w:val="center"/>
        </w:trPr>
        <w:tc>
          <w:tcPr>
            <w:tcW w:w="352" w:type="pct"/>
            <w:vMerge/>
            <w:vAlign w:val="center"/>
          </w:tcPr>
          <w:p w14:paraId="2EBD823F" w14:textId="77777777" w:rsidR="003D6A63" w:rsidRDefault="003D6A63">
            <w:pPr>
              <w:adjustRightInd w:val="0"/>
              <w:snapToGrid w:val="0"/>
              <w:jc w:val="center"/>
              <w:rPr>
                <w:color w:val="000000" w:themeColor="text1"/>
              </w:rPr>
            </w:pPr>
          </w:p>
        </w:tc>
        <w:tc>
          <w:tcPr>
            <w:tcW w:w="1040" w:type="pct"/>
            <w:vAlign w:val="center"/>
          </w:tcPr>
          <w:p w14:paraId="373A84A7" w14:textId="77777777" w:rsidR="003D6A63" w:rsidRDefault="00000000">
            <w:pPr>
              <w:adjustRightInd w:val="0"/>
              <w:snapToGrid w:val="0"/>
              <w:jc w:val="center"/>
              <w:rPr>
                <w:color w:val="000000" w:themeColor="text1"/>
              </w:rPr>
            </w:pPr>
            <w:r>
              <w:rPr>
                <w:color w:val="000000" w:themeColor="text1"/>
              </w:rPr>
              <w:t>吸入</w:t>
            </w:r>
          </w:p>
        </w:tc>
        <w:tc>
          <w:tcPr>
            <w:tcW w:w="3606" w:type="pct"/>
            <w:gridSpan w:val="8"/>
            <w:vAlign w:val="center"/>
          </w:tcPr>
          <w:p w14:paraId="5AFFC55F" w14:textId="77777777" w:rsidR="003D6A63" w:rsidRDefault="00000000">
            <w:pPr>
              <w:adjustRightInd w:val="0"/>
              <w:snapToGrid w:val="0"/>
              <w:rPr>
                <w:color w:val="000000" w:themeColor="text1"/>
              </w:rPr>
            </w:pPr>
            <w:r>
              <w:rPr>
                <w:color w:val="000000" w:themeColor="text1"/>
              </w:rPr>
              <w:t>迅速脱离现场至空气新鲜处。注意保暖，呼吸困难时给输氧。呼吸停止时，立即进行人工呼吸。就医。</w:t>
            </w:r>
          </w:p>
        </w:tc>
      </w:tr>
      <w:tr w:rsidR="003D6A63" w14:paraId="4DEE5E41" w14:textId="77777777">
        <w:trPr>
          <w:cantSplit/>
          <w:trHeight w:val="397"/>
          <w:jc w:val="center"/>
        </w:trPr>
        <w:tc>
          <w:tcPr>
            <w:tcW w:w="352" w:type="pct"/>
            <w:vMerge/>
            <w:vAlign w:val="center"/>
          </w:tcPr>
          <w:p w14:paraId="3C04D308" w14:textId="77777777" w:rsidR="003D6A63" w:rsidRDefault="003D6A63">
            <w:pPr>
              <w:adjustRightInd w:val="0"/>
              <w:snapToGrid w:val="0"/>
              <w:jc w:val="center"/>
              <w:rPr>
                <w:color w:val="000000" w:themeColor="text1"/>
              </w:rPr>
            </w:pPr>
          </w:p>
        </w:tc>
        <w:tc>
          <w:tcPr>
            <w:tcW w:w="1040" w:type="pct"/>
            <w:vAlign w:val="center"/>
          </w:tcPr>
          <w:p w14:paraId="2020A92F" w14:textId="77777777" w:rsidR="003D6A63" w:rsidRDefault="00000000">
            <w:pPr>
              <w:adjustRightInd w:val="0"/>
              <w:snapToGrid w:val="0"/>
              <w:jc w:val="center"/>
              <w:rPr>
                <w:color w:val="000000" w:themeColor="text1"/>
              </w:rPr>
            </w:pPr>
            <w:r>
              <w:rPr>
                <w:color w:val="000000" w:themeColor="text1"/>
              </w:rPr>
              <w:t>食入</w:t>
            </w:r>
          </w:p>
        </w:tc>
        <w:tc>
          <w:tcPr>
            <w:tcW w:w="3606" w:type="pct"/>
            <w:gridSpan w:val="8"/>
            <w:vAlign w:val="center"/>
          </w:tcPr>
          <w:p w14:paraId="20072A4C" w14:textId="77777777" w:rsidR="003D6A63" w:rsidRDefault="00000000">
            <w:pPr>
              <w:adjustRightInd w:val="0"/>
              <w:snapToGrid w:val="0"/>
              <w:rPr>
                <w:color w:val="000000" w:themeColor="text1"/>
              </w:rPr>
            </w:pPr>
            <w:r>
              <w:rPr>
                <w:color w:val="000000" w:themeColor="text1"/>
              </w:rPr>
              <w:t>误服者给充分漱口、饮水，就医。</w:t>
            </w:r>
          </w:p>
        </w:tc>
      </w:tr>
      <w:tr w:rsidR="003D6A63" w14:paraId="2CDCF01F" w14:textId="77777777">
        <w:trPr>
          <w:cantSplit/>
          <w:trHeight w:val="397"/>
          <w:jc w:val="center"/>
        </w:trPr>
        <w:tc>
          <w:tcPr>
            <w:tcW w:w="352" w:type="pct"/>
            <w:vMerge w:val="restart"/>
            <w:vAlign w:val="center"/>
          </w:tcPr>
          <w:p w14:paraId="4CA2C9BD" w14:textId="77777777" w:rsidR="003D6A63" w:rsidRDefault="00000000">
            <w:pPr>
              <w:adjustRightInd w:val="0"/>
              <w:snapToGrid w:val="0"/>
              <w:jc w:val="center"/>
              <w:rPr>
                <w:color w:val="000000" w:themeColor="text1"/>
              </w:rPr>
            </w:pPr>
            <w:r>
              <w:rPr>
                <w:color w:val="000000" w:themeColor="text1"/>
              </w:rPr>
              <w:t>防护</w:t>
            </w:r>
            <w:r>
              <w:rPr>
                <w:color w:val="000000" w:themeColor="text1"/>
              </w:rPr>
              <w:lastRenderedPageBreak/>
              <w:t>措施</w:t>
            </w:r>
          </w:p>
        </w:tc>
        <w:tc>
          <w:tcPr>
            <w:tcW w:w="1040" w:type="pct"/>
            <w:vAlign w:val="center"/>
          </w:tcPr>
          <w:p w14:paraId="1C22479B" w14:textId="77777777" w:rsidR="003D6A63" w:rsidRDefault="00000000">
            <w:pPr>
              <w:adjustRightInd w:val="0"/>
              <w:snapToGrid w:val="0"/>
              <w:jc w:val="center"/>
              <w:rPr>
                <w:color w:val="000000" w:themeColor="text1"/>
              </w:rPr>
            </w:pPr>
            <w:r>
              <w:rPr>
                <w:color w:val="000000" w:themeColor="text1"/>
              </w:rPr>
              <w:lastRenderedPageBreak/>
              <w:t>工程控制</w:t>
            </w:r>
          </w:p>
        </w:tc>
        <w:tc>
          <w:tcPr>
            <w:tcW w:w="3606" w:type="pct"/>
            <w:gridSpan w:val="8"/>
            <w:vAlign w:val="center"/>
          </w:tcPr>
          <w:p w14:paraId="6A21C705" w14:textId="77777777" w:rsidR="003D6A63" w:rsidRDefault="00000000">
            <w:pPr>
              <w:adjustRightInd w:val="0"/>
              <w:snapToGrid w:val="0"/>
              <w:jc w:val="left"/>
              <w:rPr>
                <w:color w:val="000000" w:themeColor="text1"/>
              </w:rPr>
            </w:pPr>
            <w:r>
              <w:rPr>
                <w:color w:val="000000" w:themeColor="text1"/>
              </w:rPr>
              <w:t>生产过程密闭，全面通风。</w:t>
            </w:r>
          </w:p>
        </w:tc>
      </w:tr>
      <w:tr w:rsidR="003D6A63" w14:paraId="3FCB4B63" w14:textId="77777777">
        <w:trPr>
          <w:cantSplit/>
          <w:trHeight w:val="397"/>
          <w:jc w:val="center"/>
        </w:trPr>
        <w:tc>
          <w:tcPr>
            <w:tcW w:w="352" w:type="pct"/>
            <w:vMerge/>
            <w:vAlign w:val="center"/>
          </w:tcPr>
          <w:p w14:paraId="32F49EEB" w14:textId="77777777" w:rsidR="003D6A63" w:rsidRDefault="003D6A63">
            <w:pPr>
              <w:adjustRightInd w:val="0"/>
              <w:snapToGrid w:val="0"/>
              <w:jc w:val="center"/>
              <w:rPr>
                <w:color w:val="000000" w:themeColor="text1"/>
              </w:rPr>
            </w:pPr>
          </w:p>
        </w:tc>
        <w:tc>
          <w:tcPr>
            <w:tcW w:w="1040" w:type="pct"/>
            <w:vAlign w:val="center"/>
          </w:tcPr>
          <w:p w14:paraId="6D81660D" w14:textId="77777777" w:rsidR="003D6A63" w:rsidRDefault="00000000">
            <w:pPr>
              <w:adjustRightInd w:val="0"/>
              <w:snapToGrid w:val="0"/>
              <w:jc w:val="center"/>
              <w:rPr>
                <w:color w:val="000000" w:themeColor="text1"/>
              </w:rPr>
            </w:pPr>
            <w:r>
              <w:rPr>
                <w:color w:val="000000" w:themeColor="text1"/>
              </w:rPr>
              <w:t>呼吸系统防护</w:t>
            </w:r>
          </w:p>
        </w:tc>
        <w:tc>
          <w:tcPr>
            <w:tcW w:w="3606" w:type="pct"/>
            <w:gridSpan w:val="8"/>
            <w:vAlign w:val="center"/>
          </w:tcPr>
          <w:p w14:paraId="1834E1E8" w14:textId="77777777" w:rsidR="003D6A63" w:rsidRDefault="00000000">
            <w:pPr>
              <w:adjustRightInd w:val="0"/>
              <w:snapToGrid w:val="0"/>
              <w:jc w:val="left"/>
              <w:rPr>
                <w:color w:val="000000" w:themeColor="text1"/>
              </w:rPr>
            </w:pPr>
            <w:r>
              <w:rPr>
                <w:color w:val="000000" w:themeColor="text1"/>
              </w:rPr>
              <w:t>高浓度环境中，应该</w:t>
            </w:r>
            <w:r>
              <w:rPr>
                <w:rFonts w:hint="eastAsia"/>
                <w:color w:val="000000" w:themeColor="text1"/>
              </w:rPr>
              <w:t>佩戴</w:t>
            </w:r>
            <w:r>
              <w:rPr>
                <w:color w:val="000000" w:themeColor="text1"/>
              </w:rPr>
              <w:t>防毒口罩。必要时建议</w:t>
            </w:r>
            <w:r>
              <w:rPr>
                <w:rFonts w:hint="eastAsia"/>
                <w:color w:val="000000" w:themeColor="text1"/>
              </w:rPr>
              <w:t>佩戴</w:t>
            </w:r>
            <w:r>
              <w:rPr>
                <w:color w:val="000000" w:themeColor="text1"/>
              </w:rPr>
              <w:t>自给式呼吸器。</w:t>
            </w:r>
          </w:p>
        </w:tc>
      </w:tr>
      <w:tr w:rsidR="003D6A63" w14:paraId="72756063" w14:textId="77777777">
        <w:trPr>
          <w:cantSplit/>
          <w:trHeight w:val="397"/>
          <w:jc w:val="center"/>
        </w:trPr>
        <w:tc>
          <w:tcPr>
            <w:tcW w:w="352" w:type="pct"/>
            <w:vMerge/>
            <w:vAlign w:val="center"/>
          </w:tcPr>
          <w:p w14:paraId="7517E117" w14:textId="77777777" w:rsidR="003D6A63" w:rsidRDefault="003D6A63">
            <w:pPr>
              <w:adjustRightInd w:val="0"/>
              <w:snapToGrid w:val="0"/>
              <w:jc w:val="center"/>
              <w:rPr>
                <w:color w:val="000000" w:themeColor="text1"/>
              </w:rPr>
            </w:pPr>
          </w:p>
        </w:tc>
        <w:tc>
          <w:tcPr>
            <w:tcW w:w="1040" w:type="pct"/>
            <w:vAlign w:val="center"/>
          </w:tcPr>
          <w:p w14:paraId="30231E2D" w14:textId="77777777" w:rsidR="003D6A63" w:rsidRDefault="00000000">
            <w:pPr>
              <w:adjustRightInd w:val="0"/>
              <w:snapToGrid w:val="0"/>
              <w:jc w:val="center"/>
              <w:rPr>
                <w:color w:val="000000" w:themeColor="text1"/>
              </w:rPr>
            </w:pPr>
            <w:r>
              <w:rPr>
                <w:color w:val="000000" w:themeColor="text1"/>
              </w:rPr>
              <w:t>眼睛防护</w:t>
            </w:r>
          </w:p>
        </w:tc>
        <w:tc>
          <w:tcPr>
            <w:tcW w:w="3606" w:type="pct"/>
            <w:gridSpan w:val="8"/>
            <w:vAlign w:val="center"/>
          </w:tcPr>
          <w:p w14:paraId="4E4970B3" w14:textId="77777777" w:rsidR="003D6A63" w:rsidRDefault="00000000">
            <w:pPr>
              <w:adjustRightInd w:val="0"/>
              <w:snapToGrid w:val="0"/>
              <w:jc w:val="left"/>
              <w:rPr>
                <w:color w:val="000000" w:themeColor="text1"/>
              </w:rPr>
            </w:pPr>
            <w:r>
              <w:rPr>
                <w:color w:val="000000" w:themeColor="text1"/>
              </w:rPr>
              <w:t>戴安全防护眼镜。</w:t>
            </w:r>
          </w:p>
        </w:tc>
      </w:tr>
      <w:tr w:rsidR="003D6A63" w14:paraId="4B10662C" w14:textId="77777777">
        <w:trPr>
          <w:cantSplit/>
          <w:trHeight w:val="397"/>
          <w:jc w:val="center"/>
        </w:trPr>
        <w:tc>
          <w:tcPr>
            <w:tcW w:w="352" w:type="pct"/>
            <w:vMerge/>
            <w:vAlign w:val="center"/>
          </w:tcPr>
          <w:p w14:paraId="1BFF9C3F" w14:textId="77777777" w:rsidR="003D6A63" w:rsidRDefault="003D6A63">
            <w:pPr>
              <w:adjustRightInd w:val="0"/>
              <w:snapToGrid w:val="0"/>
              <w:jc w:val="center"/>
              <w:rPr>
                <w:color w:val="000000" w:themeColor="text1"/>
              </w:rPr>
            </w:pPr>
          </w:p>
        </w:tc>
        <w:tc>
          <w:tcPr>
            <w:tcW w:w="1040" w:type="pct"/>
            <w:vAlign w:val="center"/>
          </w:tcPr>
          <w:p w14:paraId="3819CE1E" w14:textId="77777777" w:rsidR="003D6A63" w:rsidRDefault="00000000">
            <w:pPr>
              <w:adjustRightInd w:val="0"/>
              <w:snapToGrid w:val="0"/>
              <w:jc w:val="center"/>
              <w:rPr>
                <w:color w:val="000000" w:themeColor="text1"/>
              </w:rPr>
            </w:pPr>
            <w:r>
              <w:rPr>
                <w:color w:val="000000" w:themeColor="text1"/>
              </w:rPr>
              <w:t>防护服</w:t>
            </w:r>
          </w:p>
        </w:tc>
        <w:tc>
          <w:tcPr>
            <w:tcW w:w="3606" w:type="pct"/>
            <w:gridSpan w:val="8"/>
            <w:vAlign w:val="center"/>
          </w:tcPr>
          <w:p w14:paraId="51051556" w14:textId="77777777" w:rsidR="003D6A63" w:rsidRDefault="00000000">
            <w:pPr>
              <w:adjustRightInd w:val="0"/>
              <w:snapToGrid w:val="0"/>
              <w:jc w:val="left"/>
              <w:rPr>
                <w:color w:val="000000" w:themeColor="text1"/>
              </w:rPr>
            </w:pPr>
            <w:r>
              <w:rPr>
                <w:color w:val="000000" w:themeColor="text1"/>
              </w:rPr>
              <w:t>穿相应的防护服。</w:t>
            </w:r>
          </w:p>
        </w:tc>
      </w:tr>
      <w:tr w:rsidR="003D6A63" w14:paraId="0F866CB2" w14:textId="77777777">
        <w:trPr>
          <w:cantSplit/>
          <w:trHeight w:val="397"/>
          <w:jc w:val="center"/>
        </w:trPr>
        <w:tc>
          <w:tcPr>
            <w:tcW w:w="352" w:type="pct"/>
            <w:vMerge/>
            <w:vAlign w:val="center"/>
          </w:tcPr>
          <w:p w14:paraId="4F2C8F55" w14:textId="77777777" w:rsidR="003D6A63" w:rsidRDefault="003D6A63">
            <w:pPr>
              <w:adjustRightInd w:val="0"/>
              <w:snapToGrid w:val="0"/>
              <w:jc w:val="center"/>
              <w:rPr>
                <w:color w:val="000000" w:themeColor="text1"/>
              </w:rPr>
            </w:pPr>
          </w:p>
        </w:tc>
        <w:tc>
          <w:tcPr>
            <w:tcW w:w="1040" w:type="pct"/>
            <w:vAlign w:val="center"/>
          </w:tcPr>
          <w:p w14:paraId="7B83988D" w14:textId="77777777" w:rsidR="003D6A63" w:rsidRDefault="00000000">
            <w:pPr>
              <w:adjustRightInd w:val="0"/>
              <w:snapToGrid w:val="0"/>
              <w:jc w:val="center"/>
              <w:rPr>
                <w:color w:val="000000" w:themeColor="text1"/>
              </w:rPr>
            </w:pPr>
            <w:r>
              <w:rPr>
                <w:color w:val="000000" w:themeColor="text1"/>
              </w:rPr>
              <w:t>手防护</w:t>
            </w:r>
          </w:p>
        </w:tc>
        <w:tc>
          <w:tcPr>
            <w:tcW w:w="3606" w:type="pct"/>
            <w:gridSpan w:val="8"/>
            <w:vAlign w:val="center"/>
          </w:tcPr>
          <w:p w14:paraId="02804FEA" w14:textId="77777777" w:rsidR="003D6A63" w:rsidRDefault="00000000">
            <w:pPr>
              <w:adjustRightInd w:val="0"/>
              <w:snapToGrid w:val="0"/>
              <w:jc w:val="left"/>
              <w:rPr>
                <w:color w:val="000000" w:themeColor="text1"/>
              </w:rPr>
            </w:pPr>
            <w:r>
              <w:rPr>
                <w:color w:val="000000" w:themeColor="text1"/>
              </w:rPr>
              <w:t>戴防护手套。</w:t>
            </w:r>
          </w:p>
        </w:tc>
      </w:tr>
      <w:tr w:rsidR="003D6A63" w14:paraId="38A6963B" w14:textId="77777777">
        <w:trPr>
          <w:cantSplit/>
          <w:trHeight w:val="397"/>
          <w:jc w:val="center"/>
        </w:trPr>
        <w:tc>
          <w:tcPr>
            <w:tcW w:w="352" w:type="pct"/>
            <w:vMerge/>
            <w:vAlign w:val="center"/>
          </w:tcPr>
          <w:p w14:paraId="3304B458" w14:textId="77777777" w:rsidR="003D6A63" w:rsidRDefault="003D6A63">
            <w:pPr>
              <w:adjustRightInd w:val="0"/>
              <w:snapToGrid w:val="0"/>
              <w:jc w:val="center"/>
              <w:rPr>
                <w:color w:val="000000" w:themeColor="text1"/>
              </w:rPr>
            </w:pPr>
          </w:p>
        </w:tc>
        <w:tc>
          <w:tcPr>
            <w:tcW w:w="1040" w:type="pct"/>
            <w:vAlign w:val="center"/>
          </w:tcPr>
          <w:p w14:paraId="56876FFB" w14:textId="77777777" w:rsidR="003D6A63" w:rsidRDefault="00000000">
            <w:pPr>
              <w:adjustRightInd w:val="0"/>
              <w:snapToGrid w:val="0"/>
              <w:jc w:val="center"/>
              <w:rPr>
                <w:color w:val="000000" w:themeColor="text1"/>
              </w:rPr>
            </w:pPr>
            <w:r>
              <w:rPr>
                <w:color w:val="000000" w:themeColor="text1"/>
              </w:rPr>
              <w:t>其它</w:t>
            </w:r>
          </w:p>
        </w:tc>
        <w:tc>
          <w:tcPr>
            <w:tcW w:w="3606" w:type="pct"/>
            <w:gridSpan w:val="8"/>
            <w:vAlign w:val="center"/>
          </w:tcPr>
          <w:p w14:paraId="24DFCC1F" w14:textId="77777777" w:rsidR="003D6A63" w:rsidRDefault="00000000">
            <w:pPr>
              <w:adjustRightInd w:val="0"/>
              <w:snapToGrid w:val="0"/>
              <w:jc w:val="left"/>
              <w:rPr>
                <w:color w:val="000000" w:themeColor="text1"/>
              </w:rPr>
            </w:pPr>
            <w:r>
              <w:rPr>
                <w:color w:val="000000" w:themeColor="text1"/>
              </w:rPr>
              <w:t>工作现场严禁吸烟。工作后，淋浴更衣。注意个人清洁卫生。</w:t>
            </w:r>
          </w:p>
        </w:tc>
      </w:tr>
      <w:tr w:rsidR="003D6A63" w14:paraId="52A835ED" w14:textId="77777777">
        <w:trPr>
          <w:cantSplit/>
          <w:trHeight w:val="397"/>
          <w:jc w:val="center"/>
        </w:trPr>
        <w:tc>
          <w:tcPr>
            <w:tcW w:w="352" w:type="pct"/>
            <w:vAlign w:val="center"/>
          </w:tcPr>
          <w:p w14:paraId="69DE2E85" w14:textId="77777777" w:rsidR="003D6A63" w:rsidRDefault="00000000">
            <w:pPr>
              <w:adjustRightInd w:val="0"/>
              <w:snapToGrid w:val="0"/>
              <w:jc w:val="center"/>
              <w:rPr>
                <w:color w:val="000000" w:themeColor="text1"/>
              </w:rPr>
            </w:pPr>
            <w:r>
              <w:rPr>
                <w:color w:val="000000" w:themeColor="text1"/>
              </w:rPr>
              <w:t>泄漏处置</w:t>
            </w:r>
          </w:p>
        </w:tc>
        <w:tc>
          <w:tcPr>
            <w:tcW w:w="4647" w:type="pct"/>
            <w:gridSpan w:val="9"/>
            <w:vAlign w:val="center"/>
          </w:tcPr>
          <w:p w14:paraId="0BABA366" w14:textId="77777777" w:rsidR="003D6A63" w:rsidRDefault="00000000">
            <w:pPr>
              <w:adjustRightInd w:val="0"/>
              <w:snapToGrid w:val="0"/>
              <w:jc w:val="left"/>
              <w:rPr>
                <w:color w:val="000000" w:themeColor="text1"/>
              </w:rPr>
            </w:pPr>
            <w:r>
              <w:rPr>
                <w:color w:val="000000" w:themeColor="text1"/>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14:paraId="1A29B5F1" w14:textId="77777777" w:rsidR="003D6A63" w:rsidRDefault="003D6A63">
      <w:pPr>
        <w:pStyle w:val="nlw10"/>
        <w:outlineLvl w:val="9"/>
        <w:rPr>
          <w:rFonts w:ascii="Times New Roman" w:hAnsi="Times New Roman"/>
        </w:rPr>
      </w:pPr>
    </w:p>
    <w:p w14:paraId="4D35A728" w14:textId="77777777" w:rsidR="003D6A63" w:rsidRDefault="003D6A63">
      <w:pPr>
        <w:pStyle w:val="nlw10"/>
        <w:outlineLvl w:val="9"/>
        <w:rPr>
          <w:rFonts w:ascii="Times New Roman" w:hAnsi="Times New Roman"/>
        </w:rPr>
        <w:sectPr w:rsidR="003D6A63">
          <w:pgSz w:w="11906" w:h="16838"/>
          <w:pgMar w:top="1134" w:right="1418" w:bottom="1440" w:left="1418" w:header="851" w:footer="851" w:gutter="0"/>
          <w:cols w:space="425"/>
          <w:docGrid w:linePitch="312" w:charSpace="-1489"/>
        </w:sectPr>
      </w:pPr>
    </w:p>
    <w:p w14:paraId="1E5A83BF" w14:textId="77777777" w:rsidR="003D6A63" w:rsidRDefault="00000000">
      <w:pPr>
        <w:pStyle w:val="nlw2"/>
        <w:spacing w:afterLines="0" w:after="0" w:line="360" w:lineRule="auto"/>
        <w:rPr>
          <w:rFonts w:ascii="Times New Roman" w:hAnsi="Times New Roman"/>
        </w:rPr>
      </w:pPr>
      <w:bookmarkStart w:id="150" w:name="_Toc19879"/>
      <w:r>
        <w:rPr>
          <w:rFonts w:ascii="Times New Roman" w:hAnsi="Times New Roman" w:hint="eastAsia"/>
        </w:rPr>
        <w:lastRenderedPageBreak/>
        <w:t>附表</w:t>
      </w:r>
      <w:r>
        <w:rPr>
          <w:rFonts w:ascii="Times New Roman" w:hAnsi="Times New Roman" w:hint="eastAsia"/>
        </w:rPr>
        <w:t xml:space="preserve">2  </w:t>
      </w:r>
      <w:r>
        <w:rPr>
          <w:rFonts w:ascii="Times New Roman" w:hAnsi="Times New Roman" w:hint="eastAsia"/>
        </w:rPr>
        <w:t>天然气的危险、有害特性</w:t>
      </w:r>
      <w:bookmarkEnd w:id="150"/>
    </w:p>
    <w:tbl>
      <w:tblPr>
        <w:tblW w:w="4997"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54"/>
        <w:gridCol w:w="1931"/>
        <w:gridCol w:w="1547"/>
        <w:gridCol w:w="1232"/>
        <w:gridCol w:w="772"/>
        <w:gridCol w:w="310"/>
        <w:gridCol w:w="614"/>
        <w:gridCol w:w="1234"/>
        <w:gridCol w:w="986"/>
      </w:tblGrid>
      <w:tr w:rsidR="003D6A63" w14:paraId="0929CD60" w14:textId="77777777">
        <w:trPr>
          <w:cantSplit/>
          <w:trHeight w:val="397"/>
          <w:jc w:val="center"/>
        </w:trPr>
        <w:tc>
          <w:tcPr>
            <w:tcW w:w="352" w:type="pct"/>
            <w:vMerge w:val="restart"/>
            <w:vAlign w:val="center"/>
          </w:tcPr>
          <w:p w14:paraId="117D048A" w14:textId="77777777" w:rsidR="003D6A63" w:rsidRDefault="00000000">
            <w:pPr>
              <w:adjustRightInd w:val="0"/>
              <w:snapToGrid w:val="0"/>
              <w:jc w:val="center"/>
              <w:rPr>
                <w:color w:val="000000" w:themeColor="text1"/>
              </w:rPr>
            </w:pPr>
            <w:r>
              <w:rPr>
                <w:color w:val="000000" w:themeColor="text1"/>
              </w:rPr>
              <w:t>标识</w:t>
            </w:r>
          </w:p>
        </w:tc>
        <w:tc>
          <w:tcPr>
            <w:tcW w:w="1040" w:type="pct"/>
            <w:vAlign w:val="center"/>
          </w:tcPr>
          <w:p w14:paraId="0423E6EC" w14:textId="77777777" w:rsidR="003D6A63" w:rsidRDefault="00000000">
            <w:pPr>
              <w:adjustRightInd w:val="0"/>
              <w:snapToGrid w:val="0"/>
              <w:jc w:val="center"/>
              <w:rPr>
                <w:color w:val="000000" w:themeColor="text1"/>
              </w:rPr>
            </w:pPr>
            <w:r>
              <w:rPr>
                <w:color w:val="000000" w:themeColor="text1"/>
              </w:rPr>
              <w:t>中文名</w:t>
            </w:r>
          </w:p>
        </w:tc>
        <w:tc>
          <w:tcPr>
            <w:tcW w:w="833" w:type="pct"/>
            <w:vAlign w:val="center"/>
          </w:tcPr>
          <w:p w14:paraId="705E9578" w14:textId="77777777" w:rsidR="003D6A63" w:rsidRDefault="00000000">
            <w:pPr>
              <w:adjustRightInd w:val="0"/>
              <w:snapToGrid w:val="0"/>
              <w:jc w:val="center"/>
              <w:rPr>
                <w:color w:val="000000" w:themeColor="text1"/>
              </w:rPr>
            </w:pPr>
            <w:r>
              <w:rPr>
                <w:color w:val="000000" w:themeColor="text1"/>
              </w:rPr>
              <w:t>甲烷</w:t>
            </w:r>
          </w:p>
        </w:tc>
        <w:tc>
          <w:tcPr>
            <w:tcW w:w="1080" w:type="pct"/>
            <w:gridSpan w:val="2"/>
            <w:vAlign w:val="center"/>
          </w:tcPr>
          <w:p w14:paraId="7798FD19" w14:textId="77777777" w:rsidR="003D6A63" w:rsidRDefault="00000000">
            <w:pPr>
              <w:adjustRightInd w:val="0"/>
              <w:snapToGrid w:val="0"/>
              <w:jc w:val="center"/>
              <w:rPr>
                <w:color w:val="000000" w:themeColor="text1"/>
              </w:rPr>
            </w:pPr>
            <w:r>
              <w:rPr>
                <w:color w:val="000000" w:themeColor="text1"/>
              </w:rPr>
              <w:t>CAS</w:t>
            </w:r>
          </w:p>
        </w:tc>
        <w:tc>
          <w:tcPr>
            <w:tcW w:w="1694" w:type="pct"/>
            <w:gridSpan w:val="4"/>
            <w:vAlign w:val="center"/>
          </w:tcPr>
          <w:p w14:paraId="4332A67C" w14:textId="77777777" w:rsidR="003D6A63" w:rsidRDefault="00000000">
            <w:pPr>
              <w:adjustRightInd w:val="0"/>
              <w:snapToGrid w:val="0"/>
              <w:jc w:val="center"/>
              <w:rPr>
                <w:color w:val="000000" w:themeColor="text1"/>
              </w:rPr>
            </w:pPr>
            <w:r>
              <w:rPr>
                <w:color w:val="000000" w:themeColor="text1"/>
              </w:rPr>
              <w:t>74-82-8</w:t>
            </w:r>
          </w:p>
        </w:tc>
      </w:tr>
      <w:tr w:rsidR="003D6A63" w14:paraId="6E7FEE33" w14:textId="77777777">
        <w:trPr>
          <w:cantSplit/>
          <w:trHeight w:val="397"/>
          <w:jc w:val="center"/>
        </w:trPr>
        <w:tc>
          <w:tcPr>
            <w:tcW w:w="352" w:type="pct"/>
            <w:vMerge/>
            <w:vAlign w:val="center"/>
          </w:tcPr>
          <w:p w14:paraId="23B885B0" w14:textId="77777777" w:rsidR="003D6A63" w:rsidRDefault="003D6A63">
            <w:pPr>
              <w:adjustRightInd w:val="0"/>
              <w:snapToGrid w:val="0"/>
              <w:jc w:val="center"/>
              <w:rPr>
                <w:color w:val="000000" w:themeColor="text1"/>
              </w:rPr>
            </w:pPr>
          </w:p>
        </w:tc>
        <w:tc>
          <w:tcPr>
            <w:tcW w:w="1040" w:type="pct"/>
            <w:vAlign w:val="center"/>
          </w:tcPr>
          <w:p w14:paraId="78ED720C" w14:textId="77777777" w:rsidR="003D6A63" w:rsidRDefault="00000000">
            <w:pPr>
              <w:adjustRightInd w:val="0"/>
              <w:snapToGrid w:val="0"/>
              <w:jc w:val="center"/>
              <w:rPr>
                <w:color w:val="000000" w:themeColor="text1"/>
              </w:rPr>
            </w:pPr>
            <w:r>
              <w:rPr>
                <w:color w:val="000000" w:themeColor="text1"/>
              </w:rPr>
              <w:t>分子式</w:t>
            </w:r>
          </w:p>
        </w:tc>
        <w:tc>
          <w:tcPr>
            <w:tcW w:w="3607" w:type="pct"/>
            <w:gridSpan w:val="7"/>
            <w:vAlign w:val="center"/>
          </w:tcPr>
          <w:p w14:paraId="483D30A4" w14:textId="77777777" w:rsidR="003D6A63" w:rsidRDefault="00000000">
            <w:pPr>
              <w:adjustRightInd w:val="0"/>
              <w:snapToGrid w:val="0"/>
              <w:jc w:val="left"/>
              <w:rPr>
                <w:color w:val="000000" w:themeColor="text1"/>
              </w:rPr>
            </w:pPr>
            <w:r>
              <w:rPr>
                <w:color w:val="000000" w:themeColor="text1"/>
              </w:rPr>
              <w:t>CH</w:t>
            </w:r>
            <w:r>
              <w:rPr>
                <w:color w:val="000000" w:themeColor="text1"/>
                <w:vertAlign w:val="subscript"/>
              </w:rPr>
              <w:t>4</w:t>
            </w:r>
          </w:p>
        </w:tc>
      </w:tr>
      <w:tr w:rsidR="003D6A63" w14:paraId="66376907" w14:textId="77777777">
        <w:trPr>
          <w:cantSplit/>
          <w:trHeight w:val="397"/>
          <w:jc w:val="center"/>
        </w:trPr>
        <w:tc>
          <w:tcPr>
            <w:tcW w:w="352" w:type="pct"/>
            <w:vMerge/>
            <w:vAlign w:val="center"/>
          </w:tcPr>
          <w:p w14:paraId="3CE20693" w14:textId="77777777" w:rsidR="003D6A63" w:rsidRDefault="003D6A63">
            <w:pPr>
              <w:adjustRightInd w:val="0"/>
              <w:snapToGrid w:val="0"/>
              <w:jc w:val="center"/>
              <w:rPr>
                <w:color w:val="000000" w:themeColor="text1"/>
              </w:rPr>
            </w:pPr>
          </w:p>
        </w:tc>
        <w:tc>
          <w:tcPr>
            <w:tcW w:w="1040" w:type="pct"/>
            <w:vAlign w:val="center"/>
          </w:tcPr>
          <w:p w14:paraId="46230C8B" w14:textId="77777777" w:rsidR="003D6A63" w:rsidRDefault="00000000">
            <w:pPr>
              <w:adjustRightInd w:val="0"/>
              <w:snapToGrid w:val="0"/>
              <w:jc w:val="center"/>
              <w:rPr>
                <w:color w:val="000000" w:themeColor="text1"/>
              </w:rPr>
            </w:pPr>
            <w:r>
              <w:rPr>
                <w:color w:val="000000" w:themeColor="text1"/>
              </w:rPr>
              <w:t>分子量</w:t>
            </w:r>
          </w:p>
        </w:tc>
        <w:tc>
          <w:tcPr>
            <w:tcW w:w="833" w:type="pct"/>
            <w:vAlign w:val="center"/>
          </w:tcPr>
          <w:p w14:paraId="49A513DA" w14:textId="77777777" w:rsidR="003D6A63" w:rsidRDefault="00000000">
            <w:pPr>
              <w:adjustRightInd w:val="0"/>
              <w:snapToGrid w:val="0"/>
              <w:jc w:val="center"/>
              <w:rPr>
                <w:color w:val="000000" w:themeColor="text1"/>
              </w:rPr>
            </w:pPr>
            <w:r>
              <w:rPr>
                <w:color w:val="000000" w:themeColor="text1"/>
              </w:rPr>
              <w:t>16.04</w:t>
            </w:r>
          </w:p>
        </w:tc>
        <w:tc>
          <w:tcPr>
            <w:tcW w:w="1080" w:type="pct"/>
            <w:gridSpan w:val="2"/>
            <w:vAlign w:val="center"/>
          </w:tcPr>
          <w:p w14:paraId="5CF7667D" w14:textId="77777777" w:rsidR="003D6A63" w:rsidRDefault="00000000">
            <w:pPr>
              <w:adjustRightInd w:val="0"/>
              <w:snapToGrid w:val="0"/>
              <w:jc w:val="center"/>
              <w:rPr>
                <w:color w:val="000000" w:themeColor="text1"/>
              </w:rPr>
            </w:pPr>
            <w:r>
              <w:rPr>
                <w:color w:val="000000" w:themeColor="text1"/>
              </w:rPr>
              <w:t>UN</w:t>
            </w:r>
            <w:r>
              <w:rPr>
                <w:color w:val="000000" w:themeColor="text1"/>
              </w:rPr>
              <w:t>编号</w:t>
            </w:r>
          </w:p>
        </w:tc>
        <w:tc>
          <w:tcPr>
            <w:tcW w:w="1694" w:type="pct"/>
            <w:gridSpan w:val="4"/>
            <w:vAlign w:val="center"/>
          </w:tcPr>
          <w:p w14:paraId="1A23B084" w14:textId="77777777" w:rsidR="003D6A63" w:rsidRDefault="00000000">
            <w:pPr>
              <w:adjustRightInd w:val="0"/>
              <w:snapToGrid w:val="0"/>
              <w:jc w:val="center"/>
              <w:rPr>
                <w:color w:val="000000" w:themeColor="text1"/>
              </w:rPr>
            </w:pPr>
            <w:r>
              <w:rPr>
                <w:color w:val="000000" w:themeColor="text1"/>
              </w:rPr>
              <w:t>1971</w:t>
            </w:r>
          </w:p>
        </w:tc>
      </w:tr>
      <w:tr w:rsidR="003D6A63" w14:paraId="00743992" w14:textId="77777777">
        <w:trPr>
          <w:cantSplit/>
          <w:trHeight w:val="397"/>
          <w:jc w:val="center"/>
        </w:trPr>
        <w:tc>
          <w:tcPr>
            <w:tcW w:w="352" w:type="pct"/>
            <w:vMerge w:val="restart"/>
            <w:vAlign w:val="center"/>
          </w:tcPr>
          <w:p w14:paraId="76C530C5" w14:textId="77777777" w:rsidR="003D6A63" w:rsidRDefault="00000000">
            <w:pPr>
              <w:adjustRightInd w:val="0"/>
              <w:snapToGrid w:val="0"/>
              <w:jc w:val="center"/>
              <w:rPr>
                <w:color w:val="000000" w:themeColor="text1"/>
              </w:rPr>
            </w:pPr>
            <w:r>
              <w:rPr>
                <w:color w:val="000000" w:themeColor="text1"/>
              </w:rPr>
              <w:t>理化性质</w:t>
            </w:r>
          </w:p>
        </w:tc>
        <w:tc>
          <w:tcPr>
            <w:tcW w:w="1040" w:type="pct"/>
            <w:vAlign w:val="center"/>
          </w:tcPr>
          <w:p w14:paraId="05ECDFBE" w14:textId="77777777" w:rsidR="003D6A63" w:rsidRDefault="00000000">
            <w:pPr>
              <w:adjustRightInd w:val="0"/>
              <w:snapToGrid w:val="0"/>
              <w:jc w:val="center"/>
              <w:rPr>
                <w:color w:val="000000" w:themeColor="text1"/>
              </w:rPr>
            </w:pPr>
            <w:r>
              <w:rPr>
                <w:color w:val="000000" w:themeColor="text1"/>
              </w:rPr>
              <w:t>外观性状</w:t>
            </w:r>
          </w:p>
        </w:tc>
        <w:tc>
          <w:tcPr>
            <w:tcW w:w="3607" w:type="pct"/>
            <w:gridSpan w:val="7"/>
            <w:vAlign w:val="center"/>
          </w:tcPr>
          <w:p w14:paraId="6B503E55" w14:textId="77777777" w:rsidR="003D6A63" w:rsidRDefault="00000000">
            <w:pPr>
              <w:adjustRightInd w:val="0"/>
              <w:snapToGrid w:val="0"/>
              <w:rPr>
                <w:color w:val="000000" w:themeColor="text1"/>
              </w:rPr>
            </w:pPr>
            <w:r>
              <w:rPr>
                <w:color w:val="000000" w:themeColor="text1"/>
              </w:rPr>
              <w:t>无色无臭气体。</w:t>
            </w:r>
          </w:p>
        </w:tc>
      </w:tr>
      <w:tr w:rsidR="003D6A63" w14:paraId="634ABC28" w14:textId="77777777">
        <w:trPr>
          <w:cantSplit/>
          <w:trHeight w:val="397"/>
          <w:jc w:val="center"/>
        </w:trPr>
        <w:tc>
          <w:tcPr>
            <w:tcW w:w="352" w:type="pct"/>
            <w:vMerge/>
            <w:vAlign w:val="center"/>
          </w:tcPr>
          <w:p w14:paraId="05D13EBB" w14:textId="77777777" w:rsidR="003D6A63" w:rsidRDefault="003D6A63">
            <w:pPr>
              <w:adjustRightInd w:val="0"/>
              <w:snapToGrid w:val="0"/>
              <w:jc w:val="center"/>
              <w:rPr>
                <w:color w:val="000000" w:themeColor="text1"/>
              </w:rPr>
            </w:pPr>
          </w:p>
        </w:tc>
        <w:tc>
          <w:tcPr>
            <w:tcW w:w="1040" w:type="pct"/>
            <w:vAlign w:val="center"/>
          </w:tcPr>
          <w:p w14:paraId="47603140" w14:textId="77777777" w:rsidR="003D6A63" w:rsidRDefault="00000000">
            <w:pPr>
              <w:adjustRightInd w:val="0"/>
              <w:snapToGrid w:val="0"/>
              <w:jc w:val="center"/>
              <w:rPr>
                <w:color w:val="000000" w:themeColor="text1"/>
              </w:rPr>
            </w:pPr>
            <w:r>
              <w:rPr>
                <w:color w:val="000000" w:themeColor="text1"/>
              </w:rPr>
              <w:t>主要用途</w:t>
            </w:r>
          </w:p>
        </w:tc>
        <w:tc>
          <w:tcPr>
            <w:tcW w:w="3607" w:type="pct"/>
            <w:gridSpan w:val="7"/>
            <w:vAlign w:val="center"/>
          </w:tcPr>
          <w:p w14:paraId="504E34C1" w14:textId="77777777" w:rsidR="003D6A63" w:rsidRDefault="00000000">
            <w:pPr>
              <w:adjustRightInd w:val="0"/>
              <w:snapToGrid w:val="0"/>
              <w:rPr>
                <w:color w:val="000000" w:themeColor="text1"/>
              </w:rPr>
            </w:pPr>
            <w:r>
              <w:rPr>
                <w:color w:val="000000" w:themeColor="text1"/>
              </w:rPr>
              <w:t>用作燃料和用于炭黑、氢、乙炔、甲醛等的制造。</w:t>
            </w:r>
          </w:p>
        </w:tc>
      </w:tr>
      <w:tr w:rsidR="003D6A63" w14:paraId="1DD6A992" w14:textId="77777777">
        <w:trPr>
          <w:cantSplit/>
          <w:trHeight w:val="397"/>
          <w:jc w:val="center"/>
        </w:trPr>
        <w:tc>
          <w:tcPr>
            <w:tcW w:w="352" w:type="pct"/>
            <w:vMerge/>
            <w:vAlign w:val="center"/>
          </w:tcPr>
          <w:p w14:paraId="452147E3" w14:textId="77777777" w:rsidR="003D6A63" w:rsidRDefault="003D6A63">
            <w:pPr>
              <w:adjustRightInd w:val="0"/>
              <w:snapToGrid w:val="0"/>
              <w:jc w:val="center"/>
              <w:rPr>
                <w:color w:val="000000" w:themeColor="text1"/>
              </w:rPr>
            </w:pPr>
          </w:p>
        </w:tc>
        <w:tc>
          <w:tcPr>
            <w:tcW w:w="1040" w:type="pct"/>
            <w:vAlign w:val="center"/>
          </w:tcPr>
          <w:p w14:paraId="28CFA4E3" w14:textId="77777777" w:rsidR="003D6A63" w:rsidRDefault="00000000">
            <w:pPr>
              <w:adjustRightInd w:val="0"/>
              <w:snapToGrid w:val="0"/>
              <w:jc w:val="center"/>
              <w:rPr>
                <w:color w:val="000000" w:themeColor="text1"/>
              </w:rPr>
            </w:pPr>
            <w:r>
              <w:rPr>
                <w:color w:val="000000" w:themeColor="text1"/>
              </w:rPr>
              <w:t>溶解性</w:t>
            </w:r>
          </w:p>
        </w:tc>
        <w:tc>
          <w:tcPr>
            <w:tcW w:w="3607" w:type="pct"/>
            <w:gridSpan w:val="7"/>
            <w:vAlign w:val="center"/>
          </w:tcPr>
          <w:p w14:paraId="40F54EA3" w14:textId="77777777" w:rsidR="003D6A63" w:rsidRDefault="00000000">
            <w:pPr>
              <w:adjustRightInd w:val="0"/>
              <w:snapToGrid w:val="0"/>
              <w:rPr>
                <w:color w:val="000000" w:themeColor="text1"/>
              </w:rPr>
            </w:pPr>
            <w:r>
              <w:rPr>
                <w:color w:val="000000" w:themeColor="text1"/>
              </w:rPr>
              <w:t>微溶于水，溶于乙醇、乙醚。</w:t>
            </w:r>
          </w:p>
        </w:tc>
      </w:tr>
      <w:tr w:rsidR="003D6A63" w14:paraId="00331869" w14:textId="77777777">
        <w:trPr>
          <w:cantSplit/>
          <w:trHeight w:val="397"/>
          <w:jc w:val="center"/>
        </w:trPr>
        <w:tc>
          <w:tcPr>
            <w:tcW w:w="352" w:type="pct"/>
            <w:vMerge/>
            <w:vAlign w:val="center"/>
          </w:tcPr>
          <w:p w14:paraId="4F33FE29" w14:textId="77777777" w:rsidR="003D6A63" w:rsidRDefault="003D6A63">
            <w:pPr>
              <w:adjustRightInd w:val="0"/>
              <w:snapToGrid w:val="0"/>
              <w:jc w:val="center"/>
              <w:rPr>
                <w:color w:val="000000" w:themeColor="text1"/>
              </w:rPr>
            </w:pPr>
          </w:p>
        </w:tc>
        <w:tc>
          <w:tcPr>
            <w:tcW w:w="1040" w:type="pct"/>
            <w:vAlign w:val="center"/>
          </w:tcPr>
          <w:p w14:paraId="18AA469C" w14:textId="77777777" w:rsidR="003D6A63" w:rsidRDefault="00000000">
            <w:pPr>
              <w:adjustRightInd w:val="0"/>
              <w:snapToGrid w:val="0"/>
              <w:jc w:val="center"/>
              <w:rPr>
                <w:color w:val="000000" w:themeColor="text1"/>
              </w:rPr>
            </w:pPr>
            <w:r>
              <w:rPr>
                <w:color w:val="000000" w:themeColor="text1"/>
              </w:rPr>
              <w:t>熔点（</w:t>
            </w:r>
            <w:r>
              <w:rPr>
                <w:color w:val="000000" w:themeColor="text1"/>
              </w:rPr>
              <w:t>℃</w:t>
            </w:r>
            <w:r>
              <w:rPr>
                <w:color w:val="000000" w:themeColor="text1"/>
              </w:rPr>
              <w:t>）</w:t>
            </w:r>
          </w:p>
        </w:tc>
        <w:tc>
          <w:tcPr>
            <w:tcW w:w="833" w:type="pct"/>
            <w:vAlign w:val="center"/>
          </w:tcPr>
          <w:p w14:paraId="57638EBC" w14:textId="77777777" w:rsidR="003D6A63" w:rsidRDefault="00000000">
            <w:pPr>
              <w:adjustRightInd w:val="0"/>
              <w:snapToGrid w:val="0"/>
              <w:jc w:val="center"/>
              <w:rPr>
                <w:color w:val="000000" w:themeColor="text1"/>
              </w:rPr>
            </w:pPr>
            <w:r>
              <w:rPr>
                <w:color w:val="000000" w:themeColor="text1"/>
              </w:rPr>
              <w:t>-182.5</w:t>
            </w:r>
          </w:p>
        </w:tc>
        <w:tc>
          <w:tcPr>
            <w:tcW w:w="1080" w:type="pct"/>
            <w:gridSpan w:val="2"/>
            <w:vAlign w:val="center"/>
          </w:tcPr>
          <w:p w14:paraId="2167A7C1" w14:textId="77777777" w:rsidR="003D6A63" w:rsidRDefault="00000000">
            <w:pPr>
              <w:adjustRightInd w:val="0"/>
              <w:snapToGrid w:val="0"/>
              <w:jc w:val="center"/>
              <w:rPr>
                <w:color w:val="000000" w:themeColor="text1"/>
              </w:rPr>
            </w:pPr>
            <w:r>
              <w:rPr>
                <w:color w:val="000000" w:themeColor="text1"/>
              </w:rPr>
              <w:t>燃烧热（</w:t>
            </w:r>
            <w:r>
              <w:rPr>
                <w:color w:val="000000" w:themeColor="text1"/>
              </w:rPr>
              <w:t>kJ/mol</w:t>
            </w:r>
            <w:r>
              <w:rPr>
                <w:color w:val="000000" w:themeColor="text1"/>
              </w:rPr>
              <w:t>）</w:t>
            </w:r>
          </w:p>
        </w:tc>
        <w:tc>
          <w:tcPr>
            <w:tcW w:w="1694" w:type="pct"/>
            <w:gridSpan w:val="4"/>
            <w:vAlign w:val="center"/>
          </w:tcPr>
          <w:p w14:paraId="209B4858" w14:textId="77777777" w:rsidR="003D6A63" w:rsidRDefault="00000000">
            <w:pPr>
              <w:adjustRightInd w:val="0"/>
              <w:snapToGrid w:val="0"/>
              <w:jc w:val="center"/>
              <w:rPr>
                <w:color w:val="000000" w:themeColor="text1"/>
              </w:rPr>
            </w:pPr>
            <w:r>
              <w:rPr>
                <w:color w:val="000000" w:themeColor="text1"/>
              </w:rPr>
              <w:t>889.5</w:t>
            </w:r>
          </w:p>
        </w:tc>
      </w:tr>
      <w:tr w:rsidR="003D6A63" w14:paraId="08DE31ED" w14:textId="77777777">
        <w:trPr>
          <w:cantSplit/>
          <w:trHeight w:val="397"/>
          <w:jc w:val="center"/>
        </w:trPr>
        <w:tc>
          <w:tcPr>
            <w:tcW w:w="352" w:type="pct"/>
            <w:vMerge/>
            <w:vAlign w:val="center"/>
          </w:tcPr>
          <w:p w14:paraId="433C2FB6" w14:textId="77777777" w:rsidR="003D6A63" w:rsidRDefault="003D6A63">
            <w:pPr>
              <w:adjustRightInd w:val="0"/>
              <w:snapToGrid w:val="0"/>
              <w:jc w:val="center"/>
              <w:rPr>
                <w:color w:val="000000" w:themeColor="text1"/>
              </w:rPr>
            </w:pPr>
          </w:p>
        </w:tc>
        <w:tc>
          <w:tcPr>
            <w:tcW w:w="1040" w:type="pct"/>
            <w:vAlign w:val="center"/>
          </w:tcPr>
          <w:p w14:paraId="76FF4277" w14:textId="77777777" w:rsidR="003D6A63" w:rsidRDefault="00000000">
            <w:pPr>
              <w:adjustRightInd w:val="0"/>
              <w:snapToGrid w:val="0"/>
              <w:jc w:val="center"/>
              <w:rPr>
                <w:color w:val="000000" w:themeColor="text1"/>
              </w:rPr>
            </w:pPr>
            <w:r>
              <w:rPr>
                <w:color w:val="000000" w:themeColor="text1"/>
              </w:rPr>
              <w:t>沸点（</w:t>
            </w:r>
            <w:r>
              <w:rPr>
                <w:color w:val="000000" w:themeColor="text1"/>
              </w:rPr>
              <w:t>℃</w:t>
            </w:r>
            <w:r>
              <w:rPr>
                <w:color w:val="000000" w:themeColor="text1"/>
              </w:rPr>
              <w:t>）</w:t>
            </w:r>
          </w:p>
        </w:tc>
        <w:tc>
          <w:tcPr>
            <w:tcW w:w="833" w:type="pct"/>
            <w:vAlign w:val="center"/>
          </w:tcPr>
          <w:p w14:paraId="39A5C64B" w14:textId="77777777" w:rsidR="003D6A63" w:rsidRDefault="00000000">
            <w:pPr>
              <w:adjustRightInd w:val="0"/>
              <w:snapToGrid w:val="0"/>
              <w:jc w:val="center"/>
              <w:rPr>
                <w:color w:val="000000" w:themeColor="text1"/>
              </w:rPr>
            </w:pPr>
            <w:r>
              <w:rPr>
                <w:color w:val="000000" w:themeColor="text1"/>
              </w:rPr>
              <w:t>-161.5</w:t>
            </w:r>
          </w:p>
        </w:tc>
        <w:tc>
          <w:tcPr>
            <w:tcW w:w="1080" w:type="pct"/>
            <w:gridSpan w:val="2"/>
            <w:vAlign w:val="center"/>
          </w:tcPr>
          <w:p w14:paraId="27B4F6DA" w14:textId="77777777" w:rsidR="003D6A63" w:rsidRDefault="00000000">
            <w:pPr>
              <w:adjustRightInd w:val="0"/>
              <w:snapToGrid w:val="0"/>
              <w:jc w:val="center"/>
              <w:rPr>
                <w:color w:val="000000" w:themeColor="text1"/>
              </w:rPr>
            </w:pPr>
            <w:r>
              <w:rPr>
                <w:color w:val="000000" w:themeColor="text1"/>
              </w:rPr>
              <w:t>饱和蒸气压（</w:t>
            </w:r>
            <w:r>
              <w:rPr>
                <w:color w:val="000000" w:themeColor="text1"/>
              </w:rPr>
              <w:t>kPa</w:t>
            </w:r>
            <w:r>
              <w:rPr>
                <w:color w:val="000000" w:themeColor="text1"/>
              </w:rPr>
              <w:t>）</w:t>
            </w:r>
          </w:p>
        </w:tc>
        <w:tc>
          <w:tcPr>
            <w:tcW w:w="1694" w:type="pct"/>
            <w:gridSpan w:val="4"/>
            <w:vAlign w:val="center"/>
          </w:tcPr>
          <w:p w14:paraId="646EC73C" w14:textId="77777777" w:rsidR="003D6A63" w:rsidRDefault="00000000">
            <w:pPr>
              <w:adjustRightInd w:val="0"/>
              <w:snapToGrid w:val="0"/>
              <w:jc w:val="center"/>
              <w:rPr>
                <w:color w:val="000000" w:themeColor="text1"/>
              </w:rPr>
            </w:pPr>
            <w:r>
              <w:rPr>
                <w:color w:val="000000" w:themeColor="text1"/>
              </w:rPr>
              <w:t>53.32/-168.8℃</w:t>
            </w:r>
          </w:p>
        </w:tc>
      </w:tr>
      <w:tr w:rsidR="003D6A63" w14:paraId="7CE0F9D2" w14:textId="77777777">
        <w:trPr>
          <w:cantSplit/>
          <w:trHeight w:val="397"/>
          <w:jc w:val="center"/>
        </w:trPr>
        <w:tc>
          <w:tcPr>
            <w:tcW w:w="352" w:type="pct"/>
            <w:vMerge/>
            <w:vAlign w:val="center"/>
          </w:tcPr>
          <w:p w14:paraId="4F2DFE81" w14:textId="77777777" w:rsidR="003D6A63" w:rsidRDefault="003D6A63">
            <w:pPr>
              <w:adjustRightInd w:val="0"/>
              <w:snapToGrid w:val="0"/>
              <w:jc w:val="center"/>
              <w:rPr>
                <w:color w:val="000000" w:themeColor="text1"/>
              </w:rPr>
            </w:pPr>
          </w:p>
        </w:tc>
        <w:tc>
          <w:tcPr>
            <w:tcW w:w="1040" w:type="pct"/>
            <w:vAlign w:val="center"/>
          </w:tcPr>
          <w:p w14:paraId="3289778D" w14:textId="77777777" w:rsidR="003D6A63" w:rsidRDefault="00000000">
            <w:pPr>
              <w:adjustRightInd w:val="0"/>
              <w:snapToGrid w:val="0"/>
              <w:jc w:val="center"/>
              <w:rPr>
                <w:color w:val="000000" w:themeColor="text1"/>
              </w:rPr>
            </w:pPr>
            <w:r>
              <w:rPr>
                <w:color w:val="000000" w:themeColor="text1"/>
              </w:rPr>
              <w:t>相对密度（水</w:t>
            </w:r>
            <w:r>
              <w:rPr>
                <w:color w:val="000000" w:themeColor="text1"/>
              </w:rPr>
              <w:t>=1</w:t>
            </w:r>
            <w:r>
              <w:rPr>
                <w:color w:val="000000" w:themeColor="text1"/>
              </w:rPr>
              <w:t>）</w:t>
            </w:r>
          </w:p>
        </w:tc>
        <w:tc>
          <w:tcPr>
            <w:tcW w:w="833" w:type="pct"/>
            <w:vAlign w:val="center"/>
          </w:tcPr>
          <w:p w14:paraId="5EBC2A26" w14:textId="77777777" w:rsidR="003D6A63" w:rsidRDefault="00000000">
            <w:pPr>
              <w:adjustRightInd w:val="0"/>
              <w:snapToGrid w:val="0"/>
              <w:jc w:val="center"/>
              <w:rPr>
                <w:color w:val="000000" w:themeColor="text1"/>
              </w:rPr>
            </w:pPr>
            <w:r>
              <w:rPr>
                <w:color w:val="000000" w:themeColor="text1"/>
              </w:rPr>
              <w:t>0.42/-164℃</w:t>
            </w:r>
          </w:p>
        </w:tc>
        <w:tc>
          <w:tcPr>
            <w:tcW w:w="1080" w:type="pct"/>
            <w:gridSpan w:val="2"/>
            <w:vAlign w:val="center"/>
          </w:tcPr>
          <w:p w14:paraId="73A9CA0B" w14:textId="77777777" w:rsidR="003D6A63" w:rsidRDefault="00000000">
            <w:pPr>
              <w:adjustRightInd w:val="0"/>
              <w:snapToGrid w:val="0"/>
              <w:jc w:val="center"/>
              <w:rPr>
                <w:color w:val="000000" w:themeColor="text1"/>
              </w:rPr>
            </w:pPr>
            <w:r>
              <w:rPr>
                <w:color w:val="000000" w:themeColor="text1"/>
              </w:rPr>
              <w:t>临界温度（</w:t>
            </w:r>
            <w:r>
              <w:rPr>
                <w:color w:val="000000" w:themeColor="text1"/>
              </w:rPr>
              <w:t>℃</w:t>
            </w:r>
            <w:r>
              <w:rPr>
                <w:color w:val="000000" w:themeColor="text1"/>
              </w:rPr>
              <w:t>）</w:t>
            </w:r>
          </w:p>
        </w:tc>
        <w:tc>
          <w:tcPr>
            <w:tcW w:w="1694" w:type="pct"/>
            <w:gridSpan w:val="4"/>
            <w:vAlign w:val="center"/>
          </w:tcPr>
          <w:p w14:paraId="53B90AD2" w14:textId="77777777" w:rsidR="003D6A63" w:rsidRDefault="00000000">
            <w:pPr>
              <w:adjustRightInd w:val="0"/>
              <w:snapToGrid w:val="0"/>
              <w:jc w:val="center"/>
              <w:rPr>
                <w:color w:val="000000" w:themeColor="text1"/>
              </w:rPr>
            </w:pPr>
            <w:r>
              <w:rPr>
                <w:color w:val="000000" w:themeColor="text1"/>
              </w:rPr>
              <w:t>-82.6</w:t>
            </w:r>
          </w:p>
        </w:tc>
      </w:tr>
      <w:tr w:rsidR="003D6A63" w14:paraId="3D46DF7D" w14:textId="77777777">
        <w:trPr>
          <w:cantSplit/>
          <w:trHeight w:val="612"/>
          <w:jc w:val="center"/>
        </w:trPr>
        <w:tc>
          <w:tcPr>
            <w:tcW w:w="352" w:type="pct"/>
            <w:vMerge/>
            <w:vAlign w:val="center"/>
          </w:tcPr>
          <w:p w14:paraId="5DDCDDD4" w14:textId="77777777" w:rsidR="003D6A63" w:rsidRDefault="003D6A63">
            <w:pPr>
              <w:adjustRightInd w:val="0"/>
              <w:snapToGrid w:val="0"/>
              <w:jc w:val="center"/>
              <w:rPr>
                <w:color w:val="000000" w:themeColor="text1"/>
              </w:rPr>
            </w:pPr>
          </w:p>
        </w:tc>
        <w:tc>
          <w:tcPr>
            <w:tcW w:w="1040" w:type="pct"/>
            <w:vAlign w:val="center"/>
          </w:tcPr>
          <w:p w14:paraId="7D37079F" w14:textId="77777777" w:rsidR="003D6A63" w:rsidRDefault="00000000">
            <w:pPr>
              <w:adjustRightInd w:val="0"/>
              <w:snapToGrid w:val="0"/>
              <w:jc w:val="center"/>
              <w:rPr>
                <w:color w:val="000000" w:themeColor="text1"/>
              </w:rPr>
            </w:pPr>
            <w:r>
              <w:rPr>
                <w:color w:val="000000" w:themeColor="text1"/>
              </w:rPr>
              <w:t>相对密度</w:t>
            </w:r>
          </w:p>
          <w:p w14:paraId="432C5765" w14:textId="77777777" w:rsidR="003D6A63" w:rsidRDefault="00000000">
            <w:pPr>
              <w:adjustRightInd w:val="0"/>
              <w:snapToGrid w:val="0"/>
              <w:jc w:val="center"/>
              <w:rPr>
                <w:color w:val="000000" w:themeColor="text1"/>
              </w:rPr>
            </w:pPr>
            <w:r>
              <w:rPr>
                <w:color w:val="000000" w:themeColor="text1"/>
              </w:rPr>
              <w:t>（空气</w:t>
            </w:r>
            <w:r>
              <w:rPr>
                <w:color w:val="000000" w:themeColor="text1"/>
              </w:rPr>
              <w:t>=1</w:t>
            </w:r>
            <w:r>
              <w:rPr>
                <w:color w:val="000000" w:themeColor="text1"/>
              </w:rPr>
              <w:t>）</w:t>
            </w:r>
          </w:p>
        </w:tc>
        <w:tc>
          <w:tcPr>
            <w:tcW w:w="833" w:type="pct"/>
            <w:vAlign w:val="center"/>
          </w:tcPr>
          <w:p w14:paraId="1721A89E" w14:textId="77777777" w:rsidR="003D6A63" w:rsidRDefault="00000000">
            <w:pPr>
              <w:adjustRightInd w:val="0"/>
              <w:snapToGrid w:val="0"/>
              <w:jc w:val="center"/>
              <w:rPr>
                <w:color w:val="000000" w:themeColor="text1"/>
              </w:rPr>
            </w:pPr>
            <w:r>
              <w:rPr>
                <w:color w:val="000000" w:themeColor="text1"/>
              </w:rPr>
              <w:t>0.55</w:t>
            </w:r>
          </w:p>
        </w:tc>
        <w:tc>
          <w:tcPr>
            <w:tcW w:w="1080" w:type="pct"/>
            <w:gridSpan w:val="2"/>
            <w:vAlign w:val="center"/>
          </w:tcPr>
          <w:p w14:paraId="014E7099" w14:textId="77777777" w:rsidR="003D6A63" w:rsidRDefault="00000000">
            <w:pPr>
              <w:adjustRightInd w:val="0"/>
              <w:snapToGrid w:val="0"/>
              <w:jc w:val="center"/>
              <w:rPr>
                <w:color w:val="000000" w:themeColor="text1"/>
              </w:rPr>
            </w:pPr>
            <w:r>
              <w:rPr>
                <w:color w:val="000000" w:themeColor="text1"/>
              </w:rPr>
              <w:t>临界压力（</w:t>
            </w:r>
            <w:r>
              <w:rPr>
                <w:color w:val="000000" w:themeColor="text1"/>
              </w:rPr>
              <w:t>MPa</w:t>
            </w:r>
            <w:r>
              <w:rPr>
                <w:color w:val="000000" w:themeColor="text1"/>
              </w:rPr>
              <w:t>）</w:t>
            </w:r>
          </w:p>
        </w:tc>
        <w:tc>
          <w:tcPr>
            <w:tcW w:w="1694" w:type="pct"/>
            <w:gridSpan w:val="4"/>
            <w:vAlign w:val="center"/>
          </w:tcPr>
          <w:p w14:paraId="39423DBA" w14:textId="77777777" w:rsidR="003D6A63" w:rsidRDefault="00000000">
            <w:pPr>
              <w:adjustRightInd w:val="0"/>
              <w:snapToGrid w:val="0"/>
              <w:jc w:val="center"/>
              <w:rPr>
                <w:color w:val="000000" w:themeColor="text1"/>
              </w:rPr>
            </w:pPr>
            <w:r>
              <w:rPr>
                <w:color w:val="000000" w:themeColor="text1"/>
              </w:rPr>
              <w:t>4.59</w:t>
            </w:r>
          </w:p>
        </w:tc>
      </w:tr>
      <w:tr w:rsidR="003D6A63" w14:paraId="6DC2FF17" w14:textId="77777777">
        <w:trPr>
          <w:cantSplit/>
          <w:trHeight w:val="397"/>
          <w:jc w:val="center"/>
        </w:trPr>
        <w:tc>
          <w:tcPr>
            <w:tcW w:w="352" w:type="pct"/>
            <w:vMerge w:val="restart"/>
            <w:vAlign w:val="center"/>
          </w:tcPr>
          <w:p w14:paraId="62F89853" w14:textId="77777777" w:rsidR="003D6A63" w:rsidRDefault="00000000">
            <w:pPr>
              <w:adjustRightInd w:val="0"/>
              <w:snapToGrid w:val="0"/>
              <w:jc w:val="center"/>
              <w:rPr>
                <w:color w:val="000000" w:themeColor="text1"/>
              </w:rPr>
            </w:pPr>
            <w:r>
              <w:rPr>
                <w:color w:val="000000" w:themeColor="text1"/>
              </w:rPr>
              <w:t>燃烧爆炸危险性</w:t>
            </w:r>
          </w:p>
        </w:tc>
        <w:tc>
          <w:tcPr>
            <w:tcW w:w="1040" w:type="pct"/>
            <w:vAlign w:val="center"/>
          </w:tcPr>
          <w:p w14:paraId="75F880CA" w14:textId="77777777" w:rsidR="003D6A63" w:rsidRDefault="00000000">
            <w:pPr>
              <w:adjustRightInd w:val="0"/>
              <w:snapToGrid w:val="0"/>
              <w:jc w:val="center"/>
              <w:rPr>
                <w:color w:val="000000" w:themeColor="text1"/>
              </w:rPr>
            </w:pPr>
            <w:r>
              <w:rPr>
                <w:color w:val="000000" w:themeColor="text1"/>
              </w:rPr>
              <w:t>燃烧性：</w:t>
            </w:r>
          </w:p>
        </w:tc>
        <w:tc>
          <w:tcPr>
            <w:tcW w:w="833" w:type="pct"/>
            <w:vAlign w:val="center"/>
          </w:tcPr>
          <w:p w14:paraId="5971C103" w14:textId="77777777" w:rsidR="003D6A63" w:rsidRDefault="00000000">
            <w:pPr>
              <w:adjustRightInd w:val="0"/>
              <w:snapToGrid w:val="0"/>
              <w:jc w:val="center"/>
              <w:rPr>
                <w:color w:val="000000" w:themeColor="text1"/>
              </w:rPr>
            </w:pPr>
            <w:r>
              <w:rPr>
                <w:color w:val="000000" w:themeColor="text1"/>
              </w:rPr>
              <w:t>易燃</w:t>
            </w:r>
          </w:p>
        </w:tc>
        <w:tc>
          <w:tcPr>
            <w:tcW w:w="1080" w:type="pct"/>
            <w:gridSpan w:val="2"/>
            <w:vMerge w:val="restart"/>
            <w:vAlign w:val="center"/>
          </w:tcPr>
          <w:p w14:paraId="7C068533" w14:textId="77777777" w:rsidR="003D6A63" w:rsidRDefault="00000000">
            <w:pPr>
              <w:adjustRightInd w:val="0"/>
              <w:snapToGrid w:val="0"/>
              <w:jc w:val="center"/>
              <w:rPr>
                <w:color w:val="000000" w:themeColor="text1"/>
              </w:rPr>
            </w:pPr>
            <w:r>
              <w:rPr>
                <w:color w:val="000000" w:themeColor="text1"/>
              </w:rPr>
              <w:t>危险特性</w:t>
            </w:r>
          </w:p>
        </w:tc>
        <w:tc>
          <w:tcPr>
            <w:tcW w:w="1694" w:type="pct"/>
            <w:gridSpan w:val="4"/>
            <w:vMerge w:val="restart"/>
            <w:vAlign w:val="center"/>
          </w:tcPr>
          <w:p w14:paraId="2130F20F" w14:textId="77777777" w:rsidR="003D6A63" w:rsidRDefault="00000000">
            <w:pPr>
              <w:adjustRightInd w:val="0"/>
              <w:snapToGrid w:val="0"/>
              <w:rPr>
                <w:color w:val="000000" w:themeColor="text1"/>
              </w:rPr>
            </w:pPr>
            <w:r>
              <w:rPr>
                <w:color w:val="000000" w:themeColor="text1"/>
              </w:rPr>
              <w:t>与空气混合能形成爆炸性混合物，遇明火、高热能引起燃烧爆炸。与氟、氯等能发生剧烈的化学反应。若遇高热，容器内压增大，有开裂和爆炸的危险。</w:t>
            </w:r>
          </w:p>
        </w:tc>
      </w:tr>
      <w:tr w:rsidR="003D6A63" w14:paraId="280070C4" w14:textId="77777777">
        <w:trPr>
          <w:cantSplit/>
          <w:trHeight w:val="397"/>
          <w:jc w:val="center"/>
        </w:trPr>
        <w:tc>
          <w:tcPr>
            <w:tcW w:w="352" w:type="pct"/>
            <w:vMerge/>
            <w:vAlign w:val="center"/>
          </w:tcPr>
          <w:p w14:paraId="6CC106CB" w14:textId="77777777" w:rsidR="003D6A63" w:rsidRDefault="003D6A63">
            <w:pPr>
              <w:adjustRightInd w:val="0"/>
              <w:snapToGrid w:val="0"/>
              <w:jc w:val="center"/>
              <w:rPr>
                <w:color w:val="000000" w:themeColor="text1"/>
              </w:rPr>
            </w:pPr>
          </w:p>
        </w:tc>
        <w:tc>
          <w:tcPr>
            <w:tcW w:w="1040" w:type="pct"/>
            <w:vAlign w:val="center"/>
          </w:tcPr>
          <w:p w14:paraId="442E9A40" w14:textId="77777777" w:rsidR="003D6A63" w:rsidRDefault="00000000">
            <w:pPr>
              <w:adjustRightInd w:val="0"/>
              <w:snapToGrid w:val="0"/>
              <w:jc w:val="center"/>
              <w:rPr>
                <w:color w:val="000000" w:themeColor="text1"/>
              </w:rPr>
            </w:pPr>
            <w:r>
              <w:rPr>
                <w:color w:val="000000" w:themeColor="text1"/>
              </w:rPr>
              <w:t>建规火险分级</w:t>
            </w:r>
          </w:p>
        </w:tc>
        <w:tc>
          <w:tcPr>
            <w:tcW w:w="833" w:type="pct"/>
            <w:vAlign w:val="center"/>
          </w:tcPr>
          <w:p w14:paraId="4AE05082" w14:textId="77777777" w:rsidR="003D6A63" w:rsidRDefault="00000000">
            <w:pPr>
              <w:adjustRightInd w:val="0"/>
              <w:snapToGrid w:val="0"/>
              <w:jc w:val="center"/>
              <w:rPr>
                <w:color w:val="000000" w:themeColor="text1"/>
              </w:rPr>
            </w:pPr>
            <w:r>
              <w:rPr>
                <w:color w:val="000000" w:themeColor="text1"/>
              </w:rPr>
              <w:t>甲</w:t>
            </w:r>
          </w:p>
        </w:tc>
        <w:tc>
          <w:tcPr>
            <w:tcW w:w="1080" w:type="pct"/>
            <w:gridSpan w:val="2"/>
            <w:vMerge/>
            <w:vAlign w:val="center"/>
          </w:tcPr>
          <w:p w14:paraId="1A7D5B1A" w14:textId="77777777" w:rsidR="003D6A63" w:rsidRDefault="003D6A63">
            <w:pPr>
              <w:adjustRightInd w:val="0"/>
              <w:snapToGrid w:val="0"/>
              <w:jc w:val="center"/>
              <w:rPr>
                <w:color w:val="000000" w:themeColor="text1"/>
              </w:rPr>
            </w:pPr>
          </w:p>
        </w:tc>
        <w:tc>
          <w:tcPr>
            <w:tcW w:w="1694" w:type="pct"/>
            <w:gridSpan w:val="4"/>
            <w:vMerge/>
            <w:vAlign w:val="center"/>
          </w:tcPr>
          <w:p w14:paraId="561CC00C" w14:textId="77777777" w:rsidR="003D6A63" w:rsidRDefault="003D6A63">
            <w:pPr>
              <w:adjustRightInd w:val="0"/>
              <w:snapToGrid w:val="0"/>
              <w:jc w:val="center"/>
              <w:rPr>
                <w:color w:val="000000" w:themeColor="text1"/>
              </w:rPr>
            </w:pPr>
          </w:p>
        </w:tc>
      </w:tr>
      <w:tr w:rsidR="003D6A63" w14:paraId="6DD34901" w14:textId="77777777">
        <w:trPr>
          <w:cantSplit/>
          <w:trHeight w:val="397"/>
          <w:jc w:val="center"/>
        </w:trPr>
        <w:tc>
          <w:tcPr>
            <w:tcW w:w="352" w:type="pct"/>
            <w:vMerge/>
            <w:vAlign w:val="center"/>
          </w:tcPr>
          <w:p w14:paraId="33F2D1F7" w14:textId="77777777" w:rsidR="003D6A63" w:rsidRDefault="003D6A63">
            <w:pPr>
              <w:adjustRightInd w:val="0"/>
              <w:snapToGrid w:val="0"/>
              <w:jc w:val="center"/>
              <w:rPr>
                <w:color w:val="000000" w:themeColor="text1"/>
              </w:rPr>
            </w:pPr>
          </w:p>
        </w:tc>
        <w:tc>
          <w:tcPr>
            <w:tcW w:w="1040" w:type="pct"/>
            <w:vAlign w:val="center"/>
          </w:tcPr>
          <w:p w14:paraId="056DC481" w14:textId="77777777" w:rsidR="003D6A63" w:rsidRDefault="00000000">
            <w:pPr>
              <w:adjustRightInd w:val="0"/>
              <w:snapToGrid w:val="0"/>
              <w:jc w:val="center"/>
              <w:rPr>
                <w:color w:val="000000" w:themeColor="text1"/>
              </w:rPr>
            </w:pPr>
            <w:r>
              <w:rPr>
                <w:color w:val="000000" w:themeColor="text1"/>
              </w:rPr>
              <w:t>闪点（</w:t>
            </w:r>
            <w:r>
              <w:rPr>
                <w:color w:val="000000" w:themeColor="text1"/>
              </w:rPr>
              <w:t>℃</w:t>
            </w:r>
            <w:r>
              <w:rPr>
                <w:color w:val="000000" w:themeColor="text1"/>
              </w:rPr>
              <w:t>）</w:t>
            </w:r>
          </w:p>
        </w:tc>
        <w:tc>
          <w:tcPr>
            <w:tcW w:w="833" w:type="pct"/>
            <w:vAlign w:val="center"/>
          </w:tcPr>
          <w:p w14:paraId="5F183F2F" w14:textId="77777777" w:rsidR="003D6A63" w:rsidRDefault="00000000">
            <w:pPr>
              <w:adjustRightInd w:val="0"/>
              <w:snapToGrid w:val="0"/>
              <w:jc w:val="center"/>
              <w:rPr>
                <w:color w:val="000000" w:themeColor="text1"/>
              </w:rPr>
            </w:pPr>
            <w:r>
              <w:rPr>
                <w:color w:val="000000" w:themeColor="text1"/>
              </w:rPr>
              <w:t>-188</w:t>
            </w:r>
          </w:p>
        </w:tc>
        <w:tc>
          <w:tcPr>
            <w:tcW w:w="1080" w:type="pct"/>
            <w:gridSpan w:val="2"/>
            <w:vMerge/>
            <w:vAlign w:val="center"/>
          </w:tcPr>
          <w:p w14:paraId="403CE25D" w14:textId="77777777" w:rsidR="003D6A63" w:rsidRDefault="003D6A63">
            <w:pPr>
              <w:adjustRightInd w:val="0"/>
              <w:snapToGrid w:val="0"/>
              <w:jc w:val="center"/>
              <w:rPr>
                <w:color w:val="000000" w:themeColor="text1"/>
              </w:rPr>
            </w:pPr>
          </w:p>
        </w:tc>
        <w:tc>
          <w:tcPr>
            <w:tcW w:w="1694" w:type="pct"/>
            <w:gridSpan w:val="4"/>
            <w:vMerge/>
            <w:vAlign w:val="center"/>
          </w:tcPr>
          <w:p w14:paraId="7AC4E006" w14:textId="77777777" w:rsidR="003D6A63" w:rsidRDefault="003D6A63">
            <w:pPr>
              <w:adjustRightInd w:val="0"/>
              <w:snapToGrid w:val="0"/>
              <w:jc w:val="center"/>
              <w:rPr>
                <w:color w:val="000000" w:themeColor="text1"/>
              </w:rPr>
            </w:pPr>
          </w:p>
        </w:tc>
      </w:tr>
      <w:tr w:rsidR="003D6A63" w14:paraId="22D50A47" w14:textId="77777777">
        <w:trPr>
          <w:cantSplit/>
          <w:trHeight w:val="397"/>
          <w:jc w:val="center"/>
        </w:trPr>
        <w:tc>
          <w:tcPr>
            <w:tcW w:w="352" w:type="pct"/>
            <w:vMerge/>
            <w:vAlign w:val="center"/>
          </w:tcPr>
          <w:p w14:paraId="5DA48AE5" w14:textId="77777777" w:rsidR="003D6A63" w:rsidRDefault="003D6A63">
            <w:pPr>
              <w:adjustRightInd w:val="0"/>
              <w:snapToGrid w:val="0"/>
              <w:jc w:val="center"/>
              <w:rPr>
                <w:color w:val="000000" w:themeColor="text1"/>
              </w:rPr>
            </w:pPr>
          </w:p>
        </w:tc>
        <w:tc>
          <w:tcPr>
            <w:tcW w:w="1040" w:type="pct"/>
            <w:vAlign w:val="center"/>
          </w:tcPr>
          <w:p w14:paraId="0C7163D0" w14:textId="77777777" w:rsidR="003D6A63" w:rsidRDefault="00000000">
            <w:pPr>
              <w:adjustRightInd w:val="0"/>
              <w:snapToGrid w:val="0"/>
              <w:jc w:val="center"/>
              <w:rPr>
                <w:color w:val="000000" w:themeColor="text1"/>
              </w:rPr>
            </w:pPr>
            <w:r>
              <w:rPr>
                <w:color w:val="000000" w:themeColor="text1"/>
              </w:rPr>
              <w:t>引燃温度（</w:t>
            </w:r>
            <w:r>
              <w:rPr>
                <w:color w:val="000000" w:themeColor="text1"/>
              </w:rPr>
              <w:t>℃</w:t>
            </w:r>
            <w:r>
              <w:rPr>
                <w:color w:val="000000" w:themeColor="text1"/>
              </w:rPr>
              <w:t>）</w:t>
            </w:r>
          </w:p>
        </w:tc>
        <w:tc>
          <w:tcPr>
            <w:tcW w:w="833" w:type="pct"/>
            <w:vAlign w:val="center"/>
          </w:tcPr>
          <w:p w14:paraId="750ED643" w14:textId="77777777" w:rsidR="003D6A63" w:rsidRDefault="00000000">
            <w:pPr>
              <w:adjustRightInd w:val="0"/>
              <w:snapToGrid w:val="0"/>
              <w:jc w:val="center"/>
              <w:rPr>
                <w:color w:val="000000" w:themeColor="text1"/>
              </w:rPr>
            </w:pPr>
            <w:r>
              <w:rPr>
                <w:color w:val="000000" w:themeColor="text1"/>
              </w:rPr>
              <w:t>538</w:t>
            </w:r>
          </w:p>
        </w:tc>
        <w:tc>
          <w:tcPr>
            <w:tcW w:w="1080" w:type="pct"/>
            <w:gridSpan w:val="2"/>
            <w:vMerge/>
            <w:vAlign w:val="center"/>
          </w:tcPr>
          <w:p w14:paraId="553EAEEA" w14:textId="77777777" w:rsidR="003D6A63" w:rsidRDefault="003D6A63">
            <w:pPr>
              <w:adjustRightInd w:val="0"/>
              <w:snapToGrid w:val="0"/>
              <w:jc w:val="center"/>
              <w:rPr>
                <w:color w:val="000000" w:themeColor="text1"/>
              </w:rPr>
            </w:pPr>
          </w:p>
        </w:tc>
        <w:tc>
          <w:tcPr>
            <w:tcW w:w="1694" w:type="pct"/>
            <w:gridSpan w:val="4"/>
            <w:vMerge/>
            <w:vAlign w:val="center"/>
          </w:tcPr>
          <w:p w14:paraId="60C93A78" w14:textId="77777777" w:rsidR="003D6A63" w:rsidRDefault="003D6A63">
            <w:pPr>
              <w:adjustRightInd w:val="0"/>
              <w:snapToGrid w:val="0"/>
              <w:jc w:val="center"/>
              <w:rPr>
                <w:color w:val="000000" w:themeColor="text1"/>
              </w:rPr>
            </w:pPr>
          </w:p>
        </w:tc>
      </w:tr>
      <w:tr w:rsidR="003D6A63" w14:paraId="53765234" w14:textId="77777777">
        <w:trPr>
          <w:cantSplit/>
          <w:trHeight w:val="397"/>
          <w:jc w:val="center"/>
        </w:trPr>
        <w:tc>
          <w:tcPr>
            <w:tcW w:w="352" w:type="pct"/>
            <w:vMerge/>
            <w:vAlign w:val="center"/>
          </w:tcPr>
          <w:p w14:paraId="61F802DC" w14:textId="77777777" w:rsidR="003D6A63" w:rsidRDefault="003D6A63">
            <w:pPr>
              <w:adjustRightInd w:val="0"/>
              <w:snapToGrid w:val="0"/>
              <w:jc w:val="center"/>
              <w:rPr>
                <w:color w:val="000000" w:themeColor="text1"/>
              </w:rPr>
            </w:pPr>
          </w:p>
        </w:tc>
        <w:tc>
          <w:tcPr>
            <w:tcW w:w="1040" w:type="pct"/>
            <w:vAlign w:val="center"/>
          </w:tcPr>
          <w:p w14:paraId="02928D30" w14:textId="77777777" w:rsidR="003D6A63" w:rsidRDefault="00000000">
            <w:pPr>
              <w:adjustRightInd w:val="0"/>
              <w:snapToGrid w:val="0"/>
              <w:jc w:val="center"/>
              <w:rPr>
                <w:color w:val="000000" w:themeColor="text1"/>
              </w:rPr>
            </w:pPr>
            <w:r>
              <w:rPr>
                <w:color w:val="000000" w:themeColor="text1"/>
              </w:rPr>
              <w:t>爆炸下限（</w:t>
            </w:r>
            <w:r>
              <w:rPr>
                <w:color w:val="000000" w:themeColor="text1"/>
              </w:rPr>
              <w:t>V/%</w:t>
            </w:r>
            <w:r>
              <w:rPr>
                <w:color w:val="000000" w:themeColor="text1"/>
              </w:rPr>
              <w:t>）</w:t>
            </w:r>
          </w:p>
        </w:tc>
        <w:tc>
          <w:tcPr>
            <w:tcW w:w="833" w:type="pct"/>
            <w:vAlign w:val="center"/>
          </w:tcPr>
          <w:p w14:paraId="4B3F270E" w14:textId="77777777" w:rsidR="003D6A63" w:rsidRDefault="00000000">
            <w:pPr>
              <w:adjustRightInd w:val="0"/>
              <w:snapToGrid w:val="0"/>
              <w:jc w:val="center"/>
              <w:rPr>
                <w:color w:val="000000" w:themeColor="text1"/>
              </w:rPr>
            </w:pPr>
            <w:r>
              <w:rPr>
                <w:color w:val="000000" w:themeColor="text1"/>
              </w:rPr>
              <w:t>5.3</w:t>
            </w:r>
          </w:p>
        </w:tc>
        <w:tc>
          <w:tcPr>
            <w:tcW w:w="1080" w:type="pct"/>
            <w:gridSpan w:val="2"/>
            <w:vMerge/>
            <w:vAlign w:val="center"/>
          </w:tcPr>
          <w:p w14:paraId="50CA1BE7" w14:textId="77777777" w:rsidR="003D6A63" w:rsidRDefault="003D6A63">
            <w:pPr>
              <w:adjustRightInd w:val="0"/>
              <w:snapToGrid w:val="0"/>
              <w:jc w:val="center"/>
              <w:rPr>
                <w:color w:val="000000" w:themeColor="text1"/>
              </w:rPr>
            </w:pPr>
          </w:p>
        </w:tc>
        <w:tc>
          <w:tcPr>
            <w:tcW w:w="1694" w:type="pct"/>
            <w:gridSpan w:val="4"/>
            <w:vMerge/>
            <w:vAlign w:val="center"/>
          </w:tcPr>
          <w:p w14:paraId="749D5943" w14:textId="77777777" w:rsidR="003D6A63" w:rsidRDefault="003D6A63">
            <w:pPr>
              <w:adjustRightInd w:val="0"/>
              <w:snapToGrid w:val="0"/>
              <w:jc w:val="center"/>
              <w:rPr>
                <w:color w:val="000000" w:themeColor="text1"/>
              </w:rPr>
            </w:pPr>
          </w:p>
        </w:tc>
      </w:tr>
      <w:tr w:rsidR="003D6A63" w14:paraId="1B32F43C" w14:textId="77777777">
        <w:trPr>
          <w:cantSplit/>
          <w:trHeight w:val="397"/>
          <w:jc w:val="center"/>
        </w:trPr>
        <w:tc>
          <w:tcPr>
            <w:tcW w:w="352" w:type="pct"/>
            <w:vMerge/>
            <w:vAlign w:val="center"/>
          </w:tcPr>
          <w:p w14:paraId="7D3C8042" w14:textId="77777777" w:rsidR="003D6A63" w:rsidRDefault="003D6A63">
            <w:pPr>
              <w:adjustRightInd w:val="0"/>
              <w:snapToGrid w:val="0"/>
              <w:jc w:val="center"/>
              <w:rPr>
                <w:color w:val="000000" w:themeColor="text1"/>
              </w:rPr>
            </w:pPr>
          </w:p>
        </w:tc>
        <w:tc>
          <w:tcPr>
            <w:tcW w:w="1040" w:type="pct"/>
            <w:vAlign w:val="center"/>
          </w:tcPr>
          <w:p w14:paraId="15116F59" w14:textId="77777777" w:rsidR="003D6A63" w:rsidRDefault="00000000">
            <w:pPr>
              <w:adjustRightInd w:val="0"/>
              <w:snapToGrid w:val="0"/>
              <w:jc w:val="center"/>
              <w:rPr>
                <w:color w:val="000000" w:themeColor="text1"/>
              </w:rPr>
            </w:pPr>
            <w:r>
              <w:rPr>
                <w:color w:val="000000" w:themeColor="text1"/>
              </w:rPr>
              <w:t>爆炸上限（</w:t>
            </w:r>
            <w:r>
              <w:rPr>
                <w:color w:val="000000" w:themeColor="text1"/>
              </w:rPr>
              <w:t>V/%</w:t>
            </w:r>
            <w:r>
              <w:rPr>
                <w:color w:val="000000" w:themeColor="text1"/>
              </w:rPr>
              <w:t>）</w:t>
            </w:r>
          </w:p>
        </w:tc>
        <w:tc>
          <w:tcPr>
            <w:tcW w:w="833" w:type="pct"/>
            <w:vAlign w:val="center"/>
          </w:tcPr>
          <w:p w14:paraId="58E9571D" w14:textId="77777777" w:rsidR="003D6A63" w:rsidRDefault="00000000">
            <w:pPr>
              <w:adjustRightInd w:val="0"/>
              <w:snapToGrid w:val="0"/>
              <w:jc w:val="center"/>
              <w:rPr>
                <w:color w:val="000000" w:themeColor="text1"/>
              </w:rPr>
            </w:pPr>
            <w:r>
              <w:rPr>
                <w:color w:val="000000" w:themeColor="text1"/>
              </w:rPr>
              <w:t>15</w:t>
            </w:r>
          </w:p>
        </w:tc>
        <w:tc>
          <w:tcPr>
            <w:tcW w:w="1080" w:type="pct"/>
            <w:gridSpan w:val="2"/>
            <w:vAlign w:val="center"/>
          </w:tcPr>
          <w:p w14:paraId="0ABFCCB4" w14:textId="77777777" w:rsidR="003D6A63" w:rsidRDefault="00000000">
            <w:pPr>
              <w:adjustRightInd w:val="0"/>
              <w:snapToGrid w:val="0"/>
              <w:jc w:val="center"/>
              <w:rPr>
                <w:color w:val="000000" w:themeColor="text1"/>
              </w:rPr>
            </w:pPr>
            <w:r>
              <w:rPr>
                <w:color w:val="000000" w:themeColor="text1"/>
              </w:rPr>
              <w:t>燃烧（分解）产物</w:t>
            </w:r>
          </w:p>
        </w:tc>
        <w:tc>
          <w:tcPr>
            <w:tcW w:w="1694" w:type="pct"/>
            <w:gridSpan w:val="4"/>
            <w:vAlign w:val="center"/>
          </w:tcPr>
          <w:p w14:paraId="7B1CCEB5" w14:textId="77777777" w:rsidR="003D6A63" w:rsidRDefault="00000000">
            <w:pPr>
              <w:adjustRightInd w:val="0"/>
              <w:snapToGrid w:val="0"/>
              <w:rPr>
                <w:color w:val="000000" w:themeColor="text1"/>
              </w:rPr>
            </w:pPr>
            <w:r>
              <w:rPr>
                <w:color w:val="000000" w:themeColor="text1"/>
              </w:rPr>
              <w:t>一氧化碳、二氧化碳。</w:t>
            </w:r>
          </w:p>
        </w:tc>
      </w:tr>
      <w:tr w:rsidR="003D6A63" w14:paraId="310FD9B2" w14:textId="77777777">
        <w:trPr>
          <w:cantSplit/>
          <w:trHeight w:val="397"/>
          <w:jc w:val="center"/>
        </w:trPr>
        <w:tc>
          <w:tcPr>
            <w:tcW w:w="352" w:type="pct"/>
            <w:vMerge/>
            <w:vAlign w:val="center"/>
          </w:tcPr>
          <w:p w14:paraId="0CD06CA7" w14:textId="77777777" w:rsidR="003D6A63" w:rsidRDefault="003D6A63">
            <w:pPr>
              <w:adjustRightInd w:val="0"/>
              <w:snapToGrid w:val="0"/>
              <w:jc w:val="center"/>
              <w:rPr>
                <w:color w:val="000000" w:themeColor="text1"/>
              </w:rPr>
            </w:pPr>
          </w:p>
        </w:tc>
        <w:tc>
          <w:tcPr>
            <w:tcW w:w="1040" w:type="pct"/>
            <w:vAlign w:val="center"/>
          </w:tcPr>
          <w:p w14:paraId="32E507C1" w14:textId="77777777" w:rsidR="003D6A63" w:rsidRDefault="00000000">
            <w:pPr>
              <w:adjustRightInd w:val="0"/>
              <w:snapToGrid w:val="0"/>
              <w:jc w:val="center"/>
              <w:rPr>
                <w:color w:val="000000" w:themeColor="text1"/>
              </w:rPr>
            </w:pPr>
            <w:r>
              <w:rPr>
                <w:color w:val="000000" w:themeColor="text1"/>
              </w:rPr>
              <w:t>稳定性</w:t>
            </w:r>
          </w:p>
        </w:tc>
        <w:tc>
          <w:tcPr>
            <w:tcW w:w="833" w:type="pct"/>
            <w:vAlign w:val="center"/>
          </w:tcPr>
          <w:p w14:paraId="17673CB9" w14:textId="77777777" w:rsidR="003D6A63" w:rsidRDefault="00000000">
            <w:pPr>
              <w:adjustRightInd w:val="0"/>
              <w:snapToGrid w:val="0"/>
              <w:jc w:val="center"/>
              <w:rPr>
                <w:color w:val="000000" w:themeColor="text1"/>
              </w:rPr>
            </w:pPr>
            <w:r>
              <w:rPr>
                <w:color w:val="000000" w:themeColor="text1"/>
              </w:rPr>
              <w:t>稳定</w:t>
            </w:r>
          </w:p>
        </w:tc>
        <w:tc>
          <w:tcPr>
            <w:tcW w:w="664" w:type="pct"/>
            <w:vAlign w:val="center"/>
          </w:tcPr>
          <w:p w14:paraId="6E91553A" w14:textId="77777777" w:rsidR="003D6A63" w:rsidRDefault="00000000">
            <w:pPr>
              <w:adjustRightInd w:val="0"/>
              <w:snapToGrid w:val="0"/>
              <w:jc w:val="center"/>
              <w:rPr>
                <w:color w:val="000000" w:themeColor="text1"/>
              </w:rPr>
            </w:pPr>
            <w:r>
              <w:rPr>
                <w:color w:val="000000" w:themeColor="text1"/>
              </w:rPr>
              <w:t>灭火方法</w:t>
            </w:r>
          </w:p>
        </w:tc>
        <w:tc>
          <w:tcPr>
            <w:tcW w:w="2109" w:type="pct"/>
            <w:gridSpan w:val="5"/>
            <w:vAlign w:val="center"/>
          </w:tcPr>
          <w:p w14:paraId="587F91F9" w14:textId="77777777" w:rsidR="003D6A63" w:rsidRDefault="00000000">
            <w:pPr>
              <w:adjustRightInd w:val="0"/>
              <w:snapToGrid w:val="0"/>
              <w:rPr>
                <w:color w:val="000000" w:themeColor="text1"/>
              </w:rPr>
            </w:pPr>
            <w:r>
              <w:rPr>
                <w:color w:val="000000" w:themeColor="text1"/>
              </w:rPr>
              <w:t>切断气源。若不能立即切断气源，则不允许熄灭正在燃烧的气体。喷水冷却容器，可能的话将容器从火场移至空旷处。雾状水、泡沫、二氧化碳。</w:t>
            </w:r>
          </w:p>
        </w:tc>
      </w:tr>
      <w:tr w:rsidR="003D6A63" w14:paraId="2260D39D" w14:textId="77777777">
        <w:trPr>
          <w:cantSplit/>
          <w:trHeight w:val="397"/>
          <w:jc w:val="center"/>
        </w:trPr>
        <w:tc>
          <w:tcPr>
            <w:tcW w:w="352" w:type="pct"/>
            <w:vMerge/>
            <w:vAlign w:val="center"/>
          </w:tcPr>
          <w:p w14:paraId="481F4C25" w14:textId="77777777" w:rsidR="003D6A63" w:rsidRDefault="003D6A63">
            <w:pPr>
              <w:adjustRightInd w:val="0"/>
              <w:snapToGrid w:val="0"/>
              <w:jc w:val="center"/>
              <w:rPr>
                <w:color w:val="000000" w:themeColor="text1"/>
              </w:rPr>
            </w:pPr>
          </w:p>
        </w:tc>
        <w:tc>
          <w:tcPr>
            <w:tcW w:w="1040" w:type="pct"/>
            <w:vAlign w:val="center"/>
          </w:tcPr>
          <w:p w14:paraId="73B8F00B" w14:textId="77777777" w:rsidR="003D6A63" w:rsidRDefault="00000000">
            <w:pPr>
              <w:adjustRightInd w:val="0"/>
              <w:snapToGrid w:val="0"/>
              <w:jc w:val="center"/>
              <w:rPr>
                <w:color w:val="000000" w:themeColor="text1"/>
              </w:rPr>
            </w:pPr>
            <w:r>
              <w:rPr>
                <w:color w:val="000000" w:themeColor="text1"/>
              </w:rPr>
              <w:t>聚合危害</w:t>
            </w:r>
          </w:p>
        </w:tc>
        <w:tc>
          <w:tcPr>
            <w:tcW w:w="833" w:type="pct"/>
            <w:vAlign w:val="center"/>
          </w:tcPr>
          <w:p w14:paraId="18DDD693" w14:textId="77777777" w:rsidR="003D6A63" w:rsidRDefault="00000000">
            <w:pPr>
              <w:adjustRightInd w:val="0"/>
              <w:snapToGrid w:val="0"/>
              <w:jc w:val="center"/>
              <w:rPr>
                <w:color w:val="000000" w:themeColor="text1"/>
              </w:rPr>
            </w:pPr>
            <w:r>
              <w:rPr>
                <w:color w:val="000000" w:themeColor="text1"/>
              </w:rPr>
              <w:t>不能出现</w:t>
            </w:r>
          </w:p>
        </w:tc>
        <w:tc>
          <w:tcPr>
            <w:tcW w:w="1247" w:type="pct"/>
            <w:gridSpan w:val="3"/>
            <w:vAlign w:val="center"/>
          </w:tcPr>
          <w:p w14:paraId="117D938E" w14:textId="77777777" w:rsidR="003D6A63" w:rsidRDefault="00000000">
            <w:pPr>
              <w:adjustRightInd w:val="0"/>
              <w:snapToGrid w:val="0"/>
              <w:jc w:val="center"/>
              <w:rPr>
                <w:color w:val="000000" w:themeColor="text1"/>
              </w:rPr>
            </w:pPr>
            <w:r>
              <w:rPr>
                <w:color w:val="000000" w:themeColor="text1"/>
              </w:rPr>
              <w:t>禁忌物</w:t>
            </w:r>
          </w:p>
        </w:tc>
        <w:tc>
          <w:tcPr>
            <w:tcW w:w="1527" w:type="pct"/>
            <w:gridSpan w:val="3"/>
            <w:vAlign w:val="center"/>
          </w:tcPr>
          <w:p w14:paraId="1992735F" w14:textId="77777777" w:rsidR="003D6A63" w:rsidRDefault="00000000">
            <w:pPr>
              <w:adjustRightInd w:val="0"/>
              <w:snapToGrid w:val="0"/>
              <w:jc w:val="center"/>
              <w:rPr>
                <w:color w:val="000000" w:themeColor="text1"/>
              </w:rPr>
            </w:pPr>
            <w:r>
              <w:rPr>
                <w:color w:val="000000" w:themeColor="text1"/>
              </w:rPr>
              <w:t>强氧化剂、氟、氯。</w:t>
            </w:r>
          </w:p>
        </w:tc>
      </w:tr>
      <w:tr w:rsidR="003D6A63" w14:paraId="50AFA3D8" w14:textId="77777777">
        <w:trPr>
          <w:cantSplit/>
          <w:trHeight w:val="397"/>
          <w:jc w:val="center"/>
        </w:trPr>
        <w:tc>
          <w:tcPr>
            <w:tcW w:w="352" w:type="pct"/>
            <w:vMerge w:val="restart"/>
            <w:vAlign w:val="center"/>
          </w:tcPr>
          <w:p w14:paraId="77A2E82D" w14:textId="77777777" w:rsidR="003D6A63" w:rsidRDefault="00000000">
            <w:pPr>
              <w:adjustRightInd w:val="0"/>
              <w:snapToGrid w:val="0"/>
              <w:jc w:val="center"/>
              <w:rPr>
                <w:color w:val="000000" w:themeColor="text1"/>
              </w:rPr>
            </w:pPr>
            <w:r>
              <w:rPr>
                <w:color w:val="000000" w:themeColor="text1"/>
              </w:rPr>
              <w:t>包装与储运</w:t>
            </w:r>
          </w:p>
        </w:tc>
        <w:tc>
          <w:tcPr>
            <w:tcW w:w="1040" w:type="pct"/>
            <w:vAlign w:val="center"/>
          </w:tcPr>
          <w:p w14:paraId="3FB204C1" w14:textId="77777777" w:rsidR="003D6A63" w:rsidRDefault="00000000">
            <w:pPr>
              <w:adjustRightInd w:val="0"/>
              <w:snapToGrid w:val="0"/>
              <w:jc w:val="center"/>
              <w:rPr>
                <w:color w:val="000000" w:themeColor="text1"/>
              </w:rPr>
            </w:pPr>
            <w:r>
              <w:rPr>
                <w:color w:val="000000" w:themeColor="text1"/>
              </w:rPr>
              <w:t>危险性类别</w:t>
            </w:r>
          </w:p>
        </w:tc>
        <w:tc>
          <w:tcPr>
            <w:tcW w:w="833" w:type="pct"/>
            <w:vAlign w:val="center"/>
          </w:tcPr>
          <w:p w14:paraId="2B6D2413" w14:textId="77777777" w:rsidR="003D6A63" w:rsidRDefault="00000000">
            <w:pPr>
              <w:adjustRightInd w:val="0"/>
              <w:snapToGrid w:val="0"/>
              <w:jc w:val="center"/>
              <w:rPr>
                <w:color w:val="000000" w:themeColor="text1"/>
              </w:rPr>
            </w:pPr>
            <w:r>
              <w:rPr>
                <w:color w:val="000000" w:themeColor="text1"/>
              </w:rPr>
              <w:t>第</w:t>
            </w:r>
            <w:r>
              <w:rPr>
                <w:color w:val="000000" w:themeColor="text1"/>
              </w:rPr>
              <w:t>2.1</w:t>
            </w:r>
            <w:r>
              <w:rPr>
                <w:color w:val="000000" w:themeColor="text1"/>
              </w:rPr>
              <w:t>类</w:t>
            </w:r>
          </w:p>
          <w:p w14:paraId="150DBD14" w14:textId="77777777" w:rsidR="003D6A63" w:rsidRDefault="00000000">
            <w:pPr>
              <w:adjustRightInd w:val="0"/>
              <w:snapToGrid w:val="0"/>
              <w:jc w:val="center"/>
              <w:rPr>
                <w:color w:val="000000" w:themeColor="text1"/>
              </w:rPr>
            </w:pPr>
            <w:r>
              <w:rPr>
                <w:color w:val="000000" w:themeColor="text1"/>
              </w:rPr>
              <w:t>易燃气体</w:t>
            </w:r>
          </w:p>
        </w:tc>
        <w:tc>
          <w:tcPr>
            <w:tcW w:w="1247" w:type="pct"/>
            <w:gridSpan w:val="3"/>
            <w:vAlign w:val="center"/>
          </w:tcPr>
          <w:p w14:paraId="4B1B6961" w14:textId="77777777" w:rsidR="003D6A63" w:rsidRDefault="00000000">
            <w:pPr>
              <w:adjustRightInd w:val="0"/>
              <w:snapToGrid w:val="0"/>
              <w:jc w:val="center"/>
              <w:rPr>
                <w:color w:val="000000" w:themeColor="text1"/>
              </w:rPr>
            </w:pPr>
            <w:r>
              <w:rPr>
                <w:color w:val="000000" w:themeColor="text1"/>
              </w:rPr>
              <w:t>危险货物包装标志</w:t>
            </w:r>
          </w:p>
        </w:tc>
        <w:tc>
          <w:tcPr>
            <w:tcW w:w="331" w:type="pct"/>
            <w:vAlign w:val="center"/>
          </w:tcPr>
          <w:p w14:paraId="75A68228" w14:textId="77777777" w:rsidR="003D6A63" w:rsidRDefault="00000000">
            <w:pPr>
              <w:adjustRightInd w:val="0"/>
              <w:snapToGrid w:val="0"/>
              <w:jc w:val="center"/>
              <w:rPr>
                <w:color w:val="000000" w:themeColor="text1"/>
              </w:rPr>
            </w:pPr>
            <w:r>
              <w:rPr>
                <w:color w:val="000000" w:themeColor="text1"/>
              </w:rPr>
              <w:t>4</w:t>
            </w:r>
          </w:p>
        </w:tc>
        <w:tc>
          <w:tcPr>
            <w:tcW w:w="665" w:type="pct"/>
            <w:vAlign w:val="center"/>
          </w:tcPr>
          <w:p w14:paraId="0FDC2328" w14:textId="77777777" w:rsidR="003D6A63" w:rsidRDefault="00000000">
            <w:pPr>
              <w:adjustRightInd w:val="0"/>
              <w:snapToGrid w:val="0"/>
              <w:jc w:val="center"/>
              <w:rPr>
                <w:color w:val="000000" w:themeColor="text1"/>
              </w:rPr>
            </w:pPr>
            <w:r>
              <w:rPr>
                <w:color w:val="000000" w:themeColor="text1"/>
              </w:rPr>
              <w:t>包装类别</w:t>
            </w:r>
          </w:p>
        </w:tc>
        <w:tc>
          <w:tcPr>
            <w:tcW w:w="530" w:type="pct"/>
            <w:vAlign w:val="center"/>
          </w:tcPr>
          <w:p w14:paraId="0B3D7B4B" w14:textId="77777777" w:rsidR="003D6A63" w:rsidRDefault="00000000">
            <w:pPr>
              <w:adjustRightInd w:val="0"/>
              <w:snapToGrid w:val="0"/>
              <w:jc w:val="center"/>
              <w:rPr>
                <w:color w:val="000000" w:themeColor="text1"/>
              </w:rPr>
            </w:pPr>
            <w:r>
              <w:rPr>
                <w:color w:val="000000" w:themeColor="text1"/>
              </w:rPr>
              <w:t>无资料</w:t>
            </w:r>
          </w:p>
        </w:tc>
      </w:tr>
      <w:tr w:rsidR="003D6A63" w14:paraId="41276907" w14:textId="77777777">
        <w:trPr>
          <w:cantSplit/>
          <w:trHeight w:val="397"/>
          <w:jc w:val="center"/>
        </w:trPr>
        <w:tc>
          <w:tcPr>
            <w:tcW w:w="352" w:type="pct"/>
            <w:vMerge/>
            <w:vAlign w:val="center"/>
          </w:tcPr>
          <w:p w14:paraId="7D2D66C3" w14:textId="77777777" w:rsidR="003D6A63" w:rsidRDefault="003D6A63">
            <w:pPr>
              <w:adjustRightInd w:val="0"/>
              <w:snapToGrid w:val="0"/>
              <w:jc w:val="center"/>
              <w:rPr>
                <w:color w:val="000000" w:themeColor="text1"/>
              </w:rPr>
            </w:pPr>
          </w:p>
        </w:tc>
        <w:tc>
          <w:tcPr>
            <w:tcW w:w="1040" w:type="pct"/>
            <w:vAlign w:val="center"/>
          </w:tcPr>
          <w:p w14:paraId="51CC4A1D" w14:textId="77777777" w:rsidR="003D6A63" w:rsidRDefault="00000000">
            <w:pPr>
              <w:adjustRightInd w:val="0"/>
              <w:snapToGrid w:val="0"/>
              <w:jc w:val="center"/>
              <w:rPr>
                <w:color w:val="000000" w:themeColor="text1"/>
              </w:rPr>
            </w:pPr>
            <w:r>
              <w:rPr>
                <w:color w:val="000000" w:themeColor="text1"/>
              </w:rPr>
              <w:t>储运注意事项</w:t>
            </w:r>
          </w:p>
        </w:tc>
        <w:tc>
          <w:tcPr>
            <w:tcW w:w="3607" w:type="pct"/>
            <w:gridSpan w:val="7"/>
            <w:vAlign w:val="center"/>
          </w:tcPr>
          <w:p w14:paraId="25441D5E" w14:textId="77777777" w:rsidR="003D6A63" w:rsidRDefault="00000000">
            <w:pPr>
              <w:adjustRightInd w:val="0"/>
              <w:snapToGrid w:val="0"/>
              <w:jc w:val="left"/>
              <w:rPr>
                <w:color w:val="000000" w:themeColor="text1"/>
              </w:rPr>
            </w:pPr>
            <w:r>
              <w:rPr>
                <w:color w:val="000000" w:themeColor="text1"/>
              </w:rPr>
              <w:t>易燃压缩气体。储存于阴凉、通风仓间内。仓温不宜超过</w:t>
            </w:r>
            <w:r>
              <w:rPr>
                <w:color w:val="000000" w:themeColor="text1"/>
              </w:rPr>
              <w:t>30℃</w:t>
            </w:r>
            <w:r>
              <w:rPr>
                <w:color w:val="000000" w:themeColor="text1"/>
              </w:rPr>
              <w:t>。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rsidR="003D6A63" w14:paraId="67A11827" w14:textId="77777777">
        <w:trPr>
          <w:cantSplit/>
          <w:trHeight w:val="397"/>
          <w:jc w:val="center"/>
        </w:trPr>
        <w:tc>
          <w:tcPr>
            <w:tcW w:w="352" w:type="pct"/>
            <w:vMerge w:val="restart"/>
            <w:vAlign w:val="center"/>
          </w:tcPr>
          <w:p w14:paraId="1FF50F21" w14:textId="77777777" w:rsidR="003D6A63" w:rsidRDefault="00000000">
            <w:pPr>
              <w:adjustRightInd w:val="0"/>
              <w:snapToGrid w:val="0"/>
              <w:jc w:val="center"/>
              <w:rPr>
                <w:color w:val="000000" w:themeColor="text1"/>
              </w:rPr>
            </w:pPr>
            <w:r>
              <w:rPr>
                <w:color w:val="000000" w:themeColor="text1"/>
              </w:rPr>
              <w:t>毒性与健康危害性</w:t>
            </w:r>
          </w:p>
        </w:tc>
        <w:tc>
          <w:tcPr>
            <w:tcW w:w="1040" w:type="pct"/>
            <w:vAlign w:val="center"/>
          </w:tcPr>
          <w:p w14:paraId="175239CF" w14:textId="77777777" w:rsidR="003D6A63" w:rsidRDefault="00000000">
            <w:pPr>
              <w:adjustRightInd w:val="0"/>
              <w:snapToGrid w:val="0"/>
              <w:jc w:val="center"/>
              <w:rPr>
                <w:color w:val="000000" w:themeColor="text1"/>
              </w:rPr>
            </w:pPr>
            <w:r>
              <w:rPr>
                <w:color w:val="000000" w:themeColor="text1"/>
              </w:rPr>
              <w:t>接触限值</w:t>
            </w:r>
          </w:p>
        </w:tc>
        <w:tc>
          <w:tcPr>
            <w:tcW w:w="3607" w:type="pct"/>
            <w:gridSpan w:val="7"/>
            <w:vAlign w:val="center"/>
          </w:tcPr>
          <w:p w14:paraId="4880855A" w14:textId="77777777" w:rsidR="003D6A63" w:rsidRDefault="00000000">
            <w:pPr>
              <w:adjustRightInd w:val="0"/>
              <w:snapToGrid w:val="0"/>
              <w:rPr>
                <w:color w:val="000000" w:themeColor="text1"/>
              </w:rPr>
            </w:pPr>
            <w:r>
              <w:rPr>
                <w:color w:val="000000" w:themeColor="text1"/>
              </w:rPr>
              <w:t>苏联</w:t>
            </w:r>
            <w:r>
              <w:rPr>
                <w:color w:val="000000" w:themeColor="text1"/>
              </w:rPr>
              <w:t>MAC</w:t>
            </w:r>
            <w:r>
              <w:rPr>
                <w:color w:val="000000" w:themeColor="text1"/>
              </w:rPr>
              <w:t>：</w:t>
            </w:r>
            <w:r>
              <w:rPr>
                <w:color w:val="000000" w:themeColor="text1"/>
              </w:rPr>
              <w:t>300mg/m</w:t>
            </w:r>
            <w:r>
              <w:rPr>
                <w:color w:val="000000" w:themeColor="text1"/>
                <w:vertAlign w:val="superscript"/>
              </w:rPr>
              <w:t>3</w:t>
            </w:r>
          </w:p>
          <w:p w14:paraId="0588AEA8" w14:textId="77777777" w:rsidR="003D6A63" w:rsidRDefault="00000000">
            <w:pPr>
              <w:adjustRightInd w:val="0"/>
              <w:snapToGrid w:val="0"/>
              <w:rPr>
                <w:color w:val="000000" w:themeColor="text1"/>
              </w:rPr>
            </w:pPr>
            <w:r>
              <w:rPr>
                <w:color w:val="000000" w:themeColor="text1"/>
              </w:rPr>
              <w:t>美国</w:t>
            </w:r>
            <w:r>
              <w:rPr>
                <w:color w:val="000000" w:themeColor="text1"/>
              </w:rPr>
              <w:t>TWA</w:t>
            </w:r>
            <w:r>
              <w:rPr>
                <w:color w:val="000000" w:themeColor="text1"/>
              </w:rPr>
              <w:t>：</w:t>
            </w:r>
            <w:r>
              <w:rPr>
                <w:color w:val="000000" w:themeColor="text1"/>
              </w:rPr>
              <w:t>ACGIH</w:t>
            </w:r>
            <w:r>
              <w:rPr>
                <w:color w:val="000000" w:themeColor="text1"/>
              </w:rPr>
              <w:t>窒息性气体</w:t>
            </w:r>
          </w:p>
        </w:tc>
      </w:tr>
      <w:tr w:rsidR="003D6A63" w14:paraId="5DF87F19" w14:textId="77777777">
        <w:trPr>
          <w:cantSplit/>
          <w:trHeight w:val="397"/>
          <w:jc w:val="center"/>
        </w:trPr>
        <w:tc>
          <w:tcPr>
            <w:tcW w:w="352" w:type="pct"/>
            <w:vMerge/>
            <w:vAlign w:val="center"/>
          </w:tcPr>
          <w:p w14:paraId="2A28880E" w14:textId="77777777" w:rsidR="003D6A63" w:rsidRDefault="003D6A63">
            <w:pPr>
              <w:adjustRightInd w:val="0"/>
              <w:snapToGrid w:val="0"/>
              <w:jc w:val="center"/>
              <w:rPr>
                <w:color w:val="000000" w:themeColor="text1"/>
              </w:rPr>
            </w:pPr>
          </w:p>
        </w:tc>
        <w:tc>
          <w:tcPr>
            <w:tcW w:w="1040" w:type="pct"/>
            <w:vAlign w:val="center"/>
          </w:tcPr>
          <w:p w14:paraId="6FF84C89" w14:textId="77777777" w:rsidR="003D6A63" w:rsidRDefault="00000000">
            <w:pPr>
              <w:adjustRightInd w:val="0"/>
              <w:snapToGrid w:val="0"/>
              <w:jc w:val="center"/>
              <w:rPr>
                <w:color w:val="000000" w:themeColor="text1"/>
              </w:rPr>
            </w:pPr>
            <w:r>
              <w:rPr>
                <w:color w:val="000000" w:themeColor="text1"/>
              </w:rPr>
              <w:t>毒性</w:t>
            </w:r>
          </w:p>
        </w:tc>
        <w:tc>
          <w:tcPr>
            <w:tcW w:w="3607" w:type="pct"/>
            <w:gridSpan w:val="7"/>
            <w:vAlign w:val="center"/>
          </w:tcPr>
          <w:p w14:paraId="239D209A" w14:textId="77777777" w:rsidR="003D6A63" w:rsidRDefault="00000000">
            <w:pPr>
              <w:adjustRightInd w:val="0"/>
              <w:snapToGrid w:val="0"/>
              <w:rPr>
                <w:color w:val="000000" w:themeColor="text1"/>
              </w:rPr>
            </w:pPr>
            <w:r>
              <w:rPr>
                <w:color w:val="000000" w:themeColor="text1"/>
              </w:rPr>
              <w:t>无资料</w:t>
            </w:r>
          </w:p>
        </w:tc>
      </w:tr>
      <w:tr w:rsidR="003D6A63" w14:paraId="3BC70A79" w14:textId="77777777">
        <w:trPr>
          <w:cantSplit/>
          <w:trHeight w:val="397"/>
          <w:jc w:val="center"/>
        </w:trPr>
        <w:tc>
          <w:tcPr>
            <w:tcW w:w="352" w:type="pct"/>
            <w:vMerge/>
            <w:vAlign w:val="center"/>
          </w:tcPr>
          <w:p w14:paraId="2130C30B" w14:textId="77777777" w:rsidR="003D6A63" w:rsidRDefault="003D6A63">
            <w:pPr>
              <w:adjustRightInd w:val="0"/>
              <w:snapToGrid w:val="0"/>
              <w:jc w:val="center"/>
              <w:rPr>
                <w:color w:val="000000" w:themeColor="text1"/>
              </w:rPr>
            </w:pPr>
          </w:p>
        </w:tc>
        <w:tc>
          <w:tcPr>
            <w:tcW w:w="1040" w:type="pct"/>
            <w:vAlign w:val="center"/>
          </w:tcPr>
          <w:p w14:paraId="66B7321E" w14:textId="77777777" w:rsidR="003D6A63" w:rsidRDefault="00000000">
            <w:pPr>
              <w:adjustRightInd w:val="0"/>
              <w:snapToGrid w:val="0"/>
              <w:jc w:val="center"/>
              <w:rPr>
                <w:color w:val="000000" w:themeColor="text1"/>
              </w:rPr>
            </w:pPr>
            <w:r>
              <w:rPr>
                <w:color w:val="000000" w:themeColor="text1"/>
              </w:rPr>
              <w:t>健康危害</w:t>
            </w:r>
          </w:p>
        </w:tc>
        <w:tc>
          <w:tcPr>
            <w:tcW w:w="3607" w:type="pct"/>
            <w:gridSpan w:val="7"/>
            <w:vAlign w:val="center"/>
          </w:tcPr>
          <w:p w14:paraId="1D0AA0C9" w14:textId="77777777" w:rsidR="003D6A63" w:rsidRDefault="00000000">
            <w:pPr>
              <w:adjustRightInd w:val="0"/>
              <w:snapToGrid w:val="0"/>
              <w:rPr>
                <w:color w:val="000000" w:themeColor="text1"/>
              </w:rPr>
            </w:pPr>
            <w:r>
              <w:rPr>
                <w:color w:val="000000" w:themeColor="text1"/>
              </w:rPr>
              <w:t>空气中甲烷浓度过高，能使人窒息。当空气中甲烷达</w:t>
            </w:r>
            <w:r>
              <w:rPr>
                <w:color w:val="000000" w:themeColor="text1"/>
              </w:rPr>
              <w:t>25</w:t>
            </w:r>
            <w:r>
              <w:rPr>
                <w:color w:val="000000" w:themeColor="text1"/>
              </w:rPr>
              <w:t>～</w:t>
            </w:r>
            <w:r>
              <w:rPr>
                <w:color w:val="000000" w:themeColor="text1"/>
              </w:rPr>
              <w:t>30</w:t>
            </w:r>
            <w:r>
              <w:rPr>
                <w:color w:val="000000" w:themeColor="text1"/>
              </w:rPr>
              <w:t>％时，可引起头痛、头晕、乏力、注意力不集中、呼吸和心跳加速、精细动作障碍等，甚至因缺氧而窒息、昏迷。</w:t>
            </w:r>
          </w:p>
        </w:tc>
      </w:tr>
      <w:tr w:rsidR="003D6A63" w14:paraId="39BE9776" w14:textId="77777777">
        <w:trPr>
          <w:cantSplit/>
          <w:trHeight w:val="397"/>
          <w:jc w:val="center"/>
        </w:trPr>
        <w:tc>
          <w:tcPr>
            <w:tcW w:w="352" w:type="pct"/>
            <w:vMerge/>
            <w:vAlign w:val="center"/>
          </w:tcPr>
          <w:p w14:paraId="5DE99A6C" w14:textId="77777777" w:rsidR="003D6A63" w:rsidRDefault="003D6A63">
            <w:pPr>
              <w:adjustRightInd w:val="0"/>
              <w:snapToGrid w:val="0"/>
              <w:jc w:val="center"/>
              <w:rPr>
                <w:color w:val="000000" w:themeColor="text1"/>
              </w:rPr>
            </w:pPr>
          </w:p>
        </w:tc>
        <w:tc>
          <w:tcPr>
            <w:tcW w:w="1040" w:type="pct"/>
            <w:vAlign w:val="center"/>
          </w:tcPr>
          <w:p w14:paraId="65D61299" w14:textId="77777777" w:rsidR="003D6A63" w:rsidRDefault="00000000">
            <w:pPr>
              <w:adjustRightInd w:val="0"/>
              <w:snapToGrid w:val="0"/>
              <w:jc w:val="center"/>
              <w:rPr>
                <w:color w:val="000000" w:themeColor="text1"/>
              </w:rPr>
            </w:pPr>
            <w:r>
              <w:rPr>
                <w:color w:val="000000" w:themeColor="text1"/>
              </w:rPr>
              <w:t>侵入途径</w:t>
            </w:r>
          </w:p>
        </w:tc>
        <w:tc>
          <w:tcPr>
            <w:tcW w:w="3607" w:type="pct"/>
            <w:gridSpan w:val="7"/>
            <w:vAlign w:val="center"/>
          </w:tcPr>
          <w:p w14:paraId="609470F7" w14:textId="77777777" w:rsidR="003D6A63" w:rsidRDefault="00000000">
            <w:pPr>
              <w:adjustRightInd w:val="0"/>
              <w:snapToGrid w:val="0"/>
              <w:rPr>
                <w:color w:val="000000" w:themeColor="text1"/>
              </w:rPr>
            </w:pPr>
            <w:r>
              <w:rPr>
                <w:color w:val="000000" w:themeColor="text1"/>
              </w:rPr>
              <w:t>吸入</w:t>
            </w:r>
          </w:p>
        </w:tc>
      </w:tr>
      <w:tr w:rsidR="003D6A63" w14:paraId="060AAD9B" w14:textId="77777777">
        <w:trPr>
          <w:cantSplit/>
          <w:trHeight w:val="397"/>
          <w:jc w:val="center"/>
        </w:trPr>
        <w:tc>
          <w:tcPr>
            <w:tcW w:w="352" w:type="pct"/>
            <w:vMerge w:val="restart"/>
            <w:vAlign w:val="center"/>
          </w:tcPr>
          <w:p w14:paraId="5FC55AA3" w14:textId="77777777" w:rsidR="003D6A63" w:rsidRDefault="00000000">
            <w:pPr>
              <w:adjustRightInd w:val="0"/>
              <w:snapToGrid w:val="0"/>
              <w:jc w:val="center"/>
              <w:rPr>
                <w:color w:val="000000" w:themeColor="text1"/>
              </w:rPr>
            </w:pPr>
            <w:r>
              <w:rPr>
                <w:color w:val="000000" w:themeColor="text1"/>
              </w:rPr>
              <w:t>急救</w:t>
            </w:r>
          </w:p>
        </w:tc>
        <w:tc>
          <w:tcPr>
            <w:tcW w:w="1040" w:type="pct"/>
            <w:vAlign w:val="center"/>
          </w:tcPr>
          <w:p w14:paraId="31331813" w14:textId="77777777" w:rsidR="003D6A63" w:rsidRDefault="00000000">
            <w:pPr>
              <w:adjustRightInd w:val="0"/>
              <w:snapToGrid w:val="0"/>
              <w:jc w:val="center"/>
              <w:rPr>
                <w:color w:val="000000" w:themeColor="text1"/>
              </w:rPr>
            </w:pPr>
            <w:r>
              <w:rPr>
                <w:color w:val="000000" w:themeColor="text1"/>
              </w:rPr>
              <w:t>皮肤接触</w:t>
            </w:r>
          </w:p>
        </w:tc>
        <w:tc>
          <w:tcPr>
            <w:tcW w:w="3607" w:type="pct"/>
            <w:gridSpan w:val="7"/>
            <w:vAlign w:val="center"/>
          </w:tcPr>
          <w:p w14:paraId="102F6A38" w14:textId="77777777" w:rsidR="003D6A63" w:rsidRDefault="00000000">
            <w:pPr>
              <w:adjustRightInd w:val="0"/>
              <w:snapToGrid w:val="0"/>
              <w:rPr>
                <w:color w:val="000000" w:themeColor="text1"/>
              </w:rPr>
            </w:pPr>
            <w:r>
              <w:rPr>
                <w:color w:val="000000" w:themeColor="text1"/>
              </w:rPr>
              <w:t>若有冻伤，就医治疗。</w:t>
            </w:r>
          </w:p>
        </w:tc>
      </w:tr>
      <w:tr w:rsidR="003D6A63" w14:paraId="7BFD7A8E" w14:textId="77777777">
        <w:trPr>
          <w:cantSplit/>
          <w:trHeight w:val="397"/>
          <w:jc w:val="center"/>
        </w:trPr>
        <w:tc>
          <w:tcPr>
            <w:tcW w:w="352" w:type="pct"/>
            <w:vMerge/>
            <w:vAlign w:val="center"/>
          </w:tcPr>
          <w:p w14:paraId="62B2BCD1" w14:textId="77777777" w:rsidR="003D6A63" w:rsidRDefault="003D6A63">
            <w:pPr>
              <w:adjustRightInd w:val="0"/>
              <w:snapToGrid w:val="0"/>
              <w:jc w:val="center"/>
              <w:rPr>
                <w:color w:val="000000" w:themeColor="text1"/>
              </w:rPr>
            </w:pPr>
          </w:p>
        </w:tc>
        <w:tc>
          <w:tcPr>
            <w:tcW w:w="1040" w:type="pct"/>
            <w:vAlign w:val="center"/>
          </w:tcPr>
          <w:p w14:paraId="7E028FE3" w14:textId="77777777" w:rsidR="003D6A63" w:rsidRDefault="00000000">
            <w:pPr>
              <w:adjustRightInd w:val="0"/>
              <w:snapToGrid w:val="0"/>
              <w:jc w:val="center"/>
              <w:rPr>
                <w:color w:val="000000" w:themeColor="text1"/>
              </w:rPr>
            </w:pPr>
            <w:r>
              <w:rPr>
                <w:color w:val="000000" w:themeColor="text1"/>
              </w:rPr>
              <w:t>眼睛接触</w:t>
            </w:r>
          </w:p>
        </w:tc>
        <w:tc>
          <w:tcPr>
            <w:tcW w:w="3607" w:type="pct"/>
            <w:gridSpan w:val="7"/>
            <w:vAlign w:val="center"/>
          </w:tcPr>
          <w:p w14:paraId="4357023B" w14:textId="77777777" w:rsidR="003D6A63" w:rsidRDefault="00000000">
            <w:pPr>
              <w:adjustRightInd w:val="0"/>
              <w:snapToGrid w:val="0"/>
              <w:rPr>
                <w:color w:val="000000" w:themeColor="text1"/>
              </w:rPr>
            </w:pPr>
            <w:r>
              <w:rPr>
                <w:color w:val="000000" w:themeColor="text1"/>
              </w:rPr>
              <w:t>无资料</w:t>
            </w:r>
          </w:p>
        </w:tc>
      </w:tr>
      <w:tr w:rsidR="003D6A63" w14:paraId="10DA7FE8" w14:textId="77777777">
        <w:trPr>
          <w:cantSplit/>
          <w:trHeight w:val="397"/>
          <w:jc w:val="center"/>
        </w:trPr>
        <w:tc>
          <w:tcPr>
            <w:tcW w:w="352" w:type="pct"/>
            <w:vMerge/>
            <w:vAlign w:val="center"/>
          </w:tcPr>
          <w:p w14:paraId="465393B8" w14:textId="77777777" w:rsidR="003D6A63" w:rsidRDefault="003D6A63">
            <w:pPr>
              <w:adjustRightInd w:val="0"/>
              <w:snapToGrid w:val="0"/>
              <w:jc w:val="center"/>
              <w:rPr>
                <w:color w:val="000000" w:themeColor="text1"/>
              </w:rPr>
            </w:pPr>
          </w:p>
        </w:tc>
        <w:tc>
          <w:tcPr>
            <w:tcW w:w="1040" w:type="pct"/>
            <w:vAlign w:val="center"/>
          </w:tcPr>
          <w:p w14:paraId="0F56D6AF" w14:textId="77777777" w:rsidR="003D6A63" w:rsidRDefault="00000000">
            <w:pPr>
              <w:adjustRightInd w:val="0"/>
              <w:snapToGrid w:val="0"/>
              <w:jc w:val="center"/>
              <w:rPr>
                <w:color w:val="000000" w:themeColor="text1"/>
              </w:rPr>
            </w:pPr>
            <w:r>
              <w:rPr>
                <w:color w:val="000000" w:themeColor="text1"/>
              </w:rPr>
              <w:t>吸入</w:t>
            </w:r>
          </w:p>
        </w:tc>
        <w:tc>
          <w:tcPr>
            <w:tcW w:w="3607" w:type="pct"/>
            <w:gridSpan w:val="7"/>
            <w:vAlign w:val="center"/>
          </w:tcPr>
          <w:p w14:paraId="1176AD14" w14:textId="77777777" w:rsidR="003D6A63" w:rsidRDefault="00000000">
            <w:pPr>
              <w:adjustRightInd w:val="0"/>
              <w:snapToGrid w:val="0"/>
              <w:rPr>
                <w:color w:val="000000" w:themeColor="text1"/>
              </w:rPr>
            </w:pPr>
            <w:r>
              <w:rPr>
                <w:color w:val="000000" w:themeColor="text1"/>
              </w:rPr>
              <w:t>迅速脱离现场至空气新鲜处。注意保暖，呼吸困难时给输氧。呼吸及心跳停止者立即进行人工呼吸和心脏按压术。就医。</w:t>
            </w:r>
          </w:p>
        </w:tc>
      </w:tr>
      <w:tr w:rsidR="003D6A63" w14:paraId="6074EA83" w14:textId="77777777">
        <w:trPr>
          <w:cantSplit/>
          <w:trHeight w:val="397"/>
          <w:jc w:val="center"/>
        </w:trPr>
        <w:tc>
          <w:tcPr>
            <w:tcW w:w="352" w:type="pct"/>
            <w:vMerge/>
            <w:vAlign w:val="center"/>
          </w:tcPr>
          <w:p w14:paraId="29699E21" w14:textId="77777777" w:rsidR="003D6A63" w:rsidRDefault="003D6A63">
            <w:pPr>
              <w:adjustRightInd w:val="0"/>
              <w:snapToGrid w:val="0"/>
              <w:jc w:val="center"/>
              <w:rPr>
                <w:color w:val="000000" w:themeColor="text1"/>
              </w:rPr>
            </w:pPr>
          </w:p>
        </w:tc>
        <w:tc>
          <w:tcPr>
            <w:tcW w:w="1040" w:type="pct"/>
            <w:vAlign w:val="center"/>
          </w:tcPr>
          <w:p w14:paraId="53E43054" w14:textId="77777777" w:rsidR="003D6A63" w:rsidRDefault="00000000">
            <w:pPr>
              <w:adjustRightInd w:val="0"/>
              <w:snapToGrid w:val="0"/>
              <w:jc w:val="center"/>
              <w:rPr>
                <w:color w:val="000000" w:themeColor="text1"/>
              </w:rPr>
            </w:pPr>
            <w:r>
              <w:rPr>
                <w:color w:val="000000" w:themeColor="text1"/>
              </w:rPr>
              <w:t>食入</w:t>
            </w:r>
          </w:p>
        </w:tc>
        <w:tc>
          <w:tcPr>
            <w:tcW w:w="3607" w:type="pct"/>
            <w:gridSpan w:val="7"/>
            <w:vAlign w:val="center"/>
          </w:tcPr>
          <w:p w14:paraId="741EE645" w14:textId="77777777" w:rsidR="003D6A63" w:rsidRDefault="00000000">
            <w:pPr>
              <w:adjustRightInd w:val="0"/>
              <w:snapToGrid w:val="0"/>
              <w:rPr>
                <w:color w:val="000000" w:themeColor="text1"/>
              </w:rPr>
            </w:pPr>
            <w:r>
              <w:rPr>
                <w:color w:val="000000" w:themeColor="text1"/>
              </w:rPr>
              <w:t>无资料</w:t>
            </w:r>
          </w:p>
        </w:tc>
      </w:tr>
      <w:tr w:rsidR="003D6A63" w14:paraId="7E698185" w14:textId="77777777">
        <w:trPr>
          <w:cantSplit/>
          <w:trHeight w:val="397"/>
          <w:jc w:val="center"/>
        </w:trPr>
        <w:tc>
          <w:tcPr>
            <w:tcW w:w="352" w:type="pct"/>
            <w:vMerge w:val="restart"/>
            <w:vAlign w:val="center"/>
          </w:tcPr>
          <w:p w14:paraId="005590C4" w14:textId="77777777" w:rsidR="003D6A63" w:rsidRDefault="00000000">
            <w:pPr>
              <w:adjustRightInd w:val="0"/>
              <w:snapToGrid w:val="0"/>
              <w:jc w:val="center"/>
              <w:rPr>
                <w:color w:val="000000" w:themeColor="text1"/>
              </w:rPr>
            </w:pPr>
            <w:r>
              <w:rPr>
                <w:color w:val="000000" w:themeColor="text1"/>
              </w:rPr>
              <w:t>防护措施</w:t>
            </w:r>
          </w:p>
        </w:tc>
        <w:tc>
          <w:tcPr>
            <w:tcW w:w="1040" w:type="pct"/>
            <w:vAlign w:val="center"/>
          </w:tcPr>
          <w:p w14:paraId="6D9F5544" w14:textId="77777777" w:rsidR="003D6A63" w:rsidRDefault="00000000">
            <w:pPr>
              <w:adjustRightInd w:val="0"/>
              <w:snapToGrid w:val="0"/>
              <w:jc w:val="center"/>
              <w:rPr>
                <w:color w:val="000000" w:themeColor="text1"/>
              </w:rPr>
            </w:pPr>
            <w:r>
              <w:rPr>
                <w:color w:val="000000" w:themeColor="text1"/>
              </w:rPr>
              <w:t>工程控制</w:t>
            </w:r>
          </w:p>
        </w:tc>
        <w:tc>
          <w:tcPr>
            <w:tcW w:w="3607" w:type="pct"/>
            <w:gridSpan w:val="7"/>
            <w:vAlign w:val="center"/>
          </w:tcPr>
          <w:p w14:paraId="1496F609" w14:textId="77777777" w:rsidR="003D6A63" w:rsidRDefault="00000000">
            <w:pPr>
              <w:adjustRightInd w:val="0"/>
              <w:snapToGrid w:val="0"/>
              <w:jc w:val="left"/>
              <w:rPr>
                <w:color w:val="000000" w:themeColor="text1"/>
              </w:rPr>
            </w:pPr>
            <w:r>
              <w:rPr>
                <w:color w:val="000000" w:themeColor="text1"/>
              </w:rPr>
              <w:t>生产过程密闭，全面通风。</w:t>
            </w:r>
          </w:p>
        </w:tc>
      </w:tr>
      <w:tr w:rsidR="003D6A63" w14:paraId="1943E197" w14:textId="77777777">
        <w:trPr>
          <w:cantSplit/>
          <w:trHeight w:val="397"/>
          <w:jc w:val="center"/>
        </w:trPr>
        <w:tc>
          <w:tcPr>
            <w:tcW w:w="352" w:type="pct"/>
            <w:vMerge/>
            <w:vAlign w:val="center"/>
          </w:tcPr>
          <w:p w14:paraId="309ACBBF" w14:textId="77777777" w:rsidR="003D6A63" w:rsidRDefault="003D6A63">
            <w:pPr>
              <w:adjustRightInd w:val="0"/>
              <w:snapToGrid w:val="0"/>
              <w:jc w:val="center"/>
              <w:rPr>
                <w:color w:val="000000" w:themeColor="text1"/>
              </w:rPr>
            </w:pPr>
          </w:p>
        </w:tc>
        <w:tc>
          <w:tcPr>
            <w:tcW w:w="1040" w:type="pct"/>
            <w:vAlign w:val="center"/>
          </w:tcPr>
          <w:p w14:paraId="3D871EC0" w14:textId="77777777" w:rsidR="003D6A63" w:rsidRDefault="00000000">
            <w:pPr>
              <w:adjustRightInd w:val="0"/>
              <w:snapToGrid w:val="0"/>
              <w:jc w:val="center"/>
              <w:rPr>
                <w:color w:val="000000" w:themeColor="text1"/>
              </w:rPr>
            </w:pPr>
            <w:r>
              <w:rPr>
                <w:color w:val="000000" w:themeColor="text1"/>
              </w:rPr>
              <w:t>呼吸系统防护</w:t>
            </w:r>
          </w:p>
        </w:tc>
        <w:tc>
          <w:tcPr>
            <w:tcW w:w="3607" w:type="pct"/>
            <w:gridSpan w:val="7"/>
            <w:vAlign w:val="center"/>
          </w:tcPr>
          <w:p w14:paraId="03B386B8" w14:textId="77777777" w:rsidR="003D6A63" w:rsidRDefault="00000000">
            <w:pPr>
              <w:adjustRightInd w:val="0"/>
              <w:snapToGrid w:val="0"/>
              <w:jc w:val="left"/>
              <w:rPr>
                <w:color w:val="000000" w:themeColor="text1"/>
              </w:rPr>
            </w:pPr>
            <w:r>
              <w:rPr>
                <w:color w:val="000000" w:themeColor="text1"/>
              </w:rPr>
              <w:t>高浓度环境中，</w:t>
            </w:r>
            <w:r>
              <w:rPr>
                <w:rFonts w:hint="eastAsia"/>
                <w:color w:val="000000" w:themeColor="text1"/>
              </w:rPr>
              <w:t>佩戴</w:t>
            </w:r>
            <w:r>
              <w:rPr>
                <w:color w:val="000000" w:themeColor="text1"/>
              </w:rPr>
              <w:t>供气式呼吸器。</w:t>
            </w:r>
          </w:p>
        </w:tc>
      </w:tr>
      <w:tr w:rsidR="003D6A63" w14:paraId="02497166" w14:textId="77777777">
        <w:trPr>
          <w:cantSplit/>
          <w:trHeight w:val="397"/>
          <w:jc w:val="center"/>
        </w:trPr>
        <w:tc>
          <w:tcPr>
            <w:tcW w:w="352" w:type="pct"/>
            <w:vMerge/>
            <w:vAlign w:val="center"/>
          </w:tcPr>
          <w:p w14:paraId="5C321FCA" w14:textId="77777777" w:rsidR="003D6A63" w:rsidRDefault="003D6A63">
            <w:pPr>
              <w:adjustRightInd w:val="0"/>
              <w:snapToGrid w:val="0"/>
              <w:jc w:val="center"/>
              <w:rPr>
                <w:color w:val="000000" w:themeColor="text1"/>
              </w:rPr>
            </w:pPr>
          </w:p>
        </w:tc>
        <w:tc>
          <w:tcPr>
            <w:tcW w:w="1040" w:type="pct"/>
            <w:vAlign w:val="center"/>
          </w:tcPr>
          <w:p w14:paraId="09FA8298" w14:textId="77777777" w:rsidR="003D6A63" w:rsidRDefault="00000000">
            <w:pPr>
              <w:adjustRightInd w:val="0"/>
              <w:snapToGrid w:val="0"/>
              <w:jc w:val="center"/>
              <w:rPr>
                <w:color w:val="000000" w:themeColor="text1"/>
              </w:rPr>
            </w:pPr>
            <w:r>
              <w:rPr>
                <w:color w:val="000000" w:themeColor="text1"/>
              </w:rPr>
              <w:t>眼睛防护</w:t>
            </w:r>
          </w:p>
        </w:tc>
        <w:tc>
          <w:tcPr>
            <w:tcW w:w="3607" w:type="pct"/>
            <w:gridSpan w:val="7"/>
            <w:vAlign w:val="center"/>
          </w:tcPr>
          <w:p w14:paraId="6A70BE82" w14:textId="77777777" w:rsidR="003D6A63" w:rsidRDefault="00000000">
            <w:pPr>
              <w:adjustRightInd w:val="0"/>
              <w:snapToGrid w:val="0"/>
              <w:jc w:val="left"/>
              <w:rPr>
                <w:color w:val="000000" w:themeColor="text1"/>
              </w:rPr>
            </w:pPr>
            <w:r>
              <w:rPr>
                <w:color w:val="000000" w:themeColor="text1"/>
              </w:rPr>
              <w:t>一般不需特殊防护，高浓度接触时可戴安全防护眼镜。</w:t>
            </w:r>
          </w:p>
        </w:tc>
      </w:tr>
      <w:tr w:rsidR="003D6A63" w14:paraId="3F28AAE9" w14:textId="77777777">
        <w:trPr>
          <w:cantSplit/>
          <w:trHeight w:val="397"/>
          <w:jc w:val="center"/>
        </w:trPr>
        <w:tc>
          <w:tcPr>
            <w:tcW w:w="352" w:type="pct"/>
            <w:vMerge/>
            <w:vAlign w:val="center"/>
          </w:tcPr>
          <w:p w14:paraId="5690064F" w14:textId="77777777" w:rsidR="003D6A63" w:rsidRDefault="003D6A63">
            <w:pPr>
              <w:adjustRightInd w:val="0"/>
              <w:snapToGrid w:val="0"/>
              <w:jc w:val="center"/>
              <w:rPr>
                <w:color w:val="000000" w:themeColor="text1"/>
              </w:rPr>
            </w:pPr>
          </w:p>
        </w:tc>
        <w:tc>
          <w:tcPr>
            <w:tcW w:w="1040" w:type="pct"/>
            <w:vAlign w:val="center"/>
          </w:tcPr>
          <w:p w14:paraId="6E4EDDA4" w14:textId="77777777" w:rsidR="003D6A63" w:rsidRDefault="00000000">
            <w:pPr>
              <w:adjustRightInd w:val="0"/>
              <w:snapToGrid w:val="0"/>
              <w:jc w:val="center"/>
              <w:rPr>
                <w:color w:val="000000" w:themeColor="text1"/>
              </w:rPr>
            </w:pPr>
            <w:r>
              <w:rPr>
                <w:color w:val="000000" w:themeColor="text1"/>
              </w:rPr>
              <w:t>防护服</w:t>
            </w:r>
          </w:p>
        </w:tc>
        <w:tc>
          <w:tcPr>
            <w:tcW w:w="3607" w:type="pct"/>
            <w:gridSpan w:val="7"/>
            <w:vAlign w:val="center"/>
          </w:tcPr>
          <w:p w14:paraId="6299BE5C" w14:textId="77777777" w:rsidR="003D6A63" w:rsidRDefault="00000000">
            <w:pPr>
              <w:adjustRightInd w:val="0"/>
              <w:snapToGrid w:val="0"/>
              <w:jc w:val="left"/>
              <w:rPr>
                <w:color w:val="000000" w:themeColor="text1"/>
              </w:rPr>
            </w:pPr>
            <w:r>
              <w:rPr>
                <w:color w:val="000000" w:themeColor="text1"/>
              </w:rPr>
              <w:t>穿工作服。</w:t>
            </w:r>
          </w:p>
        </w:tc>
      </w:tr>
      <w:tr w:rsidR="003D6A63" w14:paraId="3052F584" w14:textId="77777777">
        <w:trPr>
          <w:cantSplit/>
          <w:trHeight w:val="397"/>
          <w:jc w:val="center"/>
        </w:trPr>
        <w:tc>
          <w:tcPr>
            <w:tcW w:w="352" w:type="pct"/>
            <w:vMerge/>
            <w:vAlign w:val="center"/>
          </w:tcPr>
          <w:p w14:paraId="16317E2B" w14:textId="77777777" w:rsidR="003D6A63" w:rsidRDefault="003D6A63">
            <w:pPr>
              <w:adjustRightInd w:val="0"/>
              <w:snapToGrid w:val="0"/>
              <w:jc w:val="center"/>
              <w:rPr>
                <w:color w:val="000000" w:themeColor="text1"/>
              </w:rPr>
            </w:pPr>
          </w:p>
        </w:tc>
        <w:tc>
          <w:tcPr>
            <w:tcW w:w="1040" w:type="pct"/>
            <w:vAlign w:val="center"/>
          </w:tcPr>
          <w:p w14:paraId="03C20314" w14:textId="77777777" w:rsidR="003D6A63" w:rsidRDefault="00000000">
            <w:pPr>
              <w:adjustRightInd w:val="0"/>
              <w:snapToGrid w:val="0"/>
              <w:jc w:val="center"/>
              <w:rPr>
                <w:color w:val="000000" w:themeColor="text1"/>
              </w:rPr>
            </w:pPr>
            <w:r>
              <w:rPr>
                <w:color w:val="000000" w:themeColor="text1"/>
              </w:rPr>
              <w:t>手防护</w:t>
            </w:r>
          </w:p>
        </w:tc>
        <w:tc>
          <w:tcPr>
            <w:tcW w:w="3607" w:type="pct"/>
            <w:gridSpan w:val="7"/>
            <w:vAlign w:val="center"/>
          </w:tcPr>
          <w:p w14:paraId="44FCC65F" w14:textId="77777777" w:rsidR="003D6A63" w:rsidRDefault="00000000">
            <w:pPr>
              <w:adjustRightInd w:val="0"/>
              <w:snapToGrid w:val="0"/>
              <w:jc w:val="left"/>
              <w:rPr>
                <w:color w:val="000000" w:themeColor="text1"/>
              </w:rPr>
            </w:pPr>
            <w:r>
              <w:rPr>
                <w:color w:val="000000" w:themeColor="text1"/>
              </w:rPr>
              <w:t>一般不需特殊防护，高浓度接触时可戴防护手套。</w:t>
            </w:r>
          </w:p>
        </w:tc>
      </w:tr>
      <w:tr w:rsidR="003D6A63" w14:paraId="02B75EFD" w14:textId="77777777">
        <w:trPr>
          <w:cantSplit/>
          <w:trHeight w:val="397"/>
          <w:jc w:val="center"/>
        </w:trPr>
        <w:tc>
          <w:tcPr>
            <w:tcW w:w="352" w:type="pct"/>
            <w:vMerge/>
            <w:vAlign w:val="center"/>
          </w:tcPr>
          <w:p w14:paraId="79A19BF8" w14:textId="77777777" w:rsidR="003D6A63" w:rsidRDefault="003D6A63">
            <w:pPr>
              <w:adjustRightInd w:val="0"/>
              <w:snapToGrid w:val="0"/>
              <w:jc w:val="center"/>
              <w:rPr>
                <w:color w:val="000000" w:themeColor="text1"/>
              </w:rPr>
            </w:pPr>
          </w:p>
        </w:tc>
        <w:tc>
          <w:tcPr>
            <w:tcW w:w="1040" w:type="pct"/>
            <w:vAlign w:val="center"/>
          </w:tcPr>
          <w:p w14:paraId="47E98330" w14:textId="77777777" w:rsidR="003D6A63" w:rsidRDefault="00000000">
            <w:pPr>
              <w:adjustRightInd w:val="0"/>
              <w:snapToGrid w:val="0"/>
              <w:jc w:val="center"/>
              <w:rPr>
                <w:color w:val="000000" w:themeColor="text1"/>
              </w:rPr>
            </w:pPr>
            <w:r>
              <w:rPr>
                <w:color w:val="000000" w:themeColor="text1"/>
              </w:rPr>
              <w:t>其它</w:t>
            </w:r>
          </w:p>
        </w:tc>
        <w:tc>
          <w:tcPr>
            <w:tcW w:w="3607" w:type="pct"/>
            <w:gridSpan w:val="7"/>
            <w:vAlign w:val="center"/>
          </w:tcPr>
          <w:p w14:paraId="645A9949" w14:textId="77777777" w:rsidR="003D6A63" w:rsidRDefault="00000000">
            <w:pPr>
              <w:adjustRightInd w:val="0"/>
              <w:snapToGrid w:val="0"/>
              <w:jc w:val="left"/>
              <w:rPr>
                <w:color w:val="000000" w:themeColor="text1"/>
              </w:rPr>
            </w:pPr>
            <w:r>
              <w:rPr>
                <w:color w:val="000000" w:themeColor="text1"/>
              </w:rPr>
              <w:t>工作现场严禁吸烟。避免长期反复接触。进入罐或其它高浓度区作业，须有人监护。</w:t>
            </w:r>
          </w:p>
        </w:tc>
      </w:tr>
      <w:tr w:rsidR="003D6A63" w14:paraId="7E987E62" w14:textId="77777777">
        <w:trPr>
          <w:cantSplit/>
          <w:trHeight w:val="397"/>
          <w:jc w:val="center"/>
        </w:trPr>
        <w:tc>
          <w:tcPr>
            <w:tcW w:w="352" w:type="pct"/>
            <w:vAlign w:val="center"/>
          </w:tcPr>
          <w:p w14:paraId="4FC3BEBD" w14:textId="77777777" w:rsidR="003D6A63" w:rsidRDefault="00000000">
            <w:pPr>
              <w:adjustRightInd w:val="0"/>
              <w:snapToGrid w:val="0"/>
              <w:jc w:val="center"/>
              <w:rPr>
                <w:color w:val="000000" w:themeColor="text1"/>
              </w:rPr>
            </w:pPr>
            <w:r>
              <w:rPr>
                <w:color w:val="000000" w:themeColor="text1"/>
              </w:rPr>
              <w:t>泄漏处置</w:t>
            </w:r>
          </w:p>
        </w:tc>
        <w:tc>
          <w:tcPr>
            <w:tcW w:w="4647" w:type="pct"/>
            <w:gridSpan w:val="8"/>
            <w:vAlign w:val="center"/>
          </w:tcPr>
          <w:p w14:paraId="237946A9" w14:textId="77777777" w:rsidR="003D6A63" w:rsidRDefault="00000000">
            <w:pPr>
              <w:adjustRightInd w:val="0"/>
              <w:snapToGrid w:val="0"/>
              <w:jc w:val="left"/>
              <w:rPr>
                <w:color w:val="000000" w:themeColor="text1"/>
              </w:rPr>
            </w:pPr>
            <w:r>
              <w:rPr>
                <w:color w:val="000000" w:themeColor="text1"/>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14:paraId="3B357043" w14:textId="77777777" w:rsidR="003D6A63" w:rsidRDefault="003D6A63"/>
    <w:p w14:paraId="0C207B28" w14:textId="77777777" w:rsidR="003D6A63" w:rsidRDefault="003D6A63"/>
    <w:p w14:paraId="55216594" w14:textId="77777777" w:rsidR="003D6A63" w:rsidRDefault="003D6A63">
      <w:pPr>
        <w:pStyle w:val="nlw10"/>
        <w:rPr>
          <w:rFonts w:ascii="Times New Roman" w:hAnsi="Times New Roman"/>
        </w:rPr>
        <w:sectPr w:rsidR="003D6A63">
          <w:pgSz w:w="11906" w:h="16838"/>
          <w:pgMar w:top="1440" w:right="1418" w:bottom="1134" w:left="1418" w:header="851" w:footer="851" w:gutter="0"/>
          <w:cols w:space="425"/>
          <w:docGrid w:linePitch="312" w:charSpace="-1489"/>
        </w:sectPr>
      </w:pPr>
    </w:p>
    <w:p w14:paraId="7D42B382" w14:textId="77777777" w:rsidR="003D6A63" w:rsidRDefault="00000000">
      <w:pPr>
        <w:pStyle w:val="nlw10"/>
        <w:rPr>
          <w:rFonts w:ascii="Times New Roman" w:hAnsi="Times New Roman"/>
          <w:sz w:val="28"/>
        </w:rPr>
      </w:pPr>
      <w:bookmarkStart w:id="151" w:name="_Toc31457"/>
      <w:r>
        <w:rPr>
          <w:rFonts w:ascii="Times New Roman" w:hAnsi="Times New Roman"/>
          <w:sz w:val="28"/>
        </w:rPr>
        <w:lastRenderedPageBreak/>
        <w:t>附件</w:t>
      </w:r>
      <w:bookmarkEnd w:id="149"/>
      <w:r>
        <w:rPr>
          <w:rFonts w:ascii="Times New Roman" w:hAnsi="Times New Roman"/>
          <w:sz w:val="28"/>
        </w:rPr>
        <w:t xml:space="preserve">1 </w:t>
      </w:r>
      <w:r>
        <w:rPr>
          <w:rFonts w:ascii="Times New Roman" w:hAnsi="Times New Roman"/>
          <w:sz w:val="28"/>
        </w:rPr>
        <w:t>营业执照</w:t>
      </w:r>
      <w:bookmarkStart w:id="152" w:name="_Toc21665"/>
      <w:bookmarkEnd w:id="151"/>
    </w:p>
    <w:p w14:paraId="02ED6CC7" w14:textId="77777777" w:rsidR="003D6A63" w:rsidRDefault="00000000">
      <w:pPr>
        <w:pStyle w:val="nlw10"/>
        <w:rPr>
          <w:rFonts w:ascii="Times New Roman" w:hAnsi="Times New Roman"/>
          <w:sz w:val="28"/>
        </w:rPr>
      </w:pPr>
      <w:r>
        <w:rPr>
          <w:rFonts w:ascii="Times New Roman" w:hAnsi="Times New Roman"/>
          <w:sz w:val="28"/>
        </w:rPr>
        <w:t>附件</w:t>
      </w:r>
      <w:r>
        <w:rPr>
          <w:rFonts w:ascii="Times New Roman" w:hAnsi="Times New Roman"/>
          <w:sz w:val="28"/>
        </w:rPr>
        <w:t xml:space="preserve">2 </w:t>
      </w:r>
      <w:r>
        <w:rPr>
          <w:rFonts w:ascii="Times New Roman" w:hAnsi="Times New Roman"/>
          <w:sz w:val="28"/>
        </w:rPr>
        <w:t>采矿许可证</w:t>
      </w:r>
      <w:bookmarkEnd w:id="152"/>
    </w:p>
    <w:p w14:paraId="6972CD28" w14:textId="77777777" w:rsidR="003D6A63" w:rsidRDefault="00000000">
      <w:pPr>
        <w:pStyle w:val="nlw10"/>
        <w:rPr>
          <w:rFonts w:ascii="Times New Roman" w:hAnsi="Times New Roman"/>
          <w:sz w:val="28"/>
        </w:rPr>
      </w:pPr>
      <w:bookmarkStart w:id="153" w:name="_Toc16770"/>
      <w:r>
        <w:rPr>
          <w:rFonts w:ascii="Times New Roman" w:hAnsi="Times New Roman"/>
          <w:sz w:val="28"/>
        </w:rPr>
        <w:t>附件</w:t>
      </w:r>
      <w:r>
        <w:rPr>
          <w:rFonts w:ascii="Times New Roman" w:hAnsi="Times New Roman"/>
          <w:sz w:val="28"/>
        </w:rPr>
        <w:t xml:space="preserve">3 </w:t>
      </w:r>
      <w:r>
        <w:rPr>
          <w:rFonts w:ascii="Times New Roman" w:hAnsi="Times New Roman"/>
          <w:sz w:val="28"/>
        </w:rPr>
        <w:t>安全生产许可证</w:t>
      </w:r>
      <w:bookmarkEnd w:id="153"/>
    </w:p>
    <w:p w14:paraId="74356095" w14:textId="77777777" w:rsidR="003D6A63" w:rsidRDefault="00000000">
      <w:pPr>
        <w:pStyle w:val="nlw10"/>
        <w:rPr>
          <w:rFonts w:ascii="Times New Roman" w:hAnsi="Times New Roman"/>
          <w:sz w:val="28"/>
        </w:rPr>
      </w:pPr>
      <w:bookmarkStart w:id="154" w:name="_Toc23336"/>
      <w:bookmarkStart w:id="155" w:name="_Toc27156"/>
      <w:r>
        <w:rPr>
          <w:rFonts w:ascii="Times New Roman" w:hAnsi="Times New Roman"/>
          <w:sz w:val="28"/>
        </w:rPr>
        <w:t>附件</w:t>
      </w:r>
      <w:r>
        <w:rPr>
          <w:rFonts w:ascii="Times New Roman" w:hAnsi="Times New Roman"/>
          <w:sz w:val="28"/>
        </w:rPr>
        <w:t xml:space="preserve">4 </w:t>
      </w:r>
      <w:r>
        <w:rPr>
          <w:rFonts w:ascii="Times New Roman" w:hAnsi="Times New Roman"/>
          <w:sz w:val="28"/>
        </w:rPr>
        <w:t>成立安全管理机构及安全管理人员的文件</w:t>
      </w:r>
      <w:bookmarkStart w:id="156" w:name="_Toc14108"/>
      <w:bookmarkEnd w:id="154"/>
    </w:p>
    <w:p w14:paraId="3EC717EF" w14:textId="77777777" w:rsidR="003D6A63" w:rsidRDefault="00000000">
      <w:pPr>
        <w:pStyle w:val="nlw10"/>
        <w:rPr>
          <w:rFonts w:ascii="Times New Roman" w:hAnsi="Times New Roman"/>
          <w:sz w:val="28"/>
        </w:rPr>
      </w:pPr>
      <w:r>
        <w:rPr>
          <w:rFonts w:ascii="Times New Roman" w:hAnsi="Times New Roman" w:hint="eastAsia"/>
          <w:sz w:val="28"/>
        </w:rPr>
        <w:t>附件</w:t>
      </w:r>
      <w:r>
        <w:rPr>
          <w:rFonts w:ascii="Times New Roman" w:hAnsi="Times New Roman" w:hint="eastAsia"/>
          <w:sz w:val="28"/>
        </w:rPr>
        <w:t>5</w:t>
      </w:r>
      <w:bookmarkStart w:id="157" w:name="_Toc28519"/>
      <w:r>
        <w:rPr>
          <w:rFonts w:ascii="Times New Roman" w:hAnsi="Times New Roman"/>
          <w:sz w:val="28"/>
        </w:rPr>
        <w:t xml:space="preserve"> </w:t>
      </w:r>
      <w:r>
        <w:rPr>
          <w:rFonts w:ascii="Times New Roman" w:hAnsi="Times New Roman"/>
          <w:sz w:val="28"/>
        </w:rPr>
        <w:t>安全总监任命、工程师证书及备案文件</w:t>
      </w:r>
      <w:bookmarkEnd w:id="156"/>
      <w:bookmarkEnd w:id="157"/>
    </w:p>
    <w:p w14:paraId="76EE0390" w14:textId="77777777" w:rsidR="003D6A63" w:rsidRDefault="00000000">
      <w:pPr>
        <w:pStyle w:val="nlw10"/>
        <w:rPr>
          <w:rFonts w:ascii="Times New Roman" w:hAnsi="Times New Roman"/>
          <w:sz w:val="28"/>
        </w:rPr>
      </w:pPr>
      <w:bookmarkStart w:id="158" w:name="_Toc18621"/>
      <w:r>
        <w:rPr>
          <w:rFonts w:ascii="Times New Roman" w:hAnsi="Times New Roman" w:hint="eastAsia"/>
          <w:sz w:val="28"/>
        </w:rPr>
        <w:t>附件</w:t>
      </w:r>
      <w:r>
        <w:rPr>
          <w:rFonts w:ascii="Times New Roman" w:hAnsi="Times New Roman" w:hint="eastAsia"/>
          <w:sz w:val="28"/>
        </w:rPr>
        <w:t xml:space="preserve">6 </w:t>
      </w:r>
      <w:bookmarkStart w:id="159" w:name="_Toc20903"/>
      <w:r>
        <w:rPr>
          <w:rFonts w:ascii="Times New Roman" w:hAnsi="Times New Roman"/>
          <w:sz w:val="28"/>
        </w:rPr>
        <w:t>注册安全工程师证书及注册信息</w:t>
      </w:r>
      <w:bookmarkEnd w:id="158"/>
      <w:bookmarkEnd w:id="159"/>
    </w:p>
    <w:p w14:paraId="240BA00E" w14:textId="77777777" w:rsidR="003D6A63" w:rsidRDefault="00000000">
      <w:pPr>
        <w:pStyle w:val="nlw10"/>
        <w:rPr>
          <w:rFonts w:ascii="Times New Roman" w:hAnsi="Times New Roman"/>
          <w:sz w:val="28"/>
        </w:rPr>
      </w:pPr>
      <w:bookmarkStart w:id="160" w:name="_Toc32347"/>
      <w:r>
        <w:rPr>
          <w:rFonts w:ascii="Times New Roman" w:hAnsi="Times New Roman" w:hint="eastAsia"/>
          <w:sz w:val="28"/>
        </w:rPr>
        <w:t>附件</w:t>
      </w:r>
      <w:r>
        <w:rPr>
          <w:rFonts w:ascii="Times New Roman" w:hAnsi="Times New Roman" w:hint="eastAsia"/>
          <w:sz w:val="28"/>
        </w:rPr>
        <w:t>7</w:t>
      </w:r>
      <w:bookmarkStart w:id="161" w:name="_Toc3505"/>
      <w:r>
        <w:rPr>
          <w:rFonts w:ascii="Times New Roman" w:hAnsi="Times New Roman"/>
          <w:sz w:val="28"/>
        </w:rPr>
        <w:t xml:space="preserve"> </w:t>
      </w:r>
      <w:r>
        <w:rPr>
          <w:rFonts w:ascii="Times New Roman" w:hAnsi="Times New Roman"/>
          <w:sz w:val="28"/>
        </w:rPr>
        <w:t>主要负责人、安全管理人员合格证</w:t>
      </w:r>
      <w:bookmarkEnd w:id="160"/>
      <w:bookmarkEnd w:id="161"/>
    </w:p>
    <w:p w14:paraId="6D07EC8F" w14:textId="77777777" w:rsidR="003D6A63" w:rsidRDefault="00000000">
      <w:pPr>
        <w:pStyle w:val="nlw10"/>
        <w:rPr>
          <w:rFonts w:ascii="Times New Roman" w:hAnsi="Times New Roman"/>
          <w:sz w:val="28"/>
        </w:rPr>
      </w:pPr>
      <w:bookmarkStart w:id="162" w:name="_Toc21239"/>
      <w:r>
        <w:rPr>
          <w:rFonts w:ascii="Times New Roman" w:hAnsi="Times New Roman"/>
          <w:sz w:val="28"/>
        </w:rPr>
        <w:t>附件</w:t>
      </w:r>
      <w:r>
        <w:rPr>
          <w:rFonts w:ascii="Times New Roman" w:hAnsi="Times New Roman"/>
          <w:sz w:val="28"/>
        </w:rPr>
        <w:t xml:space="preserve">8 </w:t>
      </w:r>
      <w:r>
        <w:rPr>
          <w:rFonts w:ascii="Times New Roman" w:hAnsi="Times New Roman"/>
          <w:sz w:val="28"/>
        </w:rPr>
        <w:t>单位工伤保险参保证明</w:t>
      </w:r>
      <w:bookmarkEnd w:id="162"/>
    </w:p>
    <w:p w14:paraId="640B21FC" w14:textId="77777777" w:rsidR="003D6A63" w:rsidRDefault="00000000">
      <w:pPr>
        <w:pStyle w:val="nlw10"/>
        <w:rPr>
          <w:rFonts w:ascii="Times New Roman" w:hAnsi="Times New Roman"/>
          <w:sz w:val="28"/>
        </w:rPr>
      </w:pPr>
      <w:bookmarkStart w:id="163" w:name="_Toc15780"/>
      <w:r>
        <w:rPr>
          <w:rFonts w:ascii="Times New Roman" w:hAnsi="Times New Roman" w:hint="eastAsia"/>
          <w:sz w:val="28"/>
        </w:rPr>
        <w:t>附件</w:t>
      </w:r>
      <w:r>
        <w:rPr>
          <w:rFonts w:ascii="Times New Roman" w:hAnsi="Times New Roman" w:hint="eastAsia"/>
          <w:sz w:val="28"/>
        </w:rPr>
        <w:t xml:space="preserve">9 </w:t>
      </w:r>
      <w:r>
        <w:rPr>
          <w:rFonts w:ascii="Times New Roman" w:hAnsi="Times New Roman" w:hint="eastAsia"/>
          <w:sz w:val="28"/>
        </w:rPr>
        <w:t>安全生产责任险有关证明</w:t>
      </w:r>
      <w:bookmarkEnd w:id="163"/>
    </w:p>
    <w:p w14:paraId="1A239A17" w14:textId="77777777" w:rsidR="003D6A63" w:rsidRDefault="00000000">
      <w:pPr>
        <w:pStyle w:val="nlw10"/>
        <w:rPr>
          <w:rFonts w:ascii="Times New Roman" w:hAnsi="Times New Roman"/>
          <w:sz w:val="28"/>
        </w:rPr>
      </w:pPr>
      <w:bookmarkStart w:id="164" w:name="_Toc8063"/>
      <w:r>
        <w:rPr>
          <w:rFonts w:ascii="Times New Roman" w:hAnsi="Times New Roman" w:hint="eastAsia"/>
          <w:sz w:val="28"/>
        </w:rPr>
        <w:t>附件</w:t>
      </w:r>
      <w:r>
        <w:rPr>
          <w:rFonts w:ascii="Times New Roman" w:hAnsi="Times New Roman" w:hint="eastAsia"/>
          <w:sz w:val="28"/>
        </w:rPr>
        <w:t xml:space="preserve">10 </w:t>
      </w:r>
      <w:r>
        <w:rPr>
          <w:rFonts w:ascii="Times New Roman" w:hAnsi="Times New Roman" w:hint="eastAsia"/>
          <w:sz w:val="28"/>
        </w:rPr>
        <w:t>生产安全事故应急救援预案备案证明</w:t>
      </w:r>
      <w:bookmarkEnd w:id="164"/>
    </w:p>
    <w:p w14:paraId="62DB1A27" w14:textId="77777777" w:rsidR="003D6A63" w:rsidRDefault="00000000">
      <w:pPr>
        <w:pStyle w:val="nlw10"/>
        <w:rPr>
          <w:rFonts w:ascii="Times New Roman" w:hAnsi="Times New Roman"/>
          <w:sz w:val="28"/>
        </w:rPr>
      </w:pPr>
      <w:bookmarkStart w:id="165" w:name="_Toc28697"/>
      <w:r>
        <w:rPr>
          <w:rFonts w:ascii="Times New Roman" w:hAnsi="Times New Roman" w:hint="eastAsia"/>
          <w:sz w:val="28"/>
        </w:rPr>
        <w:t>附件</w:t>
      </w:r>
      <w:r>
        <w:rPr>
          <w:rFonts w:ascii="Times New Roman" w:hAnsi="Times New Roman" w:hint="eastAsia"/>
          <w:sz w:val="28"/>
        </w:rPr>
        <w:t xml:space="preserve">11 </w:t>
      </w:r>
      <w:r>
        <w:rPr>
          <w:rFonts w:ascii="Times New Roman" w:hAnsi="Times New Roman"/>
          <w:sz w:val="28"/>
        </w:rPr>
        <w:t>成立应急组织机构文件</w:t>
      </w:r>
      <w:bookmarkEnd w:id="165"/>
    </w:p>
    <w:p w14:paraId="0A87340C" w14:textId="77777777" w:rsidR="003D6A63" w:rsidRDefault="00000000">
      <w:pPr>
        <w:pStyle w:val="nlw10"/>
        <w:rPr>
          <w:rFonts w:ascii="Times New Roman" w:hAnsi="Times New Roman"/>
          <w:sz w:val="28"/>
        </w:rPr>
      </w:pPr>
      <w:bookmarkStart w:id="166" w:name="_Toc13779"/>
      <w:r>
        <w:rPr>
          <w:rFonts w:ascii="Times New Roman" w:hAnsi="Times New Roman" w:hint="eastAsia"/>
          <w:sz w:val="28"/>
        </w:rPr>
        <w:t>附件</w:t>
      </w:r>
      <w:r>
        <w:rPr>
          <w:rFonts w:ascii="Times New Roman" w:hAnsi="Times New Roman" w:hint="eastAsia"/>
          <w:sz w:val="28"/>
        </w:rPr>
        <w:t xml:space="preserve">12  </w:t>
      </w:r>
      <w:r>
        <w:rPr>
          <w:rFonts w:ascii="Times New Roman" w:hAnsi="Times New Roman" w:hint="eastAsia"/>
          <w:sz w:val="28"/>
        </w:rPr>
        <w:t>应急预案演练计划及记录（节选）</w:t>
      </w:r>
      <w:bookmarkEnd w:id="166"/>
    </w:p>
    <w:p w14:paraId="7FE456B8" w14:textId="77777777" w:rsidR="003D6A63" w:rsidRDefault="00000000">
      <w:pPr>
        <w:pStyle w:val="nlw10"/>
        <w:rPr>
          <w:rFonts w:ascii="Times New Roman" w:hAnsi="Times New Roman"/>
          <w:sz w:val="28"/>
        </w:rPr>
      </w:pPr>
      <w:bookmarkStart w:id="167" w:name="_Toc21566"/>
      <w:r>
        <w:rPr>
          <w:rFonts w:ascii="Times New Roman" w:hAnsi="Times New Roman" w:hint="eastAsia"/>
          <w:sz w:val="28"/>
        </w:rPr>
        <w:t>附件</w:t>
      </w:r>
      <w:r>
        <w:rPr>
          <w:rFonts w:ascii="Times New Roman" w:hAnsi="Times New Roman" w:hint="eastAsia"/>
          <w:sz w:val="28"/>
        </w:rPr>
        <w:t xml:space="preserve">13 </w:t>
      </w:r>
      <w:r>
        <w:rPr>
          <w:rFonts w:ascii="Times New Roman" w:hAnsi="Times New Roman" w:hint="eastAsia"/>
          <w:sz w:val="28"/>
        </w:rPr>
        <w:t>应急救援协议</w:t>
      </w:r>
      <w:bookmarkEnd w:id="167"/>
    </w:p>
    <w:p w14:paraId="75DFD10B" w14:textId="77777777" w:rsidR="003D6A63" w:rsidRDefault="00000000">
      <w:pPr>
        <w:pStyle w:val="nlw10"/>
        <w:rPr>
          <w:rFonts w:ascii="Times New Roman" w:hAnsi="Times New Roman"/>
          <w:sz w:val="28"/>
        </w:rPr>
      </w:pPr>
      <w:bookmarkStart w:id="168" w:name="_Toc1148"/>
      <w:r>
        <w:rPr>
          <w:rFonts w:ascii="Times New Roman" w:hAnsi="Times New Roman" w:hint="eastAsia"/>
          <w:sz w:val="28"/>
        </w:rPr>
        <w:t>附件</w:t>
      </w:r>
      <w:r>
        <w:rPr>
          <w:rFonts w:ascii="Times New Roman" w:hAnsi="Times New Roman" w:hint="eastAsia"/>
          <w:sz w:val="28"/>
        </w:rPr>
        <w:t xml:space="preserve">14 </w:t>
      </w:r>
      <w:r>
        <w:rPr>
          <w:rFonts w:ascii="Times New Roman" w:hAnsi="Times New Roman" w:hint="eastAsia"/>
          <w:sz w:val="28"/>
        </w:rPr>
        <w:t>应急物资检查记录</w:t>
      </w:r>
      <w:bookmarkEnd w:id="168"/>
    </w:p>
    <w:p w14:paraId="26638B1C" w14:textId="77777777" w:rsidR="003D6A63" w:rsidRDefault="00000000">
      <w:pPr>
        <w:pStyle w:val="nlw10"/>
        <w:rPr>
          <w:rFonts w:ascii="Times New Roman" w:hAnsi="Times New Roman"/>
          <w:sz w:val="28"/>
        </w:rPr>
      </w:pPr>
      <w:bookmarkStart w:id="169" w:name="_Toc13404"/>
      <w:r>
        <w:rPr>
          <w:rFonts w:ascii="Times New Roman" w:hAnsi="Times New Roman" w:hint="eastAsia"/>
          <w:sz w:val="28"/>
        </w:rPr>
        <w:t>附件</w:t>
      </w:r>
      <w:r>
        <w:rPr>
          <w:rFonts w:ascii="Times New Roman" w:hAnsi="Times New Roman" w:hint="eastAsia"/>
          <w:sz w:val="28"/>
        </w:rPr>
        <w:t xml:space="preserve">15  </w:t>
      </w:r>
      <w:r>
        <w:rPr>
          <w:rFonts w:ascii="Times New Roman" w:hAnsi="Times New Roman" w:hint="eastAsia"/>
          <w:sz w:val="28"/>
        </w:rPr>
        <w:t>安全生产责任制、规章制度、操作规程目录</w:t>
      </w:r>
      <w:bookmarkEnd w:id="169"/>
    </w:p>
    <w:p w14:paraId="53DC6B3E" w14:textId="77777777" w:rsidR="003D6A63" w:rsidRDefault="00000000">
      <w:pPr>
        <w:pStyle w:val="nlw10"/>
        <w:rPr>
          <w:rFonts w:ascii="Times New Roman" w:hAnsi="Times New Roman"/>
          <w:sz w:val="28"/>
        </w:rPr>
      </w:pPr>
      <w:bookmarkStart w:id="170" w:name="_Toc4205"/>
      <w:bookmarkEnd w:id="155"/>
      <w:r>
        <w:rPr>
          <w:rFonts w:ascii="Times New Roman" w:hAnsi="Times New Roman" w:hint="eastAsia"/>
          <w:sz w:val="28"/>
        </w:rPr>
        <w:t>附件</w:t>
      </w:r>
      <w:r>
        <w:rPr>
          <w:rFonts w:ascii="Times New Roman" w:hAnsi="Times New Roman" w:hint="eastAsia"/>
          <w:sz w:val="28"/>
        </w:rPr>
        <w:t xml:space="preserve">16 </w:t>
      </w:r>
      <w:r>
        <w:rPr>
          <w:rFonts w:ascii="Times New Roman" w:hAnsi="Times New Roman" w:hint="eastAsia"/>
          <w:sz w:val="28"/>
        </w:rPr>
        <w:t>专业化公司劳务承揽合同及特种作业人员证书（部分）</w:t>
      </w:r>
      <w:bookmarkEnd w:id="170"/>
    </w:p>
    <w:p w14:paraId="4A0AFA98" w14:textId="77777777" w:rsidR="003D6A63" w:rsidRDefault="00000000">
      <w:pPr>
        <w:pStyle w:val="nlw10"/>
        <w:rPr>
          <w:rFonts w:ascii="Times New Roman" w:hAnsi="Times New Roman"/>
          <w:sz w:val="28"/>
        </w:rPr>
      </w:pPr>
      <w:bookmarkStart w:id="171" w:name="_Toc16350"/>
      <w:r>
        <w:rPr>
          <w:rFonts w:ascii="Times New Roman" w:hAnsi="Times New Roman" w:hint="eastAsia"/>
          <w:sz w:val="28"/>
        </w:rPr>
        <w:t>附件</w:t>
      </w:r>
      <w:r>
        <w:rPr>
          <w:rFonts w:ascii="Times New Roman" w:hAnsi="Times New Roman" w:hint="eastAsia"/>
          <w:sz w:val="28"/>
        </w:rPr>
        <w:t xml:space="preserve">17 </w:t>
      </w:r>
      <w:r>
        <w:rPr>
          <w:rFonts w:ascii="Times New Roman" w:hAnsi="Times New Roman" w:hint="eastAsia"/>
          <w:sz w:val="28"/>
        </w:rPr>
        <w:t>井控人员证件（部分）</w:t>
      </w:r>
      <w:bookmarkEnd w:id="171"/>
    </w:p>
    <w:p w14:paraId="223C8797" w14:textId="77777777" w:rsidR="003D6A63" w:rsidRDefault="00000000">
      <w:pPr>
        <w:pStyle w:val="nlw10"/>
        <w:rPr>
          <w:rFonts w:ascii="Times New Roman" w:hAnsi="Times New Roman"/>
          <w:sz w:val="28"/>
        </w:rPr>
      </w:pPr>
      <w:bookmarkStart w:id="172" w:name="_Toc2799"/>
      <w:r>
        <w:rPr>
          <w:rFonts w:ascii="Times New Roman" w:hAnsi="Times New Roman" w:hint="eastAsia"/>
          <w:sz w:val="28"/>
        </w:rPr>
        <w:t>附件</w:t>
      </w:r>
      <w:r>
        <w:rPr>
          <w:rFonts w:ascii="Times New Roman" w:hAnsi="Times New Roman" w:hint="eastAsia"/>
          <w:sz w:val="28"/>
        </w:rPr>
        <w:t xml:space="preserve">18 </w:t>
      </w:r>
      <w:r>
        <w:rPr>
          <w:rFonts w:ascii="Times New Roman" w:hAnsi="Times New Roman" w:hint="eastAsia"/>
          <w:sz w:val="28"/>
        </w:rPr>
        <w:t>特种设备安全管理人员证书（部分）</w:t>
      </w:r>
      <w:bookmarkEnd w:id="172"/>
    </w:p>
    <w:p w14:paraId="072A74B1" w14:textId="77777777" w:rsidR="003D6A63" w:rsidRDefault="00000000">
      <w:pPr>
        <w:pStyle w:val="nlw10"/>
        <w:rPr>
          <w:rFonts w:ascii="Times New Roman" w:hAnsi="Times New Roman"/>
          <w:sz w:val="28"/>
        </w:rPr>
      </w:pPr>
      <w:bookmarkStart w:id="173" w:name="_Toc23512"/>
      <w:r>
        <w:rPr>
          <w:rFonts w:ascii="Times New Roman" w:hAnsi="Times New Roman" w:hint="eastAsia"/>
          <w:sz w:val="28"/>
        </w:rPr>
        <w:t>附件</w:t>
      </w:r>
      <w:r>
        <w:rPr>
          <w:rFonts w:ascii="Times New Roman" w:hAnsi="Times New Roman" w:hint="eastAsia"/>
          <w:sz w:val="28"/>
        </w:rPr>
        <w:t xml:space="preserve">19 </w:t>
      </w:r>
      <w:r>
        <w:rPr>
          <w:rFonts w:ascii="Times New Roman" w:hAnsi="Times New Roman" w:hint="eastAsia"/>
          <w:sz w:val="28"/>
        </w:rPr>
        <w:t>安全生产投入</w:t>
      </w:r>
      <w:bookmarkEnd w:id="173"/>
    </w:p>
    <w:p w14:paraId="02CB4CB2" w14:textId="77777777" w:rsidR="003D6A63" w:rsidRDefault="00000000">
      <w:pPr>
        <w:pStyle w:val="nlw10"/>
        <w:rPr>
          <w:rFonts w:ascii="Times New Roman" w:hAnsi="Times New Roman"/>
          <w:sz w:val="28"/>
        </w:rPr>
      </w:pPr>
      <w:bookmarkStart w:id="174" w:name="_Toc24989"/>
      <w:r>
        <w:rPr>
          <w:rFonts w:ascii="Times New Roman" w:hAnsi="Times New Roman" w:hint="eastAsia"/>
          <w:sz w:val="28"/>
        </w:rPr>
        <w:t>附件</w:t>
      </w:r>
      <w:r>
        <w:rPr>
          <w:rFonts w:ascii="Times New Roman" w:hAnsi="Times New Roman" w:hint="eastAsia"/>
          <w:sz w:val="28"/>
        </w:rPr>
        <w:t xml:space="preserve">20 </w:t>
      </w:r>
      <w:r>
        <w:rPr>
          <w:rFonts w:ascii="Times New Roman" w:hAnsi="Times New Roman" w:hint="eastAsia"/>
          <w:sz w:val="28"/>
        </w:rPr>
        <w:t>劳动保护用品发放记录</w:t>
      </w:r>
      <w:bookmarkEnd w:id="174"/>
    </w:p>
    <w:p w14:paraId="4C4A0A73" w14:textId="77777777" w:rsidR="003D6A63" w:rsidRDefault="003D6A63">
      <w:pPr>
        <w:pStyle w:val="nlw10"/>
        <w:rPr>
          <w:rFonts w:ascii="Times New Roman" w:hAnsi="Times New Roman"/>
          <w:sz w:val="28"/>
        </w:rPr>
        <w:sectPr w:rsidR="003D6A63">
          <w:pgSz w:w="11906" w:h="16838"/>
          <w:pgMar w:top="1134" w:right="1418" w:bottom="1440" w:left="1418" w:header="851" w:footer="851" w:gutter="0"/>
          <w:cols w:space="425"/>
          <w:docGrid w:linePitch="312" w:charSpace="-1489"/>
        </w:sectPr>
      </w:pPr>
    </w:p>
    <w:p w14:paraId="4F7FCA0D" w14:textId="77777777" w:rsidR="003D6A63" w:rsidRDefault="00000000">
      <w:pPr>
        <w:pStyle w:val="nlw10"/>
        <w:rPr>
          <w:rFonts w:ascii="Times New Roman" w:hAnsi="Times New Roman"/>
          <w:sz w:val="28"/>
        </w:rPr>
      </w:pPr>
      <w:bookmarkStart w:id="175" w:name="_Toc16179"/>
      <w:r>
        <w:rPr>
          <w:rFonts w:ascii="Times New Roman" w:hAnsi="Times New Roman" w:hint="eastAsia"/>
          <w:sz w:val="28"/>
        </w:rPr>
        <w:lastRenderedPageBreak/>
        <w:t>附件</w:t>
      </w:r>
      <w:r>
        <w:rPr>
          <w:rFonts w:ascii="Times New Roman" w:hAnsi="Times New Roman" w:hint="eastAsia"/>
          <w:sz w:val="28"/>
        </w:rPr>
        <w:t xml:space="preserve">21 </w:t>
      </w:r>
      <w:r>
        <w:rPr>
          <w:rFonts w:ascii="Times New Roman" w:hAnsi="Times New Roman" w:hint="eastAsia"/>
          <w:sz w:val="28"/>
        </w:rPr>
        <w:t>特种设备设施检测检验证书（部分）</w:t>
      </w:r>
      <w:bookmarkStart w:id="176" w:name="_Toc27359"/>
      <w:bookmarkEnd w:id="175"/>
    </w:p>
    <w:p w14:paraId="74773142" w14:textId="77777777" w:rsidR="003D6A63" w:rsidRDefault="00000000">
      <w:pPr>
        <w:pStyle w:val="nlw10"/>
        <w:rPr>
          <w:rFonts w:ascii="Times New Roman" w:hAnsi="Times New Roman"/>
          <w:sz w:val="28"/>
        </w:rPr>
      </w:pPr>
      <w:r>
        <w:rPr>
          <w:rFonts w:ascii="Times New Roman" w:hAnsi="Times New Roman" w:hint="eastAsia"/>
          <w:sz w:val="28"/>
        </w:rPr>
        <w:t>附件</w:t>
      </w:r>
      <w:r>
        <w:rPr>
          <w:rFonts w:ascii="Times New Roman" w:hAnsi="Times New Roman" w:hint="eastAsia"/>
          <w:sz w:val="28"/>
        </w:rPr>
        <w:t xml:space="preserve">22 </w:t>
      </w:r>
      <w:r>
        <w:rPr>
          <w:rFonts w:ascii="Times New Roman" w:hAnsi="Times New Roman" w:hint="eastAsia"/>
          <w:sz w:val="28"/>
        </w:rPr>
        <w:t>压力表、安全阀等设备设施检测检验报告（部分）</w:t>
      </w:r>
      <w:bookmarkStart w:id="177" w:name="_Toc27414"/>
      <w:bookmarkEnd w:id="176"/>
    </w:p>
    <w:p w14:paraId="1BA99755" w14:textId="77777777" w:rsidR="003D6A63" w:rsidRDefault="00000000">
      <w:pPr>
        <w:pStyle w:val="nlw10"/>
        <w:rPr>
          <w:rFonts w:ascii="Times New Roman" w:hAnsi="Times New Roman"/>
          <w:sz w:val="28"/>
        </w:rPr>
      </w:pPr>
      <w:r>
        <w:rPr>
          <w:rFonts w:ascii="Times New Roman" w:hAnsi="Times New Roman" w:hint="eastAsia"/>
          <w:sz w:val="28"/>
        </w:rPr>
        <w:t>附件</w:t>
      </w:r>
      <w:r>
        <w:rPr>
          <w:rFonts w:ascii="Times New Roman" w:hAnsi="Times New Roman" w:hint="eastAsia"/>
          <w:sz w:val="28"/>
        </w:rPr>
        <w:t xml:space="preserve">23 </w:t>
      </w:r>
      <w:r>
        <w:rPr>
          <w:rFonts w:ascii="Times New Roman" w:hAnsi="Times New Roman" w:hint="eastAsia"/>
          <w:sz w:val="28"/>
        </w:rPr>
        <w:t>防雷检测报告</w:t>
      </w:r>
      <w:bookmarkStart w:id="178" w:name="_Toc23792"/>
      <w:bookmarkEnd w:id="177"/>
    </w:p>
    <w:p w14:paraId="541F5026" w14:textId="77777777" w:rsidR="003D6A63" w:rsidRDefault="00000000">
      <w:pPr>
        <w:pStyle w:val="nlw10"/>
        <w:rPr>
          <w:rFonts w:ascii="Times New Roman" w:hAnsi="Times New Roman"/>
          <w:sz w:val="28"/>
        </w:rPr>
      </w:pPr>
      <w:r>
        <w:rPr>
          <w:rFonts w:ascii="Times New Roman" w:hAnsi="Times New Roman" w:hint="eastAsia"/>
          <w:sz w:val="28"/>
        </w:rPr>
        <w:t>附件</w:t>
      </w:r>
      <w:r>
        <w:rPr>
          <w:rFonts w:ascii="Times New Roman" w:hAnsi="Times New Roman" w:hint="eastAsia"/>
          <w:sz w:val="28"/>
        </w:rPr>
        <w:t xml:space="preserve">24 </w:t>
      </w:r>
      <w:r>
        <w:rPr>
          <w:rFonts w:ascii="Times New Roman" w:hAnsi="Times New Roman" w:hint="eastAsia"/>
          <w:sz w:val="28"/>
        </w:rPr>
        <w:t>原油天然气检测报告</w:t>
      </w:r>
      <w:bookmarkEnd w:id="178"/>
    </w:p>
    <w:p w14:paraId="5052AB74" w14:textId="77777777" w:rsidR="003D6A63" w:rsidRDefault="00000000">
      <w:pPr>
        <w:pStyle w:val="nlw10"/>
        <w:rPr>
          <w:rFonts w:ascii="Times New Roman" w:hAnsi="Times New Roman"/>
          <w:sz w:val="28"/>
        </w:rPr>
      </w:pPr>
      <w:bookmarkStart w:id="179" w:name="_Toc21555"/>
      <w:r>
        <w:rPr>
          <w:rFonts w:ascii="Times New Roman" w:hAnsi="Times New Roman" w:hint="eastAsia"/>
          <w:sz w:val="28"/>
        </w:rPr>
        <w:t>附件</w:t>
      </w:r>
      <w:r>
        <w:rPr>
          <w:rFonts w:ascii="Times New Roman" w:hAnsi="Times New Roman" w:hint="eastAsia"/>
          <w:sz w:val="28"/>
        </w:rPr>
        <w:t xml:space="preserve">25 </w:t>
      </w:r>
      <w:r>
        <w:rPr>
          <w:rFonts w:ascii="Times New Roman" w:hAnsi="Times New Roman" w:hint="eastAsia"/>
          <w:sz w:val="28"/>
        </w:rPr>
        <w:t>特殊作业许可票证（部分）</w:t>
      </w:r>
      <w:bookmarkEnd w:id="179"/>
    </w:p>
    <w:p w14:paraId="0E885F54" w14:textId="77777777" w:rsidR="003D6A63" w:rsidRDefault="00000000">
      <w:pPr>
        <w:pStyle w:val="nlw10"/>
        <w:rPr>
          <w:rFonts w:ascii="Times New Roman" w:hAnsi="Times New Roman"/>
          <w:sz w:val="28"/>
        </w:rPr>
      </w:pPr>
      <w:bookmarkStart w:id="180" w:name="_Toc27572"/>
      <w:r>
        <w:rPr>
          <w:rFonts w:ascii="Times New Roman" w:hAnsi="Times New Roman" w:hint="eastAsia"/>
          <w:sz w:val="28"/>
        </w:rPr>
        <w:t>附件</w:t>
      </w:r>
      <w:r>
        <w:rPr>
          <w:rFonts w:ascii="Times New Roman" w:hAnsi="Times New Roman" w:hint="eastAsia"/>
          <w:sz w:val="28"/>
        </w:rPr>
        <w:t xml:space="preserve">26 </w:t>
      </w:r>
      <w:r>
        <w:rPr>
          <w:rFonts w:ascii="Times New Roman" w:hAnsi="Times New Roman" w:hint="eastAsia"/>
          <w:sz w:val="28"/>
        </w:rPr>
        <w:t>承包商资料（部分）</w:t>
      </w:r>
      <w:bookmarkEnd w:id="180"/>
    </w:p>
    <w:p w14:paraId="20BDD95B" w14:textId="77777777" w:rsidR="003D6A63" w:rsidRDefault="00000000">
      <w:pPr>
        <w:pStyle w:val="nlw10"/>
        <w:rPr>
          <w:rFonts w:ascii="Times New Roman" w:hAnsi="Times New Roman"/>
          <w:sz w:val="28"/>
        </w:rPr>
      </w:pPr>
      <w:bookmarkStart w:id="181" w:name="_Toc8703"/>
      <w:r>
        <w:rPr>
          <w:rFonts w:ascii="Times New Roman" w:hAnsi="Times New Roman" w:hint="eastAsia"/>
          <w:sz w:val="28"/>
        </w:rPr>
        <w:t>附件</w:t>
      </w:r>
      <w:r>
        <w:rPr>
          <w:rFonts w:ascii="Times New Roman" w:hAnsi="Times New Roman" w:hint="eastAsia"/>
          <w:sz w:val="28"/>
        </w:rPr>
        <w:t xml:space="preserve">27 </w:t>
      </w:r>
      <w:bookmarkStart w:id="182" w:name="_Toc30253"/>
      <w:bookmarkEnd w:id="181"/>
      <w:r>
        <w:rPr>
          <w:rFonts w:ascii="Times New Roman" w:hAnsi="Times New Roman" w:hint="eastAsia"/>
          <w:sz w:val="28"/>
        </w:rPr>
        <w:t xml:space="preserve"> </w:t>
      </w:r>
      <w:r>
        <w:rPr>
          <w:rFonts w:ascii="Times New Roman" w:hAnsi="Times New Roman" w:hint="eastAsia"/>
          <w:sz w:val="28"/>
        </w:rPr>
        <w:t>现场问题整改复查说明</w:t>
      </w:r>
      <w:bookmarkEnd w:id="182"/>
    </w:p>
    <w:sectPr w:rsidR="003D6A63">
      <w:pgSz w:w="11906" w:h="16838"/>
      <w:pgMar w:top="1134" w:right="1418" w:bottom="1440" w:left="1418" w:header="851" w:footer="851" w:gutter="0"/>
      <w:cols w:space="425"/>
      <w:docGrid w:linePitch="312" w:charSpace="-14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874A3" w14:textId="77777777" w:rsidR="005B2571" w:rsidRDefault="005B2571">
      <w:r>
        <w:separator/>
      </w:r>
    </w:p>
  </w:endnote>
  <w:endnote w:type="continuationSeparator" w:id="0">
    <w:p w14:paraId="783E7D06" w14:textId="77777777" w:rsidR="005B2571" w:rsidRDefault="005B2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书宋简体">
    <w:altName w:val="宋体"/>
    <w:charset w:val="86"/>
    <w:family w:val="auto"/>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Arial Unicode MS">
    <w:panose1 w:val="020B0604020202020204"/>
    <w:charset w:val="86"/>
    <w:family w:val="roman"/>
    <w:pitch w:val="default"/>
    <w:sig w:usb0="00000000" w:usb1="00000000" w:usb2="0000003F" w:usb3="00000000" w:csb0="603F01FF" w:csb1="FFFF0000"/>
  </w:font>
  <w:font w:name="Verdana">
    <w:panose1 w:val="020B0604030504040204"/>
    <w:charset w:val="00"/>
    <w:family w:val="swiss"/>
    <w:pitch w:val="variable"/>
    <w:sig w:usb0="A00006FF" w:usb1="4000205B" w:usb2="00000010" w:usb3="00000000" w:csb0="0000019F" w:csb1="00000000"/>
  </w:font>
  <w:font w:name="方正大标宋简体">
    <w:altName w:val="微软雅黑"/>
    <w:charset w:val="86"/>
    <w:family w:val="script"/>
    <w:pitch w:val="default"/>
    <w:sig w:usb0="00000000" w:usb1="00000000" w:usb2="00000000" w:usb3="00000000" w:csb0="00040000" w:csb1="00000000"/>
  </w:font>
  <w:font w:name="MingLiU">
    <w:altName w:val="細明體"/>
    <w:panose1 w:val="02010609000101010101"/>
    <w:charset w:val="88"/>
    <w:family w:val="modern"/>
    <w:pitch w:val="fixed"/>
    <w:sig w:usb0="80000003" w:usb1="28091800" w:usb2="00000016" w:usb3="00000000" w:csb0="00100001"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仿宋体">
    <w:altName w:val="宋体"/>
    <w:charset w:val="86"/>
    <w:family w:val="auto"/>
    <w:pitch w:val="default"/>
    <w:sig w:usb0="00000000" w:usb1="0000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E287A" w14:textId="77777777" w:rsidR="003D6A63" w:rsidRDefault="00000000">
    <w:pPr>
      <w:pStyle w:val="afff"/>
      <w:pBdr>
        <w:top w:val="single" w:sz="4" w:space="1" w:color="auto"/>
      </w:pBdr>
      <w:jc w:val="both"/>
      <w:rPr>
        <w:rFonts w:ascii="楷体" w:eastAsia="楷体" w:hAnsi="楷体"/>
        <w:sz w:val="21"/>
        <w:szCs w:val="21"/>
      </w:rPr>
    </w:pPr>
    <w:r>
      <w:rPr>
        <w:noProof/>
        <w:sz w:val="21"/>
      </w:rPr>
      <mc:AlternateContent>
        <mc:Choice Requires="wps">
          <w:drawing>
            <wp:anchor distT="0" distB="0" distL="114300" distR="114300" simplePos="0" relativeHeight="251660288" behindDoc="0" locked="0" layoutInCell="1" allowOverlap="1" wp14:anchorId="5F154DC8" wp14:editId="4F55E160">
              <wp:simplePos x="0" y="0"/>
              <wp:positionH relativeFrom="margin">
                <wp:align>center</wp:align>
              </wp:positionH>
              <wp:positionV relativeFrom="paragraph">
                <wp:posOffset>0</wp:posOffset>
              </wp:positionV>
              <wp:extent cx="1828800" cy="1828800"/>
              <wp:effectExtent l="0" t="0" r="0" b="0"/>
              <wp:wrapNone/>
              <wp:docPr id="120"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7371288" w14:textId="77777777" w:rsidR="003D6A63" w:rsidRDefault="00000000">
                          <w:pPr>
                            <w:pStyle w:val="afff"/>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w14:anchorId="5F154DC8" id="_x0000_t202" coordsize="21600,21600" o:spt="202" path="m,l,21600r21600,l21600,xe">
              <v:stroke joinstyle="miter"/>
              <v:path gradientshapeok="t" o:connecttype="rect"/>
            </v:shapetype>
            <v:shape id="文本框 2" o:spid="_x0000_s1044"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57371288" w14:textId="77777777" w:rsidR="003D6A63" w:rsidRDefault="00000000">
                    <w:pPr>
                      <w:pStyle w:val="afff"/>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C37E66" w14:textId="77777777" w:rsidR="003D6A63" w:rsidRDefault="00000000">
    <w:pPr>
      <w:pStyle w:val="afff"/>
      <w:pBdr>
        <w:top w:val="none" w:sz="0" w:space="1" w:color="auto"/>
      </w:pBdr>
      <w:jc w:val="both"/>
      <w:rPr>
        <w:rFonts w:ascii="楷体" w:eastAsia="楷体" w:hAnsi="楷体"/>
        <w:sz w:val="21"/>
        <w:szCs w:val="21"/>
      </w:rPr>
    </w:pPr>
    <w:r>
      <w:rPr>
        <w:noProof/>
        <w:sz w:val="21"/>
      </w:rPr>
      <mc:AlternateContent>
        <mc:Choice Requires="wps">
          <w:drawing>
            <wp:anchor distT="0" distB="0" distL="114300" distR="114300" simplePos="0" relativeHeight="251662336" behindDoc="0" locked="0" layoutInCell="1" allowOverlap="1" wp14:anchorId="2CB3F30C" wp14:editId="0E7FDEAA">
              <wp:simplePos x="0" y="0"/>
              <wp:positionH relativeFrom="margin">
                <wp:align>center</wp:align>
              </wp:positionH>
              <wp:positionV relativeFrom="paragraph">
                <wp:posOffset>0</wp:posOffset>
              </wp:positionV>
              <wp:extent cx="1828800" cy="1828800"/>
              <wp:effectExtent l="0" t="0" r="0" b="0"/>
              <wp:wrapNone/>
              <wp:docPr id="12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2F087D" w14:textId="77777777" w:rsidR="003D6A63" w:rsidRDefault="00000000">
                          <w:pPr>
                            <w:pStyle w:val="afff"/>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w14:anchorId="2CB3F30C" id="_x0000_t202" coordsize="21600,21600" o:spt="202" path="m,l,21600r21600,l21600,xe">
              <v:stroke joinstyle="miter"/>
              <v:path gradientshapeok="t" o:connecttype="rect"/>
            </v:shapetype>
            <v:shape id="_x0000_s1045"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v3Ad/IkBAAAgAwAADgAAAAAAAAAAAAAAAAAuAgAAZHJz&#10;L2Uyb0RvYy54bWxQSwECLQAUAAYACAAAACEADErw7tYAAAAFAQAADwAAAAAAAAAAAAAAAADjAwAA&#10;ZHJzL2Rvd25yZXYueG1sUEsFBgAAAAAEAAQA8wAAAOYEAAAAAA==&#10;" filled="f" stroked="f">
              <v:textbox style="mso-fit-shape-to-text:t" inset="0,0,0,0">
                <w:txbxContent>
                  <w:p w14:paraId="792F087D" w14:textId="77777777" w:rsidR="003D6A63" w:rsidRDefault="00000000">
                    <w:pPr>
                      <w:pStyle w:val="afff"/>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DE6EA6" w14:textId="77777777" w:rsidR="005B2571" w:rsidRDefault="005B2571">
      <w:r>
        <w:separator/>
      </w:r>
    </w:p>
  </w:footnote>
  <w:footnote w:type="continuationSeparator" w:id="0">
    <w:p w14:paraId="6ED39FF0" w14:textId="77777777" w:rsidR="005B2571" w:rsidRDefault="005B25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8C4F8" w14:textId="77777777" w:rsidR="003D6A63" w:rsidRDefault="00000000">
    <w:pPr>
      <w:pStyle w:val="afff1"/>
      <w:pBdr>
        <w:bottom w:val="single" w:sz="4" w:space="1" w:color="auto"/>
      </w:pBdr>
      <w:rPr>
        <w:rFonts w:ascii="楷体" w:eastAsia="楷体" w:hAnsi="楷体"/>
        <w:sz w:val="21"/>
        <w:szCs w:val="21"/>
      </w:rPr>
    </w:pPr>
    <w:r>
      <w:rPr>
        <w:rFonts w:ascii="楷体" w:eastAsia="楷体" w:hAnsi="楷体" w:hint="eastAsia"/>
        <w:sz w:val="21"/>
        <w:szCs w:val="21"/>
      </w:rPr>
      <w:t>胜利油田中胜石油开发有限责任公司安全</w:t>
    </w:r>
    <w:r>
      <w:rPr>
        <w:rFonts w:ascii="楷体" w:eastAsia="楷体" w:hAnsi="楷体"/>
        <w:sz w:val="21"/>
        <w:szCs w:val="21"/>
      </w:rPr>
      <w:t>现状评价报告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C3EE7E8"/>
    <w:multiLevelType w:val="singleLevel"/>
    <w:tmpl w:val="8C3EE7E8"/>
    <w:lvl w:ilvl="0">
      <w:start w:val="1"/>
      <w:numFmt w:val="decimal"/>
      <w:lvlText w:val="%1"/>
      <w:lvlJc w:val="left"/>
      <w:pPr>
        <w:ind w:left="635" w:hanging="425"/>
      </w:pPr>
      <w:rPr>
        <w:rFonts w:hint="default"/>
      </w:rPr>
    </w:lvl>
  </w:abstractNum>
  <w:abstractNum w:abstractNumId="1" w15:restartNumberingAfterBreak="0">
    <w:nsid w:val="AA2D28AF"/>
    <w:multiLevelType w:val="singleLevel"/>
    <w:tmpl w:val="AA2D28AF"/>
    <w:lvl w:ilvl="0">
      <w:start w:val="1"/>
      <w:numFmt w:val="decimal"/>
      <w:lvlText w:val="%1"/>
      <w:lvlJc w:val="left"/>
      <w:pPr>
        <w:ind w:left="425" w:hanging="425"/>
      </w:pPr>
      <w:rPr>
        <w:rFonts w:hint="default"/>
      </w:rPr>
    </w:lvl>
  </w:abstractNum>
  <w:abstractNum w:abstractNumId="2" w15:restartNumberingAfterBreak="0">
    <w:nsid w:val="E5A3066F"/>
    <w:multiLevelType w:val="singleLevel"/>
    <w:tmpl w:val="E5A3066F"/>
    <w:lvl w:ilvl="0">
      <w:start w:val="2"/>
      <w:numFmt w:val="decimal"/>
      <w:suff w:val="nothing"/>
      <w:lvlText w:val="（%1）"/>
      <w:lvlJc w:val="left"/>
    </w:lvl>
  </w:abstractNum>
  <w:abstractNum w:abstractNumId="3" w15:restartNumberingAfterBreak="0">
    <w:nsid w:val="EB096173"/>
    <w:multiLevelType w:val="singleLevel"/>
    <w:tmpl w:val="EB096173"/>
    <w:lvl w:ilvl="0">
      <w:start w:val="1"/>
      <w:numFmt w:val="decimal"/>
      <w:suff w:val="nothing"/>
      <w:lvlText w:val="%1）"/>
      <w:lvlJc w:val="left"/>
    </w:lvl>
  </w:abstractNum>
  <w:abstractNum w:abstractNumId="4" w15:restartNumberingAfterBreak="0">
    <w:nsid w:val="EB1FD090"/>
    <w:multiLevelType w:val="singleLevel"/>
    <w:tmpl w:val="EB1FD090"/>
    <w:lvl w:ilvl="0">
      <w:start w:val="4"/>
      <w:numFmt w:val="decimal"/>
      <w:suff w:val="nothing"/>
      <w:lvlText w:val="%1）"/>
      <w:lvlJc w:val="left"/>
    </w:lvl>
  </w:abstractNum>
  <w:abstractNum w:abstractNumId="5" w15:restartNumberingAfterBreak="0">
    <w:nsid w:val="F7860508"/>
    <w:multiLevelType w:val="singleLevel"/>
    <w:tmpl w:val="F7860508"/>
    <w:lvl w:ilvl="0">
      <w:start w:val="1"/>
      <w:numFmt w:val="lowerLetter"/>
      <w:suff w:val="nothing"/>
      <w:lvlText w:val="%1）"/>
      <w:lvlJc w:val="left"/>
    </w:lvl>
  </w:abstractNum>
  <w:abstractNum w:abstractNumId="6" w15:restartNumberingAfterBreak="0">
    <w:nsid w:val="0000000B"/>
    <w:multiLevelType w:val="multilevel"/>
    <w:tmpl w:val="0000000B"/>
    <w:lvl w:ilvl="0">
      <w:start w:val="1"/>
      <w:numFmt w:val="upperLetter"/>
      <w:pStyle w:val="a"/>
      <w:suff w:val="nothing"/>
      <w:lvlText w:val="附　录　%1"/>
      <w:lvlJc w:val="left"/>
      <w:pPr>
        <w:ind w:left="0" w:firstLine="0"/>
      </w:pPr>
      <w:rPr>
        <w:rFonts w:ascii="黑体" w:eastAsia="黑体" w:hAnsi="Times New Roman" w:hint="eastAsia"/>
        <w:b w:val="0"/>
        <w:i w:val="0"/>
        <w:sz w:val="21"/>
      </w:rPr>
    </w:lvl>
    <w:lvl w:ilvl="1">
      <w:start w:val="1"/>
      <w:numFmt w:val="decimal"/>
      <w:pStyle w:val="a0"/>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pStyle w:val="a5"/>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7" w15:restartNumberingAfterBreak="0">
    <w:nsid w:val="00000013"/>
    <w:multiLevelType w:val="multilevel"/>
    <w:tmpl w:val="00000013"/>
    <w:lvl w:ilvl="0">
      <w:start w:val="1"/>
      <w:numFmt w:val="lowerLetter"/>
      <w:pStyle w:val="a6"/>
      <w:lvlText w:val="%1)"/>
      <w:lvlJc w:val="left"/>
      <w:pPr>
        <w:tabs>
          <w:tab w:val="left" w:pos="839"/>
        </w:tabs>
        <w:ind w:left="839" w:hanging="419"/>
      </w:pPr>
      <w:rPr>
        <w:rFonts w:ascii="宋体" w:eastAsia="宋体" w:hAnsi="宋体" w:hint="eastAsia"/>
        <w:b w:val="0"/>
        <w:i w:val="0"/>
        <w:sz w:val="20"/>
        <w:szCs w:val="21"/>
      </w:rPr>
    </w:lvl>
    <w:lvl w:ilvl="1">
      <w:start w:val="1"/>
      <w:numFmt w:val="decimal"/>
      <w:lvlText w:val="%2)"/>
      <w:lvlJc w:val="left"/>
      <w:pPr>
        <w:tabs>
          <w:tab w:val="left" w:pos="1259"/>
        </w:tabs>
        <w:ind w:left="1259" w:hanging="420"/>
      </w:pPr>
      <w:rPr>
        <w:rFonts w:ascii="宋体" w:eastAsia="宋体" w:hAnsi="宋体" w:hint="eastAsia"/>
        <w:b w:val="0"/>
        <w:bCs w:val="0"/>
        <w:i w:val="0"/>
        <w:iCs w:val="0"/>
        <w:caps w:val="0"/>
        <w:strike w:val="0"/>
        <w:dstrike w:val="0"/>
        <w:vanish w:val="0"/>
        <w:color w:val="000000"/>
        <w:spacing w:val="0"/>
        <w:kern w:val="0"/>
        <w:position w:val="0"/>
        <w:sz w:val="20"/>
        <w:szCs w:val="21"/>
        <w:u w:val="none"/>
        <w:vertAlign w:val="baseline"/>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b w:val="0"/>
        <w:i w:val="0"/>
        <w:sz w:val="21"/>
      </w:rPr>
    </w:lvl>
    <w:lvl w:ilvl="4">
      <w:start w:val="1"/>
      <w:numFmt w:val="lowerLetter"/>
      <w:lvlText w:val="%5)"/>
      <w:lvlJc w:val="left"/>
      <w:pPr>
        <w:tabs>
          <w:tab w:val="left" w:pos="2517"/>
        </w:tabs>
        <w:ind w:left="2517" w:hanging="419"/>
      </w:pPr>
      <w:rPr>
        <w:rFonts w:hint="eastAsia"/>
        <w:b w:val="0"/>
        <w:i w:val="0"/>
        <w:sz w:val="21"/>
      </w:rPr>
    </w:lvl>
    <w:lvl w:ilvl="5">
      <w:start w:val="1"/>
      <w:numFmt w:val="lowerRoman"/>
      <w:lvlText w:val="%6."/>
      <w:lvlJc w:val="right"/>
      <w:pPr>
        <w:tabs>
          <w:tab w:val="left" w:pos="2942"/>
        </w:tabs>
        <w:ind w:left="2937" w:hanging="420"/>
      </w:pPr>
      <w:rPr>
        <w:rFonts w:hint="eastAsia"/>
        <w:b w:val="0"/>
        <w:i w:val="0"/>
        <w:sz w:val="21"/>
      </w:rPr>
    </w:lvl>
    <w:lvl w:ilvl="6">
      <w:start w:val="1"/>
      <w:numFmt w:val="decimal"/>
      <w:lvlText w:val="%7."/>
      <w:lvlJc w:val="left"/>
      <w:pPr>
        <w:tabs>
          <w:tab w:val="left" w:pos="3362"/>
        </w:tabs>
        <w:ind w:left="3356" w:hanging="414"/>
      </w:pPr>
      <w:rPr>
        <w:rFonts w:hint="eastAsia"/>
        <w:b w:val="0"/>
        <w:i w:val="0"/>
        <w:sz w:val="21"/>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8" w15:restartNumberingAfterBreak="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7"/>
      <w:suff w:val="nothing"/>
      <w:lvlText w:val="%1%2.%3　"/>
      <w:lvlJc w:val="left"/>
      <w:pPr>
        <w:ind w:left="0" w:firstLine="0"/>
      </w:pPr>
      <w:rPr>
        <w:rFonts w:ascii="黑体" w:eastAsia="黑体" w:hAnsi="Times New Roman" w:hint="eastAsia"/>
        <w:b w:val="0"/>
        <w:i w:val="0"/>
        <w:sz w:val="21"/>
      </w:rPr>
    </w:lvl>
    <w:lvl w:ilvl="3">
      <w:start w:val="1"/>
      <w:numFmt w:val="decimal"/>
      <w:pStyle w:val="a8"/>
      <w:suff w:val="nothing"/>
      <w:lvlText w:val="%1%2.%3.%4　"/>
      <w:lvlJc w:val="left"/>
      <w:pPr>
        <w:ind w:left="0" w:firstLine="0"/>
      </w:pPr>
      <w:rPr>
        <w:rFonts w:ascii="黑体" w:eastAsia="黑体" w:hAnsi="Times New Roman" w:hint="eastAsia"/>
        <w:b w:val="0"/>
        <w:i w:val="0"/>
        <w:sz w:val="21"/>
      </w:rPr>
    </w:lvl>
    <w:lvl w:ilvl="4">
      <w:start w:val="1"/>
      <w:numFmt w:val="decimal"/>
      <w:pStyle w:val="a9"/>
      <w:suff w:val="nothing"/>
      <w:lvlText w:val="%1%2.%3.%4.%5　"/>
      <w:lvlJc w:val="left"/>
      <w:pPr>
        <w:ind w:left="0" w:firstLine="0"/>
      </w:pPr>
      <w:rPr>
        <w:rFonts w:ascii="黑体" w:eastAsia="黑体" w:hAnsi="Times New Roman" w:hint="eastAsia"/>
        <w:b w:val="0"/>
        <w:i w:val="0"/>
        <w:sz w:val="21"/>
      </w:rPr>
    </w:lvl>
    <w:lvl w:ilvl="5">
      <w:start w:val="1"/>
      <w:numFmt w:val="decimal"/>
      <w:pStyle w:val="aa"/>
      <w:suff w:val="nothing"/>
      <w:lvlText w:val="%1%2.%3.%4.%5.%6　"/>
      <w:lvlJc w:val="left"/>
      <w:pPr>
        <w:ind w:left="0" w:firstLine="0"/>
      </w:pPr>
      <w:rPr>
        <w:rFonts w:ascii="黑体" w:eastAsia="黑体" w:hAnsi="Times New Roman" w:hint="eastAsia"/>
        <w:b w:val="0"/>
        <w:i w:val="0"/>
        <w:sz w:val="21"/>
      </w:rPr>
    </w:lvl>
    <w:lvl w:ilvl="6">
      <w:start w:val="1"/>
      <w:numFmt w:val="decimal"/>
      <w:pStyle w:val="ab"/>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9" w15:restartNumberingAfterBreak="0">
    <w:nsid w:val="057F16CB"/>
    <w:multiLevelType w:val="multilevel"/>
    <w:tmpl w:val="057F16CB"/>
    <w:lvl w:ilvl="0">
      <w:start w:val="1"/>
      <w:numFmt w:val="decimal"/>
      <w:pStyle w:val="ac"/>
      <w:lvlText w:val="（%1）"/>
      <w:lvlJc w:val="left"/>
      <w:pPr>
        <w:tabs>
          <w:tab w:val="left" w:pos="1080"/>
        </w:tabs>
        <w:ind w:left="1080" w:hanging="1080"/>
      </w:pPr>
      <w:rPr>
        <w:rFonts w:ascii="宋体" w:eastAsia="宋体" w:hAnsi="宋体" w:cs="Times New Roman"/>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15:restartNumberingAfterBreak="0">
    <w:nsid w:val="06C49049"/>
    <w:multiLevelType w:val="singleLevel"/>
    <w:tmpl w:val="06C49049"/>
    <w:lvl w:ilvl="0">
      <w:start w:val="1"/>
      <w:numFmt w:val="decimal"/>
      <w:lvlText w:val="%1"/>
      <w:lvlJc w:val="left"/>
      <w:pPr>
        <w:ind w:left="397" w:hanging="284"/>
      </w:pPr>
      <w:rPr>
        <w:rFonts w:hint="default"/>
      </w:rPr>
    </w:lvl>
  </w:abstractNum>
  <w:abstractNum w:abstractNumId="11" w15:restartNumberingAfterBreak="0">
    <w:nsid w:val="0AE367E9"/>
    <w:multiLevelType w:val="multilevel"/>
    <w:tmpl w:val="0AE367E9"/>
    <w:lvl w:ilvl="0">
      <w:start w:val="1"/>
      <w:numFmt w:val="none"/>
      <w:pStyle w:val="ad"/>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1D6138BB"/>
    <w:multiLevelType w:val="multilevel"/>
    <w:tmpl w:val="1D6138BB"/>
    <w:lvl w:ilvl="0">
      <w:start w:val="1"/>
      <w:numFmt w:val="decimal"/>
      <w:lvlText w:val="%1"/>
      <w:lvlJc w:val="center"/>
      <w:pPr>
        <w:tabs>
          <w:tab w:val="left" w:pos="0"/>
        </w:tabs>
        <w:ind w:left="0" w:firstLine="0"/>
      </w:pPr>
      <w:rPr>
        <w:rFonts w:ascii="宋体" w:eastAsia="宋体" w:hAnsi="宋体" w:cs="Times New Roman" w:hint="eastAsia"/>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13" w15:restartNumberingAfterBreak="0">
    <w:nsid w:val="2C5917C3"/>
    <w:multiLevelType w:val="multilevel"/>
    <w:tmpl w:val="2C5917C3"/>
    <w:lvl w:ilvl="0">
      <w:start w:val="1"/>
      <w:numFmt w:val="decimal"/>
      <w:suff w:val="nothing"/>
      <w:lvlText w:val="（%1）"/>
      <w:lvlJc w:val="left"/>
      <w:pPr>
        <w:ind w:left="833" w:hanging="408"/>
      </w:pPr>
      <w:rPr>
        <w:rFonts w:ascii="宋体" w:eastAsia="宋体" w:hAnsi="宋体" w:cs="Times New Roman"/>
        <w:lang w:val="en-US"/>
      </w:rPr>
    </w:lvl>
    <w:lvl w:ilvl="1">
      <w:start w:val="1"/>
      <w:numFmt w:val="bullet"/>
      <w:pStyle w:val="ae"/>
      <w:lvlText w:val=""/>
      <w:lvlJc w:val="left"/>
      <w:pPr>
        <w:tabs>
          <w:tab w:val="left" w:pos="760"/>
        </w:tabs>
        <w:ind w:left="1264" w:hanging="413"/>
      </w:pPr>
      <w:rPr>
        <w:rFonts w:ascii="Symbol" w:hAnsi="Symbol" w:hint="default"/>
        <w:color w:val="auto"/>
      </w:rPr>
    </w:lvl>
    <w:lvl w:ilvl="2">
      <w:start w:val="1"/>
      <w:numFmt w:val="bullet"/>
      <w:pStyle w:val="af"/>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4" w15:restartNumberingAfterBreak="0">
    <w:nsid w:val="32765AED"/>
    <w:multiLevelType w:val="singleLevel"/>
    <w:tmpl w:val="32765AED"/>
    <w:lvl w:ilvl="0">
      <w:start w:val="1"/>
      <w:numFmt w:val="decimal"/>
      <w:suff w:val="nothing"/>
      <w:lvlText w:val="%1"/>
      <w:lvlJc w:val="left"/>
      <w:pPr>
        <w:ind w:left="0" w:firstLine="0"/>
      </w:pPr>
      <w:rPr>
        <w:rFonts w:hint="default"/>
      </w:rPr>
    </w:lvl>
  </w:abstractNum>
  <w:abstractNum w:abstractNumId="15" w15:restartNumberingAfterBreak="0">
    <w:nsid w:val="407E65F9"/>
    <w:multiLevelType w:val="multilevel"/>
    <w:tmpl w:val="407E65F9"/>
    <w:lvl w:ilvl="0">
      <w:start w:val="1"/>
      <w:numFmt w:val="none"/>
      <w:pStyle w:val="af0"/>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6" w15:restartNumberingAfterBreak="0">
    <w:nsid w:val="44C50F90"/>
    <w:multiLevelType w:val="multilevel"/>
    <w:tmpl w:val="44C50F90"/>
    <w:lvl w:ilvl="0">
      <w:start w:val="1"/>
      <w:numFmt w:val="lowerLetter"/>
      <w:pStyle w:val="af1"/>
      <w:lvlText w:val="%1)"/>
      <w:lvlJc w:val="left"/>
      <w:pPr>
        <w:tabs>
          <w:tab w:val="left" w:pos="851"/>
        </w:tabs>
        <w:ind w:left="851" w:hanging="426"/>
      </w:pPr>
      <w:rPr>
        <w:rFonts w:ascii="宋体" w:eastAsia="宋体" w:hAnsi="Times New Roman" w:hint="eastAsia"/>
        <w:sz w:val="21"/>
      </w:rPr>
    </w:lvl>
    <w:lvl w:ilvl="1">
      <w:start w:val="1"/>
      <w:numFmt w:val="decimal"/>
      <w:lvlText w:val="%2)"/>
      <w:lvlJc w:val="left"/>
      <w:pPr>
        <w:tabs>
          <w:tab w:val="left" w:pos="1276"/>
        </w:tabs>
        <w:ind w:left="1276" w:hanging="425"/>
      </w:pPr>
      <w:rPr>
        <w:rFonts w:ascii="宋体" w:eastAsia="宋体" w:hAnsi="Times New Roman" w:hint="eastAsia"/>
        <w:sz w:val="21"/>
      </w:rPr>
    </w:lvl>
    <w:lvl w:ilvl="2">
      <w:start w:val="1"/>
      <w:numFmt w:val="decimal"/>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7" w15:restartNumberingAfterBreak="0">
    <w:nsid w:val="496E4D7B"/>
    <w:multiLevelType w:val="multilevel"/>
    <w:tmpl w:val="496E4D7B"/>
    <w:lvl w:ilvl="0">
      <w:start w:val="1"/>
      <w:numFmt w:val="none"/>
      <w:pStyle w:val="xl72"/>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15:restartNumberingAfterBreak="0">
    <w:nsid w:val="557C2AF5"/>
    <w:multiLevelType w:val="multilevel"/>
    <w:tmpl w:val="557C2AF5"/>
    <w:lvl w:ilvl="0">
      <w:start w:val="1"/>
      <w:numFmt w:val="decimal"/>
      <w:pStyle w:val="ParaCharCharCharCharCharCharChar"/>
      <w:suff w:val="nothing"/>
      <w:lvlText w:val="图%1　"/>
      <w:lvlJc w:val="left"/>
      <w:pPr>
        <w:ind w:left="3857" w:firstLine="0"/>
      </w:pPr>
      <w:rPr>
        <w:rFonts w:ascii="黑体" w:eastAsia="黑体" w:hAnsi="Times New Roman" w:hint="eastAsia"/>
        <w:b w:val="0"/>
        <w:i w:val="0"/>
        <w:sz w:val="21"/>
      </w:rPr>
    </w:lvl>
    <w:lvl w:ilvl="1">
      <w:start w:val="1"/>
      <w:numFmt w:val="decimal"/>
      <w:suff w:val="nothing"/>
      <w:lvlText w:val="%1%2　"/>
      <w:lvlJc w:val="left"/>
      <w:pPr>
        <w:ind w:left="3857" w:firstLine="0"/>
      </w:pPr>
      <w:rPr>
        <w:rFonts w:ascii="Times New Roman" w:eastAsia="黑体" w:hAnsi="Times New Roman" w:hint="default"/>
        <w:b w:val="0"/>
        <w:i w:val="0"/>
        <w:sz w:val="21"/>
      </w:rPr>
    </w:lvl>
    <w:lvl w:ilvl="2">
      <w:start w:val="1"/>
      <w:numFmt w:val="decimal"/>
      <w:suff w:val="nothing"/>
      <w:lvlText w:val="%1%2.%3　"/>
      <w:lvlJc w:val="left"/>
      <w:pPr>
        <w:ind w:left="3857" w:firstLine="0"/>
      </w:pPr>
      <w:rPr>
        <w:rFonts w:ascii="Times New Roman" w:eastAsia="黑体" w:hAnsi="Times New Roman" w:hint="default"/>
        <w:b w:val="0"/>
        <w:i w:val="0"/>
        <w:sz w:val="21"/>
      </w:rPr>
    </w:lvl>
    <w:lvl w:ilvl="3">
      <w:start w:val="1"/>
      <w:numFmt w:val="decimal"/>
      <w:suff w:val="nothing"/>
      <w:lvlText w:val="%1%2.%3.%4　"/>
      <w:lvlJc w:val="left"/>
      <w:pPr>
        <w:ind w:left="3857" w:firstLine="0"/>
      </w:pPr>
      <w:rPr>
        <w:rFonts w:ascii="Times New Roman" w:eastAsia="黑体" w:hAnsi="Times New Roman" w:hint="default"/>
        <w:b w:val="0"/>
        <w:i w:val="0"/>
        <w:sz w:val="21"/>
      </w:rPr>
    </w:lvl>
    <w:lvl w:ilvl="4">
      <w:start w:val="1"/>
      <w:numFmt w:val="decimal"/>
      <w:suff w:val="nothing"/>
      <w:lvlText w:val="%1%2.%3.%4.%5　"/>
      <w:lvlJc w:val="left"/>
      <w:pPr>
        <w:ind w:left="3857" w:firstLine="0"/>
      </w:pPr>
      <w:rPr>
        <w:rFonts w:ascii="Times New Roman" w:eastAsia="黑体" w:hAnsi="Times New Roman" w:hint="default"/>
        <w:b w:val="0"/>
        <w:i w:val="0"/>
        <w:sz w:val="21"/>
      </w:rPr>
    </w:lvl>
    <w:lvl w:ilvl="5">
      <w:start w:val="1"/>
      <w:numFmt w:val="decimal"/>
      <w:suff w:val="nothing"/>
      <w:lvlText w:val="%1%2.%3.%4.%5.%6　"/>
      <w:lvlJc w:val="left"/>
      <w:pPr>
        <w:ind w:left="3857" w:firstLine="0"/>
      </w:pPr>
      <w:rPr>
        <w:rFonts w:ascii="Times New Roman" w:eastAsia="黑体" w:hAnsi="Times New Roman" w:hint="default"/>
        <w:b w:val="0"/>
        <w:i w:val="0"/>
        <w:sz w:val="21"/>
      </w:rPr>
    </w:lvl>
    <w:lvl w:ilvl="6">
      <w:start w:val="1"/>
      <w:numFmt w:val="decimal"/>
      <w:suff w:val="nothing"/>
      <w:lvlText w:val="%1%2.%3.%4.%5.%6.%7　"/>
      <w:lvlJc w:val="left"/>
      <w:pPr>
        <w:ind w:left="3857" w:firstLine="0"/>
      </w:pPr>
      <w:rPr>
        <w:rFonts w:ascii="Times New Roman" w:eastAsia="黑体" w:hAnsi="Times New Roman" w:hint="default"/>
        <w:b w:val="0"/>
        <w:i w:val="0"/>
        <w:sz w:val="21"/>
      </w:rPr>
    </w:lvl>
    <w:lvl w:ilvl="7">
      <w:start w:val="1"/>
      <w:numFmt w:val="decimal"/>
      <w:lvlText w:val="%1.%2.%3.%4.%5.%6.%7.%8"/>
      <w:lvlJc w:val="left"/>
      <w:pPr>
        <w:tabs>
          <w:tab w:val="left" w:pos="8208"/>
        </w:tabs>
        <w:ind w:left="7826" w:hanging="1418"/>
      </w:pPr>
      <w:rPr>
        <w:rFonts w:hint="eastAsia"/>
      </w:rPr>
    </w:lvl>
    <w:lvl w:ilvl="8">
      <w:start w:val="1"/>
      <w:numFmt w:val="decimal"/>
      <w:lvlText w:val="%1.%2.%3.%4.%5.%6.%7.%8.%9"/>
      <w:lvlJc w:val="left"/>
      <w:pPr>
        <w:tabs>
          <w:tab w:val="left" w:pos="8634"/>
        </w:tabs>
        <w:ind w:left="8534" w:hanging="1700"/>
      </w:pPr>
      <w:rPr>
        <w:rFonts w:hint="eastAsia"/>
      </w:rPr>
    </w:lvl>
  </w:abstractNum>
  <w:abstractNum w:abstractNumId="19" w15:restartNumberingAfterBreak="0">
    <w:nsid w:val="60E58EAB"/>
    <w:multiLevelType w:val="singleLevel"/>
    <w:tmpl w:val="60E58EAB"/>
    <w:lvl w:ilvl="0">
      <w:start w:val="1"/>
      <w:numFmt w:val="decimal"/>
      <w:suff w:val="nothing"/>
      <w:lvlText w:val="（%1）"/>
      <w:lvlJc w:val="left"/>
    </w:lvl>
  </w:abstractNum>
  <w:abstractNum w:abstractNumId="20" w15:restartNumberingAfterBreak="0">
    <w:nsid w:val="76933334"/>
    <w:multiLevelType w:val="multilevel"/>
    <w:tmpl w:val="76933334"/>
    <w:lvl w:ilvl="0">
      <w:start w:val="1"/>
      <w:numFmt w:val="none"/>
      <w:pStyle w:val="af2"/>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195121773">
    <w:abstractNumId w:val="9"/>
  </w:num>
  <w:num w:numId="2" w16cid:durableId="1686981459">
    <w:abstractNumId w:val="8"/>
  </w:num>
  <w:num w:numId="3" w16cid:durableId="491799974">
    <w:abstractNumId w:val="6"/>
  </w:num>
  <w:num w:numId="4" w16cid:durableId="602080199">
    <w:abstractNumId w:val="20"/>
  </w:num>
  <w:num w:numId="5" w16cid:durableId="1601839151">
    <w:abstractNumId w:val="15"/>
  </w:num>
  <w:num w:numId="6" w16cid:durableId="1203055123">
    <w:abstractNumId w:val="11"/>
  </w:num>
  <w:num w:numId="7" w16cid:durableId="2060471133">
    <w:abstractNumId w:val="7"/>
  </w:num>
  <w:num w:numId="8" w16cid:durableId="353650031">
    <w:abstractNumId w:val="13"/>
  </w:num>
  <w:num w:numId="9" w16cid:durableId="1428961892">
    <w:abstractNumId w:val="18"/>
  </w:num>
  <w:num w:numId="10" w16cid:durableId="779565999">
    <w:abstractNumId w:val="17"/>
  </w:num>
  <w:num w:numId="11" w16cid:durableId="1097873025">
    <w:abstractNumId w:val="16"/>
  </w:num>
  <w:num w:numId="12" w16cid:durableId="2128741850">
    <w:abstractNumId w:val="4"/>
  </w:num>
  <w:num w:numId="13" w16cid:durableId="1310863297">
    <w:abstractNumId w:val="2"/>
  </w:num>
  <w:num w:numId="14" w16cid:durableId="150801448">
    <w:abstractNumId w:val="19"/>
  </w:num>
  <w:num w:numId="15" w16cid:durableId="1850829888">
    <w:abstractNumId w:val="0"/>
  </w:num>
  <w:num w:numId="16" w16cid:durableId="901410213">
    <w:abstractNumId w:val="5"/>
  </w:num>
  <w:num w:numId="17" w16cid:durableId="127363110">
    <w:abstractNumId w:val="10"/>
  </w:num>
  <w:num w:numId="18" w16cid:durableId="941373531">
    <w:abstractNumId w:val="1"/>
  </w:num>
  <w:num w:numId="19" w16cid:durableId="1422486247">
    <w:abstractNumId w:val="3"/>
  </w:num>
  <w:num w:numId="20" w16cid:durableId="377248173">
    <w:abstractNumId w:val="14"/>
  </w:num>
  <w:num w:numId="21" w16cid:durableId="12253347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1"/>
  <w:hideSpellingErrors/>
  <w:attachedTemplate r:id="rId1"/>
  <w:linkStyles/>
  <w:defaultTabStop w:val="0"/>
  <w:drawingGridHorizontalSpacing w:val="203"/>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g0ZjIwOTY2NTdiMzdjYjFmYmNjOGI0Njg0YzlkN2QifQ=="/>
  </w:docVars>
  <w:rsids>
    <w:rsidRoot w:val="009D1790"/>
    <w:rsid w:val="0000156F"/>
    <w:rsid w:val="000019F2"/>
    <w:rsid w:val="00002ABE"/>
    <w:rsid w:val="00003867"/>
    <w:rsid w:val="000048A1"/>
    <w:rsid w:val="00004A2D"/>
    <w:rsid w:val="00005869"/>
    <w:rsid w:val="0000760C"/>
    <w:rsid w:val="00007948"/>
    <w:rsid w:val="0000798C"/>
    <w:rsid w:val="00010610"/>
    <w:rsid w:val="000111DF"/>
    <w:rsid w:val="00011B9C"/>
    <w:rsid w:val="00013052"/>
    <w:rsid w:val="00014C58"/>
    <w:rsid w:val="000158CB"/>
    <w:rsid w:val="0001685B"/>
    <w:rsid w:val="00016E62"/>
    <w:rsid w:val="00020881"/>
    <w:rsid w:val="00020C22"/>
    <w:rsid w:val="000218B2"/>
    <w:rsid w:val="000218F0"/>
    <w:rsid w:val="00021F49"/>
    <w:rsid w:val="000226E1"/>
    <w:rsid w:val="00024A0C"/>
    <w:rsid w:val="000263BE"/>
    <w:rsid w:val="000265C5"/>
    <w:rsid w:val="000304F5"/>
    <w:rsid w:val="000320A1"/>
    <w:rsid w:val="00032423"/>
    <w:rsid w:val="00032E8A"/>
    <w:rsid w:val="0003351F"/>
    <w:rsid w:val="00033DFC"/>
    <w:rsid w:val="00034A5B"/>
    <w:rsid w:val="00034FFF"/>
    <w:rsid w:val="00035077"/>
    <w:rsid w:val="000362E0"/>
    <w:rsid w:val="00040754"/>
    <w:rsid w:val="000411D0"/>
    <w:rsid w:val="00041F57"/>
    <w:rsid w:val="00042457"/>
    <w:rsid w:val="00045281"/>
    <w:rsid w:val="000452C0"/>
    <w:rsid w:val="000456B6"/>
    <w:rsid w:val="00045EB8"/>
    <w:rsid w:val="00046FB2"/>
    <w:rsid w:val="00047905"/>
    <w:rsid w:val="00051025"/>
    <w:rsid w:val="000517E6"/>
    <w:rsid w:val="000538F4"/>
    <w:rsid w:val="00054C83"/>
    <w:rsid w:val="00055D54"/>
    <w:rsid w:val="00057AA8"/>
    <w:rsid w:val="000607F8"/>
    <w:rsid w:val="00061087"/>
    <w:rsid w:val="00061100"/>
    <w:rsid w:val="000619E8"/>
    <w:rsid w:val="00061E75"/>
    <w:rsid w:val="0006378F"/>
    <w:rsid w:val="000651B9"/>
    <w:rsid w:val="00066195"/>
    <w:rsid w:val="000667B0"/>
    <w:rsid w:val="00066F5F"/>
    <w:rsid w:val="00067822"/>
    <w:rsid w:val="000705A5"/>
    <w:rsid w:val="00071A2E"/>
    <w:rsid w:val="00071A9F"/>
    <w:rsid w:val="000722AC"/>
    <w:rsid w:val="00072891"/>
    <w:rsid w:val="00072915"/>
    <w:rsid w:val="000740C5"/>
    <w:rsid w:val="0007540A"/>
    <w:rsid w:val="00077A03"/>
    <w:rsid w:val="00077BBE"/>
    <w:rsid w:val="000808EE"/>
    <w:rsid w:val="00082197"/>
    <w:rsid w:val="00082644"/>
    <w:rsid w:val="00083DF3"/>
    <w:rsid w:val="00084A6C"/>
    <w:rsid w:val="00084E63"/>
    <w:rsid w:val="00085918"/>
    <w:rsid w:val="0008717A"/>
    <w:rsid w:val="00091B19"/>
    <w:rsid w:val="0009312B"/>
    <w:rsid w:val="00093D51"/>
    <w:rsid w:val="00094362"/>
    <w:rsid w:val="000949D5"/>
    <w:rsid w:val="000958FC"/>
    <w:rsid w:val="00097506"/>
    <w:rsid w:val="000A13C6"/>
    <w:rsid w:val="000A3270"/>
    <w:rsid w:val="000A5739"/>
    <w:rsid w:val="000A57FB"/>
    <w:rsid w:val="000A59A0"/>
    <w:rsid w:val="000B1EFD"/>
    <w:rsid w:val="000B4453"/>
    <w:rsid w:val="000B6383"/>
    <w:rsid w:val="000B676B"/>
    <w:rsid w:val="000B69C7"/>
    <w:rsid w:val="000B6A8B"/>
    <w:rsid w:val="000C07E2"/>
    <w:rsid w:val="000C0F66"/>
    <w:rsid w:val="000C305E"/>
    <w:rsid w:val="000C4327"/>
    <w:rsid w:val="000C56F6"/>
    <w:rsid w:val="000C5990"/>
    <w:rsid w:val="000C5BA5"/>
    <w:rsid w:val="000C7FE5"/>
    <w:rsid w:val="000D0015"/>
    <w:rsid w:val="000D1096"/>
    <w:rsid w:val="000D1BAC"/>
    <w:rsid w:val="000D346C"/>
    <w:rsid w:val="000D3D0F"/>
    <w:rsid w:val="000D445C"/>
    <w:rsid w:val="000D49AC"/>
    <w:rsid w:val="000D6500"/>
    <w:rsid w:val="000E01DE"/>
    <w:rsid w:val="000E0D2C"/>
    <w:rsid w:val="000E160F"/>
    <w:rsid w:val="000E280D"/>
    <w:rsid w:val="000E332E"/>
    <w:rsid w:val="000E4A8E"/>
    <w:rsid w:val="000E59C9"/>
    <w:rsid w:val="000E5E8B"/>
    <w:rsid w:val="000E6907"/>
    <w:rsid w:val="000E6DB1"/>
    <w:rsid w:val="000E7368"/>
    <w:rsid w:val="000E7BDF"/>
    <w:rsid w:val="000F02BB"/>
    <w:rsid w:val="000F042E"/>
    <w:rsid w:val="000F08A6"/>
    <w:rsid w:val="000F0F71"/>
    <w:rsid w:val="000F22A7"/>
    <w:rsid w:val="000F2774"/>
    <w:rsid w:val="000F2D10"/>
    <w:rsid w:val="000F30AE"/>
    <w:rsid w:val="000F3123"/>
    <w:rsid w:val="000F3899"/>
    <w:rsid w:val="000F3EF4"/>
    <w:rsid w:val="000F4C86"/>
    <w:rsid w:val="000F51BA"/>
    <w:rsid w:val="000F5968"/>
    <w:rsid w:val="000F64FE"/>
    <w:rsid w:val="000F6DB2"/>
    <w:rsid w:val="00101157"/>
    <w:rsid w:val="00101548"/>
    <w:rsid w:val="00101EBF"/>
    <w:rsid w:val="001025CB"/>
    <w:rsid w:val="00103EB0"/>
    <w:rsid w:val="00104DDB"/>
    <w:rsid w:val="001050DA"/>
    <w:rsid w:val="001065E3"/>
    <w:rsid w:val="00107F36"/>
    <w:rsid w:val="00110E50"/>
    <w:rsid w:val="001113E6"/>
    <w:rsid w:val="00111B1C"/>
    <w:rsid w:val="00112FAB"/>
    <w:rsid w:val="001138BF"/>
    <w:rsid w:val="0011631F"/>
    <w:rsid w:val="00120F36"/>
    <w:rsid w:val="00122641"/>
    <w:rsid w:val="001230CE"/>
    <w:rsid w:val="0012351C"/>
    <w:rsid w:val="00123BFF"/>
    <w:rsid w:val="00123C2E"/>
    <w:rsid w:val="0012404D"/>
    <w:rsid w:val="001252C6"/>
    <w:rsid w:val="0012550D"/>
    <w:rsid w:val="00125D75"/>
    <w:rsid w:val="00126482"/>
    <w:rsid w:val="001269C0"/>
    <w:rsid w:val="00126E88"/>
    <w:rsid w:val="00131229"/>
    <w:rsid w:val="00132466"/>
    <w:rsid w:val="0013282A"/>
    <w:rsid w:val="00133B5F"/>
    <w:rsid w:val="001341B5"/>
    <w:rsid w:val="001348A2"/>
    <w:rsid w:val="00134F69"/>
    <w:rsid w:val="00135A00"/>
    <w:rsid w:val="00136EBE"/>
    <w:rsid w:val="0014003C"/>
    <w:rsid w:val="0014005A"/>
    <w:rsid w:val="001406A4"/>
    <w:rsid w:val="0014166C"/>
    <w:rsid w:val="00141C61"/>
    <w:rsid w:val="00142B60"/>
    <w:rsid w:val="00143C4C"/>
    <w:rsid w:val="00143DD1"/>
    <w:rsid w:val="001440A4"/>
    <w:rsid w:val="00144802"/>
    <w:rsid w:val="00146E13"/>
    <w:rsid w:val="00147317"/>
    <w:rsid w:val="00147A11"/>
    <w:rsid w:val="00147F6E"/>
    <w:rsid w:val="00150388"/>
    <w:rsid w:val="00150480"/>
    <w:rsid w:val="00150BA6"/>
    <w:rsid w:val="00150FC6"/>
    <w:rsid w:val="001512E6"/>
    <w:rsid w:val="00152E75"/>
    <w:rsid w:val="0015372F"/>
    <w:rsid w:val="00153A48"/>
    <w:rsid w:val="0015446E"/>
    <w:rsid w:val="00154C14"/>
    <w:rsid w:val="001558A4"/>
    <w:rsid w:val="001559D2"/>
    <w:rsid w:val="00156CFE"/>
    <w:rsid w:val="001570A7"/>
    <w:rsid w:val="00157D6A"/>
    <w:rsid w:val="001600E0"/>
    <w:rsid w:val="001602B0"/>
    <w:rsid w:val="001606B7"/>
    <w:rsid w:val="00160702"/>
    <w:rsid w:val="00160F0F"/>
    <w:rsid w:val="00161347"/>
    <w:rsid w:val="0016272D"/>
    <w:rsid w:val="00164978"/>
    <w:rsid w:val="00164F90"/>
    <w:rsid w:val="0016601A"/>
    <w:rsid w:val="001678CF"/>
    <w:rsid w:val="00167A51"/>
    <w:rsid w:val="001717FB"/>
    <w:rsid w:val="00172A3E"/>
    <w:rsid w:val="001738C8"/>
    <w:rsid w:val="00176051"/>
    <w:rsid w:val="001760BA"/>
    <w:rsid w:val="00176725"/>
    <w:rsid w:val="00176DB4"/>
    <w:rsid w:val="00177E82"/>
    <w:rsid w:val="001803C2"/>
    <w:rsid w:val="00180C05"/>
    <w:rsid w:val="00180EEE"/>
    <w:rsid w:val="0018212A"/>
    <w:rsid w:val="001825F0"/>
    <w:rsid w:val="00182B0B"/>
    <w:rsid w:val="001837A6"/>
    <w:rsid w:val="0018528D"/>
    <w:rsid w:val="0018565B"/>
    <w:rsid w:val="0019041D"/>
    <w:rsid w:val="00190545"/>
    <w:rsid w:val="001909B5"/>
    <w:rsid w:val="00190D0C"/>
    <w:rsid w:val="00191003"/>
    <w:rsid w:val="00191939"/>
    <w:rsid w:val="00191E83"/>
    <w:rsid w:val="0019260D"/>
    <w:rsid w:val="00194C8B"/>
    <w:rsid w:val="00195668"/>
    <w:rsid w:val="00195C3E"/>
    <w:rsid w:val="001976D6"/>
    <w:rsid w:val="001A05DE"/>
    <w:rsid w:val="001A0D5E"/>
    <w:rsid w:val="001A29D0"/>
    <w:rsid w:val="001A2EBC"/>
    <w:rsid w:val="001A3285"/>
    <w:rsid w:val="001A34A0"/>
    <w:rsid w:val="001A35EF"/>
    <w:rsid w:val="001A3B63"/>
    <w:rsid w:val="001A426F"/>
    <w:rsid w:val="001A5065"/>
    <w:rsid w:val="001A53AB"/>
    <w:rsid w:val="001A7441"/>
    <w:rsid w:val="001B085A"/>
    <w:rsid w:val="001B11CD"/>
    <w:rsid w:val="001B288E"/>
    <w:rsid w:val="001B3335"/>
    <w:rsid w:val="001B4320"/>
    <w:rsid w:val="001B4B67"/>
    <w:rsid w:val="001B4F8A"/>
    <w:rsid w:val="001B6379"/>
    <w:rsid w:val="001B6CFF"/>
    <w:rsid w:val="001B76BA"/>
    <w:rsid w:val="001C01C2"/>
    <w:rsid w:val="001C0D3B"/>
    <w:rsid w:val="001C0DD9"/>
    <w:rsid w:val="001C1885"/>
    <w:rsid w:val="001C2867"/>
    <w:rsid w:val="001C4669"/>
    <w:rsid w:val="001C56BC"/>
    <w:rsid w:val="001C5C61"/>
    <w:rsid w:val="001C6792"/>
    <w:rsid w:val="001C684C"/>
    <w:rsid w:val="001C69D7"/>
    <w:rsid w:val="001D228A"/>
    <w:rsid w:val="001D27D3"/>
    <w:rsid w:val="001D3982"/>
    <w:rsid w:val="001D4660"/>
    <w:rsid w:val="001D5086"/>
    <w:rsid w:val="001D5590"/>
    <w:rsid w:val="001D55F0"/>
    <w:rsid w:val="001D5E49"/>
    <w:rsid w:val="001D60FD"/>
    <w:rsid w:val="001D62AC"/>
    <w:rsid w:val="001D6FA5"/>
    <w:rsid w:val="001D766A"/>
    <w:rsid w:val="001D76F0"/>
    <w:rsid w:val="001E06C3"/>
    <w:rsid w:val="001E1710"/>
    <w:rsid w:val="001E2CA2"/>
    <w:rsid w:val="001E3542"/>
    <w:rsid w:val="001E390D"/>
    <w:rsid w:val="001E49F9"/>
    <w:rsid w:val="001E4E5A"/>
    <w:rsid w:val="001E62B9"/>
    <w:rsid w:val="001F020B"/>
    <w:rsid w:val="001F109D"/>
    <w:rsid w:val="001F277E"/>
    <w:rsid w:val="001F2A98"/>
    <w:rsid w:val="001F4DBF"/>
    <w:rsid w:val="001F4FF9"/>
    <w:rsid w:val="001F759A"/>
    <w:rsid w:val="001F7A3D"/>
    <w:rsid w:val="001F7AA4"/>
    <w:rsid w:val="002003CA"/>
    <w:rsid w:val="00200794"/>
    <w:rsid w:val="00200BFB"/>
    <w:rsid w:val="00202481"/>
    <w:rsid w:val="00203AE8"/>
    <w:rsid w:val="0020417C"/>
    <w:rsid w:val="00206766"/>
    <w:rsid w:val="00207307"/>
    <w:rsid w:val="0020778C"/>
    <w:rsid w:val="00210A9C"/>
    <w:rsid w:val="00210DE3"/>
    <w:rsid w:val="002110CC"/>
    <w:rsid w:val="00212BB4"/>
    <w:rsid w:val="00213D9F"/>
    <w:rsid w:val="002176D9"/>
    <w:rsid w:val="0021780A"/>
    <w:rsid w:val="002202C5"/>
    <w:rsid w:val="00220321"/>
    <w:rsid w:val="00220582"/>
    <w:rsid w:val="00220C84"/>
    <w:rsid w:val="00220E23"/>
    <w:rsid w:val="00220E66"/>
    <w:rsid w:val="00221B1F"/>
    <w:rsid w:val="00221CFB"/>
    <w:rsid w:val="00223030"/>
    <w:rsid w:val="00223302"/>
    <w:rsid w:val="002241AD"/>
    <w:rsid w:val="00224AA7"/>
    <w:rsid w:val="00225F43"/>
    <w:rsid w:val="002271A2"/>
    <w:rsid w:val="00227EF0"/>
    <w:rsid w:val="0023002C"/>
    <w:rsid w:val="00230F99"/>
    <w:rsid w:val="002317E9"/>
    <w:rsid w:val="00231B02"/>
    <w:rsid w:val="002324C7"/>
    <w:rsid w:val="00234092"/>
    <w:rsid w:val="00235543"/>
    <w:rsid w:val="002360EB"/>
    <w:rsid w:val="0023616D"/>
    <w:rsid w:val="002367CA"/>
    <w:rsid w:val="002400DE"/>
    <w:rsid w:val="0024030A"/>
    <w:rsid w:val="00241A6E"/>
    <w:rsid w:val="00241DCC"/>
    <w:rsid w:val="0024262E"/>
    <w:rsid w:val="00244192"/>
    <w:rsid w:val="00244755"/>
    <w:rsid w:val="002448FD"/>
    <w:rsid w:val="00244D46"/>
    <w:rsid w:val="0024502A"/>
    <w:rsid w:val="002450A0"/>
    <w:rsid w:val="002463A7"/>
    <w:rsid w:val="002465E1"/>
    <w:rsid w:val="0024667B"/>
    <w:rsid w:val="002504E5"/>
    <w:rsid w:val="00250A80"/>
    <w:rsid w:val="002514A8"/>
    <w:rsid w:val="002518CC"/>
    <w:rsid w:val="00252C99"/>
    <w:rsid w:val="0025439F"/>
    <w:rsid w:val="00254D50"/>
    <w:rsid w:val="00255BAD"/>
    <w:rsid w:val="00255D89"/>
    <w:rsid w:val="00256D26"/>
    <w:rsid w:val="0025790E"/>
    <w:rsid w:val="002602A0"/>
    <w:rsid w:val="00260374"/>
    <w:rsid w:val="00262A55"/>
    <w:rsid w:val="0026401A"/>
    <w:rsid w:val="00264192"/>
    <w:rsid w:val="002647DB"/>
    <w:rsid w:val="00266BF4"/>
    <w:rsid w:val="00267CB5"/>
    <w:rsid w:val="002704A5"/>
    <w:rsid w:val="00270755"/>
    <w:rsid w:val="00270D28"/>
    <w:rsid w:val="00274D38"/>
    <w:rsid w:val="0027531D"/>
    <w:rsid w:val="00276D29"/>
    <w:rsid w:val="002770FA"/>
    <w:rsid w:val="002800F3"/>
    <w:rsid w:val="002817C9"/>
    <w:rsid w:val="00281CE6"/>
    <w:rsid w:val="00281D3B"/>
    <w:rsid w:val="002821BC"/>
    <w:rsid w:val="00282E45"/>
    <w:rsid w:val="00282EC6"/>
    <w:rsid w:val="0028317F"/>
    <w:rsid w:val="00283C9A"/>
    <w:rsid w:val="002850C6"/>
    <w:rsid w:val="00285C1E"/>
    <w:rsid w:val="0028657F"/>
    <w:rsid w:val="00286860"/>
    <w:rsid w:val="0029109E"/>
    <w:rsid w:val="002935AA"/>
    <w:rsid w:val="002936EC"/>
    <w:rsid w:val="002947E1"/>
    <w:rsid w:val="002947EE"/>
    <w:rsid w:val="0029529B"/>
    <w:rsid w:val="002965A6"/>
    <w:rsid w:val="00296FDB"/>
    <w:rsid w:val="0029741E"/>
    <w:rsid w:val="002976CE"/>
    <w:rsid w:val="0029798C"/>
    <w:rsid w:val="00297C1C"/>
    <w:rsid w:val="002A0DD3"/>
    <w:rsid w:val="002A1533"/>
    <w:rsid w:val="002A2AA8"/>
    <w:rsid w:val="002A2D34"/>
    <w:rsid w:val="002A31A0"/>
    <w:rsid w:val="002A3719"/>
    <w:rsid w:val="002A4096"/>
    <w:rsid w:val="002A6AB6"/>
    <w:rsid w:val="002A70D6"/>
    <w:rsid w:val="002A7441"/>
    <w:rsid w:val="002A76AE"/>
    <w:rsid w:val="002A77DB"/>
    <w:rsid w:val="002B0279"/>
    <w:rsid w:val="002B045C"/>
    <w:rsid w:val="002B0AD4"/>
    <w:rsid w:val="002B13FF"/>
    <w:rsid w:val="002B19F0"/>
    <w:rsid w:val="002B1D6A"/>
    <w:rsid w:val="002B338C"/>
    <w:rsid w:val="002B36BC"/>
    <w:rsid w:val="002B5503"/>
    <w:rsid w:val="002B5C9B"/>
    <w:rsid w:val="002B75AF"/>
    <w:rsid w:val="002B7D89"/>
    <w:rsid w:val="002C07B5"/>
    <w:rsid w:val="002C1041"/>
    <w:rsid w:val="002C17FF"/>
    <w:rsid w:val="002C2468"/>
    <w:rsid w:val="002C3927"/>
    <w:rsid w:val="002C59EC"/>
    <w:rsid w:val="002C7618"/>
    <w:rsid w:val="002C7711"/>
    <w:rsid w:val="002C78BB"/>
    <w:rsid w:val="002D26A8"/>
    <w:rsid w:val="002D2F48"/>
    <w:rsid w:val="002D3ED7"/>
    <w:rsid w:val="002D6244"/>
    <w:rsid w:val="002D6543"/>
    <w:rsid w:val="002D6CB4"/>
    <w:rsid w:val="002D750A"/>
    <w:rsid w:val="002E076C"/>
    <w:rsid w:val="002E0985"/>
    <w:rsid w:val="002E0EB2"/>
    <w:rsid w:val="002E119F"/>
    <w:rsid w:val="002E1D61"/>
    <w:rsid w:val="002E1F02"/>
    <w:rsid w:val="002E2EDE"/>
    <w:rsid w:val="002E2F67"/>
    <w:rsid w:val="002E5213"/>
    <w:rsid w:val="002E7BA0"/>
    <w:rsid w:val="002F0797"/>
    <w:rsid w:val="002F1700"/>
    <w:rsid w:val="002F2421"/>
    <w:rsid w:val="002F4C5E"/>
    <w:rsid w:val="002F4EA8"/>
    <w:rsid w:val="002F5EF4"/>
    <w:rsid w:val="002F7642"/>
    <w:rsid w:val="002F7C39"/>
    <w:rsid w:val="002F7F20"/>
    <w:rsid w:val="00300965"/>
    <w:rsid w:val="0030102B"/>
    <w:rsid w:val="00301861"/>
    <w:rsid w:val="00302B0E"/>
    <w:rsid w:val="0030501A"/>
    <w:rsid w:val="00306CE1"/>
    <w:rsid w:val="00307748"/>
    <w:rsid w:val="0030796C"/>
    <w:rsid w:val="00307B43"/>
    <w:rsid w:val="003103DE"/>
    <w:rsid w:val="003105DD"/>
    <w:rsid w:val="00310B97"/>
    <w:rsid w:val="00310C03"/>
    <w:rsid w:val="003123EE"/>
    <w:rsid w:val="00312532"/>
    <w:rsid w:val="00312A35"/>
    <w:rsid w:val="003144F0"/>
    <w:rsid w:val="00315799"/>
    <w:rsid w:val="00316167"/>
    <w:rsid w:val="0031662D"/>
    <w:rsid w:val="003169C2"/>
    <w:rsid w:val="003176EC"/>
    <w:rsid w:val="00321056"/>
    <w:rsid w:val="00322784"/>
    <w:rsid w:val="0032438D"/>
    <w:rsid w:val="003245E4"/>
    <w:rsid w:val="00325394"/>
    <w:rsid w:val="003263F4"/>
    <w:rsid w:val="00326928"/>
    <w:rsid w:val="003275B5"/>
    <w:rsid w:val="00327D08"/>
    <w:rsid w:val="003303E2"/>
    <w:rsid w:val="003315B9"/>
    <w:rsid w:val="0033184B"/>
    <w:rsid w:val="00331F0B"/>
    <w:rsid w:val="00332004"/>
    <w:rsid w:val="00333BD0"/>
    <w:rsid w:val="003357BE"/>
    <w:rsid w:val="00335FA6"/>
    <w:rsid w:val="003364CF"/>
    <w:rsid w:val="0033668A"/>
    <w:rsid w:val="00337F2A"/>
    <w:rsid w:val="00341257"/>
    <w:rsid w:val="00343853"/>
    <w:rsid w:val="00343891"/>
    <w:rsid w:val="00343C55"/>
    <w:rsid w:val="003449E1"/>
    <w:rsid w:val="00345993"/>
    <w:rsid w:val="00346E3A"/>
    <w:rsid w:val="00350788"/>
    <w:rsid w:val="003510A6"/>
    <w:rsid w:val="00352764"/>
    <w:rsid w:val="00352F77"/>
    <w:rsid w:val="0035494B"/>
    <w:rsid w:val="003553F8"/>
    <w:rsid w:val="0035584A"/>
    <w:rsid w:val="00356AF2"/>
    <w:rsid w:val="00357E08"/>
    <w:rsid w:val="00360DEA"/>
    <w:rsid w:val="00361D19"/>
    <w:rsid w:val="00363D33"/>
    <w:rsid w:val="00364CC7"/>
    <w:rsid w:val="00365324"/>
    <w:rsid w:val="00366947"/>
    <w:rsid w:val="00366D69"/>
    <w:rsid w:val="003678A5"/>
    <w:rsid w:val="00370BC7"/>
    <w:rsid w:val="003738E5"/>
    <w:rsid w:val="00373EE4"/>
    <w:rsid w:val="003741B0"/>
    <w:rsid w:val="0037517E"/>
    <w:rsid w:val="00375F92"/>
    <w:rsid w:val="003760DC"/>
    <w:rsid w:val="00377C9B"/>
    <w:rsid w:val="00380A1B"/>
    <w:rsid w:val="0038447E"/>
    <w:rsid w:val="00384CCF"/>
    <w:rsid w:val="00390F86"/>
    <w:rsid w:val="00391047"/>
    <w:rsid w:val="0039205B"/>
    <w:rsid w:val="00392971"/>
    <w:rsid w:val="0039358C"/>
    <w:rsid w:val="0039493D"/>
    <w:rsid w:val="00394B65"/>
    <w:rsid w:val="00394EF2"/>
    <w:rsid w:val="0039594F"/>
    <w:rsid w:val="00397098"/>
    <w:rsid w:val="0039788A"/>
    <w:rsid w:val="00397D31"/>
    <w:rsid w:val="003A09A7"/>
    <w:rsid w:val="003A1CDE"/>
    <w:rsid w:val="003A21DF"/>
    <w:rsid w:val="003A2E4A"/>
    <w:rsid w:val="003A2FB5"/>
    <w:rsid w:val="003A31F2"/>
    <w:rsid w:val="003A33EB"/>
    <w:rsid w:val="003A57EB"/>
    <w:rsid w:val="003A68CD"/>
    <w:rsid w:val="003A7A9D"/>
    <w:rsid w:val="003A7D02"/>
    <w:rsid w:val="003A7D9C"/>
    <w:rsid w:val="003B151E"/>
    <w:rsid w:val="003B2EDD"/>
    <w:rsid w:val="003B576F"/>
    <w:rsid w:val="003B590C"/>
    <w:rsid w:val="003B5DE2"/>
    <w:rsid w:val="003B6BA1"/>
    <w:rsid w:val="003B75AA"/>
    <w:rsid w:val="003C006C"/>
    <w:rsid w:val="003C05AB"/>
    <w:rsid w:val="003C0FF9"/>
    <w:rsid w:val="003C23B4"/>
    <w:rsid w:val="003C2AB6"/>
    <w:rsid w:val="003C4012"/>
    <w:rsid w:val="003C4773"/>
    <w:rsid w:val="003C5D0C"/>
    <w:rsid w:val="003C6576"/>
    <w:rsid w:val="003C73C3"/>
    <w:rsid w:val="003C7428"/>
    <w:rsid w:val="003C7829"/>
    <w:rsid w:val="003C7887"/>
    <w:rsid w:val="003C7AF9"/>
    <w:rsid w:val="003D0057"/>
    <w:rsid w:val="003D0FE2"/>
    <w:rsid w:val="003D2631"/>
    <w:rsid w:val="003D3B3A"/>
    <w:rsid w:val="003D5FF8"/>
    <w:rsid w:val="003D6A63"/>
    <w:rsid w:val="003D7567"/>
    <w:rsid w:val="003E1B9A"/>
    <w:rsid w:val="003E34D6"/>
    <w:rsid w:val="003E3D56"/>
    <w:rsid w:val="003E3F52"/>
    <w:rsid w:val="003E4FCA"/>
    <w:rsid w:val="003E604E"/>
    <w:rsid w:val="003E705F"/>
    <w:rsid w:val="003E7DEC"/>
    <w:rsid w:val="003F028F"/>
    <w:rsid w:val="003F148D"/>
    <w:rsid w:val="003F325E"/>
    <w:rsid w:val="003F57D4"/>
    <w:rsid w:val="003F602E"/>
    <w:rsid w:val="003F6CD6"/>
    <w:rsid w:val="003F700D"/>
    <w:rsid w:val="00400947"/>
    <w:rsid w:val="004009C1"/>
    <w:rsid w:val="00400EC0"/>
    <w:rsid w:val="00401FF8"/>
    <w:rsid w:val="00402191"/>
    <w:rsid w:val="0040320E"/>
    <w:rsid w:val="00403B03"/>
    <w:rsid w:val="00403CB3"/>
    <w:rsid w:val="004060B2"/>
    <w:rsid w:val="00406D05"/>
    <w:rsid w:val="00406EB1"/>
    <w:rsid w:val="00407B5D"/>
    <w:rsid w:val="00407F44"/>
    <w:rsid w:val="0041066D"/>
    <w:rsid w:val="00410CCC"/>
    <w:rsid w:val="00410F36"/>
    <w:rsid w:val="00411056"/>
    <w:rsid w:val="00412DFE"/>
    <w:rsid w:val="00413923"/>
    <w:rsid w:val="00414354"/>
    <w:rsid w:val="004145DB"/>
    <w:rsid w:val="00415019"/>
    <w:rsid w:val="004150E1"/>
    <w:rsid w:val="004165E8"/>
    <w:rsid w:val="00416821"/>
    <w:rsid w:val="00416C68"/>
    <w:rsid w:val="00417DD6"/>
    <w:rsid w:val="00417EAB"/>
    <w:rsid w:val="004207BB"/>
    <w:rsid w:val="004247A0"/>
    <w:rsid w:val="00424AE0"/>
    <w:rsid w:val="00425515"/>
    <w:rsid w:val="00426C0D"/>
    <w:rsid w:val="00430C40"/>
    <w:rsid w:val="00431076"/>
    <w:rsid w:val="004322E4"/>
    <w:rsid w:val="00433139"/>
    <w:rsid w:val="00433CB7"/>
    <w:rsid w:val="00434E71"/>
    <w:rsid w:val="00435D31"/>
    <w:rsid w:val="00436669"/>
    <w:rsid w:val="00437C2E"/>
    <w:rsid w:val="004402B4"/>
    <w:rsid w:val="004408DE"/>
    <w:rsid w:val="0044092B"/>
    <w:rsid w:val="00442180"/>
    <w:rsid w:val="00442931"/>
    <w:rsid w:val="0044352C"/>
    <w:rsid w:val="00443999"/>
    <w:rsid w:val="004457A9"/>
    <w:rsid w:val="00445AA5"/>
    <w:rsid w:val="00445EFD"/>
    <w:rsid w:val="00446AF6"/>
    <w:rsid w:val="00450947"/>
    <w:rsid w:val="004510EE"/>
    <w:rsid w:val="00453FB2"/>
    <w:rsid w:val="00455288"/>
    <w:rsid w:val="00455DEF"/>
    <w:rsid w:val="00455E5B"/>
    <w:rsid w:val="00456330"/>
    <w:rsid w:val="004569D8"/>
    <w:rsid w:val="00456D0E"/>
    <w:rsid w:val="00456DD0"/>
    <w:rsid w:val="00457D26"/>
    <w:rsid w:val="0046027E"/>
    <w:rsid w:val="00460A02"/>
    <w:rsid w:val="0046144F"/>
    <w:rsid w:val="00461B30"/>
    <w:rsid w:val="00462B7B"/>
    <w:rsid w:val="00462C5F"/>
    <w:rsid w:val="00463E47"/>
    <w:rsid w:val="0046449E"/>
    <w:rsid w:val="004652F9"/>
    <w:rsid w:val="00465DE3"/>
    <w:rsid w:val="00467A27"/>
    <w:rsid w:val="00470107"/>
    <w:rsid w:val="00470AA5"/>
    <w:rsid w:val="004721DB"/>
    <w:rsid w:val="0047252C"/>
    <w:rsid w:val="00474075"/>
    <w:rsid w:val="00476A13"/>
    <w:rsid w:val="004777EF"/>
    <w:rsid w:val="0048034B"/>
    <w:rsid w:val="00480D57"/>
    <w:rsid w:val="004812F5"/>
    <w:rsid w:val="0048191F"/>
    <w:rsid w:val="0048376A"/>
    <w:rsid w:val="004837EA"/>
    <w:rsid w:val="004900D0"/>
    <w:rsid w:val="004901DE"/>
    <w:rsid w:val="0049114D"/>
    <w:rsid w:val="004912F8"/>
    <w:rsid w:val="004914E2"/>
    <w:rsid w:val="00493A64"/>
    <w:rsid w:val="00494544"/>
    <w:rsid w:val="004A1478"/>
    <w:rsid w:val="004A189C"/>
    <w:rsid w:val="004A20A6"/>
    <w:rsid w:val="004A2188"/>
    <w:rsid w:val="004A2D5A"/>
    <w:rsid w:val="004A3ECB"/>
    <w:rsid w:val="004A47FC"/>
    <w:rsid w:val="004A58BB"/>
    <w:rsid w:val="004A6749"/>
    <w:rsid w:val="004B09DD"/>
    <w:rsid w:val="004B0AE5"/>
    <w:rsid w:val="004B125E"/>
    <w:rsid w:val="004B132A"/>
    <w:rsid w:val="004B2686"/>
    <w:rsid w:val="004B27FC"/>
    <w:rsid w:val="004B2EBD"/>
    <w:rsid w:val="004B2EC4"/>
    <w:rsid w:val="004B31E7"/>
    <w:rsid w:val="004B3812"/>
    <w:rsid w:val="004B4048"/>
    <w:rsid w:val="004B5078"/>
    <w:rsid w:val="004B50F3"/>
    <w:rsid w:val="004B5327"/>
    <w:rsid w:val="004B5CFD"/>
    <w:rsid w:val="004B6411"/>
    <w:rsid w:val="004B71A0"/>
    <w:rsid w:val="004B7DC3"/>
    <w:rsid w:val="004C0A07"/>
    <w:rsid w:val="004C0C81"/>
    <w:rsid w:val="004C1863"/>
    <w:rsid w:val="004C2248"/>
    <w:rsid w:val="004C379F"/>
    <w:rsid w:val="004C653E"/>
    <w:rsid w:val="004D14B4"/>
    <w:rsid w:val="004D1677"/>
    <w:rsid w:val="004D210F"/>
    <w:rsid w:val="004D2E9C"/>
    <w:rsid w:val="004D36FA"/>
    <w:rsid w:val="004D3811"/>
    <w:rsid w:val="004D5CE0"/>
    <w:rsid w:val="004D5CF7"/>
    <w:rsid w:val="004D63F4"/>
    <w:rsid w:val="004D7F94"/>
    <w:rsid w:val="004E0863"/>
    <w:rsid w:val="004E22D3"/>
    <w:rsid w:val="004E5782"/>
    <w:rsid w:val="004E6690"/>
    <w:rsid w:val="004F157C"/>
    <w:rsid w:val="004F2F2B"/>
    <w:rsid w:val="004F3D15"/>
    <w:rsid w:val="004F4755"/>
    <w:rsid w:val="004F5A47"/>
    <w:rsid w:val="004F5A6F"/>
    <w:rsid w:val="004F5C1A"/>
    <w:rsid w:val="004F5F30"/>
    <w:rsid w:val="004F6663"/>
    <w:rsid w:val="004F678C"/>
    <w:rsid w:val="004F6E72"/>
    <w:rsid w:val="0050068D"/>
    <w:rsid w:val="0050120C"/>
    <w:rsid w:val="005014EF"/>
    <w:rsid w:val="005030D9"/>
    <w:rsid w:val="00503568"/>
    <w:rsid w:val="00503F16"/>
    <w:rsid w:val="0050531C"/>
    <w:rsid w:val="00505EB3"/>
    <w:rsid w:val="0050734B"/>
    <w:rsid w:val="0050772E"/>
    <w:rsid w:val="00511079"/>
    <w:rsid w:val="005127FE"/>
    <w:rsid w:val="0051357C"/>
    <w:rsid w:val="00513E39"/>
    <w:rsid w:val="00515E41"/>
    <w:rsid w:val="00515FB4"/>
    <w:rsid w:val="0052127F"/>
    <w:rsid w:val="00521911"/>
    <w:rsid w:val="0052286F"/>
    <w:rsid w:val="00522EF1"/>
    <w:rsid w:val="00523A93"/>
    <w:rsid w:val="005245F5"/>
    <w:rsid w:val="00525E09"/>
    <w:rsid w:val="00526EC0"/>
    <w:rsid w:val="00527418"/>
    <w:rsid w:val="0052798F"/>
    <w:rsid w:val="00527A19"/>
    <w:rsid w:val="00532A8A"/>
    <w:rsid w:val="00532FB6"/>
    <w:rsid w:val="005341A2"/>
    <w:rsid w:val="00534A18"/>
    <w:rsid w:val="00535B30"/>
    <w:rsid w:val="005368C3"/>
    <w:rsid w:val="00537517"/>
    <w:rsid w:val="005400B9"/>
    <w:rsid w:val="0054048B"/>
    <w:rsid w:val="005405A4"/>
    <w:rsid w:val="00540D09"/>
    <w:rsid w:val="0054117D"/>
    <w:rsid w:val="005415F2"/>
    <w:rsid w:val="005427AB"/>
    <w:rsid w:val="005429F3"/>
    <w:rsid w:val="00542B29"/>
    <w:rsid w:val="00542B8C"/>
    <w:rsid w:val="0054503F"/>
    <w:rsid w:val="005456B0"/>
    <w:rsid w:val="00545724"/>
    <w:rsid w:val="00547A79"/>
    <w:rsid w:val="005501FB"/>
    <w:rsid w:val="0055214E"/>
    <w:rsid w:val="00553614"/>
    <w:rsid w:val="00553C7F"/>
    <w:rsid w:val="00554045"/>
    <w:rsid w:val="005556FF"/>
    <w:rsid w:val="00556119"/>
    <w:rsid w:val="00556357"/>
    <w:rsid w:val="00557948"/>
    <w:rsid w:val="00557D87"/>
    <w:rsid w:val="0056149C"/>
    <w:rsid w:val="00562005"/>
    <w:rsid w:val="00562682"/>
    <w:rsid w:val="00564392"/>
    <w:rsid w:val="005647E3"/>
    <w:rsid w:val="00564A13"/>
    <w:rsid w:val="00565051"/>
    <w:rsid w:val="00565903"/>
    <w:rsid w:val="00565C49"/>
    <w:rsid w:val="00567087"/>
    <w:rsid w:val="00567152"/>
    <w:rsid w:val="00567876"/>
    <w:rsid w:val="00567E7F"/>
    <w:rsid w:val="00570429"/>
    <w:rsid w:val="00571361"/>
    <w:rsid w:val="0057165D"/>
    <w:rsid w:val="00571752"/>
    <w:rsid w:val="00572D91"/>
    <w:rsid w:val="0057336C"/>
    <w:rsid w:val="00573390"/>
    <w:rsid w:val="005738D7"/>
    <w:rsid w:val="00573A49"/>
    <w:rsid w:val="005741CD"/>
    <w:rsid w:val="0057519B"/>
    <w:rsid w:val="00575405"/>
    <w:rsid w:val="00575823"/>
    <w:rsid w:val="00576527"/>
    <w:rsid w:val="005800BF"/>
    <w:rsid w:val="005817AB"/>
    <w:rsid w:val="005817C0"/>
    <w:rsid w:val="0058214F"/>
    <w:rsid w:val="005826D4"/>
    <w:rsid w:val="0058297D"/>
    <w:rsid w:val="00583A08"/>
    <w:rsid w:val="005840F5"/>
    <w:rsid w:val="0058433C"/>
    <w:rsid w:val="00584EB7"/>
    <w:rsid w:val="00584ECF"/>
    <w:rsid w:val="005854C1"/>
    <w:rsid w:val="00587E72"/>
    <w:rsid w:val="00590460"/>
    <w:rsid w:val="00593061"/>
    <w:rsid w:val="00593768"/>
    <w:rsid w:val="00593874"/>
    <w:rsid w:val="00593B77"/>
    <w:rsid w:val="005946F8"/>
    <w:rsid w:val="005959A2"/>
    <w:rsid w:val="00595E5D"/>
    <w:rsid w:val="00596CCE"/>
    <w:rsid w:val="00597040"/>
    <w:rsid w:val="00597467"/>
    <w:rsid w:val="005976A9"/>
    <w:rsid w:val="005A02FF"/>
    <w:rsid w:val="005A11C6"/>
    <w:rsid w:val="005A1546"/>
    <w:rsid w:val="005A2358"/>
    <w:rsid w:val="005A3477"/>
    <w:rsid w:val="005A37E8"/>
    <w:rsid w:val="005A3FED"/>
    <w:rsid w:val="005A4CB4"/>
    <w:rsid w:val="005A5100"/>
    <w:rsid w:val="005A5721"/>
    <w:rsid w:val="005A6168"/>
    <w:rsid w:val="005A6494"/>
    <w:rsid w:val="005A6829"/>
    <w:rsid w:val="005B0509"/>
    <w:rsid w:val="005B0B3E"/>
    <w:rsid w:val="005B1ACE"/>
    <w:rsid w:val="005B1E48"/>
    <w:rsid w:val="005B2571"/>
    <w:rsid w:val="005B276E"/>
    <w:rsid w:val="005B437D"/>
    <w:rsid w:val="005B4ADC"/>
    <w:rsid w:val="005B51E6"/>
    <w:rsid w:val="005B5931"/>
    <w:rsid w:val="005B605C"/>
    <w:rsid w:val="005B6474"/>
    <w:rsid w:val="005B70EC"/>
    <w:rsid w:val="005B79AB"/>
    <w:rsid w:val="005C046D"/>
    <w:rsid w:val="005C37A7"/>
    <w:rsid w:val="005C3ABB"/>
    <w:rsid w:val="005C3CFB"/>
    <w:rsid w:val="005C695C"/>
    <w:rsid w:val="005C7373"/>
    <w:rsid w:val="005C738C"/>
    <w:rsid w:val="005D1C33"/>
    <w:rsid w:val="005D406B"/>
    <w:rsid w:val="005D45B4"/>
    <w:rsid w:val="005D4977"/>
    <w:rsid w:val="005D500A"/>
    <w:rsid w:val="005D5A39"/>
    <w:rsid w:val="005D6C15"/>
    <w:rsid w:val="005D6EBE"/>
    <w:rsid w:val="005D7392"/>
    <w:rsid w:val="005E013E"/>
    <w:rsid w:val="005E2018"/>
    <w:rsid w:val="005E2067"/>
    <w:rsid w:val="005E2647"/>
    <w:rsid w:val="005E2952"/>
    <w:rsid w:val="005E4B22"/>
    <w:rsid w:val="005E5466"/>
    <w:rsid w:val="005E5749"/>
    <w:rsid w:val="005E5DE6"/>
    <w:rsid w:val="005E5DEA"/>
    <w:rsid w:val="005E606D"/>
    <w:rsid w:val="005E78F6"/>
    <w:rsid w:val="005F0C47"/>
    <w:rsid w:val="005F1863"/>
    <w:rsid w:val="005F195A"/>
    <w:rsid w:val="005F1A19"/>
    <w:rsid w:val="005F1E3F"/>
    <w:rsid w:val="005F1FFA"/>
    <w:rsid w:val="005F2A3F"/>
    <w:rsid w:val="005F2AC0"/>
    <w:rsid w:val="005F2ADC"/>
    <w:rsid w:val="005F63DD"/>
    <w:rsid w:val="005F6B60"/>
    <w:rsid w:val="005F7930"/>
    <w:rsid w:val="006001DB"/>
    <w:rsid w:val="006008F4"/>
    <w:rsid w:val="00600B19"/>
    <w:rsid w:val="006017E0"/>
    <w:rsid w:val="00602319"/>
    <w:rsid w:val="006024A1"/>
    <w:rsid w:val="00602591"/>
    <w:rsid w:val="006028B5"/>
    <w:rsid w:val="00604C20"/>
    <w:rsid w:val="00604DBA"/>
    <w:rsid w:val="00605C9A"/>
    <w:rsid w:val="00606161"/>
    <w:rsid w:val="00606DB5"/>
    <w:rsid w:val="00606F4F"/>
    <w:rsid w:val="006119FC"/>
    <w:rsid w:val="00615CDE"/>
    <w:rsid w:val="0061635F"/>
    <w:rsid w:val="00616434"/>
    <w:rsid w:val="00620522"/>
    <w:rsid w:val="006225C4"/>
    <w:rsid w:val="00622B4C"/>
    <w:rsid w:val="0062640F"/>
    <w:rsid w:val="00626890"/>
    <w:rsid w:val="006268AD"/>
    <w:rsid w:val="006277AC"/>
    <w:rsid w:val="006343BB"/>
    <w:rsid w:val="00634508"/>
    <w:rsid w:val="00635C83"/>
    <w:rsid w:val="00635FA3"/>
    <w:rsid w:val="00636546"/>
    <w:rsid w:val="00637286"/>
    <w:rsid w:val="0063759C"/>
    <w:rsid w:val="006375B7"/>
    <w:rsid w:val="00640741"/>
    <w:rsid w:val="00640D2B"/>
    <w:rsid w:val="006415A9"/>
    <w:rsid w:val="0064193F"/>
    <w:rsid w:val="00642115"/>
    <w:rsid w:val="00642CA2"/>
    <w:rsid w:val="00644E0A"/>
    <w:rsid w:val="00644F93"/>
    <w:rsid w:val="006473F5"/>
    <w:rsid w:val="00650608"/>
    <w:rsid w:val="006528E3"/>
    <w:rsid w:val="00653C02"/>
    <w:rsid w:val="0065408D"/>
    <w:rsid w:val="006541ED"/>
    <w:rsid w:val="006550BB"/>
    <w:rsid w:val="0065530F"/>
    <w:rsid w:val="00655F9E"/>
    <w:rsid w:val="00656966"/>
    <w:rsid w:val="00656BE8"/>
    <w:rsid w:val="00657087"/>
    <w:rsid w:val="00657E15"/>
    <w:rsid w:val="00660012"/>
    <w:rsid w:val="006610F8"/>
    <w:rsid w:val="00661850"/>
    <w:rsid w:val="00661F9D"/>
    <w:rsid w:val="00662A40"/>
    <w:rsid w:val="0066538A"/>
    <w:rsid w:val="006655DE"/>
    <w:rsid w:val="00666682"/>
    <w:rsid w:val="006666DA"/>
    <w:rsid w:val="006675CA"/>
    <w:rsid w:val="0067156B"/>
    <w:rsid w:val="006727A1"/>
    <w:rsid w:val="006727AB"/>
    <w:rsid w:val="00675133"/>
    <w:rsid w:val="00676775"/>
    <w:rsid w:val="00681576"/>
    <w:rsid w:val="00681698"/>
    <w:rsid w:val="0068327A"/>
    <w:rsid w:val="006836D8"/>
    <w:rsid w:val="00683F8F"/>
    <w:rsid w:val="00684C9E"/>
    <w:rsid w:val="00685168"/>
    <w:rsid w:val="006856AF"/>
    <w:rsid w:val="00686992"/>
    <w:rsid w:val="006879D9"/>
    <w:rsid w:val="00687DA2"/>
    <w:rsid w:val="006902B3"/>
    <w:rsid w:val="00691C81"/>
    <w:rsid w:val="00691D3C"/>
    <w:rsid w:val="00691FDE"/>
    <w:rsid w:val="00693F32"/>
    <w:rsid w:val="00695C4C"/>
    <w:rsid w:val="00696202"/>
    <w:rsid w:val="006964B0"/>
    <w:rsid w:val="00697D5F"/>
    <w:rsid w:val="006A0B75"/>
    <w:rsid w:val="006A4D54"/>
    <w:rsid w:val="006A6266"/>
    <w:rsid w:val="006A6DDE"/>
    <w:rsid w:val="006A6F0B"/>
    <w:rsid w:val="006A783D"/>
    <w:rsid w:val="006A79E5"/>
    <w:rsid w:val="006B00FB"/>
    <w:rsid w:val="006B044C"/>
    <w:rsid w:val="006B2FB4"/>
    <w:rsid w:val="006B3263"/>
    <w:rsid w:val="006B3327"/>
    <w:rsid w:val="006B5EF9"/>
    <w:rsid w:val="006B6864"/>
    <w:rsid w:val="006B6E09"/>
    <w:rsid w:val="006B70B8"/>
    <w:rsid w:val="006B70FF"/>
    <w:rsid w:val="006C053B"/>
    <w:rsid w:val="006C2BF4"/>
    <w:rsid w:val="006C35D8"/>
    <w:rsid w:val="006C3D17"/>
    <w:rsid w:val="006C41E9"/>
    <w:rsid w:val="006C442B"/>
    <w:rsid w:val="006C58FB"/>
    <w:rsid w:val="006C5F53"/>
    <w:rsid w:val="006C6751"/>
    <w:rsid w:val="006C675F"/>
    <w:rsid w:val="006C7CE4"/>
    <w:rsid w:val="006D179E"/>
    <w:rsid w:val="006D1D0B"/>
    <w:rsid w:val="006D283F"/>
    <w:rsid w:val="006D3CFE"/>
    <w:rsid w:val="006D46A8"/>
    <w:rsid w:val="006E3E17"/>
    <w:rsid w:val="006E3F9D"/>
    <w:rsid w:val="006E4008"/>
    <w:rsid w:val="006E4B8B"/>
    <w:rsid w:val="006E5899"/>
    <w:rsid w:val="006E621B"/>
    <w:rsid w:val="006E6E08"/>
    <w:rsid w:val="006F01BE"/>
    <w:rsid w:val="006F09A5"/>
    <w:rsid w:val="006F183E"/>
    <w:rsid w:val="006F2B99"/>
    <w:rsid w:val="006F605D"/>
    <w:rsid w:val="006F6AF9"/>
    <w:rsid w:val="006F6CFE"/>
    <w:rsid w:val="006F7E02"/>
    <w:rsid w:val="00700133"/>
    <w:rsid w:val="007003E9"/>
    <w:rsid w:val="00701100"/>
    <w:rsid w:val="00702058"/>
    <w:rsid w:val="0070251B"/>
    <w:rsid w:val="00702AD5"/>
    <w:rsid w:val="00702B06"/>
    <w:rsid w:val="0070340B"/>
    <w:rsid w:val="00703B93"/>
    <w:rsid w:val="0070424D"/>
    <w:rsid w:val="0070425E"/>
    <w:rsid w:val="0070425F"/>
    <w:rsid w:val="00705D20"/>
    <w:rsid w:val="00707AE0"/>
    <w:rsid w:val="00710753"/>
    <w:rsid w:val="00711780"/>
    <w:rsid w:val="00712F29"/>
    <w:rsid w:val="007149AB"/>
    <w:rsid w:val="00717821"/>
    <w:rsid w:val="00717F0C"/>
    <w:rsid w:val="007213A6"/>
    <w:rsid w:val="0072328B"/>
    <w:rsid w:val="00723F78"/>
    <w:rsid w:val="00724017"/>
    <w:rsid w:val="0072468E"/>
    <w:rsid w:val="00724B81"/>
    <w:rsid w:val="007250AD"/>
    <w:rsid w:val="007258CE"/>
    <w:rsid w:val="00725F53"/>
    <w:rsid w:val="007263D1"/>
    <w:rsid w:val="00726853"/>
    <w:rsid w:val="00726D99"/>
    <w:rsid w:val="0073074F"/>
    <w:rsid w:val="00731178"/>
    <w:rsid w:val="00732A67"/>
    <w:rsid w:val="00733336"/>
    <w:rsid w:val="00733A43"/>
    <w:rsid w:val="0073499E"/>
    <w:rsid w:val="00735B49"/>
    <w:rsid w:val="00737423"/>
    <w:rsid w:val="00737F2A"/>
    <w:rsid w:val="007444C1"/>
    <w:rsid w:val="00745394"/>
    <w:rsid w:val="00745A74"/>
    <w:rsid w:val="00745BE0"/>
    <w:rsid w:val="00746525"/>
    <w:rsid w:val="00746837"/>
    <w:rsid w:val="0074743B"/>
    <w:rsid w:val="00750352"/>
    <w:rsid w:val="00750804"/>
    <w:rsid w:val="00751CF0"/>
    <w:rsid w:val="00751D68"/>
    <w:rsid w:val="007520C1"/>
    <w:rsid w:val="00752140"/>
    <w:rsid w:val="00753930"/>
    <w:rsid w:val="00754089"/>
    <w:rsid w:val="007575FE"/>
    <w:rsid w:val="0075775C"/>
    <w:rsid w:val="00757ECB"/>
    <w:rsid w:val="00761906"/>
    <w:rsid w:val="00761C68"/>
    <w:rsid w:val="00762A8B"/>
    <w:rsid w:val="00762ED0"/>
    <w:rsid w:val="00763D78"/>
    <w:rsid w:val="00764A50"/>
    <w:rsid w:val="00765807"/>
    <w:rsid w:val="00765A2F"/>
    <w:rsid w:val="00766CCD"/>
    <w:rsid w:val="00771D65"/>
    <w:rsid w:val="00773068"/>
    <w:rsid w:val="00773518"/>
    <w:rsid w:val="007738AF"/>
    <w:rsid w:val="00774CF1"/>
    <w:rsid w:val="0077538C"/>
    <w:rsid w:val="0077650A"/>
    <w:rsid w:val="0077680E"/>
    <w:rsid w:val="00777323"/>
    <w:rsid w:val="00777329"/>
    <w:rsid w:val="00777831"/>
    <w:rsid w:val="0078043F"/>
    <w:rsid w:val="00780690"/>
    <w:rsid w:val="007809C8"/>
    <w:rsid w:val="0078140D"/>
    <w:rsid w:val="00783610"/>
    <w:rsid w:val="00783845"/>
    <w:rsid w:val="00783BEA"/>
    <w:rsid w:val="00784256"/>
    <w:rsid w:val="007842F0"/>
    <w:rsid w:val="00785739"/>
    <w:rsid w:val="00786251"/>
    <w:rsid w:val="00786798"/>
    <w:rsid w:val="00786894"/>
    <w:rsid w:val="0078752A"/>
    <w:rsid w:val="00787CB1"/>
    <w:rsid w:val="00790FE6"/>
    <w:rsid w:val="00792216"/>
    <w:rsid w:val="00792A14"/>
    <w:rsid w:val="00793106"/>
    <w:rsid w:val="0079390B"/>
    <w:rsid w:val="00793A9A"/>
    <w:rsid w:val="00794830"/>
    <w:rsid w:val="007973E3"/>
    <w:rsid w:val="007A064A"/>
    <w:rsid w:val="007A0C2F"/>
    <w:rsid w:val="007A0C4D"/>
    <w:rsid w:val="007A0FA4"/>
    <w:rsid w:val="007A1192"/>
    <w:rsid w:val="007A13E5"/>
    <w:rsid w:val="007A2FB5"/>
    <w:rsid w:val="007A3D6E"/>
    <w:rsid w:val="007A61E8"/>
    <w:rsid w:val="007A645F"/>
    <w:rsid w:val="007A660A"/>
    <w:rsid w:val="007A7272"/>
    <w:rsid w:val="007B00DA"/>
    <w:rsid w:val="007B0113"/>
    <w:rsid w:val="007B0DDF"/>
    <w:rsid w:val="007B11A3"/>
    <w:rsid w:val="007B1237"/>
    <w:rsid w:val="007B13E8"/>
    <w:rsid w:val="007B14B0"/>
    <w:rsid w:val="007B2C9F"/>
    <w:rsid w:val="007B698C"/>
    <w:rsid w:val="007B6CFE"/>
    <w:rsid w:val="007B6E9A"/>
    <w:rsid w:val="007B77A6"/>
    <w:rsid w:val="007B7DC5"/>
    <w:rsid w:val="007C03DF"/>
    <w:rsid w:val="007C0CFF"/>
    <w:rsid w:val="007C1350"/>
    <w:rsid w:val="007C248B"/>
    <w:rsid w:val="007C2DE6"/>
    <w:rsid w:val="007C3045"/>
    <w:rsid w:val="007C36D1"/>
    <w:rsid w:val="007C3B2A"/>
    <w:rsid w:val="007C4CE7"/>
    <w:rsid w:val="007C5103"/>
    <w:rsid w:val="007C5396"/>
    <w:rsid w:val="007C60B8"/>
    <w:rsid w:val="007C645F"/>
    <w:rsid w:val="007C74A4"/>
    <w:rsid w:val="007D0ED2"/>
    <w:rsid w:val="007D1EE4"/>
    <w:rsid w:val="007D23FF"/>
    <w:rsid w:val="007D264C"/>
    <w:rsid w:val="007D26D8"/>
    <w:rsid w:val="007D36FA"/>
    <w:rsid w:val="007D374E"/>
    <w:rsid w:val="007D3BF9"/>
    <w:rsid w:val="007D4059"/>
    <w:rsid w:val="007D40DF"/>
    <w:rsid w:val="007D4832"/>
    <w:rsid w:val="007D4992"/>
    <w:rsid w:val="007D4DC7"/>
    <w:rsid w:val="007D52ED"/>
    <w:rsid w:val="007D5650"/>
    <w:rsid w:val="007D5721"/>
    <w:rsid w:val="007D5BF4"/>
    <w:rsid w:val="007E25CF"/>
    <w:rsid w:val="007E4964"/>
    <w:rsid w:val="007E49CD"/>
    <w:rsid w:val="007E4B31"/>
    <w:rsid w:val="007E70AE"/>
    <w:rsid w:val="007E7162"/>
    <w:rsid w:val="007F09C7"/>
    <w:rsid w:val="007F11E7"/>
    <w:rsid w:val="007F121A"/>
    <w:rsid w:val="007F21E2"/>
    <w:rsid w:val="007F22DA"/>
    <w:rsid w:val="007F37D0"/>
    <w:rsid w:val="007F3D2D"/>
    <w:rsid w:val="007F4665"/>
    <w:rsid w:val="007F484E"/>
    <w:rsid w:val="007F5170"/>
    <w:rsid w:val="007F6157"/>
    <w:rsid w:val="007F6A8F"/>
    <w:rsid w:val="007F6F73"/>
    <w:rsid w:val="00802BA7"/>
    <w:rsid w:val="0080327F"/>
    <w:rsid w:val="00803B62"/>
    <w:rsid w:val="008043DD"/>
    <w:rsid w:val="008057F6"/>
    <w:rsid w:val="0080620E"/>
    <w:rsid w:val="00806325"/>
    <w:rsid w:val="0080664B"/>
    <w:rsid w:val="00806756"/>
    <w:rsid w:val="00807390"/>
    <w:rsid w:val="008079E1"/>
    <w:rsid w:val="008102A3"/>
    <w:rsid w:val="008102CD"/>
    <w:rsid w:val="00813B31"/>
    <w:rsid w:val="00814240"/>
    <w:rsid w:val="00814A9D"/>
    <w:rsid w:val="00816BBC"/>
    <w:rsid w:val="00817A24"/>
    <w:rsid w:val="00817EBD"/>
    <w:rsid w:val="00821DDF"/>
    <w:rsid w:val="00824171"/>
    <w:rsid w:val="00825049"/>
    <w:rsid w:val="008255D1"/>
    <w:rsid w:val="00825FDE"/>
    <w:rsid w:val="008269BC"/>
    <w:rsid w:val="0082707D"/>
    <w:rsid w:val="008310AA"/>
    <w:rsid w:val="00831590"/>
    <w:rsid w:val="008320A2"/>
    <w:rsid w:val="00832512"/>
    <w:rsid w:val="00832D6B"/>
    <w:rsid w:val="008359A4"/>
    <w:rsid w:val="00835A58"/>
    <w:rsid w:val="0083621E"/>
    <w:rsid w:val="00836419"/>
    <w:rsid w:val="0083794A"/>
    <w:rsid w:val="008408F5"/>
    <w:rsid w:val="00842377"/>
    <w:rsid w:val="00842963"/>
    <w:rsid w:val="00844B36"/>
    <w:rsid w:val="00845199"/>
    <w:rsid w:val="0084621D"/>
    <w:rsid w:val="0084694F"/>
    <w:rsid w:val="0084762D"/>
    <w:rsid w:val="00847665"/>
    <w:rsid w:val="00850200"/>
    <w:rsid w:val="00852359"/>
    <w:rsid w:val="00852E33"/>
    <w:rsid w:val="0085312D"/>
    <w:rsid w:val="0085552D"/>
    <w:rsid w:val="008566C7"/>
    <w:rsid w:val="00856B69"/>
    <w:rsid w:val="00857EA4"/>
    <w:rsid w:val="0086014C"/>
    <w:rsid w:val="00861BE3"/>
    <w:rsid w:val="00862616"/>
    <w:rsid w:val="00862C81"/>
    <w:rsid w:val="008645AE"/>
    <w:rsid w:val="00864A34"/>
    <w:rsid w:val="0086563F"/>
    <w:rsid w:val="00865871"/>
    <w:rsid w:val="00865B96"/>
    <w:rsid w:val="00866550"/>
    <w:rsid w:val="00870F4C"/>
    <w:rsid w:val="008712F4"/>
    <w:rsid w:val="00871A7D"/>
    <w:rsid w:val="008720C5"/>
    <w:rsid w:val="008736C2"/>
    <w:rsid w:val="008744D0"/>
    <w:rsid w:val="00876EFC"/>
    <w:rsid w:val="008806CC"/>
    <w:rsid w:val="00882142"/>
    <w:rsid w:val="00882201"/>
    <w:rsid w:val="00882C9C"/>
    <w:rsid w:val="00883723"/>
    <w:rsid w:val="00884072"/>
    <w:rsid w:val="008843DF"/>
    <w:rsid w:val="00884D34"/>
    <w:rsid w:val="00884EBA"/>
    <w:rsid w:val="00884EBB"/>
    <w:rsid w:val="008850FB"/>
    <w:rsid w:val="008852B0"/>
    <w:rsid w:val="008866FC"/>
    <w:rsid w:val="0088709D"/>
    <w:rsid w:val="00887192"/>
    <w:rsid w:val="00891767"/>
    <w:rsid w:val="00891CE7"/>
    <w:rsid w:val="008923A1"/>
    <w:rsid w:val="008924A5"/>
    <w:rsid w:val="00893C1D"/>
    <w:rsid w:val="00896114"/>
    <w:rsid w:val="00896273"/>
    <w:rsid w:val="0089703A"/>
    <w:rsid w:val="008977D0"/>
    <w:rsid w:val="008A019D"/>
    <w:rsid w:val="008A0969"/>
    <w:rsid w:val="008A0CDB"/>
    <w:rsid w:val="008A0EC1"/>
    <w:rsid w:val="008A129E"/>
    <w:rsid w:val="008A1DDA"/>
    <w:rsid w:val="008A1F20"/>
    <w:rsid w:val="008A6B96"/>
    <w:rsid w:val="008B0447"/>
    <w:rsid w:val="008B213D"/>
    <w:rsid w:val="008B3C31"/>
    <w:rsid w:val="008B4DC7"/>
    <w:rsid w:val="008B69E5"/>
    <w:rsid w:val="008B71C7"/>
    <w:rsid w:val="008B73FE"/>
    <w:rsid w:val="008C1B4F"/>
    <w:rsid w:val="008C2208"/>
    <w:rsid w:val="008C2EE9"/>
    <w:rsid w:val="008C3CB4"/>
    <w:rsid w:val="008D127B"/>
    <w:rsid w:val="008D1322"/>
    <w:rsid w:val="008D1412"/>
    <w:rsid w:val="008D34A5"/>
    <w:rsid w:val="008D401C"/>
    <w:rsid w:val="008D54CD"/>
    <w:rsid w:val="008D638B"/>
    <w:rsid w:val="008D6735"/>
    <w:rsid w:val="008D6940"/>
    <w:rsid w:val="008D6FC2"/>
    <w:rsid w:val="008D71F5"/>
    <w:rsid w:val="008D7717"/>
    <w:rsid w:val="008E00A1"/>
    <w:rsid w:val="008E1E98"/>
    <w:rsid w:val="008E21AE"/>
    <w:rsid w:val="008E2698"/>
    <w:rsid w:val="008E27F3"/>
    <w:rsid w:val="008E2F60"/>
    <w:rsid w:val="008E34C4"/>
    <w:rsid w:val="008E4AFC"/>
    <w:rsid w:val="008E5D8C"/>
    <w:rsid w:val="008E62DF"/>
    <w:rsid w:val="008E6FDC"/>
    <w:rsid w:val="008F1619"/>
    <w:rsid w:val="008F1F03"/>
    <w:rsid w:val="008F2056"/>
    <w:rsid w:val="008F2C83"/>
    <w:rsid w:val="008F3EBB"/>
    <w:rsid w:val="008F51E7"/>
    <w:rsid w:val="008F69EA"/>
    <w:rsid w:val="008F6FEA"/>
    <w:rsid w:val="008F7059"/>
    <w:rsid w:val="008F7218"/>
    <w:rsid w:val="008F7862"/>
    <w:rsid w:val="0090070D"/>
    <w:rsid w:val="00900F70"/>
    <w:rsid w:val="009013CC"/>
    <w:rsid w:val="009022FF"/>
    <w:rsid w:val="009026C4"/>
    <w:rsid w:val="00902760"/>
    <w:rsid w:val="0090406B"/>
    <w:rsid w:val="009046B9"/>
    <w:rsid w:val="009052B2"/>
    <w:rsid w:val="00906375"/>
    <w:rsid w:val="009064D5"/>
    <w:rsid w:val="00906778"/>
    <w:rsid w:val="009076C0"/>
    <w:rsid w:val="00907A6C"/>
    <w:rsid w:val="0091093A"/>
    <w:rsid w:val="0091121E"/>
    <w:rsid w:val="009159A3"/>
    <w:rsid w:val="009159AA"/>
    <w:rsid w:val="00915B25"/>
    <w:rsid w:val="00916367"/>
    <w:rsid w:val="00916EA7"/>
    <w:rsid w:val="00917B6D"/>
    <w:rsid w:val="00920AB9"/>
    <w:rsid w:val="009217F7"/>
    <w:rsid w:val="0092347D"/>
    <w:rsid w:val="009238A8"/>
    <w:rsid w:val="00923C8E"/>
    <w:rsid w:val="00923DDC"/>
    <w:rsid w:val="00924A81"/>
    <w:rsid w:val="00925CD1"/>
    <w:rsid w:val="00927B90"/>
    <w:rsid w:val="00927E9A"/>
    <w:rsid w:val="00930B43"/>
    <w:rsid w:val="00931C92"/>
    <w:rsid w:val="0093241D"/>
    <w:rsid w:val="009333B0"/>
    <w:rsid w:val="00934042"/>
    <w:rsid w:val="009341B2"/>
    <w:rsid w:val="0093436E"/>
    <w:rsid w:val="00934E6D"/>
    <w:rsid w:val="00936107"/>
    <w:rsid w:val="00937E8C"/>
    <w:rsid w:val="00942F06"/>
    <w:rsid w:val="00943692"/>
    <w:rsid w:val="00943EEB"/>
    <w:rsid w:val="00944BC8"/>
    <w:rsid w:val="00945CE9"/>
    <w:rsid w:val="009460A0"/>
    <w:rsid w:val="0094638A"/>
    <w:rsid w:val="00946469"/>
    <w:rsid w:val="00946753"/>
    <w:rsid w:val="00947390"/>
    <w:rsid w:val="009477B7"/>
    <w:rsid w:val="009505EA"/>
    <w:rsid w:val="0095365A"/>
    <w:rsid w:val="00953CAA"/>
    <w:rsid w:val="00954B5D"/>
    <w:rsid w:val="00954C25"/>
    <w:rsid w:val="00954FA2"/>
    <w:rsid w:val="00957B80"/>
    <w:rsid w:val="00960D64"/>
    <w:rsid w:val="00961210"/>
    <w:rsid w:val="009613DA"/>
    <w:rsid w:val="00961CE1"/>
    <w:rsid w:val="009625AA"/>
    <w:rsid w:val="0096499C"/>
    <w:rsid w:val="00965688"/>
    <w:rsid w:val="00965C81"/>
    <w:rsid w:val="0096603A"/>
    <w:rsid w:val="009663D6"/>
    <w:rsid w:val="00972FFD"/>
    <w:rsid w:val="00973287"/>
    <w:rsid w:val="009740B6"/>
    <w:rsid w:val="00976206"/>
    <w:rsid w:val="0097728C"/>
    <w:rsid w:val="009779C9"/>
    <w:rsid w:val="00977AAB"/>
    <w:rsid w:val="0098119F"/>
    <w:rsid w:val="0098157E"/>
    <w:rsid w:val="00981DEF"/>
    <w:rsid w:val="00983859"/>
    <w:rsid w:val="00984097"/>
    <w:rsid w:val="00984403"/>
    <w:rsid w:val="00984934"/>
    <w:rsid w:val="00986F93"/>
    <w:rsid w:val="00992159"/>
    <w:rsid w:val="00992D9D"/>
    <w:rsid w:val="0099309C"/>
    <w:rsid w:val="00993193"/>
    <w:rsid w:val="009933A0"/>
    <w:rsid w:val="009947C7"/>
    <w:rsid w:val="00994ADD"/>
    <w:rsid w:val="00994F5E"/>
    <w:rsid w:val="00995702"/>
    <w:rsid w:val="0099621D"/>
    <w:rsid w:val="00997C76"/>
    <w:rsid w:val="009A0AB2"/>
    <w:rsid w:val="009A0F3A"/>
    <w:rsid w:val="009A2321"/>
    <w:rsid w:val="009A266F"/>
    <w:rsid w:val="009A4852"/>
    <w:rsid w:val="009A4A81"/>
    <w:rsid w:val="009A5382"/>
    <w:rsid w:val="009A66B8"/>
    <w:rsid w:val="009A6CFF"/>
    <w:rsid w:val="009A7C3C"/>
    <w:rsid w:val="009B02E3"/>
    <w:rsid w:val="009B04FE"/>
    <w:rsid w:val="009B1422"/>
    <w:rsid w:val="009B3FCE"/>
    <w:rsid w:val="009B667C"/>
    <w:rsid w:val="009B7B87"/>
    <w:rsid w:val="009B7C3B"/>
    <w:rsid w:val="009B7E22"/>
    <w:rsid w:val="009C044E"/>
    <w:rsid w:val="009C1993"/>
    <w:rsid w:val="009C2C01"/>
    <w:rsid w:val="009C2FFA"/>
    <w:rsid w:val="009C3625"/>
    <w:rsid w:val="009C3E27"/>
    <w:rsid w:val="009C3E88"/>
    <w:rsid w:val="009C435E"/>
    <w:rsid w:val="009C5939"/>
    <w:rsid w:val="009C5980"/>
    <w:rsid w:val="009C6694"/>
    <w:rsid w:val="009C6E9A"/>
    <w:rsid w:val="009C7700"/>
    <w:rsid w:val="009D0D60"/>
    <w:rsid w:val="009D0F21"/>
    <w:rsid w:val="009D1174"/>
    <w:rsid w:val="009D1790"/>
    <w:rsid w:val="009D21D2"/>
    <w:rsid w:val="009D28CD"/>
    <w:rsid w:val="009D319A"/>
    <w:rsid w:val="009D3CF1"/>
    <w:rsid w:val="009D41A2"/>
    <w:rsid w:val="009D495D"/>
    <w:rsid w:val="009D49F1"/>
    <w:rsid w:val="009D4DD4"/>
    <w:rsid w:val="009D5750"/>
    <w:rsid w:val="009D5CC1"/>
    <w:rsid w:val="009D65D1"/>
    <w:rsid w:val="009D6921"/>
    <w:rsid w:val="009D70F2"/>
    <w:rsid w:val="009D71B1"/>
    <w:rsid w:val="009D77AB"/>
    <w:rsid w:val="009D7BC5"/>
    <w:rsid w:val="009E06D3"/>
    <w:rsid w:val="009E1260"/>
    <w:rsid w:val="009E37D7"/>
    <w:rsid w:val="009E3B2C"/>
    <w:rsid w:val="009E3C3D"/>
    <w:rsid w:val="009E3E7F"/>
    <w:rsid w:val="009E4982"/>
    <w:rsid w:val="009E58D4"/>
    <w:rsid w:val="009E66D2"/>
    <w:rsid w:val="009E714D"/>
    <w:rsid w:val="009E7C96"/>
    <w:rsid w:val="009F02DA"/>
    <w:rsid w:val="009F1188"/>
    <w:rsid w:val="009F387E"/>
    <w:rsid w:val="009F55F9"/>
    <w:rsid w:val="009F571A"/>
    <w:rsid w:val="009F646A"/>
    <w:rsid w:val="009F6770"/>
    <w:rsid w:val="009F6C45"/>
    <w:rsid w:val="009F6CC7"/>
    <w:rsid w:val="009F7011"/>
    <w:rsid w:val="009F76FD"/>
    <w:rsid w:val="009F7F49"/>
    <w:rsid w:val="00A0085D"/>
    <w:rsid w:val="00A013EC"/>
    <w:rsid w:val="00A01441"/>
    <w:rsid w:val="00A02408"/>
    <w:rsid w:val="00A0452C"/>
    <w:rsid w:val="00A07BDF"/>
    <w:rsid w:val="00A07F53"/>
    <w:rsid w:val="00A07F66"/>
    <w:rsid w:val="00A124EA"/>
    <w:rsid w:val="00A12F64"/>
    <w:rsid w:val="00A12FE8"/>
    <w:rsid w:val="00A1413A"/>
    <w:rsid w:val="00A14147"/>
    <w:rsid w:val="00A14360"/>
    <w:rsid w:val="00A1761A"/>
    <w:rsid w:val="00A17A71"/>
    <w:rsid w:val="00A21346"/>
    <w:rsid w:val="00A2159E"/>
    <w:rsid w:val="00A228DE"/>
    <w:rsid w:val="00A22C3F"/>
    <w:rsid w:val="00A232C4"/>
    <w:rsid w:val="00A232C7"/>
    <w:rsid w:val="00A2358C"/>
    <w:rsid w:val="00A23E05"/>
    <w:rsid w:val="00A24BC9"/>
    <w:rsid w:val="00A24ED3"/>
    <w:rsid w:val="00A25083"/>
    <w:rsid w:val="00A25647"/>
    <w:rsid w:val="00A27D97"/>
    <w:rsid w:val="00A27E69"/>
    <w:rsid w:val="00A27F4C"/>
    <w:rsid w:val="00A304E1"/>
    <w:rsid w:val="00A30817"/>
    <w:rsid w:val="00A30F83"/>
    <w:rsid w:val="00A3196A"/>
    <w:rsid w:val="00A32360"/>
    <w:rsid w:val="00A32784"/>
    <w:rsid w:val="00A32969"/>
    <w:rsid w:val="00A32CA6"/>
    <w:rsid w:val="00A34611"/>
    <w:rsid w:val="00A34949"/>
    <w:rsid w:val="00A34F24"/>
    <w:rsid w:val="00A34FD6"/>
    <w:rsid w:val="00A35251"/>
    <w:rsid w:val="00A35301"/>
    <w:rsid w:val="00A35A73"/>
    <w:rsid w:val="00A363B3"/>
    <w:rsid w:val="00A37DA4"/>
    <w:rsid w:val="00A37E3A"/>
    <w:rsid w:val="00A42A88"/>
    <w:rsid w:val="00A4321C"/>
    <w:rsid w:val="00A436F4"/>
    <w:rsid w:val="00A450F1"/>
    <w:rsid w:val="00A454A0"/>
    <w:rsid w:val="00A45AEA"/>
    <w:rsid w:val="00A45C76"/>
    <w:rsid w:val="00A47959"/>
    <w:rsid w:val="00A50755"/>
    <w:rsid w:val="00A51986"/>
    <w:rsid w:val="00A5220F"/>
    <w:rsid w:val="00A53F21"/>
    <w:rsid w:val="00A543A6"/>
    <w:rsid w:val="00A5548E"/>
    <w:rsid w:val="00A556B1"/>
    <w:rsid w:val="00A578EF"/>
    <w:rsid w:val="00A61BC8"/>
    <w:rsid w:val="00A61EFF"/>
    <w:rsid w:val="00A631A3"/>
    <w:rsid w:val="00A63D65"/>
    <w:rsid w:val="00A65B5C"/>
    <w:rsid w:val="00A6619E"/>
    <w:rsid w:val="00A66F2E"/>
    <w:rsid w:val="00A7010C"/>
    <w:rsid w:val="00A72667"/>
    <w:rsid w:val="00A736C6"/>
    <w:rsid w:val="00A7386A"/>
    <w:rsid w:val="00A75682"/>
    <w:rsid w:val="00A76F94"/>
    <w:rsid w:val="00A770A6"/>
    <w:rsid w:val="00A77E2C"/>
    <w:rsid w:val="00A80BA3"/>
    <w:rsid w:val="00A819D4"/>
    <w:rsid w:val="00A81A69"/>
    <w:rsid w:val="00A82276"/>
    <w:rsid w:val="00A82772"/>
    <w:rsid w:val="00A82EC1"/>
    <w:rsid w:val="00A833B0"/>
    <w:rsid w:val="00A84374"/>
    <w:rsid w:val="00A84D3F"/>
    <w:rsid w:val="00A84E4F"/>
    <w:rsid w:val="00A86549"/>
    <w:rsid w:val="00A86F16"/>
    <w:rsid w:val="00A87372"/>
    <w:rsid w:val="00A8756B"/>
    <w:rsid w:val="00A87FA3"/>
    <w:rsid w:val="00A90219"/>
    <w:rsid w:val="00A90413"/>
    <w:rsid w:val="00A92612"/>
    <w:rsid w:val="00A94355"/>
    <w:rsid w:val="00A94482"/>
    <w:rsid w:val="00A947E9"/>
    <w:rsid w:val="00A948FD"/>
    <w:rsid w:val="00A95569"/>
    <w:rsid w:val="00A95897"/>
    <w:rsid w:val="00A97EE5"/>
    <w:rsid w:val="00AA0F40"/>
    <w:rsid w:val="00AA1E04"/>
    <w:rsid w:val="00AA2101"/>
    <w:rsid w:val="00AA2CFD"/>
    <w:rsid w:val="00AA2F48"/>
    <w:rsid w:val="00AA49EA"/>
    <w:rsid w:val="00AA5C63"/>
    <w:rsid w:val="00AA6342"/>
    <w:rsid w:val="00AA6787"/>
    <w:rsid w:val="00AA688C"/>
    <w:rsid w:val="00AA7EDE"/>
    <w:rsid w:val="00AB00FC"/>
    <w:rsid w:val="00AB1BE9"/>
    <w:rsid w:val="00AB3C5D"/>
    <w:rsid w:val="00AB3EB0"/>
    <w:rsid w:val="00AB3EE8"/>
    <w:rsid w:val="00AB44E2"/>
    <w:rsid w:val="00AB521F"/>
    <w:rsid w:val="00AB5354"/>
    <w:rsid w:val="00AB7047"/>
    <w:rsid w:val="00AC105A"/>
    <w:rsid w:val="00AC11CC"/>
    <w:rsid w:val="00AC3109"/>
    <w:rsid w:val="00AC3D0B"/>
    <w:rsid w:val="00AC416F"/>
    <w:rsid w:val="00AC4C2E"/>
    <w:rsid w:val="00AC5730"/>
    <w:rsid w:val="00AC59DC"/>
    <w:rsid w:val="00AC5BF9"/>
    <w:rsid w:val="00AC6D97"/>
    <w:rsid w:val="00AC7465"/>
    <w:rsid w:val="00AD0895"/>
    <w:rsid w:val="00AD1B0E"/>
    <w:rsid w:val="00AD1FCA"/>
    <w:rsid w:val="00AD29B1"/>
    <w:rsid w:val="00AD363E"/>
    <w:rsid w:val="00AD3EBB"/>
    <w:rsid w:val="00AD4DAF"/>
    <w:rsid w:val="00AD60A8"/>
    <w:rsid w:val="00AE0100"/>
    <w:rsid w:val="00AE0A03"/>
    <w:rsid w:val="00AE0B46"/>
    <w:rsid w:val="00AE0DA0"/>
    <w:rsid w:val="00AE1A10"/>
    <w:rsid w:val="00AE1C4B"/>
    <w:rsid w:val="00AE42EB"/>
    <w:rsid w:val="00AE4484"/>
    <w:rsid w:val="00AE47E7"/>
    <w:rsid w:val="00AE6442"/>
    <w:rsid w:val="00AF0530"/>
    <w:rsid w:val="00AF079A"/>
    <w:rsid w:val="00AF1A28"/>
    <w:rsid w:val="00AF2F12"/>
    <w:rsid w:val="00AF376B"/>
    <w:rsid w:val="00AF4BBB"/>
    <w:rsid w:val="00AF4E89"/>
    <w:rsid w:val="00AF630B"/>
    <w:rsid w:val="00AF6CF7"/>
    <w:rsid w:val="00AF7DC6"/>
    <w:rsid w:val="00B00743"/>
    <w:rsid w:val="00B0148C"/>
    <w:rsid w:val="00B0182D"/>
    <w:rsid w:val="00B01FDB"/>
    <w:rsid w:val="00B03732"/>
    <w:rsid w:val="00B03A65"/>
    <w:rsid w:val="00B03C5A"/>
    <w:rsid w:val="00B058D6"/>
    <w:rsid w:val="00B05FAE"/>
    <w:rsid w:val="00B06185"/>
    <w:rsid w:val="00B06940"/>
    <w:rsid w:val="00B06BB5"/>
    <w:rsid w:val="00B07AF3"/>
    <w:rsid w:val="00B07F2B"/>
    <w:rsid w:val="00B10333"/>
    <w:rsid w:val="00B10AE5"/>
    <w:rsid w:val="00B10F0E"/>
    <w:rsid w:val="00B114D8"/>
    <w:rsid w:val="00B115B5"/>
    <w:rsid w:val="00B11DF9"/>
    <w:rsid w:val="00B13013"/>
    <w:rsid w:val="00B13B00"/>
    <w:rsid w:val="00B166DB"/>
    <w:rsid w:val="00B172DD"/>
    <w:rsid w:val="00B17AD0"/>
    <w:rsid w:val="00B17D4A"/>
    <w:rsid w:val="00B20FA4"/>
    <w:rsid w:val="00B2230F"/>
    <w:rsid w:val="00B23743"/>
    <w:rsid w:val="00B246D0"/>
    <w:rsid w:val="00B24F2B"/>
    <w:rsid w:val="00B25D6E"/>
    <w:rsid w:val="00B26CEC"/>
    <w:rsid w:val="00B30377"/>
    <w:rsid w:val="00B307E1"/>
    <w:rsid w:val="00B30C99"/>
    <w:rsid w:val="00B324E5"/>
    <w:rsid w:val="00B336FC"/>
    <w:rsid w:val="00B337CB"/>
    <w:rsid w:val="00B356DC"/>
    <w:rsid w:val="00B36DF5"/>
    <w:rsid w:val="00B37498"/>
    <w:rsid w:val="00B37B5C"/>
    <w:rsid w:val="00B37D24"/>
    <w:rsid w:val="00B424ED"/>
    <w:rsid w:val="00B428E9"/>
    <w:rsid w:val="00B42ECF"/>
    <w:rsid w:val="00B44062"/>
    <w:rsid w:val="00B443CD"/>
    <w:rsid w:val="00B44DBC"/>
    <w:rsid w:val="00B45599"/>
    <w:rsid w:val="00B46140"/>
    <w:rsid w:val="00B50C64"/>
    <w:rsid w:val="00B5139C"/>
    <w:rsid w:val="00B520F8"/>
    <w:rsid w:val="00B53447"/>
    <w:rsid w:val="00B5497A"/>
    <w:rsid w:val="00B5744A"/>
    <w:rsid w:val="00B61B65"/>
    <w:rsid w:val="00B62318"/>
    <w:rsid w:val="00B631D9"/>
    <w:rsid w:val="00B64CB5"/>
    <w:rsid w:val="00B65B10"/>
    <w:rsid w:val="00B662AA"/>
    <w:rsid w:val="00B66863"/>
    <w:rsid w:val="00B6730E"/>
    <w:rsid w:val="00B67FFA"/>
    <w:rsid w:val="00B70E5A"/>
    <w:rsid w:val="00B71007"/>
    <w:rsid w:val="00B7166B"/>
    <w:rsid w:val="00B721DB"/>
    <w:rsid w:val="00B73CF4"/>
    <w:rsid w:val="00B73EA5"/>
    <w:rsid w:val="00B73EE9"/>
    <w:rsid w:val="00B76800"/>
    <w:rsid w:val="00B7732D"/>
    <w:rsid w:val="00B801B1"/>
    <w:rsid w:val="00B8032D"/>
    <w:rsid w:val="00B81D8F"/>
    <w:rsid w:val="00B82620"/>
    <w:rsid w:val="00B8344E"/>
    <w:rsid w:val="00B85A26"/>
    <w:rsid w:val="00B861AF"/>
    <w:rsid w:val="00B87695"/>
    <w:rsid w:val="00B87994"/>
    <w:rsid w:val="00B87A03"/>
    <w:rsid w:val="00B9053F"/>
    <w:rsid w:val="00B9080F"/>
    <w:rsid w:val="00B92030"/>
    <w:rsid w:val="00B93102"/>
    <w:rsid w:val="00B93739"/>
    <w:rsid w:val="00B94BBC"/>
    <w:rsid w:val="00B9523C"/>
    <w:rsid w:val="00B95C1C"/>
    <w:rsid w:val="00BA09A4"/>
    <w:rsid w:val="00BA0B08"/>
    <w:rsid w:val="00BA0E45"/>
    <w:rsid w:val="00BA1023"/>
    <w:rsid w:val="00BA2614"/>
    <w:rsid w:val="00BA73B4"/>
    <w:rsid w:val="00BA7FCF"/>
    <w:rsid w:val="00BB15E4"/>
    <w:rsid w:val="00BB5DD7"/>
    <w:rsid w:val="00BB76A3"/>
    <w:rsid w:val="00BB7C95"/>
    <w:rsid w:val="00BB7CF6"/>
    <w:rsid w:val="00BC0D91"/>
    <w:rsid w:val="00BC19E6"/>
    <w:rsid w:val="00BC2A0A"/>
    <w:rsid w:val="00BC325F"/>
    <w:rsid w:val="00BC3B17"/>
    <w:rsid w:val="00BC3E3B"/>
    <w:rsid w:val="00BC3F14"/>
    <w:rsid w:val="00BC5C19"/>
    <w:rsid w:val="00BC6886"/>
    <w:rsid w:val="00BC7E5E"/>
    <w:rsid w:val="00BD0551"/>
    <w:rsid w:val="00BD0AE1"/>
    <w:rsid w:val="00BD0B50"/>
    <w:rsid w:val="00BD1E51"/>
    <w:rsid w:val="00BD2073"/>
    <w:rsid w:val="00BD250F"/>
    <w:rsid w:val="00BD34D9"/>
    <w:rsid w:val="00BD488A"/>
    <w:rsid w:val="00BD5D9D"/>
    <w:rsid w:val="00BD60DE"/>
    <w:rsid w:val="00BD6495"/>
    <w:rsid w:val="00BD71D7"/>
    <w:rsid w:val="00BE0147"/>
    <w:rsid w:val="00BE10F9"/>
    <w:rsid w:val="00BE2B47"/>
    <w:rsid w:val="00BE4341"/>
    <w:rsid w:val="00BE6D2D"/>
    <w:rsid w:val="00BE7244"/>
    <w:rsid w:val="00BE7D41"/>
    <w:rsid w:val="00BF01F8"/>
    <w:rsid w:val="00BF12AB"/>
    <w:rsid w:val="00BF1749"/>
    <w:rsid w:val="00BF177D"/>
    <w:rsid w:val="00BF261B"/>
    <w:rsid w:val="00BF347C"/>
    <w:rsid w:val="00BF42A2"/>
    <w:rsid w:val="00BF431E"/>
    <w:rsid w:val="00BF4624"/>
    <w:rsid w:val="00BF53B6"/>
    <w:rsid w:val="00BF5814"/>
    <w:rsid w:val="00BF598D"/>
    <w:rsid w:val="00BF5D17"/>
    <w:rsid w:val="00C013EC"/>
    <w:rsid w:val="00C0275B"/>
    <w:rsid w:val="00C05754"/>
    <w:rsid w:val="00C05A92"/>
    <w:rsid w:val="00C06A29"/>
    <w:rsid w:val="00C078EF"/>
    <w:rsid w:val="00C079F2"/>
    <w:rsid w:val="00C12262"/>
    <w:rsid w:val="00C1347D"/>
    <w:rsid w:val="00C14810"/>
    <w:rsid w:val="00C14B91"/>
    <w:rsid w:val="00C15BD5"/>
    <w:rsid w:val="00C15BF3"/>
    <w:rsid w:val="00C15DC5"/>
    <w:rsid w:val="00C16314"/>
    <w:rsid w:val="00C166ED"/>
    <w:rsid w:val="00C16E2A"/>
    <w:rsid w:val="00C174F2"/>
    <w:rsid w:val="00C20A84"/>
    <w:rsid w:val="00C21666"/>
    <w:rsid w:val="00C21E7A"/>
    <w:rsid w:val="00C221C1"/>
    <w:rsid w:val="00C227D4"/>
    <w:rsid w:val="00C24504"/>
    <w:rsid w:val="00C26965"/>
    <w:rsid w:val="00C27992"/>
    <w:rsid w:val="00C27D35"/>
    <w:rsid w:val="00C27DA5"/>
    <w:rsid w:val="00C27F59"/>
    <w:rsid w:val="00C303AE"/>
    <w:rsid w:val="00C3313C"/>
    <w:rsid w:val="00C34878"/>
    <w:rsid w:val="00C35295"/>
    <w:rsid w:val="00C35C89"/>
    <w:rsid w:val="00C363EE"/>
    <w:rsid w:val="00C368C4"/>
    <w:rsid w:val="00C37B5D"/>
    <w:rsid w:val="00C40449"/>
    <w:rsid w:val="00C40971"/>
    <w:rsid w:val="00C416F0"/>
    <w:rsid w:val="00C436D4"/>
    <w:rsid w:val="00C43EB3"/>
    <w:rsid w:val="00C449A5"/>
    <w:rsid w:val="00C46CB4"/>
    <w:rsid w:val="00C50DB4"/>
    <w:rsid w:val="00C50DE1"/>
    <w:rsid w:val="00C50F36"/>
    <w:rsid w:val="00C51D09"/>
    <w:rsid w:val="00C53245"/>
    <w:rsid w:val="00C53309"/>
    <w:rsid w:val="00C544C7"/>
    <w:rsid w:val="00C55046"/>
    <w:rsid w:val="00C554FB"/>
    <w:rsid w:val="00C56E63"/>
    <w:rsid w:val="00C57104"/>
    <w:rsid w:val="00C60684"/>
    <w:rsid w:val="00C608A7"/>
    <w:rsid w:val="00C62C55"/>
    <w:rsid w:val="00C63BD1"/>
    <w:rsid w:val="00C64BD6"/>
    <w:rsid w:val="00C65A98"/>
    <w:rsid w:val="00C672F6"/>
    <w:rsid w:val="00C7156C"/>
    <w:rsid w:val="00C71642"/>
    <w:rsid w:val="00C71679"/>
    <w:rsid w:val="00C717D3"/>
    <w:rsid w:val="00C71DF0"/>
    <w:rsid w:val="00C72070"/>
    <w:rsid w:val="00C745B0"/>
    <w:rsid w:val="00C74AFC"/>
    <w:rsid w:val="00C753E6"/>
    <w:rsid w:val="00C759AD"/>
    <w:rsid w:val="00C768B0"/>
    <w:rsid w:val="00C77A8C"/>
    <w:rsid w:val="00C81C39"/>
    <w:rsid w:val="00C823AB"/>
    <w:rsid w:val="00C8329F"/>
    <w:rsid w:val="00C84447"/>
    <w:rsid w:val="00C84A48"/>
    <w:rsid w:val="00C87244"/>
    <w:rsid w:val="00C8768F"/>
    <w:rsid w:val="00C87F72"/>
    <w:rsid w:val="00C92165"/>
    <w:rsid w:val="00C92444"/>
    <w:rsid w:val="00C927D7"/>
    <w:rsid w:val="00C93BFE"/>
    <w:rsid w:val="00C95AF3"/>
    <w:rsid w:val="00C95C21"/>
    <w:rsid w:val="00C97169"/>
    <w:rsid w:val="00CA233E"/>
    <w:rsid w:val="00CA3B37"/>
    <w:rsid w:val="00CA3D46"/>
    <w:rsid w:val="00CA492B"/>
    <w:rsid w:val="00CA5187"/>
    <w:rsid w:val="00CA57E3"/>
    <w:rsid w:val="00CA5A22"/>
    <w:rsid w:val="00CA5D9E"/>
    <w:rsid w:val="00CA5F7B"/>
    <w:rsid w:val="00CA60E0"/>
    <w:rsid w:val="00CA728E"/>
    <w:rsid w:val="00CA72D4"/>
    <w:rsid w:val="00CB086B"/>
    <w:rsid w:val="00CB16C3"/>
    <w:rsid w:val="00CB238B"/>
    <w:rsid w:val="00CB2D9A"/>
    <w:rsid w:val="00CB437E"/>
    <w:rsid w:val="00CB4386"/>
    <w:rsid w:val="00CB43F9"/>
    <w:rsid w:val="00CB49F2"/>
    <w:rsid w:val="00CB4A5A"/>
    <w:rsid w:val="00CB4E77"/>
    <w:rsid w:val="00CB521E"/>
    <w:rsid w:val="00CB636A"/>
    <w:rsid w:val="00CC1B00"/>
    <w:rsid w:val="00CC2DCC"/>
    <w:rsid w:val="00CC3591"/>
    <w:rsid w:val="00CC3ED7"/>
    <w:rsid w:val="00CC4DBE"/>
    <w:rsid w:val="00CC543E"/>
    <w:rsid w:val="00CC5775"/>
    <w:rsid w:val="00CC59F6"/>
    <w:rsid w:val="00CC5B7C"/>
    <w:rsid w:val="00CC6D39"/>
    <w:rsid w:val="00CD0356"/>
    <w:rsid w:val="00CD0B22"/>
    <w:rsid w:val="00CD3738"/>
    <w:rsid w:val="00CD41F9"/>
    <w:rsid w:val="00CD4644"/>
    <w:rsid w:val="00CD4AAA"/>
    <w:rsid w:val="00CD69B4"/>
    <w:rsid w:val="00CD6CA5"/>
    <w:rsid w:val="00CD6F13"/>
    <w:rsid w:val="00CD6F60"/>
    <w:rsid w:val="00CD76DD"/>
    <w:rsid w:val="00CE01E2"/>
    <w:rsid w:val="00CE0E43"/>
    <w:rsid w:val="00CE1219"/>
    <w:rsid w:val="00CE1435"/>
    <w:rsid w:val="00CE2D8B"/>
    <w:rsid w:val="00CE5F4C"/>
    <w:rsid w:val="00CE6650"/>
    <w:rsid w:val="00CE6EEC"/>
    <w:rsid w:val="00CE783D"/>
    <w:rsid w:val="00CE7F2B"/>
    <w:rsid w:val="00CF04B1"/>
    <w:rsid w:val="00CF2655"/>
    <w:rsid w:val="00CF485F"/>
    <w:rsid w:val="00CF4DD7"/>
    <w:rsid w:val="00CF572D"/>
    <w:rsid w:val="00CF5EA3"/>
    <w:rsid w:val="00CF5F66"/>
    <w:rsid w:val="00CF6C6E"/>
    <w:rsid w:val="00CF7602"/>
    <w:rsid w:val="00CF7AFB"/>
    <w:rsid w:val="00CF7E70"/>
    <w:rsid w:val="00D006E6"/>
    <w:rsid w:val="00D00F7F"/>
    <w:rsid w:val="00D00FA0"/>
    <w:rsid w:val="00D01A23"/>
    <w:rsid w:val="00D04736"/>
    <w:rsid w:val="00D0479B"/>
    <w:rsid w:val="00D04CF7"/>
    <w:rsid w:val="00D059E3"/>
    <w:rsid w:val="00D06513"/>
    <w:rsid w:val="00D10C8D"/>
    <w:rsid w:val="00D10D07"/>
    <w:rsid w:val="00D112D8"/>
    <w:rsid w:val="00D11CC0"/>
    <w:rsid w:val="00D12DA1"/>
    <w:rsid w:val="00D1379F"/>
    <w:rsid w:val="00D13F0F"/>
    <w:rsid w:val="00D13F8B"/>
    <w:rsid w:val="00D177DE"/>
    <w:rsid w:val="00D17A3C"/>
    <w:rsid w:val="00D200F0"/>
    <w:rsid w:val="00D20B46"/>
    <w:rsid w:val="00D20B52"/>
    <w:rsid w:val="00D22C77"/>
    <w:rsid w:val="00D2402C"/>
    <w:rsid w:val="00D24098"/>
    <w:rsid w:val="00D242C7"/>
    <w:rsid w:val="00D24626"/>
    <w:rsid w:val="00D24DE5"/>
    <w:rsid w:val="00D25350"/>
    <w:rsid w:val="00D26CA8"/>
    <w:rsid w:val="00D3001A"/>
    <w:rsid w:val="00D30164"/>
    <w:rsid w:val="00D3149E"/>
    <w:rsid w:val="00D31D67"/>
    <w:rsid w:val="00D331ED"/>
    <w:rsid w:val="00D33B3A"/>
    <w:rsid w:val="00D34781"/>
    <w:rsid w:val="00D37CE9"/>
    <w:rsid w:val="00D37E06"/>
    <w:rsid w:val="00D4056B"/>
    <w:rsid w:val="00D406B2"/>
    <w:rsid w:val="00D4084B"/>
    <w:rsid w:val="00D4090F"/>
    <w:rsid w:val="00D4128B"/>
    <w:rsid w:val="00D4164C"/>
    <w:rsid w:val="00D4195A"/>
    <w:rsid w:val="00D4239D"/>
    <w:rsid w:val="00D4363B"/>
    <w:rsid w:val="00D43D92"/>
    <w:rsid w:val="00D44868"/>
    <w:rsid w:val="00D45691"/>
    <w:rsid w:val="00D45FBF"/>
    <w:rsid w:val="00D46917"/>
    <w:rsid w:val="00D47760"/>
    <w:rsid w:val="00D47908"/>
    <w:rsid w:val="00D47E0F"/>
    <w:rsid w:val="00D47F5B"/>
    <w:rsid w:val="00D50042"/>
    <w:rsid w:val="00D50B7A"/>
    <w:rsid w:val="00D518F5"/>
    <w:rsid w:val="00D522F2"/>
    <w:rsid w:val="00D52D67"/>
    <w:rsid w:val="00D53ACA"/>
    <w:rsid w:val="00D53F0F"/>
    <w:rsid w:val="00D540CF"/>
    <w:rsid w:val="00D54DF2"/>
    <w:rsid w:val="00D5550D"/>
    <w:rsid w:val="00D5620A"/>
    <w:rsid w:val="00D56B94"/>
    <w:rsid w:val="00D578F9"/>
    <w:rsid w:val="00D57F8B"/>
    <w:rsid w:val="00D60920"/>
    <w:rsid w:val="00D613EA"/>
    <w:rsid w:val="00D61721"/>
    <w:rsid w:val="00D62A03"/>
    <w:rsid w:val="00D63281"/>
    <w:rsid w:val="00D6333E"/>
    <w:rsid w:val="00D64613"/>
    <w:rsid w:val="00D70B83"/>
    <w:rsid w:val="00D719D2"/>
    <w:rsid w:val="00D7263E"/>
    <w:rsid w:val="00D7472A"/>
    <w:rsid w:val="00D75099"/>
    <w:rsid w:val="00D75F45"/>
    <w:rsid w:val="00D76C72"/>
    <w:rsid w:val="00D80137"/>
    <w:rsid w:val="00D80F17"/>
    <w:rsid w:val="00D81EC7"/>
    <w:rsid w:val="00D823CB"/>
    <w:rsid w:val="00D82861"/>
    <w:rsid w:val="00D83783"/>
    <w:rsid w:val="00D85A15"/>
    <w:rsid w:val="00D86952"/>
    <w:rsid w:val="00D86C8D"/>
    <w:rsid w:val="00D8758B"/>
    <w:rsid w:val="00D90056"/>
    <w:rsid w:val="00D921AC"/>
    <w:rsid w:val="00D93D08"/>
    <w:rsid w:val="00D94139"/>
    <w:rsid w:val="00D95CEE"/>
    <w:rsid w:val="00D961DD"/>
    <w:rsid w:val="00D966BA"/>
    <w:rsid w:val="00D9690C"/>
    <w:rsid w:val="00D96DE1"/>
    <w:rsid w:val="00D96E5E"/>
    <w:rsid w:val="00D970E4"/>
    <w:rsid w:val="00D97F51"/>
    <w:rsid w:val="00DA0690"/>
    <w:rsid w:val="00DA1990"/>
    <w:rsid w:val="00DA2F4A"/>
    <w:rsid w:val="00DA4605"/>
    <w:rsid w:val="00DA49AC"/>
    <w:rsid w:val="00DA50E3"/>
    <w:rsid w:val="00DA6392"/>
    <w:rsid w:val="00DB0CBF"/>
    <w:rsid w:val="00DB1AFB"/>
    <w:rsid w:val="00DB217D"/>
    <w:rsid w:val="00DB2F85"/>
    <w:rsid w:val="00DB4616"/>
    <w:rsid w:val="00DB4C2D"/>
    <w:rsid w:val="00DB6A5E"/>
    <w:rsid w:val="00DB72A2"/>
    <w:rsid w:val="00DC1D1A"/>
    <w:rsid w:val="00DC357C"/>
    <w:rsid w:val="00DC54CF"/>
    <w:rsid w:val="00DC6791"/>
    <w:rsid w:val="00DC6A95"/>
    <w:rsid w:val="00DC7D5A"/>
    <w:rsid w:val="00DD14DB"/>
    <w:rsid w:val="00DD1652"/>
    <w:rsid w:val="00DD19C2"/>
    <w:rsid w:val="00DD398D"/>
    <w:rsid w:val="00DD5951"/>
    <w:rsid w:val="00DD5D33"/>
    <w:rsid w:val="00DD6621"/>
    <w:rsid w:val="00DD6BA7"/>
    <w:rsid w:val="00DD6C1A"/>
    <w:rsid w:val="00DE0B4D"/>
    <w:rsid w:val="00DE522A"/>
    <w:rsid w:val="00DE61CC"/>
    <w:rsid w:val="00DE6D72"/>
    <w:rsid w:val="00DE6E13"/>
    <w:rsid w:val="00DE7401"/>
    <w:rsid w:val="00DF23C7"/>
    <w:rsid w:val="00DF2AB3"/>
    <w:rsid w:val="00DF3021"/>
    <w:rsid w:val="00DF358F"/>
    <w:rsid w:val="00DF3F84"/>
    <w:rsid w:val="00DF4100"/>
    <w:rsid w:val="00DF51B5"/>
    <w:rsid w:val="00DF5B7F"/>
    <w:rsid w:val="00DF66C5"/>
    <w:rsid w:val="00DF710A"/>
    <w:rsid w:val="00DF78F9"/>
    <w:rsid w:val="00E01672"/>
    <w:rsid w:val="00E03BAA"/>
    <w:rsid w:val="00E0528A"/>
    <w:rsid w:val="00E0547C"/>
    <w:rsid w:val="00E059DB"/>
    <w:rsid w:val="00E06014"/>
    <w:rsid w:val="00E0605F"/>
    <w:rsid w:val="00E108A5"/>
    <w:rsid w:val="00E11C4D"/>
    <w:rsid w:val="00E12E9E"/>
    <w:rsid w:val="00E13AC7"/>
    <w:rsid w:val="00E16657"/>
    <w:rsid w:val="00E16CB2"/>
    <w:rsid w:val="00E20114"/>
    <w:rsid w:val="00E20562"/>
    <w:rsid w:val="00E217C5"/>
    <w:rsid w:val="00E21D90"/>
    <w:rsid w:val="00E22C60"/>
    <w:rsid w:val="00E23D97"/>
    <w:rsid w:val="00E24903"/>
    <w:rsid w:val="00E2503C"/>
    <w:rsid w:val="00E26CDF"/>
    <w:rsid w:val="00E26EEA"/>
    <w:rsid w:val="00E309A2"/>
    <w:rsid w:val="00E30CC2"/>
    <w:rsid w:val="00E31145"/>
    <w:rsid w:val="00E31261"/>
    <w:rsid w:val="00E31574"/>
    <w:rsid w:val="00E31854"/>
    <w:rsid w:val="00E326DB"/>
    <w:rsid w:val="00E33327"/>
    <w:rsid w:val="00E3368A"/>
    <w:rsid w:val="00E3498D"/>
    <w:rsid w:val="00E3664B"/>
    <w:rsid w:val="00E36B21"/>
    <w:rsid w:val="00E42477"/>
    <w:rsid w:val="00E43ED8"/>
    <w:rsid w:val="00E448B3"/>
    <w:rsid w:val="00E44A35"/>
    <w:rsid w:val="00E45281"/>
    <w:rsid w:val="00E45E65"/>
    <w:rsid w:val="00E47165"/>
    <w:rsid w:val="00E47DDC"/>
    <w:rsid w:val="00E5191D"/>
    <w:rsid w:val="00E51BAC"/>
    <w:rsid w:val="00E51D73"/>
    <w:rsid w:val="00E52A29"/>
    <w:rsid w:val="00E532C3"/>
    <w:rsid w:val="00E53EC6"/>
    <w:rsid w:val="00E55268"/>
    <w:rsid w:val="00E55FF6"/>
    <w:rsid w:val="00E561C3"/>
    <w:rsid w:val="00E5662A"/>
    <w:rsid w:val="00E603AD"/>
    <w:rsid w:val="00E61635"/>
    <w:rsid w:val="00E61814"/>
    <w:rsid w:val="00E61F25"/>
    <w:rsid w:val="00E64052"/>
    <w:rsid w:val="00E65579"/>
    <w:rsid w:val="00E66136"/>
    <w:rsid w:val="00E6682D"/>
    <w:rsid w:val="00E66A90"/>
    <w:rsid w:val="00E66DF8"/>
    <w:rsid w:val="00E703E8"/>
    <w:rsid w:val="00E7141A"/>
    <w:rsid w:val="00E71AB1"/>
    <w:rsid w:val="00E71C77"/>
    <w:rsid w:val="00E72C3D"/>
    <w:rsid w:val="00E737BE"/>
    <w:rsid w:val="00E74860"/>
    <w:rsid w:val="00E75077"/>
    <w:rsid w:val="00E75CB7"/>
    <w:rsid w:val="00E7607A"/>
    <w:rsid w:val="00E76524"/>
    <w:rsid w:val="00E7656B"/>
    <w:rsid w:val="00E7714C"/>
    <w:rsid w:val="00E77174"/>
    <w:rsid w:val="00E77FF6"/>
    <w:rsid w:val="00E804D3"/>
    <w:rsid w:val="00E808F6"/>
    <w:rsid w:val="00E82477"/>
    <w:rsid w:val="00E828F8"/>
    <w:rsid w:val="00E82993"/>
    <w:rsid w:val="00E82E98"/>
    <w:rsid w:val="00E82F71"/>
    <w:rsid w:val="00E83291"/>
    <w:rsid w:val="00E833CA"/>
    <w:rsid w:val="00E84443"/>
    <w:rsid w:val="00E84A20"/>
    <w:rsid w:val="00E84C9A"/>
    <w:rsid w:val="00E85606"/>
    <w:rsid w:val="00E87DB6"/>
    <w:rsid w:val="00E9047E"/>
    <w:rsid w:val="00E9049A"/>
    <w:rsid w:val="00E90A54"/>
    <w:rsid w:val="00E91416"/>
    <w:rsid w:val="00E92571"/>
    <w:rsid w:val="00E92B6A"/>
    <w:rsid w:val="00E951E5"/>
    <w:rsid w:val="00E97526"/>
    <w:rsid w:val="00E97671"/>
    <w:rsid w:val="00EA0005"/>
    <w:rsid w:val="00EA28E1"/>
    <w:rsid w:val="00EA31E5"/>
    <w:rsid w:val="00EA330E"/>
    <w:rsid w:val="00EA3A52"/>
    <w:rsid w:val="00EA5300"/>
    <w:rsid w:val="00EA7972"/>
    <w:rsid w:val="00EA7A75"/>
    <w:rsid w:val="00EB07F0"/>
    <w:rsid w:val="00EB1656"/>
    <w:rsid w:val="00EB1954"/>
    <w:rsid w:val="00EB3069"/>
    <w:rsid w:val="00EB30D8"/>
    <w:rsid w:val="00EB3973"/>
    <w:rsid w:val="00EB44D8"/>
    <w:rsid w:val="00EB4C6C"/>
    <w:rsid w:val="00EB5938"/>
    <w:rsid w:val="00EB61B6"/>
    <w:rsid w:val="00EB7276"/>
    <w:rsid w:val="00EC13CE"/>
    <w:rsid w:val="00EC1712"/>
    <w:rsid w:val="00EC20B8"/>
    <w:rsid w:val="00EC3BE0"/>
    <w:rsid w:val="00EC7BFE"/>
    <w:rsid w:val="00ED1FE6"/>
    <w:rsid w:val="00ED282F"/>
    <w:rsid w:val="00ED2E85"/>
    <w:rsid w:val="00ED441B"/>
    <w:rsid w:val="00ED62E7"/>
    <w:rsid w:val="00ED6367"/>
    <w:rsid w:val="00ED6A85"/>
    <w:rsid w:val="00ED6FB0"/>
    <w:rsid w:val="00ED7249"/>
    <w:rsid w:val="00EE08D8"/>
    <w:rsid w:val="00EE16BB"/>
    <w:rsid w:val="00EE2614"/>
    <w:rsid w:val="00EE3DC3"/>
    <w:rsid w:val="00EE53A6"/>
    <w:rsid w:val="00EE5587"/>
    <w:rsid w:val="00EE64B2"/>
    <w:rsid w:val="00EE7F90"/>
    <w:rsid w:val="00EF021E"/>
    <w:rsid w:val="00EF029A"/>
    <w:rsid w:val="00EF08B7"/>
    <w:rsid w:val="00EF2CBC"/>
    <w:rsid w:val="00EF328C"/>
    <w:rsid w:val="00EF4118"/>
    <w:rsid w:val="00EF757F"/>
    <w:rsid w:val="00F0208D"/>
    <w:rsid w:val="00F02438"/>
    <w:rsid w:val="00F0261B"/>
    <w:rsid w:val="00F0293A"/>
    <w:rsid w:val="00F03720"/>
    <w:rsid w:val="00F03C6E"/>
    <w:rsid w:val="00F03D8F"/>
    <w:rsid w:val="00F03DBA"/>
    <w:rsid w:val="00F04FD3"/>
    <w:rsid w:val="00F053D9"/>
    <w:rsid w:val="00F0613B"/>
    <w:rsid w:val="00F06889"/>
    <w:rsid w:val="00F0753E"/>
    <w:rsid w:val="00F07834"/>
    <w:rsid w:val="00F07A83"/>
    <w:rsid w:val="00F07BFA"/>
    <w:rsid w:val="00F11043"/>
    <w:rsid w:val="00F11D88"/>
    <w:rsid w:val="00F11E36"/>
    <w:rsid w:val="00F12452"/>
    <w:rsid w:val="00F143F5"/>
    <w:rsid w:val="00F14E02"/>
    <w:rsid w:val="00F160D6"/>
    <w:rsid w:val="00F2137A"/>
    <w:rsid w:val="00F2325C"/>
    <w:rsid w:val="00F232BB"/>
    <w:rsid w:val="00F23B1D"/>
    <w:rsid w:val="00F24B1A"/>
    <w:rsid w:val="00F26DED"/>
    <w:rsid w:val="00F27008"/>
    <w:rsid w:val="00F27272"/>
    <w:rsid w:val="00F275C1"/>
    <w:rsid w:val="00F302D1"/>
    <w:rsid w:val="00F3060D"/>
    <w:rsid w:val="00F312CB"/>
    <w:rsid w:val="00F32883"/>
    <w:rsid w:val="00F332F6"/>
    <w:rsid w:val="00F34AB0"/>
    <w:rsid w:val="00F34E58"/>
    <w:rsid w:val="00F35C6B"/>
    <w:rsid w:val="00F3625C"/>
    <w:rsid w:val="00F37192"/>
    <w:rsid w:val="00F40F35"/>
    <w:rsid w:val="00F40F39"/>
    <w:rsid w:val="00F4195E"/>
    <w:rsid w:val="00F42469"/>
    <w:rsid w:val="00F428CF"/>
    <w:rsid w:val="00F43268"/>
    <w:rsid w:val="00F4378E"/>
    <w:rsid w:val="00F43901"/>
    <w:rsid w:val="00F45D7B"/>
    <w:rsid w:val="00F469AA"/>
    <w:rsid w:val="00F502F0"/>
    <w:rsid w:val="00F50E7C"/>
    <w:rsid w:val="00F50FF9"/>
    <w:rsid w:val="00F53641"/>
    <w:rsid w:val="00F54D11"/>
    <w:rsid w:val="00F54D1A"/>
    <w:rsid w:val="00F553FD"/>
    <w:rsid w:val="00F62E3A"/>
    <w:rsid w:val="00F633BB"/>
    <w:rsid w:val="00F64DCC"/>
    <w:rsid w:val="00F64E06"/>
    <w:rsid w:val="00F65324"/>
    <w:rsid w:val="00F6562E"/>
    <w:rsid w:val="00F6642A"/>
    <w:rsid w:val="00F67A38"/>
    <w:rsid w:val="00F67E05"/>
    <w:rsid w:val="00F7049A"/>
    <w:rsid w:val="00F71A20"/>
    <w:rsid w:val="00F72177"/>
    <w:rsid w:val="00F72E6C"/>
    <w:rsid w:val="00F73255"/>
    <w:rsid w:val="00F74071"/>
    <w:rsid w:val="00F7454A"/>
    <w:rsid w:val="00F7538C"/>
    <w:rsid w:val="00F7644D"/>
    <w:rsid w:val="00F76D47"/>
    <w:rsid w:val="00F77D51"/>
    <w:rsid w:val="00F77F90"/>
    <w:rsid w:val="00F800FA"/>
    <w:rsid w:val="00F801A2"/>
    <w:rsid w:val="00F80696"/>
    <w:rsid w:val="00F80DCD"/>
    <w:rsid w:val="00F81707"/>
    <w:rsid w:val="00F81CDE"/>
    <w:rsid w:val="00F82577"/>
    <w:rsid w:val="00F83E74"/>
    <w:rsid w:val="00F86F3C"/>
    <w:rsid w:val="00F8708D"/>
    <w:rsid w:val="00F871DD"/>
    <w:rsid w:val="00F8742B"/>
    <w:rsid w:val="00F914FD"/>
    <w:rsid w:val="00F92DD8"/>
    <w:rsid w:val="00F939FA"/>
    <w:rsid w:val="00F942DA"/>
    <w:rsid w:val="00F95E7C"/>
    <w:rsid w:val="00F96ED2"/>
    <w:rsid w:val="00F9722A"/>
    <w:rsid w:val="00F978AA"/>
    <w:rsid w:val="00F97B6D"/>
    <w:rsid w:val="00F97B72"/>
    <w:rsid w:val="00FA04A2"/>
    <w:rsid w:val="00FA0760"/>
    <w:rsid w:val="00FA1EA8"/>
    <w:rsid w:val="00FA2292"/>
    <w:rsid w:val="00FA2650"/>
    <w:rsid w:val="00FA4C2F"/>
    <w:rsid w:val="00FA4DB2"/>
    <w:rsid w:val="00FA4DF3"/>
    <w:rsid w:val="00FA6264"/>
    <w:rsid w:val="00FA628B"/>
    <w:rsid w:val="00FB04A9"/>
    <w:rsid w:val="00FB05A4"/>
    <w:rsid w:val="00FB0D1D"/>
    <w:rsid w:val="00FB1F86"/>
    <w:rsid w:val="00FB2063"/>
    <w:rsid w:val="00FB3324"/>
    <w:rsid w:val="00FB398D"/>
    <w:rsid w:val="00FB499B"/>
    <w:rsid w:val="00FB71BC"/>
    <w:rsid w:val="00FB7590"/>
    <w:rsid w:val="00FC07E6"/>
    <w:rsid w:val="00FC1930"/>
    <w:rsid w:val="00FC2DC6"/>
    <w:rsid w:val="00FC3EDB"/>
    <w:rsid w:val="00FC43D3"/>
    <w:rsid w:val="00FC4E29"/>
    <w:rsid w:val="00FC5177"/>
    <w:rsid w:val="00FC5FAE"/>
    <w:rsid w:val="00FC67CE"/>
    <w:rsid w:val="00FD10B9"/>
    <w:rsid w:val="00FD1741"/>
    <w:rsid w:val="00FD1E1E"/>
    <w:rsid w:val="00FD2307"/>
    <w:rsid w:val="00FD262C"/>
    <w:rsid w:val="00FD4156"/>
    <w:rsid w:val="00FD51A0"/>
    <w:rsid w:val="00FD51B4"/>
    <w:rsid w:val="00FD64F3"/>
    <w:rsid w:val="00FE0D38"/>
    <w:rsid w:val="00FE0E9E"/>
    <w:rsid w:val="00FE207A"/>
    <w:rsid w:val="00FE3A49"/>
    <w:rsid w:val="00FE4463"/>
    <w:rsid w:val="00FE457F"/>
    <w:rsid w:val="00FE4F79"/>
    <w:rsid w:val="00FE5405"/>
    <w:rsid w:val="00FE5E04"/>
    <w:rsid w:val="00FE643A"/>
    <w:rsid w:val="00FE6585"/>
    <w:rsid w:val="00FE6F86"/>
    <w:rsid w:val="00FE7B19"/>
    <w:rsid w:val="00FE7F5B"/>
    <w:rsid w:val="00FF2D50"/>
    <w:rsid w:val="00FF3787"/>
    <w:rsid w:val="00FF388B"/>
    <w:rsid w:val="00FF3BAC"/>
    <w:rsid w:val="00FF3F45"/>
    <w:rsid w:val="00FF49A6"/>
    <w:rsid w:val="00FF4DEF"/>
    <w:rsid w:val="00FF4F1A"/>
    <w:rsid w:val="00FF5B17"/>
    <w:rsid w:val="00FF61EF"/>
    <w:rsid w:val="00FF6768"/>
    <w:rsid w:val="00FF6EFB"/>
    <w:rsid w:val="00FF70A9"/>
    <w:rsid w:val="00FF7412"/>
    <w:rsid w:val="0221485F"/>
    <w:rsid w:val="02B153D1"/>
    <w:rsid w:val="02F96024"/>
    <w:rsid w:val="0329417E"/>
    <w:rsid w:val="033B259E"/>
    <w:rsid w:val="036D7417"/>
    <w:rsid w:val="03A85140"/>
    <w:rsid w:val="0434177F"/>
    <w:rsid w:val="0599759D"/>
    <w:rsid w:val="076C77C6"/>
    <w:rsid w:val="07B81D5A"/>
    <w:rsid w:val="07F83A19"/>
    <w:rsid w:val="0868426A"/>
    <w:rsid w:val="08813296"/>
    <w:rsid w:val="09395E5E"/>
    <w:rsid w:val="09DB7527"/>
    <w:rsid w:val="09E0252C"/>
    <w:rsid w:val="09E6185B"/>
    <w:rsid w:val="0A6C6846"/>
    <w:rsid w:val="0A8212E8"/>
    <w:rsid w:val="0A9742C4"/>
    <w:rsid w:val="0AC519D3"/>
    <w:rsid w:val="0AE349C5"/>
    <w:rsid w:val="0B1C69C7"/>
    <w:rsid w:val="0B1F5B3C"/>
    <w:rsid w:val="0B4765DB"/>
    <w:rsid w:val="0B521678"/>
    <w:rsid w:val="0BAE7D97"/>
    <w:rsid w:val="0BF85455"/>
    <w:rsid w:val="0C2F766A"/>
    <w:rsid w:val="0C6F45A3"/>
    <w:rsid w:val="0DDC125D"/>
    <w:rsid w:val="0E9E3FE7"/>
    <w:rsid w:val="10454345"/>
    <w:rsid w:val="111E768F"/>
    <w:rsid w:val="120B0F4B"/>
    <w:rsid w:val="13203999"/>
    <w:rsid w:val="13BC5EBC"/>
    <w:rsid w:val="13DC2025"/>
    <w:rsid w:val="14D5509D"/>
    <w:rsid w:val="16817DF4"/>
    <w:rsid w:val="16B56BE3"/>
    <w:rsid w:val="16EB610E"/>
    <w:rsid w:val="178B45CD"/>
    <w:rsid w:val="18990A0A"/>
    <w:rsid w:val="18ED3EEC"/>
    <w:rsid w:val="19B770C6"/>
    <w:rsid w:val="19F400C6"/>
    <w:rsid w:val="1A224A5D"/>
    <w:rsid w:val="1A7E64D8"/>
    <w:rsid w:val="1A92496E"/>
    <w:rsid w:val="1AC81A4B"/>
    <w:rsid w:val="1AEB2836"/>
    <w:rsid w:val="1B8754BB"/>
    <w:rsid w:val="1BBA5DAB"/>
    <w:rsid w:val="1D222CEF"/>
    <w:rsid w:val="1D5F73D7"/>
    <w:rsid w:val="1DA72E4D"/>
    <w:rsid w:val="1E2A7191"/>
    <w:rsid w:val="1EB1351B"/>
    <w:rsid w:val="1F0C3D50"/>
    <w:rsid w:val="1F3E734E"/>
    <w:rsid w:val="1F86727A"/>
    <w:rsid w:val="1F8F7E26"/>
    <w:rsid w:val="1FB83B1C"/>
    <w:rsid w:val="1FC967E3"/>
    <w:rsid w:val="20C015E8"/>
    <w:rsid w:val="20EA531B"/>
    <w:rsid w:val="21082DA3"/>
    <w:rsid w:val="21E220E8"/>
    <w:rsid w:val="227D5876"/>
    <w:rsid w:val="228B769C"/>
    <w:rsid w:val="22AC77CF"/>
    <w:rsid w:val="22DB008C"/>
    <w:rsid w:val="238177B2"/>
    <w:rsid w:val="23940733"/>
    <w:rsid w:val="23C04761"/>
    <w:rsid w:val="23D533D9"/>
    <w:rsid w:val="24134E54"/>
    <w:rsid w:val="243F2563"/>
    <w:rsid w:val="24581972"/>
    <w:rsid w:val="251E1FFF"/>
    <w:rsid w:val="27F154A2"/>
    <w:rsid w:val="27FA3611"/>
    <w:rsid w:val="29894BBD"/>
    <w:rsid w:val="29A053DC"/>
    <w:rsid w:val="2A403786"/>
    <w:rsid w:val="2B3109E2"/>
    <w:rsid w:val="2BDB28F8"/>
    <w:rsid w:val="2BE63883"/>
    <w:rsid w:val="2BEF1B59"/>
    <w:rsid w:val="2D2E6929"/>
    <w:rsid w:val="2D88571B"/>
    <w:rsid w:val="2E0C4DEE"/>
    <w:rsid w:val="2E1E481C"/>
    <w:rsid w:val="2E3179C8"/>
    <w:rsid w:val="2E497622"/>
    <w:rsid w:val="2EE91FB0"/>
    <w:rsid w:val="2F696112"/>
    <w:rsid w:val="2F8D026B"/>
    <w:rsid w:val="2FCE4569"/>
    <w:rsid w:val="30100F4D"/>
    <w:rsid w:val="304A388A"/>
    <w:rsid w:val="3097235B"/>
    <w:rsid w:val="30E770AF"/>
    <w:rsid w:val="317D25A8"/>
    <w:rsid w:val="31957792"/>
    <w:rsid w:val="319C6612"/>
    <w:rsid w:val="31E2000F"/>
    <w:rsid w:val="31F35E0B"/>
    <w:rsid w:val="322D38C6"/>
    <w:rsid w:val="33ED1D84"/>
    <w:rsid w:val="34775974"/>
    <w:rsid w:val="36980E23"/>
    <w:rsid w:val="36F065CB"/>
    <w:rsid w:val="377924B5"/>
    <w:rsid w:val="378E53B8"/>
    <w:rsid w:val="37F934C0"/>
    <w:rsid w:val="39011ED9"/>
    <w:rsid w:val="39E60105"/>
    <w:rsid w:val="3A3B7187"/>
    <w:rsid w:val="3ADE7B13"/>
    <w:rsid w:val="3BA20B12"/>
    <w:rsid w:val="3C165F66"/>
    <w:rsid w:val="3C2B0F98"/>
    <w:rsid w:val="3C9056B7"/>
    <w:rsid w:val="3DB57981"/>
    <w:rsid w:val="3E8C2373"/>
    <w:rsid w:val="3EB8233B"/>
    <w:rsid w:val="3F077912"/>
    <w:rsid w:val="3FCE1DD4"/>
    <w:rsid w:val="4048097D"/>
    <w:rsid w:val="42796D57"/>
    <w:rsid w:val="42B1140C"/>
    <w:rsid w:val="42BB2BC7"/>
    <w:rsid w:val="433151C3"/>
    <w:rsid w:val="43BC564C"/>
    <w:rsid w:val="43F86E3A"/>
    <w:rsid w:val="44590C0A"/>
    <w:rsid w:val="450456E6"/>
    <w:rsid w:val="45257731"/>
    <w:rsid w:val="453C7530"/>
    <w:rsid w:val="457C6335"/>
    <w:rsid w:val="465C76D5"/>
    <w:rsid w:val="46612B59"/>
    <w:rsid w:val="471A00A0"/>
    <w:rsid w:val="4733756C"/>
    <w:rsid w:val="475D7F58"/>
    <w:rsid w:val="477E459C"/>
    <w:rsid w:val="47AE7F52"/>
    <w:rsid w:val="480872DA"/>
    <w:rsid w:val="481D5D23"/>
    <w:rsid w:val="49061338"/>
    <w:rsid w:val="49BC1BE5"/>
    <w:rsid w:val="4A100671"/>
    <w:rsid w:val="4A857491"/>
    <w:rsid w:val="4AAD63CC"/>
    <w:rsid w:val="4B232195"/>
    <w:rsid w:val="4C725547"/>
    <w:rsid w:val="4CB4518C"/>
    <w:rsid w:val="4CB6363D"/>
    <w:rsid w:val="4D047095"/>
    <w:rsid w:val="4D23771D"/>
    <w:rsid w:val="4E397133"/>
    <w:rsid w:val="4E847AF1"/>
    <w:rsid w:val="4F450A93"/>
    <w:rsid w:val="4F58285A"/>
    <w:rsid w:val="500E1C75"/>
    <w:rsid w:val="517F4EA8"/>
    <w:rsid w:val="519330EC"/>
    <w:rsid w:val="51CA3430"/>
    <w:rsid w:val="52247FF0"/>
    <w:rsid w:val="52543EB5"/>
    <w:rsid w:val="526E02A5"/>
    <w:rsid w:val="536C19C8"/>
    <w:rsid w:val="53B8155F"/>
    <w:rsid w:val="54342BFC"/>
    <w:rsid w:val="544755C6"/>
    <w:rsid w:val="5462468B"/>
    <w:rsid w:val="54994979"/>
    <w:rsid w:val="551C25F1"/>
    <w:rsid w:val="55B62931"/>
    <w:rsid w:val="56280E81"/>
    <w:rsid w:val="5628633C"/>
    <w:rsid w:val="563E5B18"/>
    <w:rsid w:val="56FE5CEA"/>
    <w:rsid w:val="574D6BDE"/>
    <w:rsid w:val="5854113A"/>
    <w:rsid w:val="586D5560"/>
    <w:rsid w:val="59530879"/>
    <w:rsid w:val="598A408B"/>
    <w:rsid w:val="59AF6582"/>
    <w:rsid w:val="59C37479"/>
    <w:rsid w:val="59EA7EAF"/>
    <w:rsid w:val="5A5928DF"/>
    <w:rsid w:val="5A6E3098"/>
    <w:rsid w:val="5A7E2B9A"/>
    <w:rsid w:val="5B866C91"/>
    <w:rsid w:val="5B9309C0"/>
    <w:rsid w:val="5BEF361B"/>
    <w:rsid w:val="5BFD47F0"/>
    <w:rsid w:val="5C1923C1"/>
    <w:rsid w:val="5C964AD5"/>
    <w:rsid w:val="5CC35C67"/>
    <w:rsid w:val="5E296CDA"/>
    <w:rsid w:val="5E2D6537"/>
    <w:rsid w:val="5EB43361"/>
    <w:rsid w:val="5FB04115"/>
    <w:rsid w:val="5FF55412"/>
    <w:rsid w:val="609D1C50"/>
    <w:rsid w:val="610E2753"/>
    <w:rsid w:val="61296C26"/>
    <w:rsid w:val="61C86CA3"/>
    <w:rsid w:val="62293550"/>
    <w:rsid w:val="629F7063"/>
    <w:rsid w:val="63710F95"/>
    <w:rsid w:val="6486487B"/>
    <w:rsid w:val="64A92562"/>
    <w:rsid w:val="64CF42E3"/>
    <w:rsid w:val="64F31149"/>
    <w:rsid w:val="64FD01CF"/>
    <w:rsid w:val="65E60CBC"/>
    <w:rsid w:val="663C1A0D"/>
    <w:rsid w:val="66D26940"/>
    <w:rsid w:val="66FB6A88"/>
    <w:rsid w:val="67DF6AF4"/>
    <w:rsid w:val="69AC60D1"/>
    <w:rsid w:val="69C074AA"/>
    <w:rsid w:val="69E3792E"/>
    <w:rsid w:val="6BBC3DA5"/>
    <w:rsid w:val="6BCF16EA"/>
    <w:rsid w:val="6D0E3068"/>
    <w:rsid w:val="6D873E04"/>
    <w:rsid w:val="6DAF51BB"/>
    <w:rsid w:val="703B6EE2"/>
    <w:rsid w:val="71110254"/>
    <w:rsid w:val="73DF1DF7"/>
    <w:rsid w:val="74D2627F"/>
    <w:rsid w:val="75A95E3F"/>
    <w:rsid w:val="76705743"/>
    <w:rsid w:val="76BF2AE2"/>
    <w:rsid w:val="782C3EE4"/>
    <w:rsid w:val="7A2C0AE0"/>
    <w:rsid w:val="7B4D7DF4"/>
    <w:rsid w:val="7BA8052F"/>
    <w:rsid w:val="7DFD5D6D"/>
    <w:rsid w:val="7EDB7BB0"/>
    <w:rsid w:val="7FB20BCE"/>
    <w:rsid w:val="7FBA72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20C9644"/>
  <w15:docId w15:val="{4EB2CD30-590A-4591-A516-63E786D89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iPriority="0" w:qFormat="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unhideWhenUsed="1" w:qFormat="1"/>
    <w:lsdException w:name="footer" w:uiPriority="0" w:unhideWhenUsed="1" w:qFormat="1"/>
    <w:lsdException w:name="index heading" w:semiHidden="1" w:uiPriority="0" w:qFormat="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semiHidden="1" w:unhideWhenUsed="1"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uiPriority="0" w:qFormat="1"/>
    <w:lsdException w:name="List Bullet 3" w:uiPriority="0"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qFormat="1"/>
    <w:lsdException w:name="Body Text Indent" w:uiPriority="0" w:qFormat="1"/>
    <w:lsdException w:name="List Continue" w:uiPriority="0" w:qFormat="1"/>
    <w:lsdException w:name="List Continue 2" w:uiPriority="0"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uiPriority="0" w:qFormat="1"/>
    <w:lsdException w:name="Note Heading"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qFormat="1"/>
    <w:lsdException w:name="Strong" w:uiPriority="0" w:qFormat="1"/>
    <w:lsdException w:name="Emphasis" w:uiPriority="2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uiPriority="0" w:qFormat="1"/>
    <w:lsdException w:name="HTML Address" w:uiPriority="0" w:qFormat="1"/>
    <w:lsdException w:name="HTML Cite" w:uiPriority="0" w:qFormat="1"/>
    <w:lsdException w:name="HTML Code" w:uiPriority="0" w:qFormat="1"/>
    <w:lsdException w:name="HTML Definition" w:uiPriority="0" w:qFormat="1"/>
    <w:lsdException w:name="HTML Keyboard" w:uiPriority="0" w:qFormat="1"/>
    <w:lsdException w:name="HTML Preformatted" w:qFormat="1"/>
    <w:lsdException w:name="HTML Sample" w:uiPriority="0" w:qFormat="1"/>
    <w:lsdException w:name="HTML Typewriter" w:uiPriority="0" w:qFormat="1"/>
    <w:lsdException w:name="HTML Variable" w:uiPriority="0" w:qFormat="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iPriority="0" w:unhideWhenUsed="1" w:qFormat="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qFormat="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iPriority="0" w:unhideWhenUsed="1" w:qFormat="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3">
    <w:name w:val="Normal"/>
    <w:next w:val="Default"/>
    <w:qFormat/>
    <w:pPr>
      <w:widowControl w:val="0"/>
      <w:jc w:val="both"/>
    </w:pPr>
    <w:rPr>
      <w:kern w:val="2"/>
      <w:sz w:val="21"/>
      <w:szCs w:val="24"/>
    </w:rPr>
  </w:style>
  <w:style w:type="paragraph" w:styleId="1">
    <w:name w:val="heading 1"/>
    <w:basedOn w:val="af3"/>
    <w:next w:val="af3"/>
    <w:link w:val="10"/>
    <w:uiPriority w:val="9"/>
    <w:qFormat/>
    <w:pPr>
      <w:keepNext/>
      <w:keepLines/>
      <w:spacing w:before="340" w:after="330" w:line="578" w:lineRule="auto"/>
      <w:jc w:val="center"/>
      <w:outlineLvl w:val="0"/>
    </w:pPr>
    <w:rPr>
      <w:b/>
      <w:bCs/>
      <w:spacing w:val="20"/>
      <w:kern w:val="44"/>
      <w:sz w:val="32"/>
      <w:szCs w:val="44"/>
    </w:rPr>
  </w:style>
  <w:style w:type="paragraph" w:styleId="2">
    <w:name w:val="heading 2"/>
    <w:basedOn w:val="af3"/>
    <w:next w:val="af3"/>
    <w:link w:val="20"/>
    <w:qFormat/>
    <w:pPr>
      <w:keepNext/>
      <w:keepLines/>
      <w:spacing w:before="260" w:after="260" w:line="416" w:lineRule="auto"/>
      <w:outlineLvl w:val="1"/>
    </w:pPr>
    <w:rPr>
      <w:rFonts w:ascii="Arial" w:eastAsia="黑体" w:hAnsi="Arial"/>
      <w:b/>
      <w:bCs/>
      <w:spacing w:val="20"/>
      <w:sz w:val="32"/>
      <w:szCs w:val="32"/>
    </w:rPr>
  </w:style>
  <w:style w:type="paragraph" w:styleId="3">
    <w:name w:val="heading 3"/>
    <w:basedOn w:val="af3"/>
    <w:next w:val="af3"/>
    <w:link w:val="30"/>
    <w:qFormat/>
    <w:pPr>
      <w:keepNext/>
      <w:keepLines/>
      <w:spacing w:before="260" w:after="260" w:line="416" w:lineRule="auto"/>
      <w:outlineLvl w:val="2"/>
    </w:pPr>
    <w:rPr>
      <w:b/>
      <w:bCs/>
      <w:spacing w:val="20"/>
      <w:sz w:val="32"/>
      <w:szCs w:val="32"/>
    </w:rPr>
  </w:style>
  <w:style w:type="paragraph" w:styleId="4">
    <w:name w:val="heading 4"/>
    <w:basedOn w:val="af3"/>
    <w:next w:val="af3"/>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3"/>
    <w:next w:val="af4"/>
    <w:link w:val="50"/>
    <w:qFormat/>
    <w:pPr>
      <w:keepNext/>
      <w:keepLines/>
      <w:spacing w:before="280" w:after="290" w:line="376" w:lineRule="auto"/>
      <w:outlineLvl w:val="4"/>
    </w:pPr>
    <w:rPr>
      <w:b/>
      <w:sz w:val="28"/>
      <w:szCs w:val="20"/>
    </w:rPr>
  </w:style>
  <w:style w:type="paragraph" w:styleId="6">
    <w:name w:val="heading 6"/>
    <w:basedOn w:val="af3"/>
    <w:next w:val="af4"/>
    <w:link w:val="60"/>
    <w:qFormat/>
    <w:pPr>
      <w:keepNext/>
      <w:keepLines/>
      <w:spacing w:before="240" w:after="64" w:line="320" w:lineRule="auto"/>
      <w:outlineLvl w:val="5"/>
    </w:pPr>
    <w:rPr>
      <w:rFonts w:ascii="Arial" w:eastAsia="黑体" w:hAnsi="Arial"/>
      <w:b/>
      <w:sz w:val="24"/>
      <w:szCs w:val="20"/>
    </w:rPr>
  </w:style>
  <w:style w:type="paragraph" w:styleId="7">
    <w:name w:val="heading 7"/>
    <w:basedOn w:val="af3"/>
    <w:next w:val="af4"/>
    <w:link w:val="70"/>
    <w:qFormat/>
    <w:pPr>
      <w:keepNext/>
      <w:keepLines/>
      <w:spacing w:before="240" w:after="64" w:line="320" w:lineRule="auto"/>
      <w:outlineLvl w:val="6"/>
    </w:pPr>
    <w:rPr>
      <w:b/>
      <w:sz w:val="24"/>
      <w:szCs w:val="20"/>
    </w:rPr>
  </w:style>
  <w:style w:type="paragraph" w:styleId="8">
    <w:name w:val="heading 8"/>
    <w:basedOn w:val="af3"/>
    <w:next w:val="af4"/>
    <w:link w:val="80"/>
    <w:qFormat/>
    <w:pPr>
      <w:keepNext/>
      <w:keepLines/>
      <w:spacing w:before="240" w:after="64" w:line="320" w:lineRule="auto"/>
      <w:outlineLvl w:val="7"/>
    </w:pPr>
    <w:rPr>
      <w:rFonts w:ascii="Arial" w:eastAsia="黑体" w:hAnsi="Arial"/>
      <w:sz w:val="24"/>
      <w:szCs w:val="20"/>
    </w:rPr>
  </w:style>
  <w:style w:type="paragraph" w:styleId="9">
    <w:name w:val="heading 9"/>
    <w:basedOn w:val="af3"/>
    <w:next w:val="af4"/>
    <w:link w:val="90"/>
    <w:qFormat/>
    <w:pPr>
      <w:keepNext/>
      <w:keepLines/>
      <w:spacing w:before="240" w:after="64" w:line="320" w:lineRule="auto"/>
      <w:outlineLvl w:val="8"/>
    </w:pPr>
    <w:rPr>
      <w:rFonts w:ascii="Arial" w:eastAsia="黑体" w:hAnsi="Arial"/>
      <w:szCs w:val="20"/>
    </w:rPr>
  </w:style>
  <w:style w:type="character" w:default="1" w:styleId="af5">
    <w:name w:val="Default Paragraph Font"/>
    <w:uiPriority w:val="1"/>
    <w:semiHidden/>
    <w:unhideWhenUsed/>
  </w:style>
  <w:style w:type="table" w:default="1" w:styleId="af6">
    <w:name w:val="Normal Table"/>
    <w:uiPriority w:val="99"/>
    <w:semiHidden/>
    <w:unhideWhenUsed/>
    <w:tblPr>
      <w:tblInd w:w="0" w:type="dxa"/>
      <w:tblCellMar>
        <w:top w:w="0" w:type="dxa"/>
        <w:left w:w="108" w:type="dxa"/>
        <w:bottom w:w="0" w:type="dxa"/>
        <w:right w:w="108" w:type="dxa"/>
      </w:tblCellMar>
    </w:tblPr>
  </w:style>
  <w:style w:type="numbering" w:default="1" w:styleId="af7">
    <w:name w:val="No List"/>
    <w:uiPriority w:val="99"/>
    <w:semiHidden/>
    <w:unhideWhenUsed/>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styleId="af4">
    <w:name w:val="Normal Indent"/>
    <w:basedOn w:val="af3"/>
    <w:link w:val="af8"/>
    <w:qFormat/>
    <w:pPr>
      <w:ind w:firstLine="420"/>
    </w:pPr>
    <w:rPr>
      <w:szCs w:val="20"/>
    </w:rPr>
  </w:style>
  <w:style w:type="paragraph" w:styleId="31">
    <w:name w:val="List 3"/>
    <w:basedOn w:val="af3"/>
    <w:qFormat/>
    <w:pPr>
      <w:ind w:leftChars="400" w:left="100" w:hangingChars="200" w:hanging="200"/>
    </w:pPr>
    <w:rPr>
      <w:szCs w:val="20"/>
    </w:rPr>
  </w:style>
  <w:style w:type="paragraph" w:styleId="TOC7">
    <w:name w:val="toc 7"/>
    <w:basedOn w:val="af3"/>
    <w:next w:val="af3"/>
    <w:uiPriority w:val="39"/>
    <w:qFormat/>
    <w:pPr>
      <w:ind w:left="1440" w:firstLineChars="200" w:firstLine="200"/>
      <w:jc w:val="left"/>
    </w:pPr>
    <w:rPr>
      <w:sz w:val="18"/>
      <w:szCs w:val="18"/>
    </w:rPr>
  </w:style>
  <w:style w:type="paragraph" w:styleId="af9">
    <w:name w:val="Note Heading"/>
    <w:basedOn w:val="af3"/>
    <w:next w:val="af3"/>
    <w:link w:val="afa"/>
    <w:qFormat/>
    <w:pPr>
      <w:jc w:val="center"/>
    </w:pPr>
    <w:rPr>
      <w:rFonts w:ascii="宋体"/>
      <w:szCs w:val="20"/>
    </w:rPr>
  </w:style>
  <w:style w:type="paragraph" w:styleId="afb">
    <w:name w:val="List Number"/>
    <w:basedOn w:val="af3"/>
    <w:qFormat/>
    <w:pPr>
      <w:keepNext/>
      <w:keepLines/>
      <w:widowControl/>
      <w:tabs>
        <w:tab w:val="left" w:pos="567"/>
      </w:tabs>
      <w:ind w:left="567" w:hanging="567"/>
      <w:jc w:val="left"/>
    </w:pPr>
    <w:rPr>
      <w:rFonts w:ascii="宋体"/>
      <w:kern w:val="0"/>
      <w:sz w:val="24"/>
      <w:szCs w:val="20"/>
    </w:rPr>
  </w:style>
  <w:style w:type="paragraph" w:styleId="afc">
    <w:name w:val="caption"/>
    <w:basedOn w:val="af3"/>
    <w:next w:val="af3"/>
    <w:link w:val="afd"/>
    <w:uiPriority w:val="35"/>
    <w:qFormat/>
    <w:pPr>
      <w:adjustRightInd w:val="0"/>
      <w:snapToGrid w:val="0"/>
      <w:spacing w:line="560" w:lineRule="atLeast"/>
    </w:pPr>
    <w:rPr>
      <w:bCs/>
      <w:kern w:val="0"/>
      <w:sz w:val="28"/>
      <w:szCs w:val="20"/>
    </w:rPr>
  </w:style>
  <w:style w:type="paragraph" w:styleId="afe">
    <w:name w:val="List Bullet"/>
    <w:basedOn w:val="af3"/>
    <w:qFormat/>
    <w:rPr>
      <w:szCs w:val="20"/>
    </w:rPr>
  </w:style>
  <w:style w:type="paragraph" w:styleId="aff">
    <w:name w:val="Document Map"/>
    <w:basedOn w:val="af3"/>
    <w:link w:val="aff0"/>
    <w:semiHidden/>
    <w:qFormat/>
    <w:pPr>
      <w:shd w:val="clear" w:color="auto" w:fill="000080"/>
    </w:pPr>
  </w:style>
  <w:style w:type="paragraph" w:styleId="aff1">
    <w:name w:val="annotation text"/>
    <w:basedOn w:val="af3"/>
    <w:link w:val="aff2"/>
    <w:qFormat/>
    <w:pPr>
      <w:ind w:firstLineChars="200" w:firstLine="200"/>
      <w:jc w:val="left"/>
    </w:pPr>
    <w:rPr>
      <w:sz w:val="24"/>
    </w:rPr>
  </w:style>
  <w:style w:type="paragraph" w:styleId="61">
    <w:name w:val="index 6"/>
    <w:basedOn w:val="af3"/>
    <w:next w:val="af3"/>
    <w:semiHidden/>
    <w:qFormat/>
    <w:pPr>
      <w:ind w:left="2100"/>
    </w:pPr>
    <w:rPr>
      <w:sz w:val="24"/>
      <w:szCs w:val="20"/>
    </w:rPr>
  </w:style>
  <w:style w:type="paragraph" w:styleId="32">
    <w:name w:val="Body Text 3"/>
    <w:basedOn w:val="af3"/>
    <w:link w:val="33"/>
    <w:qFormat/>
    <w:pPr>
      <w:jc w:val="center"/>
    </w:pPr>
    <w:rPr>
      <w:szCs w:val="20"/>
    </w:rPr>
  </w:style>
  <w:style w:type="paragraph" w:styleId="34">
    <w:name w:val="List Bullet 3"/>
    <w:basedOn w:val="af3"/>
    <w:qFormat/>
    <w:pPr>
      <w:ind w:left="840"/>
    </w:pPr>
    <w:rPr>
      <w:szCs w:val="20"/>
    </w:rPr>
  </w:style>
  <w:style w:type="paragraph" w:styleId="aff3">
    <w:name w:val="Body Text"/>
    <w:basedOn w:val="af3"/>
    <w:link w:val="aff4"/>
    <w:qFormat/>
    <w:rPr>
      <w:color w:val="000000"/>
      <w:spacing w:val="20"/>
      <w:sz w:val="28"/>
    </w:rPr>
  </w:style>
  <w:style w:type="paragraph" w:styleId="aff5">
    <w:name w:val="Body Text Indent"/>
    <w:basedOn w:val="af3"/>
    <w:next w:val="af4"/>
    <w:link w:val="aff6"/>
    <w:qFormat/>
    <w:pPr>
      <w:tabs>
        <w:tab w:val="left" w:pos="540"/>
        <w:tab w:val="left" w:pos="945"/>
      </w:tabs>
      <w:spacing w:line="360" w:lineRule="auto"/>
      <w:ind w:left="945" w:hanging="525"/>
    </w:pPr>
    <w:rPr>
      <w:rFonts w:ascii="宋体" w:hAnsi="宋体"/>
      <w:sz w:val="24"/>
      <w:szCs w:val="20"/>
    </w:rPr>
  </w:style>
  <w:style w:type="paragraph" w:styleId="21">
    <w:name w:val="List 2"/>
    <w:basedOn w:val="af3"/>
    <w:qFormat/>
    <w:pPr>
      <w:ind w:leftChars="200" w:left="100" w:hangingChars="200" w:hanging="200"/>
    </w:pPr>
    <w:rPr>
      <w:szCs w:val="20"/>
    </w:rPr>
  </w:style>
  <w:style w:type="paragraph" w:styleId="aff7">
    <w:name w:val="List Continue"/>
    <w:basedOn w:val="af3"/>
    <w:qFormat/>
    <w:pPr>
      <w:spacing w:after="120"/>
      <w:ind w:leftChars="200" w:left="420"/>
    </w:pPr>
    <w:rPr>
      <w:szCs w:val="20"/>
    </w:rPr>
  </w:style>
  <w:style w:type="paragraph" w:styleId="aff8">
    <w:name w:val="Block Text"/>
    <w:basedOn w:val="af3"/>
    <w:qFormat/>
    <w:pPr>
      <w:spacing w:line="355" w:lineRule="auto"/>
      <w:ind w:left="540" w:right="-37" w:firstLineChars="150" w:firstLine="360"/>
    </w:pPr>
    <w:rPr>
      <w:rFonts w:ascii="宋体"/>
      <w:sz w:val="24"/>
    </w:rPr>
  </w:style>
  <w:style w:type="paragraph" w:styleId="22">
    <w:name w:val="List Bullet 2"/>
    <w:basedOn w:val="af3"/>
    <w:qFormat/>
    <w:pPr>
      <w:ind w:left="420"/>
    </w:pPr>
    <w:rPr>
      <w:szCs w:val="20"/>
    </w:rPr>
  </w:style>
  <w:style w:type="paragraph" w:styleId="HTML">
    <w:name w:val="HTML Address"/>
    <w:basedOn w:val="af3"/>
    <w:link w:val="HTML0"/>
    <w:qFormat/>
    <w:rPr>
      <w:i/>
      <w:iCs/>
      <w:kern w:val="0"/>
      <w:sz w:val="20"/>
    </w:rPr>
  </w:style>
  <w:style w:type="paragraph" w:styleId="TOC5">
    <w:name w:val="toc 5"/>
    <w:basedOn w:val="af3"/>
    <w:next w:val="af3"/>
    <w:uiPriority w:val="39"/>
    <w:qFormat/>
    <w:pPr>
      <w:ind w:left="960" w:firstLineChars="200" w:firstLine="200"/>
      <w:jc w:val="left"/>
    </w:pPr>
    <w:rPr>
      <w:sz w:val="18"/>
      <w:szCs w:val="18"/>
    </w:rPr>
  </w:style>
  <w:style w:type="paragraph" w:styleId="TOC3">
    <w:name w:val="toc 3"/>
    <w:basedOn w:val="af3"/>
    <w:next w:val="af3"/>
    <w:uiPriority w:val="39"/>
    <w:qFormat/>
    <w:pPr>
      <w:tabs>
        <w:tab w:val="right" w:leader="dot" w:pos="8296"/>
      </w:tabs>
      <w:spacing w:line="360" w:lineRule="auto"/>
      <w:ind w:leftChars="400" w:left="400"/>
      <w:jc w:val="left"/>
    </w:pPr>
    <w:rPr>
      <w:rFonts w:eastAsia="黑体"/>
      <w:sz w:val="28"/>
    </w:rPr>
  </w:style>
  <w:style w:type="paragraph" w:styleId="aff9">
    <w:name w:val="Plain Text"/>
    <w:basedOn w:val="af3"/>
    <w:link w:val="affa"/>
    <w:qFormat/>
    <w:pPr>
      <w:adjustRightInd w:val="0"/>
      <w:spacing w:line="312" w:lineRule="atLeast"/>
      <w:textAlignment w:val="baseline"/>
    </w:pPr>
    <w:rPr>
      <w:rFonts w:ascii="宋体" w:hAnsi="Courier New"/>
      <w:kern w:val="0"/>
      <w:szCs w:val="20"/>
    </w:rPr>
  </w:style>
  <w:style w:type="paragraph" w:styleId="TOC8">
    <w:name w:val="toc 8"/>
    <w:basedOn w:val="af3"/>
    <w:next w:val="af3"/>
    <w:uiPriority w:val="39"/>
    <w:qFormat/>
    <w:pPr>
      <w:ind w:left="1680" w:firstLineChars="200" w:firstLine="200"/>
      <w:jc w:val="left"/>
    </w:pPr>
    <w:rPr>
      <w:sz w:val="18"/>
      <w:szCs w:val="18"/>
    </w:rPr>
  </w:style>
  <w:style w:type="paragraph" w:styleId="affb">
    <w:name w:val="Date"/>
    <w:basedOn w:val="af3"/>
    <w:next w:val="af3"/>
    <w:link w:val="affc"/>
    <w:qFormat/>
    <w:rPr>
      <w:rFonts w:ascii="宋体" w:hAnsi="Courier New"/>
      <w:szCs w:val="20"/>
    </w:rPr>
  </w:style>
  <w:style w:type="paragraph" w:styleId="23">
    <w:name w:val="Body Text Indent 2"/>
    <w:basedOn w:val="af3"/>
    <w:link w:val="24"/>
    <w:qFormat/>
    <w:pPr>
      <w:spacing w:after="120" w:line="480" w:lineRule="auto"/>
      <w:ind w:leftChars="200" w:left="420"/>
    </w:pPr>
  </w:style>
  <w:style w:type="paragraph" w:styleId="affd">
    <w:name w:val="Balloon Text"/>
    <w:basedOn w:val="af3"/>
    <w:link w:val="affe"/>
    <w:qFormat/>
    <w:pPr>
      <w:ind w:firstLineChars="200" w:firstLine="200"/>
    </w:pPr>
    <w:rPr>
      <w:sz w:val="18"/>
      <w:szCs w:val="18"/>
    </w:rPr>
  </w:style>
  <w:style w:type="paragraph" w:styleId="afff">
    <w:name w:val="footer"/>
    <w:basedOn w:val="af3"/>
    <w:link w:val="afff0"/>
    <w:unhideWhenUsed/>
    <w:qFormat/>
    <w:pPr>
      <w:tabs>
        <w:tab w:val="center" w:pos="4153"/>
        <w:tab w:val="right" w:pos="8306"/>
      </w:tabs>
      <w:snapToGrid w:val="0"/>
      <w:jc w:val="left"/>
    </w:pPr>
    <w:rPr>
      <w:sz w:val="18"/>
      <w:szCs w:val="18"/>
    </w:rPr>
  </w:style>
  <w:style w:type="paragraph" w:styleId="afff1">
    <w:name w:val="header"/>
    <w:basedOn w:val="af3"/>
    <w:link w:val="afff2"/>
    <w:unhideWhenUsed/>
    <w:qFormat/>
    <w:pPr>
      <w:pBdr>
        <w:bottom w:val="single" w:sz="6" w:space="1" w:color="auto"/>
      </w:pBdr>
      <w:tabs>
        <w:tab w:val="center" w:pos="4153"/>
        <w:tab w:val="right" w:pos="8306"/>
      </w:tabs>
      <w:snapToGrid w:val="0"/>
      <w:jc w:val="center"/>
    </w:pPr>
    <w:rPr>
      <w:sz w:val="18"/>
      <w:szCs w:val="18"/>
    </w:rPr>
  </w:style>
  <w:style w:type="paragraph" w:styleId="afff3">
    <w:name w:val="Signature"/>
    <w:basedOn w:val="af3"/>
    <w:link w:val="afff4"/>
    <w:qFormat/>
    <w:pPr>
      <w:ind w:leftChars="2100" w:left="100"/>
    </w:pPr>
    <w:rPr>
      <w:szCs w:val="20"/>
    </w:rPr>
  </w:style>
  <w:style w:type="paragraph" w:styleId="TOC1">
    <w:name w:val="toc 1"/>
    <w:basedOn w:val="af3"/>
    <w:next w:val="af3"/>
    <w:uiPriority w:val="39"/>
    <w:qFormat/>
    <w:pPr>
      <w:tabs>
        <w:tab w:val="right" w:leader="dot" w:pos="9070"/>
      </w:tabs>
      <w:spacing w:line="360" w:lineRule="auto"/>
      <w:jc w:val="left"/>
    </w:pPr>
    <w:rPr>
      <w:rFonts w:eastAsia="黑体"/>
      <w:sz w:val="32"/>
    </w:rPr>
  </w:style>
  <w:style w:type="paragraph" w:styleId="TOC4">
    <w:name w:val="toc 4"/>
    <w:basedOn w:val="af3"/>
    <w:next w:val="af3"/>
    <w:uiPriority w:val="39"/>
    <w:qFormat/>
    <w:pPr>
      <w:ind w:left="720" w:firstLineChars="200" w:firstLine="200"/>
      <w:jc w:val="left"/>
    </w:pPr>
    <w:rPr>
      <w:sz w:val="18"/>
      <w:szCs w:val="18"/>
    </w:rPr>
  </w:style>
  <w:style w:type="paragraph" w:styleId="afff5">
    <w:name w:val="index heading"/>
    <w:basedOn w:val="af3"/>
    <w:next w:val="11"/>
    <w:semiHidden/>
    <w:qFormat/>
  </w:style>
  <w:style w:type="paragraph" w:styleId="11">
    <w:name w:val="index 1"/>
    <w:basedOn w:val="af3"/>
    <w:next w:val="af3"/>
    <w:qFormat/>
    <w:pPr>
      <w:ind w:firstLineChars="200" w:firstLine="200"/>
    </w:pPr>
    <w:rPr>
      <w:sz w:val="24"/>
    </w:rPr>
  </w:style>
  <w:style w:type="paragraph" w:styleId="afff6">
    <w:name w:val="Subtitle"/>
    <w:basedOn w:val="af3"/>
    <w:next w:val="af3"/>
    <w:link w:val="afff7"/>
    <w:qFormat/>
    <w:pPr>
      <w:spacing w:before="240" w:after="60" w:line="312" w:lineRule="auto"/>
      <w:ind w:firstLineChars="200" w:firstLine="200"/>
      <w:jc w:val="center"/>
      <w:outlineLvl w:val="1"/>
    </w:pPr>
    <w:rPr>
      <w:rFonts w:ascii="Cambria" w:hAnsi="Cambria"/>
      <w:b/>
      <w:bCs/>
      <w:kern w:val="28"/>
      <w:sz w:val="32"/>
      <w:szCs w:val="32"/>
    </w:rPr>
  </w:style>
  <w:style w:type="paragraph" w:styleId="afff8">
    <w:name w:val="List"/>
    <w:basedOn w:val="af3"/>
    <w:qFormat/>
    <w:pPr>
      <w:ind w:left="200" w:hangingChars="200" w:hanging="200"/>
    </w:pPr>
    <w:rPr>
      <w:szCs w:val="20"/>
    </w:rPr>
  </w:style>
  <w:style w:type="paragraph" w:styleId="afff9">
    <w:name w:val="footnote text"/>
    <w:basedOn w:val="af3"/>
    <w:link w:val="afffa"/>
    <w:qFormat/>
    <w:pPr>
      <w:snapToGrid w:val="0"/>
      <w:jc w:val="left"/>
    </w:pPr>
    <w:rPr>
      <w:kern w:val="0"/>
      <w:sz w:val="18"/>
      <w:szCs w:val="18"/>
    </w:rPr>
  </w:style>
  <w:style w:type="paragraph" w:styleId="TOC6">
    <w:name w:val="toc 6"/>
    <w:basedOn w:val="af3"/>
    <w:next w:val="af3"/>
    <w:uiPriority w:val="39"/>
    <w:qFormat/>
    <w:pPr>
      <w:ind w:left="1200" w:firstLineChars="200" w:firstLine="200"/>
      <w:jc w:val="left"/>
    </w:pPr>
    <w:rPr>
      <w:sz w:val="18"/>
      <w:szCs w:val="18"/>
    </w:rPr>
  </w:style>
  <w:style w:type="paragraph" w:styleId="51">
    <w:name w:val="List 5"/>
    <w:basedOn w:val="af3"/>
    <w:qFormat/>
    <w:pPr>
      <w:ind w:leftChars="800" w:left="100" w:hangingChars="200" w:hanging="200"/>
    </w:pPr>
  </w:style>
  <w:style w:type="paragraph" w:styleId="35">
    <w:name w:val="Body Text Indent 3"/>
    <w:basedOn w:val="af3"/>
    <w:link w:val="36"/>
    <w:qFormat/>
    <w:pPr>
      <w:adjustRightInd w:val="0"/>
      <w:snapToGrid w:val="0"/>
      <w:spacing w:before="120" w:line="360" w:lineRule="auto"/>
      <w:ind w:firstLine="480"/>
    </w:pPr>
    <w:rPr>
      <w:rFonts w:ascii="宋体" w:hAnsi="宋体"/>
      <w:sz w:val="24"/>
    </w:rPr>
  </w:style>
  <w:style w:type="paragraph" w:styleId="TOC2">
    <w:name w:val="toc 2"/>
    <w:basedOn w:val="af3"/>
    <w:next w:val="af3"/>
    <w:uiPriority w:val="39"/>
    <w:qFormat/>
    <w:pPr>
      <w:tabs>
        <w:tab w:val="right" w:leader="dot" w:pos="9070"/>
      </w:tabs>
      <w:spacing w:line="360" w:lineRule="auto"/>
      <w:ind w:leftChars="200" w:left="420"/>
      <w:jc w:val="left"/>
    </w:pPr>
    <w:rPr>
      <w:rFonts w:eastAsia="黑体"/>
      <w:bCs/>
      <w:sz w:val="28"/>
    </w:rPr>
  </w:style>
  <w:style w:type="paragraph" w:styleId="TOC9">
    <w:name w:val="toc 9"/>
    <w:basedOn w:val="af3"/>
    <w:next w:val="af3"/>
    <w:uiPriority w:val="39"/>
    <w:qFormat/>
    <w:pPr>
      <w:ind w:left="1920" w:firstLineChars="200" w:firstLine="200"/>
      <w:jc w:val="left"/>
    </w:pPr>
    <w:rPr>
      <w:sz w:val="18"/>
      <w:szCs w:val="18"/>
    </w:rPr>
  </w:style>
  <w:style w:type="paragraph" w:styleId="25">
    <w:name w:val="Body Text 2"/>
    <w:basedOn w:val="af3"/>
    <w:link w:val="26"/>
    <w:qFormat/>
    <w:pPr>
      <w:spacing w:after="120" w:line="480" w:lineRule="auto"/>
    </w:pPr>
  </w:style>
  <w:style w:type="paragraph" w:styleId="41">
    <w:name w:val="List 4"/>
    <w:basedOn w:val="af3"/>
    <w:qFormat/>
    <w:pPr>
      <w:ind w:leftChars="600" w:left="100" w:hangingChars="200" w:hanging="200"/>
    </w:pPr>
    <w:rPr>
      <w:szCs w:val="20"/>
    </w:rPr>
  </w:style>
  <w:style w:type="paragraph" w:styleId="27">
    <w:name w:val="List Continue 2"/>
    <w:basedOn w:val="af3"/>
    <w:qFormat/>
    <w:pPr>
      <w:spacing w:after="120"/>
      <w:ind w:leftChars="400" w:left="840"/>
    </w:pPr>
    <w:rPr>
      <w:szCs w:val="20"/>
    </w:rPr>
  </w:style>
  <w:style w:type="paragraph" w:styleId="HTML1">
    <w:name w:val="HTML Preformatted"/>
    <w:basedOn w:val="af3"/>
    <w:link w:val="HTML2"/>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ffb">
    <w:name w:val="Normal (Web)"/>
    <w:basedOn w:val="af3"/>
    <w:qFormat/>
    <w:pPr>
      <w:widowControl/>
      <w:spacing w:before="100" w:beforeAutospacing="1" w:after="100" w:afterAutospacing="1"/>
      <w:jc w:val="left"/>
    </w:pPr>
    <w:rPr>
      <w:rFonts w:ascii="宋体" w:hAnsi="宋体"/>
      <w:kern w:val="0"/>
      <w:sz w:val="24"/>
    </w:rPr>
  </w:style>
  <w:style w:type="paragraph" w:styleId="afffc">
    <w:name w:val="Title"/>
    <w:basedOn w:val="af3"/>
    <w:next w:val="af3"/>
    <w:link w:val="afffd"/>
    <w:qFormat/>
    <w:pPr>
      <w:spacing w:before="240" w:after="60"/>
      <w:jc w:val="center"/>
      <w:outlineLvl w:val="0"/>
    </w:pPr>
    <w:rPr>
      <w:rFonts w:ascii="Arial" w:hAnsi="Arial" w:cs="Arial"/>
      <w:b/>
      <w:bCs/>
      <w:sz w:val="32"/>
      <w:szCs w:val="32"/>
    </w:rPr>
  </w:style>
  <w:style w:type="paragraph" w:styleId="afffe">
    <w:name w:val="annotation subject"/>
    <w:basedOn w:val="aff1"/>
    <w:next w:val="aff1"/>
    <w:link w:val="affff"/>
    <w:qFormat/>
    <w:pPr>
      <w:ind w:firstLineChars="0" w:firstLine="0"/>
    </w:pPr>
    <w:rPr>
      <w:b/>
      <w:bCs/>
      <w:sz w:val="21"/>
    </w:rPr>
  </w:style>
  <w:style w:type="paragraph" w:styleId="affff0">
    <w:name w:val="Body Text First Indent"/>
    <w:basedOn w:val="aff3"/>
    <w:next w:val="af3"/>
    <w:link w:val="affff1"/>
    <w:qFormat/>
    <w:pPr>
      <w:spacing w:after="120"/>
      <w:ind w:firstLineChars="100" w:firstLine="420"/>
    </w:pPr>
    <w:rPr>
      <w:sz w:val="21"/>
    </w:rPr>
  </w:style>
  <w:style w:type="paragraph" w:styleId="28">
    <w:name w:val="Body Text First Indent 2"/>
    <w:basedOn w:val="aff5"/>
    <w:qFormat/>
    <w:pPr>
      <w:ind w:firstLineChars="200" w:firstLine="420"/>
    </w:pPr>
  </w:style>
  <w:style w:type="table" w:styleId="affff2">
    <w:name w:val="Table Grid"/>
    <w:basedOn w:val="af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3">
    <w:name w:val="Table Theme"/>
    <w:basedOn w:val="af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7">
    <w:name w:val="Table List 3"/>
    <w:basedOn w:val="af6"/>
    <w:qFormat/>
    <w:pPr>
      <w:keepNext/>
      <w:widowControl w:val="0"/>
      <w:adjustRightInd w:val="0"/>
      <w:jc w:val="both"/>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affff4">
    <w:name w:val="Table Professional"/>
    <w:basedOn w:val="af6"/>
    <w:qFormat/>
    <w:pPr>
      <w:widowControl w:val="0"/>
      <w:ind w:firstLineChars="200" w:firstLine="20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styleId="affff5">
    <w:name w:val="Strong"/>
    <w:qFormat/>
    <w:rPr>
      <w:b/>
      <w:bCs/>
    </w:rPr>
  </w:style>
  <w:style w:type="character" w:styleId="affff6">
    <w:name w:val="page number"/>
    <w:basedOn w:val="af5"/>
    <w:qFormat/>
  </w:style>
  <w:style w:type="character" w:styleId="affff7">
    <w:name w:val="FollowedHyperlink"/>
    <w:uiPriority w:val="99"/>
    <w:qFormat/>
    <w:rPr>
      <w:color w:val="800080"/>
      <w:u w:val="single"/>
    </w:rPr>
  </w:style>
  <w:style w:type="character" w:styleId="affff8">
    <w:name w:val="Emphasis"/>
    <w:uiPriority w:val="20"/>
    <w:qFormat/>
    <w:rPr>
      <w:color w:val="CC0000"/>
    </w:rPr>
  </w:style>
  <w:style w:type="character" w:styleId="affff9">
    <w:name w:val="line number"/>
    <w:basedOn w:val="af5"/>
    <w:uiPriority w:val="99"/>
    <w:semiHidden/>
    <w:unhideWhenUsed/>
    <w:qFormat/>
  </w:style>
  <w:style w:type="character" w:styleId="HTML3">
    <w:name w:val="HTML Definition"/>
    <w:qFormat/>
    <w:rPr>
      <w:i/>
      <w:iCs/>
    </w:rPr>
  </w:style>
  <w:style w:type="character" w:styleId="HTML4">
    <w:name w:val="HTML Typewriter"/>
    <w:qFormat/>
    <w:rPr>
      <w:rFonts w:ascii="Courier New" w:hAnsi="Courier New"/>
      <w:sz w:val="20"/>
      <w:szCs w:val="20"/>
    </w:rPr>
  </w:style>
  <w:style w:type="character" w:styleId="HTML5">
    <w:name w:val="HTML Acronym"/>
    <w:basedOn w:val="af5"/>
    <w:qFormat/>
  </w:style>
  <w:style w:type="character" w:styleId="HTML6">
    <w:name w:val="HTML Variable"/>
    <w:qFormat/>
    <w:rPr>
      <w:i/>
      <w:iCs/>
    </w:rPr>
  </w:style>
  <w:style w:type="character" w:styleId="affffa">
    <w:name w:val="Hyperlink"/>
    <w:uiPriority w:val="99"/>
    <w:qFormat/>
    <w:rPr>
      <w:color w:val="0000FF"/>
      <w:u w:val="single"/>
    </w:rPr>
  </w:style>
  <w:style w:type="character" w:styleId="HTML7">
    <w:name w:val="HTML Code"/>
    <w:qFormat/>
    <w:rPr>
      <w:rFonts w:ascii="Courier New" w:hAnsi="Courier New"/>
      <w:sz w:val="20"/>
      <w:szCs w:val="20"/>
    </w:rPr>
  </w:style>
  <w:style w:type="character" w:styleId="affffb">
    <w:name w:val="annotation reference"/>
    <w:qFormat/>
    <w:rPr>
      <w:sz w:val="21"/>
      <w:szCs w:val="21"/>
    </w:rPr>
  </w:style>
  <w:style w:type="character" w:styleId="HTML8">
    <w:name w:val="HTML Cite"/>
    <w:qFormat/>
    <w:rPr>
      <w:i/>
      <w:iCs/>
    </w:rPr>
  </w:style>
  <w:style w:type="character" w:styleId="affffc">
    <w:name w:val="footnote reference"/>
    <w:qFormat/>
    <w:rPr>
      <w:vertAlign w:val="superscript"/>
    </w:rPr>
  </w:style>
  <w:style w:type="character" w:styleId="HTML9">
    <w:name w:val="HTML Keyboard"/>
    <w:qFormat/>
    <w:rPr>
      <w:rFonts w:ascii="Courier New" w:hAnsi="Courier New"/>
      <w:sz w:val="20"/>
      <w:szCs w:val="20"/>
    </w:rPr>
  </w:style>
  <w:style w:type="character" w:styleId="HTMLa">
    <w:name w:val="HTML Sample"/>
    <w:qFormat/>
    <w:rPr>
      <w:rFonts w:ascii="Courier New" w:hAnsi="Courier New"/>
    </w:rPr>
  </w:style>
  <w:style w:type="paragraph" w:customStyle="1" w:styleId="2SLCON22">
    <w:name w:val="样式 正文 首行缩进:  2 字符 SL CON + 首行缩进:  2 字符 + 首行缩进:  2 字符 + 首行缩..."/>
    <w:basedOn w:val="2SLCON220"/>
    <w:qFormat/>
    <w:pPr>
      <w:ind w:firstLine="560"/>
    </w:pPr>
  </w:style>
  <w:style w:type="paragraph" w:customStyle="1" w:styleId="2SLCON220">
    <w:name w:val="样式 样式 正文 首行缩进:  2 字符 SL CON + 首行缩进:  2 字符 + 首行缩进:  2 字符"/>
    <w:basedOn w:val="2SLCON2"/>
    <w:qFormat/>
  </w:style>
  <w:style w:type="paragraph" w:customStyle="1" w:styleId="2SLCON2">
    <w:name w:val="样式 正文 首行缩进:  2 字符 SL CON + 首行缩进:  2 字符"/>
    <w:basedOn w:val="2SLCON"/>
    <w:qFormat/>
    <w:rPr>
      <w:szCs w:val="20"/>
    </w:rPr>
  </w:style>
  <w:style w:type="paragraph" w:customStyle="1" w:styleId="2SLCON">
    <w:name w:val="正文 首行缩进:  2 字符 SL CON"/>
    <w:basedOn w:val="af3"/>
    <w:qFormat/>
    <w:pPr>
      <w:widowControl/>
      <w:tabs>
        <w:tab w:val="left" w:pos="377"/>
      </w:tabs>
      <w:spacing w:line="360" w:lineRule="auto"/>
      <w:ind w:firstLineChars="200" w:firstLine="200"/>
    </w:pPr>
    <w:rPr>
      <w:rFonts w:ascii="宋体" w:cs="宋体"/>
      <w:kern w:val="0"/>
      <w:sz w:val="28"/>
    </w:rPr>
  </w:style>
  <w:style w:type="paragraph" w:customStyle="1" w:styleId="affffd">
    <w:name w:val="正文样式"/>
    <w:basedOn w:val="af3"/>
    <w:qFormat/>
    <w:pPr>
      <w:adjustRightInd w:val="0"/>
      <w:snapToGrid w:val="0"/>
      <w:spacing w:line="520" w:lineRule="exact"/>
      <w:ind w:firstLine="562"/>
    </w:pPr>
    <w:rPr>
      <w:color w:val="000000"/>
      <w:sz w:val="28"/>
      <w:szCs w:val="28"/>
    </w:rPr>
  </w:style>
  <w:style w:type="character" w:customStyle="1" w:styleId="afff2">
    <w:name w:val="页眉 字符"/>
    <w:basedOn w:val="af5"/>
    <w:link w:val="afff1"/>
    <w:qFormat/>
    <w:rPr>
      <w:rFonts w:ascii="Times New Roman" w:hAnsi="Times New Roman"/>
      <w:kern w:val="2"/>
      <w:sz w:val="18"/>
      <w:szCs w:val="18"/>
    </w:rPr>
  </w:style>
  <w:style w:type="character" w:customStyle="1" w:styleId="afff0">
    <w:name w:val="页脚 字符"/>
    <w:basedOn w:val="af5"/>
    <w:link w:val="afff"/>
    <w:qFormat/>
    <w:rPr>
      <w:rFonts w:ascii="Times New Roman" w:hAnsi="Times New Roman"/>
      <w:kern w:val="2"/>
      <w:sz w:val="18"/>
      <w:szCs w:val="18"/>
    </w:rPr>
  </w:style>
  <w:style w:type="paragraph" w:customStyle="1" w:styleId="29">
    <w:name w:val="2级标题"/>
    <w:basedOn w:val="1"/>
    <w:qFormat/>
    <w:pPr>
      <w:spacing w:beforeLines="100" w:afterLines="100" w:line="360" w:lineRule="auto"/>
      <w:outlineLvl w:val="1"/>
    </w:pPr>
    <w:rPr>
      <w:rFonts w:eastAsia="黑体" w:hAnsi="宋体"/>
      <w:kern w:val="2"/>
      <w:szCs w:val="32"/>
    </w:rPr>
  </w:style>
  <w:style w:type="paragraph" w:customStyle="1" w:styleId="12">
    <w:name w:val="1级标题"/>
    <w:basedOn w:val="1"/>
    <w:qFormat/>
    <w:pPr>
      <w:spacing w:beforeLines="200" w:afterLines="100" w:line="360" w:lineRule="auto"/>
    </w:pPr>
    <w:rPr>
      <w:rFonts w:eastAsia="黑体" w:hAnsi="宋体"/>
      <w:kern w:val="2"/>
      <w:sz w:val="36"/>
      <w:szCs w:val="32"/>
    </w:rPr>
  </w:style>
  <w:style w:type="paragraph" w:customStyle="1" w:styleId="38">
    <w:name w:val="3级标题"/>
    <w:basedOn w:val="1"/>
    <w:qFormat/>
    <w:pPr>
      <w:spacing w:before="0" w:after="0" w:line="360" w:lineRule="auto"/>
      <w:jc w:val="left"/>
    </w:pPr>
    <w:rPr>
      <w:rFonts w:eastAsia="黑体" w:hAnsi="宋体"/>
      <w:kern w:val="2"/>
      <w:sz w:val="28"/>
      <w:szCs w:val="32"/>
    </w:rPr>
  </w:style>
  <w:style w:type="character" w:customStyle="1" w:styleId="lyqChar">
    <w:name w:val="正文lyq Char"/>
    <w:link w:val="lyq"/>
    <w:qFormat/>
    <w:rPr>
      <w:rFonts w:eastAsia="宋体" w:cs="宋体"/>
      <w:sz w:val="28"/>
    </w:rPr>
  </w:style>
  <w:style w:type="paragraph" w:customStyle="1" w:styleId="lyq">
    <w:name w:val="正文lyq"/>
    <w:basedOn w:val="af3"/>
    <w:link w:val="lyqChar"/>
    <w:qFormat/>
    <w:pPr>
      <w:spacing w:line="336" w:lineRule="auto"/>
      <w:ind w:firstLine="560"/>
    </w:pPr>
    <w:rPr>
      <w:rFonts w:ascii="Calibri" w:hAnsi="Calibri"/>
      <w:kern w:val="0"/>
      <w:szCs w:val="20"/>
    </w:rPr>
  </w:style>
  <w:style w:type="character" w:customStyle="1" w:styleId="1Char">
    <w:name w:val="标题 1 Char"/>
    <w:basedOn w:val="af5"/>
    <w:qFormat/>
    <w:rPr>
      <w:rFonts w:ascii="Times New Roman" w:eastAsia="宋体" w:hAnsi="Times New Roman" w:cs="Times New Roman"/>
      <w:b/>
      <w:bCs/>
      <w:kern w:val="44"/>
      <w:sz w:val="44"/>
      <w:szCs w:val="44"/>
    </w:rPr>
  </w:style>
  <w:style w:type="character" w:customStyle="1" w:styleId="26">
    <w:name w:val="正文文本 2 字符"/>
    <w:basedOn w:val="af5"/>
    <w:link w:val="25"/>
    <w:qFormat/>
    <w:rPr>
      <w:rFonts w:ascii="Times New Roman" w:hAnsi="Times New Roman"/>
      <w:kern w:val="2"/>
      <w:sz w:val="21"/>
      <w:szCs w:val="24"/>
    </w:rPr>
  </w:style>
  <w:style w:type="paragraph" w:customStyle="1" w:styleId="42">
    <w:name w:val="4级标题"/>
    <w:basedOn w:val="1"/>
    <w:qFormat/>
    <w:pPr>
      <w:spacing w:before="0" w:after="0" w:line="360" w:lineRule="auto"/>
      <w:jc w:val="left"/>
    </w:pPr>
    <w:rPr>
      <w:rFonts w:hAnsi="宋体"/>
      <w:kern w:val="2"/>
      <w:sz w:val="24"/>
      <w:szCs w:val="32"/>
    </w:rPr>
  </w:style>
  <w:style w:type="paragraph" w:customStyle="1" w:styleId="13">
    <w:name w:val="正文1"/>
    <w:basedOn w:val="af3"/>
    <w:next w:val="af4"/>
    <w:link w:val="Char"/>
    <w:qFormat/>
    <w:pPr>
      <w:jc w:val="center"/>
    </w:pPr>
  </w:style>
  <w:style w:type="character" w:customStyle="1" w:styleId="Char">
    <w:name w:val="正文 Char"/>
    <w:link w:val="13"/>
    <w:qFormat/>
    <w:rPr>
      <w:rFonts w:ascii="Times New Roman" w:hAnsi="Times New Roman"/>
      <w:kern w:val="2"/>
      <w:sz w:val="21"/>
      <w:szCs w:val="24"/>
    </w:rPr>
  </w:style>
  <w:style w:type="character" w:customStyle="1" w:styleId="aff4">
    <w:name w:val="正文文本 字符"/>
    <w:basedOn w:val="af5"/>
    <w:link w:val="aff3"/>
    <w:qFormat/>
    <w:rPr>
      <w:rFonts w:ascii="Times New Roman" w:hAnsi="Times New Roman"/>
      <w:color w:val="000000"/>
      <w:spacing w:val="20"/>
      <w:kern w:val="2"/>
      <w:sz w:val="28"/>
      <w:szCs w:val="24"/>
    </w:rPr>
  </w:style>
  <w:style w:type="paragraph" w:customStyle="1" w:styleId="affffe">
    <w:name w:val="标准"/>
    <w:basedOn w:val="af3"/>
    <w:qFormat/>
    <w:pPr>
      <w:adjustRightInd w:val="0"/>
      <w:spacing w:line="520" w:lineRule="atLeast"/>
      <w:jc w:val="center"/>
      <w:textAlignment w:val="baseline"/>
    </w:pPr>
    <w:rPr>
      <w:rFonts w:eastAsia="仿宋_GB2312"/>
      <w:kern w:val="0"/>
      <w:szCs w:val="21"/>
    </w:rPr>
  </w:style>
  <w:style w:type="character" w:customStyle="1" w:styleId="affe">
    <w:name w:val="批注框文本 字符"/>
    <w:basedOn w:val="af5"/>
    <w:link w:val="affd"/>
    <w:qFormat/>
    <w:rPr>
      <w:rFonts w:ascii="Times New Roman" w:hAnsi="Times New Roman"/>
      <w:kern w:val="2"/>
      <w:sz w:val="18"/>
      <w:szCs w:val="18"/>
    </w:rPr>
  </w:style>
  <w:style w:type="paragraph" w:customStyle="1" w:styleId="001">
    <w:name w:val="001"/>
    <w:basedOn w:val="af3"/>
    <w:qFormat/>
    <w:pPr>
      <w:spacing w:line="500" w:lineRule="exact"/>
      <w:ind w:firstLine="520"/>
    </w:pPr>
    <w:rPr>
      <w:rFonts w:ascii="方正书宋简体" w:eastAsia="方正书宋简体" w:hAnsi="宋体"/>
      <w:sz w:val="26"/>
      <w:szCs w:val="28"/>
    </w:rPr>
  </w:style>
  <w:style w:type="character" w:customStyle="1" w:styleId="2Char">
    <w:name w:val="标题 2 Char"/>
    <w:basedOn w:val="af5"/>
    <w:uiPriority w:val="9"/>
    <w:qFormat/>
    <w:rPr>
      <w:rFonts w:asciiTheme="majorHAnsi" w:eastAsiaTheme="majorEastAsia" w:hAnsiTheme="majorHAnsi" w:cstheme="majorBidi"/>
      <w:b/>
      <w:bCs/>
      <w:sz w:val="32"/>
      <w:szCs w:val="32"/>
    </w:rPr>
  </w:style>
  <w:style w:type="character" w:customStyle="1" w:styleId="30">
    <w:name w:val="标题 3 字符"/>
    <w:basedOn w:val="af5"/>
    <w:link w:val="3"/>
    <w:qFormat/>
    <w:rPr>
      <w:rFonts w:ascii="Times New Roman" w:hAnsi="Times New Roman"/>
      <w:b/>
      <w:bCs/>
      <w:spacing w:val="20"/>
      <w:kern w:val="2"/>
      <w:sz w:val="32"/>
      <w:szCs w:val="32"/>
    </w:rPr>
  </w:style>
  <w:style w:type="character" w:customStyle="1" w:styleId="40">
    <w:name w:val="标题 4 字符"/>
    <w:basedOn w:val="af5"/>
    <w:link w:val="4"/>
    <w:qFormat/>
    <w:rPr>
      <w:rFonts w:ascii="Arial" w:eastAsia="黑体" w:hAnsi="Arial"/>
      <w:b/>
      <w:bCs/>
      <w:kern w:val="2"/>
      <w:sz w:val="28"/>
      <w:szCs w:val="28"/>
    </w:rPr>
  </w:style>
  <w:style w:type="character" w:customStyle="1" w:styleId="50">
    <w:name w:val="标题 5 字符"/>
    <w:basedOn w:val="af5"/>
    <w:link w:val="5"/>
    <w:qFormat/>
    <w:rPr>
      <w:rFonts w:ascii="Times New Roman" w:hAnsi="Times New Roman"/>
      <w:b/>
      <w:kern w:val="2"/>
      <w:sz w:val="28"/>
    </w:rPr>
  </w:style>
  <w:style w:type="character" w:customStyle="1" w:styleId="60">
    <w:name w:val="标题 6 字符"/>
    <w:basedOn w:val="af5"/>
    <w:link w:val="6"/>
    <w:qFormat/>
    <w:rPr>
      <w:rFonts w:ascii="Arial" w:eastAsia="黑体" w:hAnsi="Arial"/>
      <w:b/>
      <w:kern w:val="2"/>
      <w:sz w:val="24"/>
    </w:rPr>
  </w:style>
  <w:style w:type="character" w:customStyle="1" w:styleId="70">
    <w:name w:val="标题 7 字符"/>
    <w:basedOn w:val="af5"/>
    <w:link w:val="7"/>
    <w:qFormat/>
    <w:rPr>
      <w:rFonts w:ascii="Times New Roman" w:hAnsi="Times New Roman"/>
      <w:b/>
      <w:kern w:val="2"/>
      <w:sz w:val="24"/>
    </w:rPr>
  </w:style>
  <w:style w:type="character" w:customStyle="1" w:styleId="80">
    <w:name w:val="标题 8 字符"/>
    <w:basedOn w:val="af5"/>
    <w:link w:val="8"/>
    <w:qFormat/>
    <w:rPr>
      <w:rFonts w:ascii="Arial" w:eastAsia="黑体" w:hAnsi="Arial"/>
      <w:kern w:val="2"/>
      <w:sz w:val="24"/>
    </w:rPr>
  </w:style>
  <w:style w:type="character" w:customStyle="1" w:styleId="90">
    <w:name w:val="标题 9 字符"/>
    <w:basedOn w:val="af5"/>
    <w:link w:val="9"/>
    <w:qFormat/>
    <w:rPr>
      <w:rFonts w:ascii="Arial" w:eastAsia="黑体" w:hAnsi="Arial"/>
      <w:kern w:val="2"/>
      <w:sz w:val="21"/>
    </w:rPr>
  </w:style>
  <w:style w:type="paragraph" w:customStyle="1" w:styleId="afffff">
    <w:name w:val="前言、引言标题"/>
    <w:next w:val="af3"/>
    <w:qFormat/>
    <w:pPr>
      <w:shd w:val="clear" w:color="FFFFFF" w:fill="FFFFFF"/>
      <w:tabs>
        <w:tab w:val="left" w:pos="1574"/>
      </w:tabs>
      <w:spacing w:before="640" w:after="560"/>
      <w:ind w:left="1574" w:hanging="720"/>
      <w:jc w:val="center"/>
      <w:outlineLvl w:val="0"/>
    </w:pPr>
    <w:rPr>
      <w:rFonts w:ascii="黑体" w:eastAsia="黑体"/>
      <w:sz w:val="32"/>
    </w:rPr>
  </w:style>
  <w:style w:type="paragraph" w:customStyle="1" w:styleId="afffff0">
    <w:name w:val="章标题"/>
    <w:next w:val="af3"/>
    <w:qFormat/>
    <w:pPr>
      <w:tabs>
        <w:tab w:val="left" w:pos="1694"/>
      </w:tabs>
      <w:spacing w:beforeLines="50" w:afterLines="50"/>
      <w:ind w:left="1694" w:hanging="420"/>
      <w:jc w:val="both"/>
      <w:outlineLvl w:val="1"/>
    </w:pPr>
    <w:rPr>
      <w:rFonts w:ascii="黑体" w:eastAsia="黑体"/>
      <w:sz w:val="21"/>
    </w:rPr>
  </w:style>
  <w:style w:type="paragraph" w:customStyle="1" w:styleId="afffff1">
    <w:name w:val="一级条标题"/>
    <w:next w:val="af3"/>
    <w:qFormat/>
    <w:pPr>
      <w:tabs>
        <w:tab w:val="left" w:pos="2114"/>
      </w:tabs>
      <w:ind w:left="2114" w:hanging="420"/>
      <w:outlineLvl w:val="2"/>
    </w:pPr>
    <w:rPr>
      <w:rFonts w:eastAsia="黑体"/>
      <w:sz w:val="21"/>
    </w:rPr>
  </w:style>
  <w:style w:type="paragraph" w:customStyle="1" w:styleId="afffff2">
    <w:name w:val="二级条标题"/>
    <w:basedOn w:val="afffff1"/>
    <w:next w:val="af3"/>
    <w:qFormat/>
    <w:pPr>
      <w:tabs>
        <w:tab w:val="clear" w:pos="2114"/>
        <w:tab w:val="left" w:pos="2534"/>
      </w:tabs>
      <w:ind w:left="2534"/>
      <w:outlineLvl w:val="3"/>
    </w:pPr>
  </w:style>
  <w:style w:type="paragraph" w:customStyle="1" w:styleId="afffff3">
    <w:name w:val="三级条标题"/>
    <w:basedOn w:val="afffff2"/>
    <w:next w:val="af3"/>
    <w:qFormat/>
    <w:pPr>
      <w:tabs>
        <w:tab w:val="clear" w:pos="2534"/>
        <w:tab w:val="left" w:pos="2954"/>
      </w:tabs>
      <w:ind w:left="2954"/>
      <w:outlineLvl w:val="4"/>
    </w:pPr>
  </w:style>
  <w:style w:type="paragraph" w:customStyle="1" w:styleId="afffff4">
    <w:name w:val="四级条标题"/>
    <w:basedOn w:val="afffff3"/>
    <w:next w:val="af3"/>
    <w:qFormat/>
    <w:pPr>
      <w:tabs>
        <w:tab w:val="clear" w:pos="2954"/>
        <w:tab w:val="left" w:pos="3374"/>
      </w:tabs>
      <w:ind w:left="3374"/>
      <w:outlineLvl w:val="5"/>
    </w:pPr>
  </w:style>
  <w:style w:type="paragraph" w:customStyle="1" w:styleId="afffff5">
    <w:name w:val="五级条标题"/>
    <w:basedOn w:val="af3"/>
    <w:next w:val="4"/>
    <w:qFormat/>
    <w:pPr>
      <w:widowControl/>
      <w:outlineLvl w:val="6"/>
    </w:pPr>
    <w:rPr>
      <w:rFonts w:ascii="黑体" w:eastAsia="黑体"/>
      <w:kern w:val="0"/>
      <w:szCs w:val="20"/>
    </w:rPr>
  </w:style>
  <w:style w:type="paragraph" w:styleId="afffff6">
    <w:name w:val="List Paragraph"/>
    <w:basedOn w:val="af3"/>
    <w:link w:val="afffff7"/>
    <w:uiPriority w:val="34"/>
    <w:qFormat/>
    <w:pPr>
      <w:ind w:firstLineChars="200" w:firstLine="420"/>
    </w:pPr>
    <w:rPr>
      <w:rFonts w:ascii="Calibri" w:hAnsi="Calibri"/>
      <w:szCs w:val="22"/>
    </w:rPr>
  </w:style>
  <w:style w:type="paragraph" w:customStyle="1" w:styleId="14">
    <w:name w:val="列出段落1"/>
    <w:basedOn w:val="af3"/>
    <w:uiPriority w:val="34"/>
    <w:qFormat/>
    <w:pPr>
      <w:widowControl/>
      <w:adjustRightInd w:val="0"/>
      <w:snapToGrid w:val="0"/>
      <w:spacing w:after="200"/>
      <w:ind w:firstLine="420"/>
      <w:jc w:val="left"/>
    </w:pPr>
    <w:rPr>
      <w:rFonts w:ascii="Tahoma" w:eastAsia="微软雅黑" w:hAnsi="Tahoma"/>
      <w:kern w:val="0"/>
      <w:sz w:val="22"/>
      <w:szCs w:val="22"/>
    </w:rPr>
  </w:style>
  <w:style w:type="paragraph" w:customStyle="1" w:styleId="ac">
    <w:name w:val="注："/>
    <w:next w:val="af3"/>
    <w:uiPriority w:val="99"/>
    <w:qFormat/>
    <w:pPr>
      <w:widowControl w:val="0"/>
      <w:numPr>
        <w:numId w:val="1"/>
      </w:numPr>
      <w:autoSpaceDE w:val="0"/>
      <w:autoSpaceDN w:val="0"/>
      <w:jc w:val="both"/>
    </w:pPr>
    <w:rPr>
      <w:rFonts w:ascii="宋体"/>
      <w:sz w:val="18"/>
      <w:szCs w:val="18"/>
    </w:rPr>
  </w:style>
  <w:style w:type="paragraph" w:customStyle="1" w:styleId="afffff8">
    <w:name w:val="正文图标题"/>
    <w:next w:val="af3"/>
    <w:qFormat/>
    <w:pPr>
      <w:ind w:left="3857"/>
      <w:jc w:val="center"/>
    </w:pPr>
    <w:rPr>
      <w:rFonts w:ascii="黑体" w:eastAsia="黑体"/>
      <w:sz w:val="21"/>
    </w:rPr>
  </w:style>
  <w:style w:type="paragraph" w:customStyle="1" w:styleId="afffff9">
    <w:name w:val="段"/>
    <w:link w:val="Char0"/>
    <w:qFormat/>
    <w:pPr>
      <w:autoSpaceDE w:val="0"/>
      <w:autoSpaceDN w:val="0"/>
      <w:ind w:firstLineChars="200" w:firstLine="200"/>
      <w:jc w:val="both"/>
    </w:pPr>
    <w:rPr>
      <w:rFonts w:ascii="宋体"/>
      <w:sz w:val="21"/>
    </w:rPr>
  </w:style>
  <w:style w:type="character" w:customStyle="1" w:styleId="Char0">
    <w:name w:val="段 Char"/>
    <w:link w:val="afffff9"/>
    <w:qFormat/>
    <w:rPr>
      <w:rFonts w:ascii="宋体" w:hAnsi="Times New Roman"/>
      <w:sz w:val="21"/>
    </w:rPr>
  </w:style>
  <w:style w:type="paragraph" w:customStyle="1" w:styleId="afffffa">
    <w:name w:val="正文公式编号制表符"/>
    <w:basedOn w:val="afffff9"/>
    <w:next w:val="afffff9"/>
    <w:uiPriority w:val="99"/>
    <w:qFormat/>
    <w:pPr>
      <w:ind w:firstLineChars="0" w:firstLine="0"/>
    </w:pPr>
  </w:style>
  <w:style w:type="character" w:customStyle="1" w:styleId="Char1">
    <w:name w:val="纯文本 Char"/>
    <w:basedOn w:val="af5"/>
    <w:uiPriority w:val="99"/>
    <w:qFormat/>
    <w:rPr>
      <w:rFonts w:ascii="宋体" w:eastAsia="宋体" w:hAnsi="Courier New" w:cs="Courier New"/>
      <w:szCs w:val="21"/>
    </w:rPr>
  </w:style>
  <w:style w:type="character" w:customStyle="1" w:styleId="HTML0">
    <w:name w:val="HTML 地址 字符"/>
    <w:basedOn w:val="af5"/>
    <w:link w:val="HTML"/>
    <w:qFormat/>
    <w:rPr>
      <w:rFonts w:ascii="Times New Roman" w:hAnsi="Times New Roman"/>
      <w:i/>
      <w:iCs/>
      <w:szCs w:val="24"/>
    </w:rPr>
  </w:style>
  <w:style w:type="character" w:customStyle="1" w:styleId="HTML2">
    <w:name w:val="HTML 预设格式 字符"/>
    <w:basedOn w:val="af5"/>
    <w:link w:val="HTML1"/>
    <w:uiPriority w:val="99"/>
    <w:qFormat/>
    <w:rPr>
      <w:rFonts w:ascii="Arial" w:hAnsi="Arial" w:cs="Arial"/>
      <w:sz w:val="24"/>
      <w:szCs w:val="24"/>
    </w:rPr>
  </w:style>
  <w:style w:type="character" w:customStyle="1" w:styleId="afffd">
    <w:name w:val="标题 字符"/>
    <w:basedOn w:val="af5"/>
    <w:link w:val="afffc"/>
    <w:qFormat/>
    <w:rPr>
      <w:rFonts w:ascii="Arial" w:hAnsi="Arial" w:cs="Arial"/>
      <w:b/>
      <w:bCs/>
      <w:kern w:val="2"/>
      <w:sz w:val="32"/>
      <w:szCs w:val="32"/>
    </w:rPr>
  </w:style>
  <w:style w:type="paragraph" w:customStyle="1" w:styleId="afffffb">
    <w:name w:val="标准标志"/>
    <w:next w:val="af3"/>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c">
    <w:name w:val="标准称谓"/>
    <w:next w:val="af3"/>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ffd">
    <w:name w:val="标准书脚_偶数页"/>
    <w:qFormat/>
    <w:pPr>
      <w:spacing w:before="120"/>
    </w:pPr>
    <w:rPr>
      <w:sz w:val="18"/>
    </w:rPr>
  </w:style>
  <w:style w:type="paragraph" w:customStyle="1" w:styleId="afffffe">
    <w:name w:val="标准书脚_奇数页"/>
    <w:qFormat/>
    <w:pPr>
      <w:spacing w:before="120"/>
      <w:jc w:val="right"/>
    </w:pPr>
    <w:rPr>
      <w:sz w:val="18"/>
    </w:rPr>
  </w:style>
  <w:style w:type="paragraph" w:customStyle="1" w:styleId="affffff">
    <w:name w:val="标准书眉_奇数页"/>
    <w:next w:val="af3"/>
    <w:qFormat/>
    <w:pPr>
      <w:tabs>
        <w:tab w:val="center" w:pos="4154"/>
        <w:tab w:val="right" w:pos="8306"/>
      </w:tabs>
      <w:spacing w:after="120"/>
      <w:jc w:val="right"/>
    </w:pPr>
    <w:rPr>
      <w:sz w:val="21"/>
    </w:rPr>
  </w:style>
  <w:style w:type="paragraph" w:customStyle="1" w:styleId="affffff0">
    <w:name w:val="标准书眉_偶数页"/>
    <w:basedOn w:val="affffff"/>
    <w:next w:val="af3"/>
    <w:qFormat/>
    <w:pPr>
      <w:jc w:val="left"/>
    </w:pPr>
  </w:style>
  <w:style w:type="paragraph" w:customStyle="1" w:styleId="affffff1">
    <w:name w:val="标准书眉一"/>
    <w:qFormat/>
    <w:pPr>
      <w:jc w:val="both"/>
    </w:pPr>
  </w:style>
  <w:style w:type="paragraph" w:customStyle="1" w:styleId="affffff2">
    <w:name w:val="参考文献、索引标题"/>
    <w:basedOn w:val="afffff"/>
    <w:next w:val="af3"/>
    <w:qFormat/>
    <w:pPr>
      <w:tabs>
        <w:tab w:val="clear" w:pos="1574"/>
      </w:tabs>
      <w:spacing w:after="200"/>
      <w:ind w:left="0" w:firstLine="0"/>
    </w:pPr>
    <w:rPr>
      <w:sz w:val="21"/>
    </w:rPr>
  </w:style>
  <w:style w:type="paragraph" w:customStyle="1" w:styleId="a8">
    <w:name w:val="二级无标题条"/>
    <w:basedOn w:val="af3"/>
    <w:qFormat/>
    <w:pPr>
      <w:numPr>
        <w:ilvl w:val="3"/>
        <w:numId w:val="2"/>
      </w:numPr>
    </w:pPr>
  </w:style>
  <w:style w:type="character" w:customStyle="1" w:styleId="affffff3">
    <w:name w:val="发布"/>
    <w:qFormat/>
    <w:rPr>
      <w:rFonts w:ascii="黑体" w:eastAsia="黑体"/>
      <w:spacing w:val="22"/>
      <w:w w:val="100"/>
      <w:position w:val="3"/>
      <w:sz w:val="28"/>
    </w:rPr>
  </w:style>
  <w:style w:type="paragraph" w:customStyle="1" w:styleId="affffff4">
    <w:name w:val="发布部门"/>
    <w:next w:val="afffff9"/>
    <w:qFormat/>
    <w:pPr>
      <w:framePr w:w="7433" w:h="585" w:hRule="exact" w:hSpace="180" w:vSpace="180" w:wrap="around" w:hAnchor="margin" w:xAlign="center" w:y="14401" w:anchorLock="1"/>
      <w:jc w:val="center"/>
    </w:pPr>
    <w:rPr>
      <w:rFonts w:ascii="宋体"/>
      <w:b/>
      <w:spacing w:val="20"/>
      <w:w w:val="135"/>
      <w:sz w:val="36"/>
    </w:rPr>
  </w:style>
  <w:style w:type="paragraph" w:customStyle="1" w:styleId="affffff5">
    <w:name w:val="发布日期"/>
    <w:qFormat/>
    <w:pPr>
      <w:framePr w:w="4000" w:h="473" w:hRule="exact" w:hSpace="180" w:vSpace="180" w:wrap="around" w:hAnchor="margin" w:y="13511" w:anchorLock="1"/>
    </w:pPr>
    <w:rPr>
      <w:rFonts w:eastAsia="黑体"/>
      <w:sz w:val="28"/>
    </w:rPr>
  </w:style>
  <w:style w:type="paragraph" w:customStyle="1" w:styleId="15">
    <w:name w:val="封面标准号1"/>
    <w:qFormat/>
    <w:pPr>
      <w:widowControl w:val="0"/>
      <w:kinsoku w:val="0"/>
      <w:overflowPunct w:val="0"/>
      <w:autoSpaceDE w:val="0"/>
      <w:autoSpaceDN w:val="0"/>
      <w:spacing w:before="308"/>
      <w:jc w:val="right"/>
      <w:textAlignment w:val="center"/>
    </w:pPr>
    <w:rPr>
      <w:sz w:val="28"/>
    </w:rPr>
  </w:style>
  <w:style w:type="paragraph" w:customStyle="1" w:styleId="2a">
    <w:name w:val="封面标准号2"/>
    <w:qFormat/>
    <w:pPr>
      <w:spacing w:before="357" w:line="280" w:lineRule="exact"/>
      <w:jc w:val="right"/>
    </w:pPr>
    <w:rPr>
      <w:rFonts w:ascii="黑体" w:eastAsia="黑体"/>
      <w:sz w:val="28"/>
      <w:szCs w:val="28"/>
    </w:rPr>
  </w:style>
  <w:style w:type="paragraph" w:customStyle="1" w:styleId="affffff6">
    <w:name w:val="封面标准代替信息"/>
    <w:basedOn w:val="2a"/>
    <w:qFormat/>
    <w:pPr>
      <w:spacing w:before="57"/>
    </w:pPr>
    <w:rPr>
      <w:rFonts w:ascii="宋体"/>
      <w:sz w:val="21"/>
    </w:rPr>
  </w:style>
  <w:style w:type="paragraph" w:customStyle="1" w:styleId="affffff7">
    <w:name w:val="封面标准名称"/>
    <w:qFormat/>
    <w:pPr>
      <w:widowControl w:val="0"/>
      <w:spacing w:line="680" w:lineRule="exact"/>
      <w:jc w:val="center"/>
      <w:textAlignment w:val="center"/>
    </w:pPr>
    <w:rPr>
      <w:rFonts w:ascii="黑体" w:eastAsia="黑体"/>
      <w:sz w:val="52"/>
    </w:rPr>
  </w:style>
  <w:style w:type="paragraph" w:customStyle="1" w:styleId="affffff8">
    <w:name w:val="封面标准文稿编辑信息"/>
    <w:qFormat/>
    <w:pPr>
      <w:spacing w:before="180" w:line="180" w:lineRule="exact"/>
      <w:jc w:val="center"/>
    </w:pPr>
    <w:rPr>
      <w:rFonts w:ascii="宋体"/>
      <w:sz w:val="21"/>
    </w:rPr>
  </w:style>
  <w:style w:type="paragraph" w:customStyle="1" w:styleId="affffff9">
    <w:name w:val="封面标准文稿类别"/>
    <w:qFormat/>
    <w:pPr>
      <w:spacing w:before="440" w:line="400" w:lineRule="exact"/>
      <w:jc w:val="center"/>
    </w:pPr>
    <w:rPr>
      <w:rFonts w:ascii="宋体"/>
      <w:sz w:val="24"/>
    </w:rPr>
  </w:style>
  <w:style w:type="paragraph" w:customStyle="1" w:styleId="affffffa">
    <w:name w:val="封面标准英文名称"/>
    <w:qFormat/>
    <w:pPr>
      <w:widowControl w:val="0"/>
      <w:spacing w:before="370" w:line="400" w:lineRule="exact"/>
      <w:jc w:val="center"/>
    </w:pPr>
    <w:rPr>
      <w:sz w:val="28"/>
    </w:rPr>
  </w:style>
  <w:style w:type="paragraph" w:customStyle="1" w:styleId="affffffb">
    <w:name w:val="封面一致性程度标识"/>
    <w:qFormat/>
    <w:pPr>
      <w:spacing w:before="440" w:line="400" w:lineRule="exact"/>
      <w:jc w:val="center"/>
    </w:pPr>
    <w:rPr>
      <w:rFonts w:ascii="宋体"/>
      <w:sz w:val="28"/>
    </w:rPr>
  </w:style>
  <w:style w:type="paragraph" w:customStyle="1" w:styleId="affffffc">
    <w:name w:val="封面正文"/>
    <w:qFormat/>
    <w:pPr>
      <w:jc w:val="both"/>
    </w:pPr>
  </w:style>
  <w:style w:type="paragraph" w:customStyle="1" w:styleId="a">
    <w:name w:val="附录标识"/>
    <w:basedOn w:val="af3"/>
    <w:qFormat/>
    <w:pPr>
      <w:widowControl/>
      <w:numPr>
        <w:numId w:val="3"/>
      </w:numPr>
      <w:shd w:val="clear" w:color="FFFFFF" w:fill="FFFFFF"/>
      <w:tabs>
        <w:tab w:val="left" w:pos="6405"/>
      </w:tabs>
      <w:spacing w:before="640" w:after="200"/>
      <w:jc w:val="center"/>
      <w:outlineLvl w:val="0"/>
    </w:pPr>
    <w:rPr>
      <w:rFonts w:ascii="黑体" w:eastAsia="黑体"/>
      <w:kern w:val="0"/>
      <w:szCs w:val="20"/>
    </w:rPr>
  </w:style>
  <w:style w:type="paragraph" w:customStyle="1" w:styleId="affffffd">
    <w:name w:val="附录表标题"/>
    <w:next w:val="4"/>
    <w:qFormat/>
    <w:pPr>
      <w:jc w:val="center"/>
      <w:textAlignment w:val="baseline"/>
    </w:pPr>
    <w:rPr>
      <w:rFonts w:ascii="黑体" w:eastAsia="黑体"/>
      <w:kern w:val="21"/>
      <w:sz w:val="21"/>
    </w:rPr>
  </w:style>
  <w:style w:type="paragraph" w:customStyle="1" w:styleId="a0">
    <w:name w:val="附录章标题"/>
    <w:next w:val="af3"/>
    <w:qFormat/>
    <w:pPr>
      <w:numPr>
        <w:ilvl w:val="1"/>
        <w:numId w:val="3"/>
      </w:num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1">
    <w:name w:val="附录一级条标题"/>
    <w:basedOn w:val="a0"/>
    <w:next w:val="af3"/>
    <w:qFormat/>
    <w:pPr>
      <w:numPr>
        <w:ilvl w:val="2"/>
      </w:numPr>
      <w:autoSpaceDN w:val="0"/>
      <w:spacing w:beforeLines="0" w:afterLines="0"/>
      <w:outlineLvl w:val="2"/>
    </w:pPr>
  </w:style>
  <w:style w:type="paragraph" w:customStyle="1" w:styleId="a2">
    <w:name w:val="附录二级条标题"/>
    <w:basedOn w:val="a1"/>
    <w:next w:val="af3"/>
    <w:qFormat/>
    <w:pPr>
      <w:numPr>
        <w:ilvl w:val="3"/>
      </w:numPr>
      <w:outlineLvl w:val="3"/>
    </w:pPr>
  </w:style>
  <w:style w:type="paragraph" w:customStyle="1" w:styleId="a3">
    <w:name w:val="附录三级条标题"/>
    <w:basedOn w:val="a2"/>
    <w:next w:val="af3"/>
    <w:qFormat/>
    <w:pPr>
      <w:numPr>
        <w:ilvl w:val="4"/>
      </w:numPr>
      <w:outlineLvl w:val="4"/>
    </w:pPr>
  </w:style>
  <w:style w:type="paragraph" w:customStyle="1" w:styleId="a4">
    <w:name w:val="附录四级条标题"/>
    <w:basedOn w:val="a3"/>
    <w:next w:val="af3"/>
    <w:qFormat/>
    <w:pPr>
      <w:numPr>
        <w:ilvl w:val="5"/>
      </w:numPr>
      <w:outlineLvl w:val="5"/>
    </w:pPr>
  </w:style>
  <w:style w:type="paragraph" w:customStyle="1" w:styleId="affffffe">
    <w:name w:val="附录图标题"/>
    <w:next w:val="4"/>
    <w:qFormat/>
    <w:pPr>
      <w:jc w:val="center"/>
    </w:pPr>
    <w:rPr>
      <w:rFonts w:ascii="黑体" w:eastAsia="黑体"/>
      <w:sz w:val="21"/>
    </w:rPr>
  </w:style>
  <w:style w:type="paragraph" w:customStyle="1" w:styleId="a5">
    <w:name w:val="附录五级条标题"/>
    <w:basedOn w:val="a4"/>
    <w:next w:val="af3"/>
    <w:qFormat/>
    <w:pPr>
      <w:numPr>
        <w:ilvl w:val="6"/>
      </w:numPr>
      <w:outlineLvl w:val="6"/>
    </w:pPr>
  </w:style>
  <w:style w:type="character" w:customStyle="1" w:styleId="EmailStyle92">
    <w:name w:val="EmailStyle92"/>
    <w:qFormat/>
    <w:rPr>
      <w:rFonts w:ascii="Arial" w:eastAsia="宋体" w:hAnsi="Arial" w:cs="Arial"/>
      <w:color w:val="auto"/>
      <w:sz w:val="20"/>
    </w:rPr>
  </w:style>
  <w:style w:type="character" w:customStyle="1" w:styleId="EmailStyle93">
    <w:name w:val="EmailStyle93"/>
    <w:qFormat/>
    <w:rPr>
      <w:rFonts w:ascii="Arial" w:eastAsia="宋体" w:hAnsi="Arial" w:cs="Arial"/>
      <w:color w:val="auto"/>
      <w:sz w:val="20"/>
    </w:rPr>
  </w:style>
  <w:style w:type="character" w:customStyle="1" w:styleId="afffa">
    <w:name w:val="脚注文本 字符"/>
    <w:basedOn w:val="af5"/>
    <w:link w:val="afff9"/>
    <w:qFormat/>
    <w:rPr>
      <w:rFonts w:ascii="Times New Roman" w:hAnsi="Times New Roman"/>
      <w:sz w:val="18"/>
      <w:szCs w:val="18"/>
    </w:rPr>
  </w:style>
  <w:style w:type="paragraph" w:customStyle="1" w:styleId="af2">
    <w:name w:val="列项——"/>
    <w:qFormat/>
    <w:pPr>
      <w:widowControl w:val="0"/>
      <w:numPr>
        <w:numId w:val="4"/>
      </w:numPr>
      <w:tabs>
        <w:tab w:val="clear" w:pos="1140"/>
        <w:tab w:val="left" w:pos="360"/>
      </w:tabs>
      <w:ind w:left="0" w:firstLine="0"/>
      <w:jc w:val="both"/>
    </w:pPr>
    <w:rPr>
      <w:rFonts w:ascii="宋体"/>
      <w:sz w:val="21"/>
    </w:rPr>
  </w:style>
  <w:style w:type="paragraph" w:customStyle="1" w:styleId="af0">
    <w:name w:val="列项·"/>
    <w:qFormat/>
    <w:pPr>
      <w:numPr>
        <w:numId w:val="5"/>
      </w:numPr>
      <w:tabs>
        <w:tab w:val="clear" w:pos="1140"/>
        <w:tab w:val="left" w:pos="360"/>
        <w:tab w:val="left" w:pos="840"/>
      </w:tabs>
      <w:ind w:left="0" w:firstLine="0"/>
      <w:jc w:val="both"/>
    </w:pPr>
    <w:rPr>
      <w:rFonts w:ascii="宋体"/>
      <w:sz w:val="21"/>
    </w:rPr>
  </w:style>
  <w:style w:type="paragraph" w:customStyle="1" w:styleId="afffffff">
    <w:name w:val="目次、标准名称标题"/>
    <w:basedOn w:val="afffff"/>
    <w:next w:val="af3"/>
    <w:qFormat/>
    <w:pPr>
      <w:tabs>
        <w:tab w:val="clear" w:pos="1574"/>
      </w:tabs>
      <w:spacing w:line="460" w:lineRule="exact"/>
      <w:ind w:left="0" w:firstLine="0"/>
    </w:pPr>
  </w:style>
  <w:style w:type="paragraph" w:customStyle="1" w:styleId="afffffff0">
    <w:name w:val="目次、索引正文"/>
    <w:qFormat/>
    <w:pPr>
      <w:spacing w:line="320" w:lineRule="exact"/>
      <w:jc w:val="both"/>
    </w:pPr>
    <w:rPr>
      <w:rFonts w:ascii="宋体"/>
      <w:sz w:val="21"/>
    </w:rPr>
  </w:style>
  <w:style w:type="paragraph" w:customStyle="1" w:styleId="afffffff1">
    <w:name w:val="其他标准称谓"/>
    <w:qFormat/>
    <w:pPr>
      <w:spacing w:line="0" w:lineRule="atLeast"/>
      <w:jc w:val="distribute"/>
    </w:pPr>
    <w:rPr>
      <w:rFonts w:ascii="黑体" w:eastAsia="黑体" w:hAnsi="宋体"/>
      <w:sz w:val="52"/>
    </w:rPr>
  </w:style>
  <w:style w:type="paragraph" w:customStyle="1" w:styleId="afffffff2">
    <w:name w:val="其他发布部门"/>
    <w:basedOn w:val="affffff4"/>
    <w:qFormat/>
    <w:pPr>
      <w:framePr w:wrap="around"/>
      <w:spacing w:line="0" w:lineRule="atLeast"/>
    </w:pPr>
    <w:rPr>
      <w:rFonts w:ascii="黑体" w:eastAsia="黑体"/>
      <w:b w:val="0"/>
    </w:rPr>
  </w:style>
  <w:style w:type="paragraph" w:customStyle="1" w:styleId="a9">
    <w:name w:val="三级无标题条"/>
    <w:basedOn w:val="af3"/>
    <w:qFormat/>
    <w:pPr>
      <w:numPr>
        <w:ilvl w:val="4"/>
        <w:numId w:val="2"/>
      </w:numPr>
    </w:pPr>
  </w:style>
  <w:style w:type="paragraph" w:customStyle="1" w:styleId="afffffff3">
    <w:name w:val="实施日期"/>
    <w:basedOn w:val="affffff5"/>
    <w:qFormat/>
    <w:pPr>
      <w:framePr w:hSpace="0" w:wrap="around" w:xAlign="right"/>
      <w:jc w:val="right"/>
    </w:pPr>
  </w:style>
  <w:style w:type="paragraph" w:customStyle="1" w:styleId="ad">
    <w:name w:val="示例"/>
    <w:next w:val="afffff9"/>
    <w:qFormat/>
    <w:pPr>
      <w:numPr>
        <w:numId w:val="6"/>
      </w:numPr>
      <w:tabs>
        <w:tab w:val="clear" w:pos="1120"/>
        <w:tab w:val="left" w:pos="360"/>
      </w:tabs>
      <w:ind w:firstLine="0"/>
      <w:jc w:val="both"/>
    </w:pPr>
    <w:rPr>
      <w:rFonts w:ascii="宋体"/>
      <w:sz w:val="18"/>
    </w:rPr>
  </w:style>
  <w:style w:type="paragraph" w:customStyle="1" w:styleId="afffffff4">
    <w:name w:val="数字编号列项（二级）"/>
    <w:uiPriority w:val="99"/>
    <w:qFormat/>
    <w:pPr>
      <w:ind w:leftChars="400" w:left="1260" w:hangingChars="200" w:hanging="420"/>
      <w:jc w:val="both"/>
    </w:pPr>
    <w:rPr>
      <w:rFonts w:ascii="宋体"/>
      <w:sz w:val="21"/>
    </w:rPr>
  </w:style>
  <w:style w:type="paragraph" w:customStyle="1" w:styleId="aa">
    <w:name w:val="四级无标题条"/>
    <w:basedOn w:val="af3"/>
    <w:qFormat/>
    <w:pPr>
      <w:numPr>
        <w:ilvl w:val="5"/>
        <w:numId w:val="2"/>
      </w:numPr>
    </w:pPr>
  </w:style>
  <w:style w:type="paragraph" w:customStyle="1" w:styleId="afffffff5">
    <w:name w:val="条文脚注"/>
    <w:basedOn w:val="afff9"/>
    <w:qFormat/>
    <w:pPr>
      <w:ind w:leftChars="200" w:left="780" w:hangingChars="200" w:hanging="360"/>
      <w:jc w:val="both"/>
    </w:pPr>
    <w:rPr>
      <w:rFonts w:ascii="宋体"/>
    </w:rPr>
  </w:style>
  <w:style w:type="paragraph" w:customStyle="1" w:styleId="afffffff6">
    <w:name w:val="图表脚注"/>
    <w:next w:val="afffff9"/>
    <w:qFormat/>
    <w:pPr>
      <w:ind w:leftChars="200" w:left="300" w:hangingChars="100" w:hanging="100"/>
      <w:jc w:val="both"/>
    </w:pPr>
    <w:rPr>
      <w:rFonts w:ascii="宋体"/>
      <w:sz w:val="18"/>
    </w:rPr>
  </w:style>
  <w:style w:type="paragraph" w:customStyle="1" w:styleId="afffffff7">
    <w:name w:val="文献分类号"/>
    <w:qFormat/>
    <w:pPr>
      <w:framePr w:hSpace="180" w:vSpace="180" w:wrap="around" w:hAnchor="margin" w:y="1" w:anchorLock="1"/>
      <w:widowControl w:val="0"/>
      <w:textAlignment w:val="center"/>
    </w:pPr>
    <w:rPr>
      <w:rFonts w:eastAsia="黑体"/>
      <w:sz w:val="21"/>
    </w:rPr>
  </w:style>
  <w:style w:type="paragraph" w:customStyle="1" w:styleId="afffffff8">
    <w:name w:val="无标题条"/>
    <w:next w:val="afffff9"/>
    <w:qFormat/>
    <w:pPr>
      <w:jc w:val="both"/>
    </w:pPr>
    <w:rPr>
      <w:sz w:val="21"/>
    </w:rPr>
  </w:style>
  <w:style w:type="paragraph" w:customStyle="1" w:styleId="ab">
    <w:name w:val="五级无标题条"/>
    <w:basedOn w:val="af3"/>
    <w:qFormat/>
    <w:pPr>
      <w:numPr>
        <w:ilvl w:val="6"/>
        <w:numId w:val="2"/>
      </w:numPr>
    </w:pPr>
  </w:style>
  <w:style w:type="paragraph" w:customStyle="1" w:styleId="a7">
    <w:name w:val="一级无标题条"/>
    <w:basedOn w:val="af3"/>
    <w:qFormat/>
    <w:pPr>
      <w:numPr>
        <w:ilvl w:val="2"/>
        <w:numId w:val="2"/>
      </w:numPr>
    </w:pPr>
  </w:style>
  <w:style w:type="paragraph" w:customStyle="1" w:styleId="afffffff9">
    <w:name w:val="正文表标题"/>
    <w:next w:val="afffff9"/>
    <w:qFormat/>
    <w:pPr>
      <w:tabs>
        <w:tab w:val="left" w:pos="360"/>
      </w:tabs>
      <w:jc w:val="center"/>
    </w:pPr>
    <w:rPr>
      <w:rFonts w:ascii="黑体" w:eastAsia="黑体"/>
      <w:sz w:val="21"/>
    </w:rPr>
  </w:style>
  <w:style w:type="paragraph" w:customStyle="1" w:styleId="afffffffa">
    <w:name w:val="注×："/>
    <w:qFormat/>
    <w:pPr>
      <w:widowControl w:val="0"/>
      <w:tabs>
        <w:tab w:val="left" w:pos="630"/>
      </w:tabs>
      <w:autoSpaceDE w:val="0"/>
      <w:autoSpaceDN w:val="0"/>
      <w:jc w:val="both"/>
    </w:pPr>
    <w:rPr>
      <w:rFonts w:ascii="宋体"/>
      <w:sz w:val="18"/>
    </w:rPr>
  </w:style>
  <w:style w:type="paragraph" w:customStyle="1" w:styleId="a6">
    <w:name w:val="字母编号列项（一级）"/>
    <w:qFormat/>
    <w:pPr>
      <w:numPr>
        <w:numId w:val="7"/>
      </w:numPr>
      <w:jc w:val="both"/>
    </w:pPr>
    <w:rPr>
      <w:rFonts w:ascii="宋体"/>
      <w:sz w:val="21"/>
    </w:rPr>
  </w:style>
  <w:style w:type="paragraph" w:customStyle="1" w:styleId="afffffffb">
    <w:name w:val="列项——（一级）"/>
    <w:qFormat/>
    <w:pPr>
      <w:widowControl w:val="0"/>
      <w:tabs>
        <w:tab w:val="left" w:pos="900"/>
      </w:tabs>
      <w:ind w:left="900" w:hanging="500"/>
      <w:jc w:val="both"/>
    </w:pPr>
    <w:rPr>
      <w:rFonts w:ascii="宋体"/>
      <w:sz w:val="21"/>
    </w:rPr>
  </w:style>
  <w:style w:type="paragraph" w:customStyle="1" w:styleId="ae">
    <w:name w:val="列项●（二级）"/>
    <w:qFormat/>
    <w:pPr>
      <w:numPr>
        <w:ilvl w:val="1"/>
        <w:numId w:val="8"/>
      </w:numPr>
      <w:tabs>
        <w:tab w:val="left" w:pos="840"/>
      </w:tabs>
      <w:jc w:val="both"/>
    </w:pPr>
    <w:rPr>
      <w:rFonts w:ascii="宋体"/>
      <w:sz w:val="21"/>
    </w:rPr>
  </w:style>
  <w:style w:type="paragraph" w:customStyle="1" w:styleId="af">
    <w:name w:val="列项◆（三级）"/>
    <w:basedOn w:val="af3"/>
    <w:qFormat/>
    <w:pPr>
      <w:numPr>
        <w:ilvl w:val="2"/>
        <w:numId w:val="8"/>
      </w:numPr>
    </w:pPr>
    <w:rPr>
      <w:rFonts w:ascii="宋体"/>
      <w:szCs w:val="21"/>
    </w:rPr>
  </w:style>
  <w:style w:type="paragraph" w:customStyle="1" w:styleId="afffffffc">
    <w:name w:val="二级无"/>
    <w:basedOn w:val="afffff2"/>
    <w:qFormat/>
    <w:rPr>
      <w:rFonts w:ascii="宋体" w:eastAsia="宋体"/>
      <w:szCs w:val="21"/>
    </w:rPr>
  </w:style>
  <w:style w:type="paragraph" w:customStyle="1" w:styleId="afffffffd">
    <w:name w:val="一级无"/>
    <w:basedOn w:val="afffff1"/>
    <w:qFormat/>
    <w:pPr>
      <w:ind w:left="840"/>
    </w:pPr>
    <w:rPr>
      <w:rFonts w:ascii="宋体" w:eastAsia="宋体"/>
      <w:szCs w:val="21"/>
    </w:rPr>
  </w:style>
  <w:style w:type="paragraph" w:customStyle="1" w:styleId="Char2">
    <w:name w:val="Char"/>
    <w:basedOn w:val="af3"/>
    <w:qFormat/>
  </w:style>
  <w:style w:type="character" w:customStyle="1" w:styleId="affc">
    <w:name w:val="日期 字符"/>
    <w:basedOn w:val="af5"/>
    <w:link w:val="affb"/>
    <w:qFormat/>
    <w:rPr>
      <w:rFonts w:ascii="宋体" w:hAnsi="Courier New"/>
      <w:kern w:val="2"/>
      <w:sz w:val="21"/>
    </w:rPr>
  </w:style>
  <w:style w:type="paragraph" w:customStyle="1" w:styleId="TOC10">
    <w:name w:val="TOC 标题1"/>
    <w:basedOn w:val="1"/>
    <w:next w:val="af3"/>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spacing w:val="0"/>
      <w:kern w:val="0"/>
      <w:szCs w:val="32"/>
    </w:rPr>
  </w:style>
  <w:style w:type="character" w:customStyle="1" w:styleId="CharChar">
    <w:name w:val="段 Char Char"/>
    <w:qFormat/>
    <w:rPr>
      <w:rFonts w:ascii="宋体" w:hAnsi="Times New Roman"/>
      <w:sz w:val="21"/>
      <w:lang w:val="en-US" w:eastAsia="zh-CN" w:bidi="ar-SA"/>
    </w:rPr>
  </w:style>
  <w:style w:type="paragraph" w:customStyle="1" w:styleId="afffffffe">
    <w:name w:val="编号列项（三级）"/>
    <w:uiPriority w:val="99"/>
    <w:qFormat/>
    <w:pPr>
      <w:tabs>
        <w:tab w:val="left" w:pos="-60"/>
      </w:tabs>
      <w:ind w:left="1618" w:hanging="419"/>
    </w:pPr>
    <w:rPr>
      <w:rFonts w:ascii="宋体"/>
      <w:sz w:val="21"/>
    </w:rPr>
  </w:style>
  <w:style w:type="character" w:customStyle="1" w:styleId="aff6">
    <w:name w:val="正文文本缩进 字符"/>
    <w:basedOn w:val="af5"/>
    <w:link w:val="aff5"/>
    <w:qFormat/>
    <w:rPr>
      <w:rFonts w:ascii="宋体" w:hAnsi="宋体"/>
      <w:kern w:val="2"/>
      <w:sz w:val="24"/>
    </w:rPr>
  </w:style>
  <w:style w:type="character" w:customStyle="1" w:styleId="36">
    <w:name w:val="正文文本缩进 3 字符"/>
    <w:basedOn w:val="af5"/>
    <w:link w:val="35"/>
    <w:qFormat/>
    <w:rPr>
      <w:rFonts w:ascii="宋体" w:hAnsi="宋体"/>
      <w:kern w:val="2"/>
      <w:sz w:val="24"/>
      <w:szCs w:val="24"/>
    </w:rPr>
  </w:style>
  <w:style w:type="character" w:customStyle="1" w:styleId="af8">
    <w:name w:val="正文缩进 字符"/>
    <w:link w:val="af4"/>
    <w:qFormat/>
    <w:rPr>
      <w:rFonts w:ascii="Times New Roman" w:hAnsi="Times New Roman"/>
      <w:kern w:val="2"/>
      <w:sz w:val="21"/>
    </w:rPr>
  </w:style>
  <w:style w:type="character" w:customStyle="1" w:styleId="affa">
    <w:name w:val="纯文本 字符"/>
    <w:link w:val="aff9"/>
    <w:qFormat/>
    <w:rPr>
      <w:rFonts w:ascii="宋体" w:hAnsi="Courier New"/>
      <w:sz w:val="21"/>
    </w:rPr>
  </w:style>
  <w:style w:type="character" w:customStyle="1" w:styleId="24">
    <w:name w:val="正文文本缩进 2 字符"/>
    <w:basedOn w:val="af5"/>
    <w:link w:val="23"/>
    <w:qFormat/>
    <w:rPr>
      <w:rFonts w:ascii="Times New Roman" w:hAnsi="Times New Roman"/>
      <w:kern w:val="2"/>
      <w:sz w:val="21"/>
      <w:szCs w:val="24"/>
    </w:rPr>
  </w:style>
  <w:style w:type="paragraph" w:customStyle="1" w:styleId="affffffff">
    <w:name w:val="表格"/>
    <w:basedOn w:val="af3"/>
    <w:link w:val="Char3"/>
    <w:qFormat/>
    <w:pPr>
      <w:adjustRightInd w:val="0"/>
      <w:jc w:val="center"/>
      <w:textAlignment w:val="baseline"/>
    </w:pPr>
    <w:rPr>
      <w:rFonts w:ascii="宋体"/>
      <w:kern w:val="0"/>
      <w:szCs w:val="20"/>
    </w:rPr>
  </w:style>
  <w:style w:type="paragraph" w:customStyle="1" w:styleId="xl35">
    <w:name w:val="xl35"/>
    <w:basedOn w:val="af3"/>
    <w:qFormat/>
    <w:pPr>
      <w:widowControl/>
      <w:pBdr>
        <w:left w:val="single" w:sz="8" w:space="0" w:color="auto"/>
        <w:right w:val="single" w:sz="4" w:space="0" w:color="auto"/>
      </w:pBdr>
      <w:spacing w:before="100" w:after="100"/>
      <w:jc w:val="center"/>
      <w:textAlignment w:val="center"/>
    </w:pPr>
    <w:rPr>
      <w:kern w:val="0"/>
      <w:szCs w:val="20"/>
    </w:rPr>
  </w:style>
  <w:style w:type="paragraph" w:customStyle="1" w:styleId="2b">
    <w:name w:val="2"/>
    <w:basedOn w:val="af3"/>
    <w:next w:val="aff9"/>
    <w:qFormat/>
    <w:rPr>
      <w:rFonts w:ascii="宋体" w:hAnsi="Courier New"/>
      <w:szCs w:val="20"/>
    </w:rPr>
  </w:style>
  <w:style w:type="paragraph" w:customStyle="1" w:styleId="font11">
    <w:name w:val="font11"/>
    <w:basedOn w:val="af3"/>
    <w:qFormat/>
    <w:pPr>
      <w:widowControl/>
      <w:spacing w:before="100" w:beforeAutospacing="1" w:after="100" w:afterAutospacing="1"/>
      <w:jc w:val="left"/>
    </w:pPr>
    <w:rPr>
      <w:rFonts w:eastAsia="Arial Unicode MS"/>
      <w:b/>
      <w:bCs/>
      <w:color w:val="FF0000"/>
      <w:kern w:val="0"/>
      <w:sz w:val="16"/>
      <w:szCs w:val="16"/>
    </w:rPr>
  </w:style>
  <w:style w:type="paragraph" w:customStyle="1" w:styleId="xl24">
    <w:name w:val="xl24"/>
    <w:basedOn w:val="af3"/>
    <w:qFormat/>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kern w:val="0"/>
      <w:szCs w:val="21"/>
    </w:rPr>
  </w:style>
  <w:style w:type="paragraph" w:customStyle="1" w:styleId="affffffff0">
    <w:name w:val="缩进正文"/>
    <w:basedOn w:val="aff5"/>
    <w:qFormat/>
    <w:pPr>
      <w:tabs>
        <w:tab w:val="clear" w:pos="540"/>
      </w:tabs>
      <w:adjustRightInd w:val="0"/>
      <w:snapToGrid w:val="0"/>
      <w:spacing w:line="300" w:lineRule="auto"/>
      <w:ind w:firstLine="200"/>
    </w:pPr>
    <w:rPr>
      <w:rFonts w:hAnsi="Times New Roman" w:hint="eastAsia"/>
      <w:sz w:val="28"/>
    </w:rPr>
  </w:style>
  <w:style w:type="paragraph" w:customStyle="1" w:styleId="39">
    <w:name w:val="标题3"/>
    <w:basedOn w:val="af3"/>
    <w:qFormat/>
    <w:pPr>
      <w:keepNext/>
      <w:keepLines/>
      <w:spacing w:line="360" w:lineRule="auto"/>
      <w:outlineLvl w:val="2"/>
    </w:pPr>
    <w:rPr>
      <w:rFonts w:eastAsia="黑体"/>
      <w:snapToGrid w:val="0"/>
      <w:sz w:val="28"/>
      <w:szCs w:val="32"/>
    </w:rPr>
  </w:style>
  <w:style w:type="paragraph" w:customStyle="1" w:styleId="3a">
    <w:name w:val="样式3"/>
    <w:qFormat/>
    <w:pPr>
      <w:widowControl w:val="0"/>
      <w:spacing w:line="360" w:lineRule="auto"/>
      <w:jc w:val="center"/>
    </w:pPr>
    <w:rPr>
      <w:rFonts w:ascii="宋体"/>
      <w:snapToGrid w:val="0"/>
      <w:kern w:val="2"/>
      <w:sz w:val="28"/>
      <w:szCs w:val="24"/>
    </w:rPr>
  </w:style>
  <w:style w:type="paragraph" w:customStyle="1" w:styleId="cjh">
    <w:name w:val="cjh"/>
    <w:basedOn w:val="af3"/>
    <w:next w:val="af3"/>
    <w:qFormat/>
    <w:pPr>
      <w:keepLines/>
      <w:suppressLineNumbers/>
      <w:suppressAutoHyphens/>
      <w:jc w:val="center"/>
      <w:outlineLvl w:val="0"/>
    </w:pPr>
    <w:rPr>
      <w:rFonts w:ascii="宋体"/>
      <w:kern w:val="24"/>
      <w:szCs w:val="20"/>
    </w:rPr>
  </w:style>
  <w:style w:type="character" w:customStyle="1" w:styleId="33">
    <w:name w:val="正文文本 3 字符"/>
    <w:basedOn w:val="af5"/>
    <w:link w:val="32"/>
    <w:qFormat/>
    <w:rPr>
      <w:rFonts w:ascii="Times New Roman" w:hAnsi="Times New Roman"/>
      <w:kern w:val="2"/>
      <w:sz w:val="21"/>
    </w:rPr>
  </w:style>
  <w:style w:type="character" w:customStyle="1" w:styleId="16">
    <w:name w:val="标题1"/>
    <w:basedOn w:val="af5"/>
    <w:qFormat/>
  </w:style>
  <w:style w:type="paragraph" w:customStyle="1" w:styleId="affffffff1">
    <w:name w:val="表格标题"/>
    <w:basedOn w:val="af3"/>
    <w:link w:val="Char4"/>
    <w:qFormat/>
    <w:pPr>
      <w:adjustRightInd w:val="0"/>
      <w:spacing w:before="120" w:line="360" w:lineRule="auto"/>
      <w:ind w:firstLineChars="200" w:firstLine="420"/>
      <w:jc w:val="left"/>
    </w:pPr>
    <w:rPr>
      <w:rFonts w:ascii="宋体" w:hAnsi="宋体"/>
      <w:szCs w:val="21"/>
    </w:rPr>
  </w:style>
  <w:style w:type="paragraph" w:customStyle="1" w:styleId="affffffff2">
    <w:name w:val="表格内部"/>
    <w:basedOn w:val="af3"/>
    <w:qFormat/>
    <w:pPr>
      <w:spacing w:line="300" w:lineRule="auto"/>
      <w:jc w:val="center"/>
      <w:outlineLvl w:val="4"/>
    </w:pPr>
    <w:rPr>
      <w:sz w:val="18"/>
      <w:szCs w:val="20"/>
    </w:rPr>
  </w:style>
  <w:style w:type="paragraph" w:customStyle="1" w:styleId="affffffff3">
    <w:name w:val="表图标题新标准"/>
    <w:basedOn w:val="af3"/>
    <w:qFormat/>
    <w:pPr>
      <w:jc w:val="center"/>
    </w:pPr>
    <w:rPr>
      <w:rFonts w:eastAsia="黑体"/>
      <w:bCs/>
    </w:rPr>
  </w:style>
  <w:style w:type="character" w:customStyle="1" w:styleId="111">
    <w:name w:val="1.1.1标题"/>
    <w:qFormat/>
    <w:rPr>
      <w:rFonts w:ascii="宋体" w:eastAsia="宋体" w:hAnsi="宋体"/>
      <w:color w:val="000000"/>
    </w:rPr>
  </w:style>
  <w:style w:type="paragraph" w:customStyle="1" w:styleId="affffffff4">
    <w:name w:val="正文新标准"/>
    <w:basedOn w:val="35"/>
    <w:qFormat/>
    <w:pPr>
      <w:adjustRightInd/>
      <w:snapToGrid/>
      <w:spacing w:before="0" w:line="560" w:lineRule="exact"/>
      <w:ind w:firstLineChars="200" w:firstLine="200"/>
      <w:jc w:val="left"/>
    </w:pPr>
    <w:rPr>
      <w:rFonts w:ascii="Times New Roman" w:hAnsi="Times New Roman"/>
      <w:kern w:val="0"/>
      <w:sz w:val="28"/>
    </w:rPr>
  </w:style>
  <w:style w:type="paragraph" w:customStyle="1" w:styleId="2c">
    <w:name w:val="样式2"/>
    <w:basedOn w:val="3"/>
    <w:qFormat/>
    <w:pPr>
      <w:spacing w:beforeLines="50" w:afterLines="50" w:line="480" w:lineRule="exact"/>
      <w:jc w:val="center"/>
    </w:pPr>
    <w:rPr>
      <w:rFonts w:ascii="Arial" w:eastAsia="仿宋_GB2312" w:hAnsi="Arial" w:cs="Arial"/>
      <w:bCs w:val="0"/>
      <w:spacing w:val="0"/>
      <w:sz w:val="24"/>
    </w:rPr>
  </w:style>
  <w:style w:type="paragraph" w:customStyle="1" w:styleId="affffffff5">
    <w:name w:val="简单回函地址"/>
    <w:basedOn w:val="af3"/>
    <w:qFormat/>
    <w:rPr>
      <w:szCs w:val="20"/>
    </w:rPr>
  </w:style>
  <w:style w:type="character" w:customStyle="1" w:styleId="afff4">
    <w:name w:val="签名 字符"/>
    <w:basedOn w:val="af5"/>
    <w:link w:val="afff3"/>
    <w:qFormat/>
    <w:rPr>
      <w:rFonts w:ascii="Times New Roman" w:hAnsi="Times New Roman"/>
      <w:kern w:val="2"/>
      <w:sz w:val="21"/>
    </w:rPr>
  </w:style>
  <w:style w:type="paragraph" w:customStyle="1" w:styleId="PP">
    <w:name w:val="PP 行"/>
    <w:basedOn w:val="afff3"/>
    <w:qFormat/>
  </w:style>
  <w:style w:type="paragraph" w:customStyle="1" w:styleId="2d">
    <w:name w:val="标题2新标准"/>
    <w:basedOn w:val="2"/>
    <w:qFormat/>
    <w:pPr>
      <w:spacing w:before="120" w:after="120" w:line="560" w:lineRule="exact"/>
      <w:jc w:val="center"/>
    </w:pPr>
    <w:rPr>
      <w:rFonts w:ascii="Times New Roman" w:eastAsia="宋体" w:hAnsi="Times New Roman"/>
      <w:b w:val="0"/>
      <w:spacing w:val="0"/>
      <w:sz w:val="30"/>
    </w:rPr>
  </w:style>
  <w:style w:type="paragraph" w:customStyle="1" w:styleId="17">
    <w:name w:val="1"/>
    <w:basedOn w:val="af3"/>
    <w:next w:val="aff9"/>
    <w:qFormat/>
    <w:rPr>
      <w:rFonts w:ascii="宋体" w:hAnsi="Courier New"/>
      <w:szCs w:val="20"/>
    </w:rPr>
  </w:style>
  <w:style w:type="paragraph" w:customStyle="1" w:styleId="xl22">
    <w:name w:val="xl22"/>
    <w:basedOn w:val="af3"/>
    <w:qFormat/>
    <w:pPr>
      <w:widowControl/>
      <w:pBdr>
        <w:bottom w:val="single" w:sz="4" w:space="0" w:color="auto"/>
        <w:right w:val="single" w:sz="4" w:space="0" w:color="auto"/>
      </w:pBdr>
      <w:spacing w:before="100" w:beforeAutospacing="1" w:after="100" w:afterAutospacing="1"/>
      <w:jc w:val="center"/>
      <w:textAlignment w:val="center"/>
    </w:pPr>
    <w:rPr>
      <w:rFonts w:ascii="宋体" w:hAnsi="宋体"/>
      <w:kern w:val="0"/>
      <w:szCs w:val="21"/>
    </w:rPr>
  </w:style>
  <w:style w:type="paragraph" w:customStyle="1" w:styleId="affffffff6">
    <w:name w:val="表格样式"/>
    <w:basedOn w:val="af3"/>
    <w:qFormat/>
    <w:rPr>
      <w:szCs w:val="20"/>
    </w:rPr>
  </w:style>
  <w:style w:type="character" w:customStyle="1" w:styleId="affff1">
    <w:name w:val="正文文本首行缩进 字符"/>
    <w:basedOn w:val="aff4"/>
    <w:link w:val="affff0"/>
    <w:qFormat/>
    <w:rPr>
      <w:rFonts w:ascii="Times New Roman" w:hAnsi="Times New Roman"/>
      <w:color w:val="000000"/>
      <w:spacing w:val="20"/>
      <w:kern w:val="2"/>
      <w:sz w:val="21"/>
      <w:szCs w:val="24"/>
    </w:rPr>
  </w:style>
  <w:style w:type="paragraph" w:customStyle="1" w:styleId="ParaCharCharCharCharCharCharChar">
    <w:name w:val="默认段落字体 Para Char Char Char Char Char Char Char"/>
    <w:basedOn w:val="af3"/>
    <w:qFormat/>
    <w:pPr>
      <w:numPr>
        <w:numId w:val="9"/>
      </w:numPr>
      <w:spacing w:line="360" w:lineRule="auto"/>
      <w:ind w:left="0"/>
    </w:pPr>
    <w:rPr>
      <w:sz w:val="24"/>
    </w:rPr>
  </w:style>
  <w:style w:type="paragraph" w:customStyle="1" w:styleId="CharCharCharChar">
    <w:name w:val="Char Char Char Char"/>
    <w:basedOn w:val="af3"/>
    <w:qFormat/>
  </w:style>
  <w:style w:type="character" w:customStyle="1" w:styleId="zi-td5">
    <w:name w:val="zi-td5"/>
    <w:basedOn w:val="af5"/>
    <w:qFormat/>
  </w:style>
  <w:style w:type="paragraph" w:customStyle="1" w:styleId="xl34">
    <w:name w:val="xl34"/>
    <w:basedOn w:val="af3"/>
    <w:qFormat/>
    <w:pPr>
      <w:widowControl/>
      <w:spacing w:before="100" w:beforeAutospacing="1" w:after="100" w:afterAutospacing="1"/>
      <w:jc w:val="center"/>
      <w:textAlignment w:val="top"/>
    </w:pPr>
    <w:rPr>
      <w:rFonts w:ascii="宋体" w:hAnsi="宋体"/>
      <w:kern w:val="0"/>
      <w:sz w:val="24"/>
    </w:rPr>
  </w:style>
  <w:style w:type="paragraph" w:customStyle="1" w:styleId="xl72">
    <w:name w:val="xl72"/>
    <w:basedOn w:val="af3"/>
    <w:qFormat/>
    <w:pPr>
      <w:widowControl/>
      <w:numPr>
        <w:numId w:val="10"/>
      </w:numPr>
      <w:pBdr>
        <w:left w:val="single" w:sz="4" w:space="0" w:color="auto"/>
        <w:right w:val="single" w:sz="4" w:space="0" w:color="auto"/>
      </w:pBdr>
      <w:tabs>
        <w:tab w:val="clear" w:pos="900"/>
      </w:tabs>
      <w:spacing w:before="100" w:beforeAutospacing="1" w:after="100" w:afterAutospacing="1"/>
      <w:ind w:left="0" w:firstLine="0"/>
      <w:jc w:val="center"/>
      <w:textAlignment w:val="center"/>
    </w:pPr>
    <w:rPr>
      <w:rFonts w:ascii="宋体" w:hAnsi="宋体"/>
      <w:kern w:val="0"/>
      <w:szCs w:val="21"/>
    </w:rPr>
  </w:style>
  <w:style w:type="paragraph" w:customStyle="1" w:styleId="xl31">
    <w:name w:val="xl31"/>
    <w:basedOn w:val="af3"/>
    <w:qFormat/>
    <w:pPr>
      <w:widowControl/>
      <w:pBdr>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CharCharCharCharCharCharChar">
    <w:name w:val="Char Char Char Char Char Char Char"/>
    <w:basedOn w:val="af3"/>
    <w:qFormat/>
    <w:pPr>
      <w:widowControl/>
      <w:spacing w:after="160" w:line="240" w:lineRule="exact"/>
      <w:jc w:val="left"/>
    </w:pPr>
    <w:rPr>
      <w:rFonts w:ascii="Verdana" w:hAnsi="Verdana"/>
      <w:kern w:val="0"/>
      <w:sz w:val="20"/>
      <w:szCs w:val="20"/>
      <w:lang w:eastAsia="en-US"/>
    </w:rPr>
  </w:style>
  <w:style w:type="paragraph" w:customStyle="1" w:styleId="CharCharChar2CharCharCharCharCharCharCharCharCharCharCharCharCharCharChar1Char">
    <w:name w:val="Char Char Char2 Char Char Char Char Char Char Char Char Char Char Char Char Char Char Char1 Char"/>
    <w:basedOn w:val="af3"/>
    <w:qFormat/>
    <w:pPr>
      <w:widowControl/>
      <w:jc w:val="left"/>
    </w:pPr>
    <w:rPr>
      <w:rFonts w:ascii="宋体" w:hAnsi="宋体" w:cs="宋体"/>
      <w:kern w:val="0"/>
      <w:sz w:val="24"/>
    </w:rPr>
  </w:style>
  <w:style w:type="paragraph" w:customStyle="1" w:styleId="affffffff7">
    <w:name w:val="杨"/>
    <w:basedOn w:val="af3"/>
    <w:qFormat/>
    <w:pPr>
      <w:adjustRightInd w:val="0"/>
      <w:snapToGrid w:val="0"/>
      <w:spacing w:line="300" w:lineRule="auto"/>
      <w:ind w:firstLineChars="200" w:firstLine="200"/>
    </w:pPr>
    <w:rPr>
      <w:rFonts w:ascii="宋体" w:hAnsi="宋体"/>
      <w:sz w:val="24"/>
    </w:rPr>
  </w:style>
  <w:style w:type="paragraph" w:customStyle="1" w:styleId="CharCharCharCharCharChar1CharCharCharChar">
    <w:name w:val="Char Char Char Char Char Char1 Char Char Char Char"/>
    <w:basedOn w:val="af3"/>
    <w:qFormat/>
    <w:pPr>
      <w:spacing w:line="360" w:lineRule="auto"/>
    </w:pPr>
    <w:rPr>
      <w:sz w:val="24"/>
    </w:rPr>
  </w:style>
  <w:style w:type="paragraph" w:customStyle="1" w:styleId="18">
    <w:name w:val="样式1"/>
    <w:basedOn w:val="afff"/>
    <w:link w:val="1Char0"/>
    <w:qFormat/>
    <w:pPr>
      <w:pBdr>
        <w:top w:val="single" w:sz="4" w:space="1" w:color="auto"/>
      </w:pBdr>
      <w:jc w:val="center"/>
    </w:pPr>
  </w:style>
  <w:style w:type="character" w:customStyle="1" w:styleId="px14">
    <w:name w:val="px14"/>
    <w:basedOn w:val="af5"/>
    <w:qFormat/>
  </w:style>
  <w:style w:type="paragraph" w:customStyle="1" w:styleId="affffffff8">
    <w:name w:val="表中小五"/>
    <w:basedOn w:val="af3"/>
    <w:link w:val="Char5"/>
    <w:qFormat/>
    <w:pPr>
      <w:snapToGrid w:val="0"/>
      <w:spacing w:line="0" w:lineRule="atLeast"/>
      <w:jc w:val="center"/>
    </w:pPr>
    <w:rPr>
      <w:kern w:val="0"/>
      <w:sz w:val="18"/>
      <w:szCs w:val="20"/>
    </w:rPr>
  </w:style>
  <w:style w:type="character" w:customStyle="1" w:styleId="Char5">
    <w:name w:val="表中小五 Char"/>
    <w:link w:val="affffffff8"/>
    <w:qFormat/>
    <w:rPr>
      <w:rFonts w:ascii="Times New Roman" w:hAnsi="Times New Roman"/>
      <w:sz w:val="18"/>
    </w:rPr>
  </w:style>
  <w:style w:type="paragraph" w:customStyle="1" w:styleId="affffffff9">
    <w:name w:val="表名、图名"/>
    <w:basedOn w:val="af3"/>
    <w:next w:val="af3"/>
    <w:link w:val="Char6"/>
    <w:qFormat/>
    <w:pPr>
      <w:keepNext/>
      <w:snapToGrid w:val="0"/>
      <w:spacing w:line="400" w:lineRule="exact"/>
      <w:ind w:firstLineChars="200" w:firstLine="200"/>
      <w:jc w:val="center"/>
    </w:pPr>
    <w:rPr>
      <w:rFonts w:ascii="黑体" w:eastAsia="黑体"/>
      <w:szCs w:val="20"/>
    </w:rPr>
  </w:style>
  <w:style w:type="paragraph" w:customStyle="1" w:styleId="Char2CharCharCharCharCharCharCharCharCharCharCharCharCharCharChar">
    <w:name w:val="Char2 Char Char Char Char Char Char Char Char Char Char Char Char Char Char Char"/>
    <w:basedOn w:val="af3"/>
    <w:qFormat/>
    <w:pPr>
      <w:widowControl/>
      <w:jc w:val="left"/>
    </w:pPr>
    <w:rPr>
      <w:rFonts w:ascii="宋体" w:hAnsi="宋体" w:cs="宋体"/>
      <w:kern w:val="0"/>
      <w:sz w:val="24"/>
    </w:rPr>
  </w:style>
  <w:style w:type="paragraph" w:customStyle="1" w:styleId="1CharCharCharChar">
    <w:name w:val="1 Char Char Char Char"/>
    <w:basedOn w:val="af3"/>
    <w:qFormat/>
  </w:style>
  <w:style w:type="paragraph" w:customStyle="1" w:styleId="CharCharCharCharCharChar1CharCharCharCharCharCharCharCharCharChar">
    <w:name w:val="Char Char Char Char Char Char1 Char Char Char Char Char Char Char Char Char Char"/>
    <w:basedOn w:val="af3"/>
    <w:qFormat/>
  </w:style>
  <w:style w:type="character" w:customStyle="1" w:styleId="aff0">
    <w:name w:val="文档结构图 字符"/>
    <w:basedOn w:val="af5"/>
    <w:link w:val="aff"/>
    <w:semiHidden/>
    <w:qFormat/>
    <w:rPr>
      <w:rFonts w:ascii="Times New Roman" w:hAnsi="Times New Roman"/>
      <w:kern w:val="2"/>
      <w:sz w:val="21"/>
      <w:szCs w:val="24"/>
      <w:shd w:val="clear" w:color="auto" w:fill="000080"/>
    </w:rPr>
  </w:style>
  <w:style w:type="paragraph" w:customStyle="1" w:styleId="Char1CharChar1CharCharCharChar">
    <w:name w:val="Char1 Char Char1 Char Char Char Char"/>
    <w:basedOn w:val="af3"/>
    <w:qFormat/>
  </w:style>
  <w:style w:type="paragraph" w:customStyle="1" w:styleId="Char2CharCharCharCharCharCharCharCharCharCharCharCharCharCharCharCharCharCharCharCharCharCharCharCharCharChar2CharCharCharCharCharChar1CharCharCharChar">
    <w:name w:val="Char2 Char Char Char Char Char Char Char Char Char Char Char Char Char Char Char Char Char Char Char Char Char Char Char Char Char Char2 Char Char Char Char Char Char1 Char Char Char Char"/>
    <w:basedOn w:val="af3"/>
    <w:qFormat/>
    <w:pPr>
      <w:widowControl/>
      <w:jc w:val="left"/>
    </w:pPr>
    <w:rPr>
      <w:rFonts w:ascii="宋体" w:hAnsi="宋体" w:cs="宋体"/>
      <w:kern w:val="0"/>
      <w:sz w:val="24"/>
    </w:rPr>
  </w:style>
  <w:style w:type="character" w:customStyle="1" w:styleId="Char7CharCharChar">
    <w:name w:val="Char7 Char Char Char"/>
    <w:qFormat/>
    <w:rPr>
      <w:rFonts w:ascii="Times New Roman" w:hAnsi="Times New Roman"/>
      <w:kern w:val="2"/>
      <w:sz w:val="18"/>
      <w:szCs w:val="18"/>
    </w:rPr>
  </w:style>
  <w:style w:type="character" w:customStyle="1" w:styleId="affffffffa">
    <w:name w:val="样式 (符号) 宋体 四号"/>
    <w:qFormat/>
    <w:rPr>
      <w:rFonts w:ascii="宋体" w:eastAsia="宋体" w:hAnsi="宋体" w:hint="eastAsia"/>
      <w:b/>
      <w:bCs/>
      <w:color w:val="auto"/>
      <w:kern w:val="2"/>
      <w:sz w:val="28"/>
      <w:szCs w:val="28"/>
      <w:lang w:val="en-US" w:eastAsia="zh-CN" w:bidi="ar-SA"/>
    </w:rPr>
  </w:style>
  <w:style w:type="character" w:customStyle="1" w:styleId="style17">
    <w:name w:val="style17"/>
    <w:basedOn w:val="af5"/>
    <w:qFormat/>
  </w:style>
  <w:style w:type="character" w:customStyle="1" w:styleId="daqitxt">
    <w:name w:val="daqitxt"/>
    <w:basedOn w:val="af5"/>
    <w:qFormat/>
  </w:style>
  <w:style w:type="paragraph" w:customStyle="1" w:styleId="affffffffb">
    <w:name w:val="表内容"/>
    <w:basedOn w:val="af3"/>
    <w:link w:val="Char7"/>
    <w:uiPriority w:val="99"/>
    <w:qFormat/>
    <w:pPr>
      <w:tabs>
        <w:tab w:val="left" w:pos="750"/>
      </w:tabs>
      <w:spacing w:line="280" w:lineRule="exact"/>
      <w:ind w:leftChars="-15" w:left="-15" w:rightChars="-15" w:right="-15"/>
    </w:pPr>
    <w:rPr>
      <w:color w:val="000000"/>
      <w:sz w:val="18"/>
      <w:szCs w:val="18"/>
    </w:rPr>
  </w:style>
  <w:style w:type="character" w:customStyle="1" w:styleId="Char7">
    <w:name w:val="表内容 Char"/>
    <w:link w:val="affffffffb"/>
    <w:uiPriority w:val="99"/>
    <w:qFormat/>
    <w:locked/>
    <w:rPr>
      <w:rFonts w:ascii="Times New Roman" w:hAnsi="Times New Roman"/>
      <w:color w:val="000000"/>
      <w:kern w:val="2"/>
      <w:sz w:val="18"/>
      <w:szCs w:val="18"/>
    </w:rPr>
  </w:style>
  <w:style w:type="paragraph" w:customStyle="1" w:styleId="20101">
    <w:name w:val="样式 样式 表名 + 首行缩进:  2 字符 + 段前: 0.1 行 段后: 0.1 行"/>
    <w:basedOn w:val="af3"/>
    <w:link w:val="20101Char"/>
    <w:qFormat/>
    <w:pPr>
      <w:tabs>
        <w:tab w:val="left" w:pos="180"/>
        <w:tab w:val="left" w:pos="2375"/>
        <w:tab w:val="left" w:pos="3375"/>
        <w:tab w:val="left" w:pos="3875"/>
      </w:tabs>
      <w:spacing w:before="60" w:after="60"/>
      <w:jc w:val="center"/>
    </w:pPr>
    <w:rPr>
      <w:rFonts w:ascii="Arial" w:eastAsia="黑体" w:hAnsi="Arial" w:cs="宋体"/>
      <w:szCs w:val="21"/>
    </w:rPr>
  </w:style>
  <w:style w:type="character" w:customStyle="1" w:styleId="20101Char">
    <w:name w:val="样式 样式 表名 + 首行缩进:  2 字符 + 段前: 0.1 行 段后: 0.1 行 Char"/>
    <w:link w:val="20101"/>
    <w:qFormat/>
    <w:rPr>
      <w:rFonts w:ascii="Arial" w:eastAsia="黑体" w:hAnsi="Arial" w:cs="宋体"/>
      <w:kern w:val="2"/>
      <w:sz w:val="21"/>
      <w:szCs w:val="21"/>
    </w:rPr>
  </w:style>
  <w:style w:type="paragraph" w:customStyle="1" w:styleId="Char10">
    <w:name w:val="Char1"/>
    <w:basedOn w:val="af3"/>
    <w:qFormat/>
  </w:style>
  <w:style w:type="paragraph" w:customStyle="1" w:styleId="xl43">
    <w:name w:val="xl43"/>
    <w:basedOn w:val="af3"/>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kern w:val="0"/>
      <w:sz w:val="18"/>
      <w:szCs w:val="18"/>
    </w:rPr>
  </w:style>
  <w:style w:type="paragraph" w:customStyle="1" w:styleId="24pdri466">
    <w:name w:val="标题2 二级标题四级标题 4pdri标题 4 + 黑体 非加粗 左 段前: 6 磅 段后: 6 磅 行距:..."/>
    <w:basedOn w:val="4"/>
    <w:qFormat/>
    <w:pPr>
      <w:spacing w:before="0" w:after="0" w:line="360" w:lineRule="auto"/>
      <w:jc w:val="left"/>
      <w:outlineLvl w:val="1"/>
    </w:pPr>
    <w:rPr>
      <w:rFonts w:ascii="黑体" w:hAnsi="Times New Roman" w:cs="宋体"/>
      <w:b w:val="0"/>
      <w:bCs w:val="0"/>
      <w:szCs w:val="20"/>
    </w:rPr>
  </w:style>
  <w:style w:type="paragraph" w:customStyle="1" w:styleId="affffffffc">
    <w:name w:val="表名"/>
    <w:basedOn w:val="af3"/>
    <w:qFormat/>
    <w:pPr>
      <w:spacing w:beforeLines="10" w:afterLines="10"/>
      <w:jc w:val="center"/>
    </w:pPr>
    <w:rPr>
      <w:rFonts w:ascii="Arial" w:eastAsia="黑体" w:hAnsi="Arial"/>
      <w:szCs w:val="21"/>
    </w:rPr>
  </w:style>
  <w:style w:type="paragraph" w:customStyle="1" w:styleId="2e">
    <w:name w:val="样式 表名 + 首行缩进:  2 字符"/>
    <w:basedOn w:val="affffffffc"/>
    <w:qFormat/>
    <w:rPr>
      <w:rFonts w:cs="宋体"/>
    </w:rPr>
  </w:style>
  <w:style w:type="paragraph" w:customStyle="1" w:styleId="0">
    <w:name w:val="样式 宋体 首行缩进:  0 字符"/>
    <w:basedOn w:val="af3"/>
    <w:qFormat/>
    <w:pPr>
      <w:jc w:val="center"/>
    </w:pPr>
    <w:rPr>
      <w:rFonts w:cs="宋体"/>
      <w:sz w:val="18"/>
      <w:szCs w:val="18"/>
    </w:rPr>
  </w:style>
  <w:style w:type="character" w:customStyle="1" w:styleId="2Char0">
    <w:name w:val="样式 表名 + 首行缩进:  2 字符 Char"/>
    <w:qFormat/>
    <w:rPr>
      <w:rFonts w:ascii="Arial" w:eastAsia="黑体" w:hAnsi="Arial" w:cs="宋体"/>
      <w:kern w:val="2"/>
      <w:sz w:val="21"/>
      <w:szCs w:val="21"/>
      <w:lang w:val="en-US" w:eastAsia="zh-CN" w:bidi="ar-SA"/>
    </w:rPr>
  </w:style>
  <w:style w:type="character" w:customStyle="1" w:styleId="Char8">
    <w:name w:val="表名 Char"/>
    <w:qFormat/>
    <w:rPr>
      <w:rFonts w:ascii="Arial" w:eastAsia="黑体" w:hAnsi="Arial"/>
      <w:kern w:val="2"/>
      <w:sz w:val="21"/>
      <w:szCs w:val="21"/>
      <w:lang w:val="en-US" w:eastAsia="zh-CN" w:bidi="ar-SA"/>
    </w:rPr>
  </w:style>
  <w:style w:type="paragraph" w:customStyle="1" w:styleId="affffffffd">
    <w:name w:val="表头"/>
    <w:basedOn w:val="af4"/>
    <w:qFormat/>
    <w:pPr>
      <w:widowControl/>
      <w:spacing w:beforeLines="50"/>
      <w:ind w:firstLine="0"/>
      <w:jc w:val="center"/>
    </w:pPr>
    <w:rPr>
      <w:rFonts w:ascii="Arial" w:eastAsia="黑体" w:hAnsi="Arial"/>
      <w:kern w:val="0"/>
    </w:rPr>
  </w:style>
  <w:style w:type="paragraph" w:customStyle="1" w:styleId="ParaChar">
    <w:name w:val="默认段落字体 Para Char"/>
    <w:basedOn w:val="af3"/>
    <w:qFormat/>
  </w:style>
  <w:style w:type="character" w:customStyle="1" w:styleId="5GB2312CharCharCharCharCharCharCharChar">
    <w:name w:val="样式 标题 5 + (西文) 仿宋_GB2312 Char Char Char Char Char Char Char Char"/>
    <w:qFormat/>
    <w:rPr>
      <w:rFonts w:ascii="仿宋_GB2312" w:eastAsia="宋体" w:hAnsi="仿宋_GB2312"/>
      <w:bCs/>
      <w:kern w:val="2"/>
      <w:sz w:val="24"/>
      <w:szCs w:val="24"/>
      <w:lang w:val="en-US" w:eastAsia="zh-CN" w:bidi="ar-SA"/>
    </w:rPr>
  </w:style>
  <w:style w:type="paragraph" w:customStyle="1" w:styleId="2f">
    <w:name w:val="表2"/>
    <w:basedOn w:val="af3"/>
    <w:qFormat/>
    <w:pPr>
      <w:jc w:val="center"/>
    </w:pPr>
    <w:rPr>
      <w:rFonts w:ascii="宋体" w:hAnsi="宋体"/>
    </w:rPr>
  </w:style>
  <w:style w:type="paragraph" w:customStyle="1" w:styleId="CharCharCharCharCharChar">
    <w:name w:val="Char Char Char Char Char Char"/>
    <w:basedOn w:val="af3"/>
    <w:qFormat/>
  </w:style>
  <w:style w:type="paragraph" w:customStyle="1" w:styleId="CharCharCharCharCharCharCharCharCharCharChar">
    <w:name w:val="Char Char Char Char Char Char Char Char Char Char Char"/>
    <w:basedOn w:val="af3"/>
    <w:qFormat/>
    <w:pPr>
      <w:ind w:firstLineChars="200" w:firstLine="200"/>
    </w:pPr>
    <w:rPr>
      <w:sz w:val="24"/>
    </w:rPr>
  </w:style>
  <w:style w:type="paragraph" w:customStyle="1" w:styleId="xl129">
    <w:name w:val="xl129"/>
    <w:basedOn w:val="af3"/>
    <w:qFormat/>
    <w:pPr>
      <w:widowControl/>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rFonts w:ascii="宋体" w:hAnsi="宋体" w:cs="宋体"/>
      <w:color w:val="000000"/>
      <w:kern w:val="0"/>
      <w:sz w:val="24"/>
    </w:rPr>
  </w:style>
  <w:style w:type="paragraph" w:customStyle="1" w:styleId="43">
    <w:name w:val="标题4"/>
    <w:basedOn w:val="af3"/>
    <w:qFormat/>
    <w:pPr>
      <w:widowControl/>
      <w:snapToGrid w:val="0"/>
      <w:spacing w:line="360" w:lineRule="auto"/>
      <w:jc w:val="left"/>
      <w:outlineLvl w:val="3"/>
    </w:pPr>
    <w:rPr>
      <w:rFonts w:ascii="Verdana" w:eastAsia="黑体" w:hAnsi="Verdana"/>
      <w:kern w:val="0"/>
      <w:sz w:val="28"/>
      <w:szCs w:val="32"/>
      <w:lang w:eastAsia="en-US"/>
    </w:rPr>
  </w:style>
  <w:style w:type="paragraph" w:customStyle="1" w:styleId="1110">
    <w:name w:val="1.1.1"/>
    <w:basedOn w:val="5"/>
    <w:qFormat/>
    <w:pPr>
      <w:spacing w:before="60" w:after="60" w:line="400" w:lineRule="exact"/>
    </w:pPr>
    <w:rPr>
      <w:rFonts w:ascii="黑体" w:eastAsia="黑体"/>
      <w:b w:val="0"/>
      <w:sz w:val="24"/>
    </w:rPr>
  </w:style>
  <w:style w:type="paragraph" w:customStyle="1" w:styleId="200">
    <w:name w:val="正文小四20"/>
    <w:basedOn w:val="af3"/>
    <w:link w:val="20Char"/>
    <w:qFormat/>
    <w:pPr>
      <w:tabs>
        <w:tab w:val="left" w:pos="6528"/>
      </w:tabs>
      <w:spacing w:line="400" w:lineRule="exact"/>
      <w:ind w:firstLineChars="200" w:firstLine="480"/>
    </w:pPr>
    <w:rPr>
      <w:color w:val="000000"/>
      <w:sz w:val="24"/>
    </w:rPr>
  </w:style>
  <w:style w:type="character" w:customStyle="1" w:styleId="20Char">
    <w:name w:val="正文小四20 Char"/>
    <w:link w:val="200"/>
    <w:qFormat/>
    <w:rPr>
      <w:rFonts w:ascii="Times New Roman" w:hAnsi="Times New Roman"/>
      <w:color w:val="000000"/>
      <w:kern w:val="2"/>
      <w:sz w:val="24"/>
      <w:szCs w:val="24"/>
    </w:rPr>
  </w:style>
  <w:style w:type="paragraph" w:customStyle="1" w:styleId="110">
    <w:name w:val="图表1－1"/>
    <w:basedOn w:val="af3"/>
    <w:qFormat/>
    <w:pPr>
      <w:spacing w:before="205" w:line="400" w:lineRule="exact"/>
      <w:jc w:val="center"/>
    </w:pPr>
    <w:rPr>
      <w:rFonts w:ascii="宋体" w:hAnsi="宋体"/>
      <w:bCs/>
      <w:sz w:val="24"/>
    </w:rPr>
  </w:style>
  <w:style w:type="paragraph" w:customStyle="1" w:styleId="xl55">
    <w:name w:val="xl55"/>
    <w:basedOn w:val="af3"/>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szCs w:val="20"/>
    </w:rPr>
  </w:style>
  <w:style w:type="paragraph" w:customStyle="1" w:styleId="CharCharCharCharCharCharChar1">
    <w:name w:val="Char Char Char Char Char Char Char1"/>
    <w:basedOn w:val="af3"/>
    <w:qFormat/>
    <w:pPr>
      <w:widowControl/>
      <w:jc w:val="left"/>
    </w:pPr>
    <w:rPr>
      <w:rFonts w:ascii="宋体" w:hAnsi="宋体" w:cs="宋体"/>
      <w:sz w:val="24"/>
    </w:rPr>
  </w:style>
  <w:style w:type="paragraph" w:customStyle="1" w:styleId="CharCharCharCharCharCharChar1CharChar">
    <w:name w:val="Char Char Char Char Char Char Char1 Char Char"/>
    <w:basedOn w:val="af3"/>
    <w:qFormat/>
    <w:pPr>
      <w:widowControl/>
      <w:jc w:val="left"/>
    </w:pPr>
    <w:rPr>
      <w:rFonts w:ascii="宋体" w:hAnsi="宋体" w:cs="宋体"/>
      <w:sz w:val="24"/>
    </w:rPr>
  </w:style>
  <w:style w:type="paragraph" w:customStyle="1" w:styleId="23313">
    <w:name w:val="样式 标题 2 + 黑体 四号 段前: 3 磅 段后: 3 磅 行距: 多倍行距 1.3 字行"/>
    <w:basedOn w:val="2"/>
    <w:qFormat/>
    <w:pPr>
      <w:widowControl/>
      <w:spacing w:beforeLines="25" w:afterLines="25" w:line="440" w:lineRule="exact"/>
      <w:jc w:val="left"/>
    </w:pPr>
    <w:rPr>
      <w:rFonts w:ascii="黑体" w:hAnsi="Times New Roman" w:cs="宋体"/>
      <w:b w:val="0"/>
      <w:bCs w:val="0"/>
      <w:spacing w:val="0"/>
      <w:kern w:val="0"/>
      <w:sz w:val="28"/>
      <w:szCs w:val="20"/>
    </w:rPr>
  </w:style>
  <w:style w:type="paragraph" w:customStyle="1" w:styleId="3b">
    <w:name w:val="样式 标题 3三级标题 + 黑体 小四"/>
    <w:basedOn w:val="3"/>
    <w:qFormat/>
    <w:pPr>
      <w:widowControl/>
      <w:spacing w:before="0" w:after="0" w:line="440" w:lineRule="exact"/>
      <w:jc w:val="left"/>
    </w:pPr>
    <w:rPr>
      <w:rFonts w:ascii="黑体" w:eastAsia="黑体" w:hAnsi="黑体"/>
      <w:b w:val="0"/>
      <w:bCs w:val="0"/>
      <w:spacing w:val="0"/>
      <w:kern w:val="0"/>
      <w:sz w:val="24"/>
      <w:szCs w:val="24"/>
    </w:rPr>
  </w:style>
  <w:style w:type="paragraph" w:customStyle="1" w:styleId="1TimesNewRoman6613">
    <w:name w:val="样式 标题 1 + Times New Roman 三号 段前: 6 磅 段后: 6 磅 行距: 多倍行距 1.3 字行"/>
    <w:basedOn w:val="1"/>
    <w:qFormat/>
    <w:pPr>
      <w:widowControl/>
      <w:spacing w:beforeLines="50" w:afterLines="50" w:line="440" w:lineRule="exact"/>
      <w:jc w:val="left"/>
    </w:pPr>
    <w:rPr>
      <w:rFonts w:eastAsia="黑体" w:cs="宋体"/>
      <w:b w:val="0"/>
      <w:bCs w:val="0"/>
      <w:spacing w:val="0"/>
      <w:szCs w:val="20"/>
    </w:rPr>
  </w:style>
  <w:style w:type="paragraph" w:customStyle="1" w:styleId="affffffffe">
    <w:name w:val="正文(首行缩进)"/>
    <w:basedOn w:val="af3"/>
    <w:link w:val="Char9"/>
    <w:qFormat/>
    <w:pPr>
      <w:spacing w:line="300" w:lineRule="auto"/>
      <w:ind w:firstLineChars="200" w:firstLine="480"/>
    </w:pPr>
    <w:rPr>
      <w:sz w:val="24"/>
    </w:rPr>
  </w:style>
  <w:style w:type="paragraph" w:customStyle="1" w:styleId="Char2CharCharChar">
    <w:name w:val="Char2 Char Char Char"/>
    <w:basedOn w:val="af3"/>
    <w:qFormat/>
  </w:style>
  <w:style w:type="paragraph" w:customStyle="1" w:styleId="afffffffff">
    <w:name w:val="图名"/>
    <w:basedOn w:val="af3"/>
    <w:link w:val="Chara"/>
    <w:qFormat/>
    <w:pPr>
      <w:spacing w:line="400" w:lineRule="exact"/>
      <w:ind w:firstLineChars="200" w:firstLine="420"/>
      <w:jc w:val="center"/>
    </w:pPr>
    <w:rPr>
      <w:rFonts w:ascii="黑体" w:eastAsia="黑体"/>
      <w:szCs w:val="21"/>
    </w:rPr>
  </w:style>
  <w:style w:type="character" w:customStyle="1" w:styleId="Charb">
    <w:name w:val="表、图名 Char"/>
    <w:link w:val="afffffffff0"/>
    <w:qFormat/>
    <w:rPr>
      <w:rFonts w:eastAsia="黑体"/>
      <w:szCs w:val="21"/>
    </w:rPr>
  </w:style>
  <w:style w:type="paragraph" w:customStyle="1" w:styleId="afffffffff0">
    <w:name w:val="表、图名"/>
    <w:basedOn w:val="af3"/>
    <w:link w:val="Charb"/>
    <w:qFormat/>
    <w:pPr>
      <w:adjustRightInd w:val="0"/>
      <w:spacing w:beforeLines="50" w:afterLines="50"/>
      <w:jc w:val="center"/>
    </w:pPr>
    <w:rPr>
      <w:rFonts w:ascii="Calibri" w:eastAsia="黑体" w:hAnsi="Calibri"/>
      <w:kern w:val="0"/>
      <w:sz w:val="20"/>
      <w:szCs w:val="21"/>
    </w:rPr>
  </w:style>
  <w:style w:type="paragraph" w:customStyle="1" w:styleId="xl28">
    <w:name w:val="xl28"/>
    <w:basedOn w:val="af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400" w:lineRule="exact"/>
      <w:ind w:firstLineChars="200" w:firstLine="200"/>
      <w:jc w:val="left"/>
      <w:textAlignment w:val="center"/>
    </w:pPr>
    <w:rPr>
      <w:i/>
      <w:iCs/>
      <w:kern w:val="0"/>
      <w:sz w:val="20"/>
      <w:szCs w:val="20"/>
    </w:rPr>
  </w:style>
  <w:style w:type="character" w:customStyle="1" w:styleId="aff2">
    <w:name w:val="批注文字 字符"/>
    <w:basedOn w:val="af5"/>
    <w:link w:val="aff1"/>
    <w:qFormat/>
    <w:rPr>
      <w:rFonts w:ascii="Times New Roman" w:hAnsi="Times New Roman"/>
      <w:kern w:val="2"/>
      <w:sz w:val="24"/>
      <w:szCs w:val="24"/>
    </w:rPr>
  </w:style>
  <w:style w:type="paragraph" w:customStyle="1" w:styleId="afffffffff1">
    <w:name w:val="表内容       .."/>
    <w:basedOn w:val="af3"/>
    <w:link w:val="Charc"/>
    <w:qFormat/>
    <w:pPr>
      <w:framePr w:hSpace="180" w:wrap="around" w:vAnchor="text" w:hAnchor="margin" w:xAlign="right" w:y="104"/>
      <w:spacing w:line="240" w:lineRule="exact"/>
      <w:ind w:leftChars="-15" w:left="-31" w:rightChars="-15" w:right="-31" w:firstLine="31"/>
      <w:jc w:val="center"/>
    </w:pPr>
    <w:rPr>
      <w:szCs w:val="21"/>
    </w:rPr>
  </w:style>
  <w:style w:type="character" w:customStyle="1" w:styleId="Charc">
    <w:name w:val="表内容       .. Char"/>
    <w:link w:val="afffffffff1"/>
    <w:qFormat/>
    <w:rPr>
      <w:rFonts w:ascii="Times New Roman" w:hAnsi="Times New Roman"/>
      <w:kern w:val="2"/>
      <w:sz w:val="21"/>
      <w:szCs w:val="21"/>
    </w:rPr>
  </w:style>
  <w:style w:type="paragraph" w:customStyle="1" w:styleId="afffffffff2">
    <w:name w:val="表头 居中"/>
    <w:basedOn w:val="af3"/>
    <w:link w:val="Chard"/>
    <w:qFormat/>
    <w:pPr>
      <w:ind w:leftChars="-32" w:left="-67" w:rightChars="-36" w:right="-76"/>
    </w:pPr>
    <w:rPr>
      <w:rFonts w:cs="宋体"/>
      <w:color w:val="000000"/>
      <w:szCs w:val="20"/>
    </w:rPr>
  </w:style>
  <w:style w:type="character" w:customStyle="1" w:styleId="Chard">
    <w:name w:val="表头 居中 Char"/>
    <w:link w:val="afffffffff2"/>
    <w:qFormat/>
    <w:rPr>
      <w:rFonts w:ascii="Times New Roman" w:hAnsi="Times New Roman" w:cs="宋体"/>
      <w:color w:val="000000"/>
      <w:kern w:val="2"/>
      <w:sz w:val="21"/>
    </w:rPr>
  </w:style>
  <w:style w:type="paragraph" w:customStyle="1" w:styleId="33320">
    <w:name w:val="标题3 三级标题表格标题 + 黑体 小四 非加粗 左 段前: 3 磅 段后: 3 磅 行距: 固定值 20..."/>
    <w:basedOn w:val="5"/>
    <w:link w:val="33320Char"/>
    <w:qFormat/>
    <w:pPr>
      <w:spacing w:before="0" w:after="0" w:line="360" w:lineRule="auto"/>
      <w:jc w:val="left"/>
      <w:outlineLvl w:val="2"/>
    </w:pPr>
    <w:rPr>
      <w:rFonts w:ascii="黑体" w:eastAsia="黑体" w:cs="宋体"/>
      <w:b w:val="0"/>
    </w:rPr>
  </w:style>
  <w:style w:type="paragraph" w:customStyle="1" w:styleId="afffffffff3">
    <w:name w:val="正文+居中"/>
    <w:basedOn w:val="aff9"/>
    <w:qFormat/>
    <w:pPr>
      <w:adjustRightInd/>
      <w:spacing w:line="240" w:lineRule="atLeast"/>
      <w:jc w:val="center"/>
      <w:textAlignment w:val="auto"/>
    </w:pPr>
    <w:rPr>
      <w:rFonts w:ascii="Times New Roman" w:hAnsi="Times New Roman" w:cs="宋体"/>
      <w:kern w:val="2"/>
    </w:rPr>
  </w:style>
  <w:style w:type="paragraph" w:customStyle="1" w:styleId="CharCharCharCharCharCharCharCharCharCharCharCharCharCharCharChar">
    <w:name w:val="Char Char Char Char Char Char Char Char Char Char Char Char Char Char Char Char"/>
    <w:basedOn w:val="af3"/>
    <w:semiHidden/>
    <w:qFormat/>
  </w:style>
  <w:style w:type="paragraph" w:customStyle="1" w:styleId="afffffffff4">
    <w:name w:val="正文+小四"/>
    <w:basedOn w:val="af3"/>
    <w:link w:val="Chare"/>
    <w:qFormat/>
    <w:pPr>
      <w:spacing w:line="400" w:lineRule="exact"/>
      <w:ind w:firstLineChars="200" w:firstLine="480"/>
    </w:pPr>
    <w:rPr>
      <w:rFonts w:cs="宋体"/>
      <w:color w:val="000000"/>
      <w:sz w:val="24"/>
    </w:rPr>
  </w:style>
  <w:style w:type="character" w:customStyle="1" w:styleId="Chare">
    <w:name w:val="正文+小四 Char"/>
    <w:link w:val="afffffffff4"/>
    <w:qFormat/>
    <w:rPr>
      <w:rFonts w:ascii="Times New Roman" w:hAnsi="Times New Roman" w:cs="宋体"/>
      <w:color w:val="000000"/>
      <w:kern w:val="2"/>
      <w:sz w:val="24"/>
      <w:szCs w:val="24"/>
    </w:rPr>
  </w:style>
  <w:style w:type="paragraph" w:customStyle="1" w:styleId="font13">
    <w:name w:val="font13"/>
    <w:basedOn w:val="af3"/>
    <w:qFormat/>
    <w:pPr>
      <w:widowControl/>
      <w:spacing w:before="100" w:beforeAutospacing="1" w:after="100" w:afterAutospacing="1"/>
      <w:jc w:val="left"/>
    </w:pPr>
    <w:rPr>
      <w:rFonts w:eastAsia="Arial Unicode MS"/>
      <w:sz w:val="20"/>
      <w:szCs w:val="20"/>
    </w:rPr>
  </w:style>
  <w:style w:type="paragraph" w:customStyle="1" w:styleId="afffffffff5">
    <w:name w:val="三级无"/>
    <w:basedOn w:val="afffff3"/>
    <w:qFormat/>
    <w:rPr>
      <w:rFonts w:ascii="宋体" w:eastAsia="宋体"/>
      <w:szCs w:val="21"/>
    </w:rPr>
  </w:style>
  <w:style w:type="character" w:customStyle="1" w:styleId="apple-converted-space">
    <w:name w:val="apple-converted-space"/>
    <w:basedOn w:val="af5"/>
    <w:qFormat/>
  </w:style>
  <w:style w:type="paragraph" w:customStyle="1" w:styleId="CharCharCharCharCharCharCharCharCharCharCharCharChar">
    <w:name w:val="Char Char Char Char Char Char Char Char Char Char Char Char Char"/>
    <w:basedOn w:val="af3"/>
    <w:qFormat/>
    <w:rPr>
      <w:szCs w:val="20"/>
    </w:rPr>
  </w:style>
  <w:style w:type="paragraph" w:customStyle="1" w:styleId="34pdri466">
    <w:name w:val="标题3 二级标题四级标题 4pdri标题 4 + 黑体 非加粗 左 段前: 6 磅 段后: 6 磅 行距:..."/>
    <w:basedOn w:val="4"/>
    <w:qFormat/>
    <w:pPr>
      <w:spacing w:before="120" w:after="120" w:line="400" w:lineRule="exact"/>
      <w:jc w:val="left"/>
    </w:pPr>
    <w:rPr>
      <w:rFonts w:ascii="黑体" w:hAnsi="Times New Roman" w:cs="宋体"/>
      <w:b w:val="0"/>
      <w:bCs w:val="0"/>
      <w:szCs w:val="20"/>
    </w:rPr>
  </w:style>
  <w:style w:type="paragraph" w:customStyle="1" w:styleId="3c">
    <w:name w:val="3"/>
    <w:qFormat/>
    <w:pPr>
      <w:widowControl w:val="0"/>
      <w:jc w:val="both"/>
    </w:pPr>
    <w:rPr>
      <w:kern w:val="2"/>
      <w:sz w:val="21"/>
      <w:szCs w:val="24"/>
    </w:rPr>
  </w:style>
  <w:style w:type="paragraph" w:customStyle="1" w:styleId="CharCharChar">
    <w:name w:val="Char Char Char"/>
    <w:basedOn w:val="af3"/>
    <w:qFormat/>
  </w:style>
  <w:style w:type="paragraph" w:customStyle="1" w:styleId="19">
    <w:name w:val="列表1"/>
    <w:basedOn w:val="af3"/>
    <w:qFormat/>
    <w:pPr>
      <w:jc w:val="center"/>
    </w:pPr>
    <w:rPr>
      <w:color w:val="333333"/>
    </w:rPr>
  </w:style>
  <w:style w:type="paragraph" w:customStyle="1" w:styleId="CharCharCharCharCharCharCharCharCharChar">
    <w:name w:val="Char Char Char Char Char Char Char Char Char Char"/>
    <w:basedOn w:val="af3"/>
    <w:qFormat/>
    <w:pPr>
      <w:ind w:rightChars="20" w:right="48" w:firstLineChars="225" w:firstLine="540"/>
    </w:pPr>
  </w:style>
  <w:style w:type="character" w:customStyle="1" w:styleId="afff7">
    <w:name w:val="副标题 字符"/>
    <w:basedOn w:val="af5"/>
    <w:link w:val="afff6"/>
    <w:qFormat/>
    <w:rPr>
      <w:rFonts w:ascii="Cambria" w:hAnsi="Cambria"/>
      <w:b/>
      <w:bCs/>
      <w:kern w:val="28"/>
      <w:sz w:val="32"/>
      <w:szCs w:val="32"/>
    </w:rPr>
  </w:style>
  <w:style w:type="table" w:customStyle="1" w:styleId="1a">
    <w:name w:val="专业型1"/>
    <w:basedOn w:val="af6"/>
    <w:qFormat/>
    <w:pPr>
      <w:widowControl w:val="0"/>
      <w:ind w:firstLineChars="200" w:firstLine="20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b">
    <w:name w:val="网格型1"/>
    <w:basedOn w:val="af6"/>
    <w:qFormat/>
    <w:pPr>
      <w:widowControl w:val="0"/>
      <w:ind w:firstLineChars="200" w:firstLine="20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320">
    <w:name w:val="标题4 三级标题表格标题 + 黑体 小四 非加粗 左 段前: 3 磅 段后: 3 磅 行距: 固定值 20..."/>
    <w:basedOn w:val="5"/>
    <w:qFormat/>
    <w:pPr>
      <w:spacing w:before="60" w:after="60" w:line="400" w:lineRule="exact"/>
      <w:jc w:val="left"/>
    </w:pPr>
    <w:rPr>
      <w:rFonts w:ascii="黑体" w:eastAsia="黑体" w:cs="宋体"/>
      <w:b w:val="0"/>
      <w:sz w:val="24"/>
    </w:rPr>
  </w:style>
  <w:style w:type="paragraph" w:customStyle="1" w:styleId="085135201">
    <w:name w:val="正文文本 首行缩进:  0.85 厘米 行距: 多倍行距 1.35 字行 + 宋体 行距: 固定值 20 磅1"/>
    <w:basedOn w:val="af3"/>
    <w:qFormat/>
    <w:pPr>
      <w:spacing w:line="400" w:lineRule="exact"/>
      <w:ind w:firstLine="482"/>
    </w:pPr>
    <w:rPr>
      <w:rFonts w:ascii="宋体" w:hAnsi="宋体" w:cs="宋体"/>
      <w:sz w:val="24"/>
      <w:szCs w:val="20"/>
    </w:rPr>
  </w:style>
  <w:style w:type="paragraph" w:customStyle="1" w:styleId="afffffffff6">
    <w:name w:val="表名+黑体"/>
    <w:basedOn w:val="af3"/>
    <w:qFormat/>
    <w:pPr>
      <w:jc w:val="center"/>
    </w:pPr>
    <w:rPr>
      <w:rFonts w:ascii="黑体" w:eastAsia="黑体"/>
      <w:kern w:val="0"/>
      <w:sz w:val="18"/>
      <w:szCs w:val="18"/>
    </w:rPr>
  </w:style>
  <w:style w:type="character" w:customStyle="1" w:styleId="Char9">
    <w:name w:val="正文(首行缩进) Char"/>
    <w:link w:val="affffffffe"/>
    <w:qFormat/>
    <w:rPr>
      <w:rFonts w:ascii="Times New Roman" w:hAnsi="Times New Roman"/>
      <w:kern w:val="2"/>
      <w:sz w:val="24"/>
      <w:szCs w:val="24"/>
    </w:rPr>
  </w:style>
  <w:style w:type="paragraph" w:customStyle="1" w:styleId="afffffffff7">
    <w:name w:val="正文文字"/>
    <w:basedOn w:val="af3"/>
    <w:qFormat/>
    <w:pPr>
      <w:spacing w:line="400" w:lineRule="exact"/>
      <w:ind w:firstLineChars="200" w:firstLine="480"/>
    </w:pPr>
    <w:rPr>
      <w:sz w:val="24"/>
    </w:rPr>
  </w:style>
  <w:style w:type="paragraph" w:customStyle="1" w:styleId="bbbb">
    <w:name w:val="bbbb"/>
    <w:basedOn w:val="af3"/>
    <w:qFormat/>
    <w:pPr>
      <w:spacing w:line="440" w:lineRule="exact"/>
      <w:ind w:firstLine="420"/>
    </w:pPr>
    <w:rPr>
      <w:sz w:val="24"/>
    </w:rPr>
  </w:style>
  <w:style w:type="character" w:customStyle="1" w:styleId="Chara">
    <w:name w:val="图名 Char"/>
    <w:link w:val="afffffffff"/>
    <w:qFormat/>
    <w:rPr>
      <w:rFonts w:ascii="黑体" w:eastAsia="黑体" w:hAnsi="Times New Roman"/>
      <w:kern w:val="2"/>
      <w:sz w:val="21"/>
      <w:szCs w:val="21"/>
    </w:rPr>
  </w:style>
  <w:style w:type="paragraph" w:customStyle="1" w:styleId="220">
    <w:name w:val="样式 正文首行缩进 + 黑体 五号 黑色 居中 行距: 固定值 22 磅"/>
    <w:basedOn w:val="affff0"/>
    <w:qFormat/>
    <w:pPr>
      <w:spacing w:after="0"/>
      <w:ind w:firstLineChars="0" w:firstLine="0"/>
      <w:jc w:val="center"/>
    </w:pPr>
    <w:rPr>
      <w:rFonts w:ascii="黑体" w:eastAsia="黑体" w:cs="宋体"/>
      <w:szCs w:val="20"/>
    </w:rPr>
  </w:style>
  <w:style w:type="character" w:customStyle="1" w:styleId="Char6">
    <w:name w:val="表名、图名 Char"/>
    <w:link w:val="affffffff9"/>
    <w:qFormat/>
    <w:rPr>
      <w:rFonts w:ascii="黑体" w:eastAsia="黑体" w:hAnsi="Times New Roman"/>
      <w:kern w:val="2"/>
      <w:sz w:val="21"/>
    </w:rPr>
  </w:style>
  <w:style w:type="character" w:customStyle="1" w:styleId="210">
    <w:name w:val="标题 21"/>
    <w:qFormat/>
    <w:rPr>
      <w:rFonts w:ascii="宋体" w:eastAsia="宋体" w:hAnsi="宋体"/>
      <w:b/>
      <w:bCs/>
      <w:kern w:val="2"/>
      <w:sz w:val="30"/>
      <w:lang w:val="en-US" w:eastAsia="zh-CN" w:bidi="ar-SA"/>
    </w:rPr>
  </w:style>
  <w:style w:type="paragraph" w:customStyle="1" w:styleId="1121225">
    <w:name w:val="标题 1一级标题 + 黑体 非加粗 左 段前: 12 磅 段后: 12 磅 行距: 固定值 25 磅"/>
    <w:basedOn w:val="3"/>
    <w:qFormat/>
    <w:pPr>
      <w:spacing w:before="240" w:after="240" w:line="360" w:lineRule="auto"/>
      <w:jc w:val="center"/>
      <w:outlineLvl w:val="0"/>
    </w:pPr>
    <w:rPr>
      <w:rFonts w:ascii="黑体" w:eastAsia="黑体" w:cs="宋体"/>
      <w:b w:val="0"/>
      <w:bCs w:val="0"/>
      <w:spacing w:val="0"/>
      <w:szCs w:val="20"/>
    </w:rPr>
  </w:style>
  <w:style w:type="paragraph" w:customStyle="1" w:styleId="2121225">
    <w:name w:val="标题 2一级标题 + 黑体 非加粗 左 段前: 12 磅 段后: 12 磅 行距: 固定值 25 磅"/>
    <w:basedOn w:val="3"/>
    <w:qFormat/>
    <w:pPr>
      <w:spacing w:before="240" w:after="240" w:line="500" w:lineRule="exact"/>
      <w:jc w:val="left"/>
    </w:pPr>
    <w:rPr>
      <w:rFonts w:ascii="黑体" w:eastAsia="黑体" w:cs="宋体"/>
      <w:b w:val="0"/>
      <w:bCs w:val="0"/>
      <w:spacing w:val="0"/>
      <w:szCs w:val="20"/>
    </w:rPr>
  </w:style>
  <w:style w:type="paragraph" w:customStyle="1" w:styleId="afffffffff8">
    <w:name w:val="表名                .."/>
    <w:basedOn w:val="af3"/>
    <w:qFormat/>
    <w:pPr>
      <w:adjustRightInd w:val="0"/>
      <w:jc w:val="center"/>
      <w:textAlignment w:val="baseline"/>
    </w:pPr>
    <w:rPr>
      <w:rFonts w:ascii="黑体" w:eastAsia="黑体"/>
      <w:szCs w:val="21"/>
    </w:rPr>
  </w:style>
  <w:style w:type="paragraph" w:customStyle="1" w:styleId="52">
    <w:name w:val="标题5五级标题"/>
    <w:basedOn w:val="af3"/>
    <w:qFormat/>
    <w:pPr>
      <w:keepNext/>
      <w:keepLines/>
      <w:spacing w:before="60" w:after="60" w:line="400" w:lineRule="exact"/>
      <w:outlineLvl w:val="4"/>
    </w:pPr>
    <w:rPr>
      <w:rFonts w:ascii="黑体" w:eastAsia="黑体" w:hAnsi="黑体" w:cs="宋体"/>
      <w:color w:val="000000"/>
      <w:sz w:val="24"/>
      <w:szCs w:val="20"/>
    </w:rPr>
  </w:style>
  <w:style w:type="paragraph" w:customStyle="1" w:styleId="085135">
    <w:name w:val="样式 首行缩进:  0.85 厘米 行距: 多倍行距 1.35 字行"/>
    <w:basedOn w:val="af3"/>
    <w:qFormat/>
    <w:pPr>
      <w:spacing w:line="324" w:lineRule="auto"/>
      <w:ind w:firstLine="482"/>
    </w:pPr>
    <w:rPr>
      <w:rFonts w:cs="宋体"/>
      <w:sz w:val="24"/>
      <w:szCs w:val="20"/>
    </w:rPr>
  </w:style>
  <w:style w:type="paragraph" w:customStyle="1" w:styleId="135">
    <w:name w:val="样式 正文文本 + 行距: 多倍行距 1.35 字行"/>
    <w:basedOn w:val="aff3"/>
    <w:qFormat/>
    <w:pPr>
      <w:spacing w:line="324" w:lineRule="auto"/>
      <w:ind w:firstLineChars="200" w:firstLine="200"/>
    </w:pPr>
    <w:rPr>
      <w:rFonts w:cs="宋体"/>
      <w:color w:val="auto"/>
      <w:spacing w:val="0"/>
      <w:sz w:val="24"/>
    </w:rPr>
  </w:style>
  <w:style w:type="paragraph" w:customStyle="1" w:styleId="afffffffff9">
    <w:name w:val="表 五号 居中"/>
    <w:basedOn w:val="af3"/>
    <w:semiHidden/>
    <w:qFormat/>
    <w:pPr>
      <w:keepNext/>
      <w:adjustRightInd w:val="0"/>
      <w:jc w:val="center"/>
      <w:textAlignment w:val="baseline"/>
    </w:pPr>
    <w:rPr>
      <w:sz w:val="13"/>
      <w:szCs w:val="13"/>
    </w:rPr>
  </w:style>
  <w:style w:type="character" w:customStyle="1" w:styleId="40020Char">
    <w:name w:val="标题4 四级标题 + 宋体 非加粗 左 段前: 0 磅 段后: 0 磅 行距: 固定值 20 磅 Char"/>
    <w:link w:val="40020"/>
    <w:qFormat/>
    <w:rPr>
      <w:rFonts w:ascii="宋体" w:eastAsia="黑体" w:hAnsi="Arial" w:cs="宋体"/>
      <w:sz w:val="28"/>
      <w:szCs w:val="28"/>
    </w:rPr>
  </w:style>
  <w:style w:type="paragraph" w:customStyle="1" w:styleId="40020">
    <w:name w:val="标题4 四级标题 + 宋体 非加粗 左 段前: 0 磅 段后: 0 磅 行距: 固定值 20 磅"/>
    <w:basedOn w:val="4"/>
    <w:next w:val="af3"/>
    <w:link w:val="40020Char"/>
    <w:qFormat/>
    <w:pPr>
      <w:spacing w:before="0" w:after="0" w:line="400" w:lineRule="exact"/>
      <w:jc w:val="left"/>
    </w:pPr>
    <w:rPr>
      <w:rFonts w:ascii="宋体" w:cs="宋体"/>
      <w:b w:val="0"/>
      <w:bCs w:val="0"/>
      <w:kern w:val="0"/>
    </w:rPr>
  </w:style>
  <w:style w:type="paragraph" w:customStyle="1" w:styleId="-015-015">
    <w:name w:val="样式 表内容 + 左侧:  -0.15 字符 右侧:  -0.15 字符"/>
    <w:basedOn w:val="af3"/>
    <w:qFormat/>
    <w:pPr>
      <w:autoSpaceDE w:val="0"/>
      <w:autoSpaceDN w:val="0"/>
      <w:adjustRightInd w:val="0"/>
      <w:spacing w:line="240" w:lineRule="exact"/>
      <w:ind w:left="-15" w:right="-15"/>
      <w:jc w:val="center"/>
    </w:pPr>
    <w:rPr>
      <w:sz w:val="18"/>
      <w:szCs w:val="20"/>
    </w:rPr>
  </w:style>
  <w:style w:type="character" w:customStyle="1" w:styleId="affff">
    <w:name w:val="批注主题 字符"/>
    <w:basedOn w:val="aff2"/>
    <w:link w:val="afffe"/>
    <w:qFormat/>
    <w:rPr>
      <w:rFonts w:ascii="Times New Roman" w:hAnsi="Times New Roman"/>
      <w:b/>
      <w:bCs/>
      <w:kern w:val="2"/>
      <w:sz w:val="21"/>
      <w:szCs w:val="24"/>
    </w:rPr>
  </w:style>
  <w:style w:type="paragraph" w:customStyle="1" w:styleId="44">
    <w:name w:val="标题4四级标题"/>
    <w:basedOn w:val="af3"/>
    <w:qFormat/>
    <w:pPr>
      <w:keepNext/>
      <w:keepLines/>
      <w:spacing w:before="120" w:after="120" w:line="400" w:lineRule="exact"/>
      <w:outlineLvl w:val="3"/>
    </w:pPr>
    <w:rPr>
      <w:rFonts w:ascii="黑体" w:eastAsia="黑体" w:hAnsi="黑体" w:cs="宋体"/>
      <w:sz w:val="28"/>
      <w:szCs w:val="20"/>
    </w:rPr>
  </w:style>
  <w:style w:type="paragraph" w:customStyle="1" w:styleId="ParaCharCharCharChar">
    <w:name w:val="默认段落字体 Para Char Char Char Char"/>
    <w:basedOn w:val="af3"/>
    <w:qFormat/>
    <w:pPr>
      <w:widowControl/>
      <w:jc w:val="left"/>
    </w:pPr>
    <w:rPr>
      <w:rFonts w:ascii="宋体" w:hAnsi="宋体" w:cs="宋体"/>
      <w:sz w:val="24"/>
    </w:rPr>
  </w:style>
  <w:style w:type="table" w:customStyle="1" w:styleId="afffffffffa">
    <w:name w:val="钻井液体系选型"/>
    <w:basedOn w:val="af6"/>
    <w:qFormat/>
    <w:tblPr/>
  </w:style>
  <w:style w:type="paragraph" w:customStyle="1" w:styleId="afffffffffb">
    <w:name w:val="样式 小四 加粗"/>
    <w:basedOn w:val="3"/>
    <w:link w:val="Charf"/>
    <w:qFormat/>
    <w:pPr>
      <w:spacing w:before="120" w:after="0" w:line="300" w:lineRule="auto"/>
      <w:ind w:firstLineChars="100" w:firstLine="241"/>
    </w:pPr>
    <w:rPr>
      <w:rFonts w:ascii="黑体" w:eastAsia="黑体"/>
      <w:bCs w:val="0"/>
      <w:color w:val="000000"/>
      <w:spacing w:val="0"/>
      <w:sz w:val="24"/>
      <w:szCs w:val="20"/>
    </w:rPr>
  </w:style>
  <w:style w:type="paragraph" w:customStyle="1" w:styleId="62">
    <w:name w:val="标题6六级标题"/>
    <w:basedOn w:val="af3"/>
    <w:qFormat/>
    <w:pPr>
      <w:tabs>
        <w:tab w:val="left" w:pos="360"/>
        <w:tab w:val="left" w:pos="712"/>
      </w:tabs>
      <w:spacing w:line="400" w:lineRule="exact"/>
      <w:jc w:val="left"/>
      <w:outlineLvl w:val="5"/>
    </w:pPr>
    <w:rPr>
      <w:rFonts w:ascii="宋体" w:hAnsi="宋体"/>
      <w:kern w:val="0"/>
      <w:sz w:val="24"/>
      <w:szCs w:val="18"/>
    </w:rPr>
  </w:style>
  <w:style w:type="paragraph" w:customStyle="1" w:styleId="xl30">
    <w:name w:val="xl30"/>
    <w:basedOn w:val="af3"/>
    <w:qFormat/>
    <w:pPr>
      <w:widowControl/>
      <w:pBdr>
        <w:top w:val="single" w:sz="4" w:space="0" w:color="FF6600"/>
        <w:left w:val="single" w:sz="4" w:space="0" w:color="FF6600"/>
        <w:bottom w:val="single" w:sz="4" w:space="0" w:color="FF6600"/>
        <w:right w:val="single" w:sz="4" w:space="0" w:color="FF6600"/>
      </w:pBdr>
      <w:shd w:val="clear" w:color="auto" w:fill="CCFFFF"/>
      <w:spacing w:before="100" w:beforeAutospacing="1" w:after="100" w:afterAutospacing="1"/>
      <w:jc w:val="center"/>
    </w:pPr>
    <w:rPr>
      <w:color w:val="FF0000"/>
      <w:kern w:val="0"/>
      <w:sz w:val="24"/>
      <w:szCs w:val="18"/>
    </w:rPr>
  </w:style>
  <w:style w:type="character" w:customStyle="1" w:styleId="Charf0">
    <w:name w:val="正文无序号 Char"/>
    <w:qFormat/>
    <w:rPr>
      <w:rFonts w:ascii="宋体" w:eastAsia="宋体" w:hAnsi="Courier New" w:cs="Courier New"/>
      <w:kern w:val="2"/>
      <w:sz w:val="21"/>
      <w:szCs w:val="21"/>
      <w:lang w:val="en-US" w:eastAsia="zh-CN" w:bidi="ar-SA"/>
    </w:rPr>
  </w:style>
  <w:style w:type="character" w:customStyle="1" w:styleId="Charf">
    <w:name w:val="样式 小四 加粗 Char"/>
    <w:link w:val="afffffffffb"/>
    <w:qFormat/>
    <w:rPr>
      <w:rFonts w:ascii="黑体" w:eastAsia="黑体" w:hAnsi="Times New Roman"/>
      <w:b/>
      <w:color w:val="000000"/>
      <w:kern w:val="2"/>
      <w:sz w:val="24"/>
    </w:rPr>
  </w:style>
  <w:style w:type="character" w:customStyle="1" w:styleId="Charf1">
    <w:name w:val="正文            .. Char"/>
    <w:link w:val="afffffffffc"/>
    <w:qFormat/>
    <w:rPr>
      <w:sz w:val="24"/>
    </w:rPr>
  </w:style>
  <w:style w:type="paragraph" w:customStyle="1" w:styleId="afffffffffc">
    <w:name w:val="正文            .."/>
    <w:basedOn w:val="af3"/>
    <w:link w:val="Charf1"/>
    <w:qFormat/>
    <w:pPr>
      <w:adjustRightInd w:val="0"/>
      <w:snapToGrid w:val="0"/>
      <w:spacing w:line="400" w:lineRule="exact"/>
      <w:ind w:firstLineChars="200" w:firstLine="480"/>
      <w:textAlignment w:val="baseline"/>
    </w:pPr>
    <w:rPr>
      <w:rFonts w:ascii="Calibri" w:hAnsi="Calibri"/>
      <w:kern w:val="0"/>
      <w:sz w:val="24"/>
      <w:szCs w:val="20"/>
    </w:rPr>
  </w:style>
  <w:style w:type="paragraph" w:customStyle="1" w:styleId="rong2">
    <w:name w:val="样式 rong正 + 黑色 首行缩进:  2 字符"/>
    <w:basedOn w:val="af3"/>
    <w:link w:val="rong2Char"/>
    <w:qFormat/>
    <w:pPr>
      <w:adjustRightInd w:val="0"/>
      <w:snapToGrid w:val="0"/>
      <w:spacing w:line="300" w:lineRule="auto"/>
      <w:ind w:firstLineChars="200" w:firstLine="472"/>
    </w:pPr>
    <w:rPr>
      <w:rFonts w:ascii="宋体" w:hAnsi="宋体"/>
      <w:color w:val="000000"/>
      <w:spacing w:val="-2"/>
      <w:sz w:val="24"/>
      <w:szCs w:val="20"/>
    </w:rPr>
  </w:style>
  <w:style w:type="character" w:customStyle="1" w:styleId="rong2Char">
    <w:name w:val="样式 rong正 + 黑色 首行缩进:  2 字符 Char"/>
    <w:link w:val="rong2"/>
    <w:qFormat/>
    <w:rPr>
      <w:rFonts w:ascii="宋体" w:hAnsi="宋体"/>
      <w:color w:val="000000"/>
      <w:spacing w:val="-2"/>
      <w:kern w:val="2"/>
      <w:sz w:val="24"/>
    </w:rPr>
  </w:style>
  <w:style w:type="paragraph" w:customStyle="1" w:styleId="font0">
    <w:name w:val="font0"/>
    <w:basedOn w:val="af3"/>
    <w:qFormat/>
    <w:pPr>
      <w:widowControl/>
      <w:spacing w:before="100" w:beforeAutospacing="1" w:after="100" w:afterAutospacing="1"/>
      <w:jc w:val="left"/>
    </w:pPr>
    <w:rPr>
      <w:rFonts w:ascii="宋体" w:hAnsi="宋体" w:cs="宋体"/>
      <w:kern w:val="0"/>
      <w:sz w:val="24"/>
    </w:rPr>
  </w:style>
  <w:style w:type="paragraph" w:customStyle="1" w:styleId="font5">
    <w:name w:val="font5"/>
    <w:basedOn w:val="af3"/>
    <w:qFormat/>
    <w:pPr>
      <w:widowControl/>
      <w:spacing w:before="100" w:beforeAutospacing="1" w:after="100" w:afterAutospacing="1"/>
      <w:jc w:val="left"/>
    </w:pPr>
    <w:rPr>
      <w:rFonts w:ascii="宋体" w:hAnsi="宋体" w:cs="宋体"/>
      <w:kern w:val="0"/>
      <w:sz w:val="18"/>
      <w:szCs w:val="18"/>
    </w:rPr>
  </w:style>
  <w:style w:type="character" w:customStyle="1" w:styleId="CharChar0">
    <w:name w:val="正文文字缩进 Char Char"/>
    <w:qFormat/>
    <w:rPr>
      <w:rFonts w:ascii="仿宋_GB2312" w:eastAsia="仿宋_GB2312"/>
      <w:kern w:val="2"/>
      <w:sz w:val="32"/>
      <w:lang w:val="en-US" w:eastAsia="zh-CN" w:bidi="ar-SA"/>
    </w:rPr>
  </w:style>
  <w:style w:type="character" w:customStyle="1" w:styleId="CharChar1">
    <w:name w:val="正文文字缩进 Char Char1"/>
    <w:qFormat/>
    <w:rPr>
      <w:rFonts w:ascii="仿宋_GB2312" w:eastAsia="仿宋_GB2312"/>
      <w:kern w:val="2"/>
      <w:sz w:val="32"/>
      <w:lang w:val="en-US" w:eastAsia="zh-CN" w:bidi="ar-SA"/>
    </w:rPr>
  </w:style>
  <w:style w:type="character" w:customStyle="1" w:styleId="CharChar2">
    <w:name w:val="正文文字缩进 Char Char2"/>
    <w:qFormat/>
    <w:rPr>
      <w:rFonts w:ascii="仿宋_GB2312" w:eastAsia="仿宋_GB2312"/>
      <w:kern w:val="2"/>
      <w:sz w:val="32"/>
      <w:lang w:val="en-US" w:eastAsia="zh-CN" w:bidi="ar-SA"/>
    </w:rPr>
  </w:style>
  <w:style w:type="character" w:customStyle="1" w:styleId="CharChar5">
    <w:name w:val="Char Char5"/>
    <w:semiHidden/>
    <w:qFormat/>
    <w:rPr>
      <w:rFonts w:eastAsia="宋体"/>
      <w:b/>
      <w:bCs/>
      <w:kern w:val="2"/>
      <w:sz w:val="32"/>
      <w:szCs w:val="32"/>
      <w:lang w:val="en-US" w:eastAsia="zh-CN" w:bidi="ar-SA"/>
    </w:rPr>
  </w:style>
  <w:style w:type="character" w:customStyle="1" w:styleId="CharChar4">
    <w:name w:val="Char Char4"/>
    <w:semiHidden/>
    <w:qFormat/>
    <w:rPr>
      <w:rFonts w:ascii="Arial" w:eastAsia="黑体" w:hAnsi="Arial"/>
      <w:b/>
      <w:bCs/>
      <w:kern w:val="2"/>
      <w:sz w:val="28"/>
      <w:szCs w:val="28"/>
      <w:lang w:val="en-US" w:eastAsia="zh-CN" w:bidi="ar-SA"/>
    </w:rPr>
  </w:style>
  <w:style w:type="character" w:customStyle="1" w:styleId="CharChar3">
    <w:name w:val="Char Char3"/>
    <w:semiHidden/>
    <w:qFormat/>
    <w:rPr>
      <w:rFonts w:eastAsia="宋体"/>
      <w:b/>
      <w:bCs/>
      <w:kern w:val="2"/>
      <w:sz w:val="28"/>
      <w:szCs w:val="28"/>
      <w:lang w:val="en-US" w:eastAsia="zh-CN" w:bidi="ar-SA"/>
    </w:rPr>
  </w:style>
  <w:style w:type="paragraph" w:customStyle="1" w:styleId="reader-word-layerreader-word-s1-1">
    <w:name w:val="reader-word-layer reader-word-s1-1"/>
    <w:basedOn w:val="af3"/>
    <w:qFormat/>
    <w:pPr>
      <w:widowControl/>
      <w:spacing w:before="100" w:beforeAutospacing="1" w:after="100" w:afterAutospacing="1"/>
      <w:jc w:val="left"/>
    </w:pPr>
    <w:rPr>
      <w:rFonts w:ascii="宋体" w:hAnsi="宋体" w:cs="宋体"/>
      <w:kern w:val="0"/>
      <w:sz w:val="24"/>
    </w:rPr>
  </w:style>
  <w:style w:type="paragraph" w:customStyle="1" w:styleId="reader-word-layerreader-word-s1-3">
    <w:name w:val="reader-word-layer reader-word-s1-3"/>
    <w:basedOn w:val="af3"/>
    <w:qFormat/>
    <w:pPr>
      <w:widowControl/>
      <w:spacing w:before="100" w:beforeAutospacing="1" w:after="100" w:afterAutospacing="1"/>
      <w:jc w:val="left"/>
    </w:pPr>
    <w:rPr>
      <w:rFonts w:ascii="宋体" w:hAnsi="宋体" w:cs="宋体"/>
      <w:kern w:val="0"/>
      <w:sz w:val="24"/>
    </w:rPr>
  </w:style>
  <w:style w:type="paragraph" w:customStyle="1" w:styleId="reader-word-layerreader-word-s1-4">
    <w:name w:val="reader-word-layer reader-word-s1-4"/>
    <w:basedOn w:val="af3"/>
    <w:qFormat/>
    <w:pPr>
      <w:widowControl/>
      <w:spacing w:before="100" w:beforeAutospacing="1" w:after="100" w:afterAutospacing="1"/>
      <w:jc w:val="left"/>
    </w:pPr>
    <w:rPr>
      <w:rFonts w:ascii="宋体" w:hAnsi="宋体" w:cs="宋体"/>
      <w:kern w:val="0"/>
      <w:sz w:val="24"/>
    </w:rPr>
  </w:style>
  <w:style w:type="paragraph" w:customStyle="1" w:styleId="reader-word-layerreader-word-s1-16">
    <w:name w:val="reader-word-layer reader-word-s1-16"/>
    <w:basedOn w:val="af3"/>
    <w:qFormat/>
    <w:pPr>
      <w:widowControl/>
      <w:spacing w:before="100" w:beforeAutospacing="1" w:after="100" w:afterAutospacing="1"/>
      <w:jc w:val="left"/>
    </w:pPr>
    <w:rPr>
      <w:rFonts w:ascii="宋体" w:hAnsi="宋体" w:cs="宋体"/>
      <w:kern w:val="0"/>
      <w:sz w:val="24"/>
    </w:rPr>
  </w:style>
  <w:style w:type="paragraph" w:customStyle="1" w:styleId="reader-word-layerreader-word-s1-12">
    <w:name w:val="reader-word-layer reader-word-s1-12"/>
    <w:basedOn w:val="af3"/>
    <w:qFormat/>
    <w:pPr>
      <w:widowControl/>
      <w:spacing w:before="100" w:beforeAutospacing="1" w:after="100" w:afterAutospacing="1"/>
      <w:jc w:val="left"/>
    </w:pPr>
    <w:rPr>
      <w:rFonts w:ascii="宋体" w:hAnsi="宋体" w:cs="宋体"/>
      <w:kern w:val="0"/>
      <w:sz w:val="24"/>
    </w:rPr>
  </w:style>
  <w:style w:type="paragraph" w:customStyle="1" w:styleId="reader-word-layer">
    <w:name w:val="reader-word-layer"/>
    <w:basedOn w:val="af3"/>
    <w:qFormat/>
    <w:pPr>
      <w:widowControl/>
      <w:spacing w:before="100" w:beforeAutospacing="1" w:after="100" w:afterAutospacing="1"/>
      <w:jc w:val="left"/>
    </w:pPr>
    <w:rPr>
      <w:rFonts w:ascii="宋体" w:hAnsi="宋体" w:cs="宋体"/>
      <w:kern w:val="0"/>
      <w:sz w:val="24"/>
    </w:rPr>
  </w:style>
  <w:style w:type="paragraph" w:customStyle="1" w:styleId="2f0">
    <w:name w:val="样式 首行缩进:  2 字符"/>
    <w:basedOn w:val="af3"/>
    <w:link w:val="2Char1"/>
    <w:qFormat/>
    <w:pPr>
      <w:spacing w:line="360" w:lineRule="auto"/>
      <w:ind w:firstLineChars="200" w:firstLine="200"/>
    </w:pPr>
    <w:rPr>
      <w:rFonts w:cs="宋体"/>
      <w:sz w:val="24"/>
    </w:rPr>
  </w:style>
  <w:style w:type="character" w:customStyle="1" w:styleId="2Char1">
    <w:name w:val="样式 首行缩进:  2 字符 Char"/>
    <w:link w:val="2f0"/>
    <w:qFormat/>
    <w:rPr>
      <w:rFonts w:ascii="Times New Roman" w:hAnsi="Times New Roman" w:cs="宋体"/>
      <w:kern w:val="2"/>
      <w:sz w:val="24"/>
      <w:szCs w:val="24"/>
    </w:rPr>
  </w:style>
  <w:style w:type="character" w:customStyle="1" w:styleId="Char4">
    <w:name w:val="表格标题 Char"/>
    <w:link w:val="affffffff1"/>
    <w:qFormat/>
    <w:rPr>
      <w:rFonts w:ascii="宋体" w:hAnsi="宋体"/>
      <w:kern w:val="2"/>
      <w:sz w:val="21"/>
      <w:szCs w:val="21"/>
    </w:rPr>
  </w:style>
  <w:style w:type="character" w:customStyle="1" w:styleId="3Char">
    <w:name w:val="3级标题** Char"/>
    <w:link w:val="3d"/>
    <w:qFormat/>
    <w:rPr>
      <w:rFonts w:ascii="黑体" w:eastAsia="黑体"/>
      <w:snapToGrid w:val="0"/>
      <w:kern w:val="21"/>
      <w:sz w:val="24"/>
      <w:szCs w:val="24"/>
    </w:rPr>
  </w:style>
  <w:style w:type="paragraph" w:customStyle="1" w:styleId="3d">
    <w:name w:val="3级标题**"/>
    <w:basedOn w:val="aff9"/>
    <w:link w:val="3Char"/>
    <w:qFormat/>
    <w:pPr>
      <w:snapToGrid w:val="0"/>
      <w:spacing w:before="120" w:after="120" w:line="400" w:lineRule="exact"/>
      <w:jc w:val="left"/>
      <w:textAlignment w:val="auto"/>
      <w:outlineLvl w:val="2"/>
    </w:pPr>
    <w:rPr>
      <w:rFonts w:ascii="黑体" w:eastAsia="黑体" w:hAnsi="Calibri"/>
      <w:snapToGrid w:val="0"/>
      <w:kern w:val="21"/>
      <w:sz w:val="24"/>
      <w:szCs w:val="24"/>
    </w:rPr>
  </w:style>
  <w:style w:type="character" w:customStyle="1" w:styleId="Charf2">
    <w:name w:val="正文文本** Char"/>
    <w:link w:val="afffffffffd"/>
    <w:qFormat/>
    <w:rPr>
      <w:rFonts w:ascii="宋体" w:hAnsi="宋体" w:cs="宋体"/>
      <w:b/>
      <w:sz w:val="24"/>
      <w:szCs w:val="18"/>
    </w:rPr>
  </w:style>
  <w:style w:type="paragraph" w:customStyle="1" w:styleId="afffffffffd">
    <w:name w:val="正文文本**"/>
    <w:basedOn w:val="af3"/>
    <w:link w:val="Charf2"/>
    <w:qFormat/>
    <w:pPr>
      <w:adjustRightInd w:val="0"/>
      <w:snapToGrid w:val="0"/>
      <w:spacing w:line="400" w:lineRule="exact"/>
      <w:ind w:firstLineChars="200" w:firstLine="482"/>
    </w:pPr>
    <w:rPr>
      <w:rFonts w:ascii="宋体" w:hAnsi="宋体" w:cs="宋体"/>
      <w:b/>
      <w:kern w:val="0"/>
      <w:sz w:val="24"/>
      <w:szCs w:val="18"/>
    </w:rPr>
  </w:style>
  <w:style w:type="character" w:customStyle="1" w:styleId="4Char">
    <w:name w:val="4级标题** Char"/>
    <w:link w:val="45"/>
    <w:qFormat/>
    <w:rPr>
      <w:rFonts w:ascii="黑体" w:eastAsia="黑体" w:hAnsi="宋体" w:cs="宋体"/>
      <w:color w:val="000000"/>
      <w:kern w:val="44"/>
      <w:sz w:val="24"/>
      <w:szCs w:val="24"/>
      <w:lang w:val="zh-CN"/>
    </w:rPr>
  </w:style>
  <w:style w:type="paragraph" w:customStyle="1" w:styleId="45">
    <w:name w:val="4级标题**"/>
    <w:basedOn w:val="af3"/>
    <w:link w:val="4Char"/>
    <w:qFormat/>
    <w:pPr>
      <w:adjustRightInd w:val="0"/>
      <w:snapToGrid w:val="0"/>
      <w:spacing w:before="60" w:after="60" w:line="400" w:lineRule="exact"/>
      <w:jc w:val="left"/>
      <w:outlineLvl w:val="3"/>
    </w:pPr>
    <w:rPr>
      <w:rFonts w:ascii="黑体" w:eastAsia="黑体" w:hAnsi="宋体" w:cs="宋体"/>
      <w:color w:val="000000"/>
      <w:kern w:val="44"/>
      <w:sz w:val="24"/>
      <w:lang w:val="zh-CN"/>
    </w:rPr>
  </w:style>
  <w:style w:type="character" w:customStyle="1" w:styleId="10">
    <w:name w:val="标题 1 字符"/>
    <w:link w:val="1"/>
    <w:uiPriority w:val="9"/>
    <w:qFormat/>
    <w:rPr>
      <w:rFonts w:ascii="Times New Roman" w:hAnsi="Times New Roman"/>
      <w:b/>
      <w:bCs/>
      <w:spacing w:val="20"/>
      <w:kern w:val="44"/>
      <w:sz w:val="32"/>
      <w:szCs w:val="44"/>
    </w:rPr>
  </w:style>
  <w:style w:type="character" w:customStyle="1" w:styleId="20">
    <w:name w:val="标题 2 字符"/>
    <w:link w:val="2"/>
    <w:qFormat/>
    <w:rPr>
      <w:rFonts w:ascii="Arial" w:eastAsia="黑体" w:hAnsi="Arial"/>
      <w:b/>
      <w:bCs/>
      <w:spacing w:val="20"/>
      <w:kern w:val="2"/>
      <w:sz w:val="32"/>
      <w:szCs w:val="32"/>
    </w:rPr>
  </w:style>
  <w:style w:type="paragraph" w:customStyle="1" w:styleId="1c">
    <w:name w:val="修订1"/>
    <w:hidden/>
    <w:uiPriority w:val="99"/>
    <w:semiHidden/>
    <w:qFormat/>
    <w:rPr>
      <w:rFonts w:ascii="Calibri" w:hAnsi="Calibri"/>
      <w:kern w:val="2"/>
      <w:sz w:val="21"/>
      <w:szCs w:val="22"/>
    </w:rPr>
  </w:style>
  <w:style w:type="character" w:customStyle="1" w:styleId="33320Char">
    <w:name w:val="标题3 三级标题表格标题 + 黑体 小四 非加粗 左 段前: 3 磅 段后: 3 磅 行距: 固定值 20... Char"/>
    <w:basedOn w:val="af5"/>
    <w:link w:val="33320"/>
    <w:qFormat/>
    <w:rPr>
      <w:rFonts w:ascii="黑体" w:eastAsia="黑体" w:hAnsi="Times New Roman" w:cs="宋体"/>
      <w:kern w:val="2"/>
      <w:sz w:val="28"/>
    </w:rPr>
  </w:style>
  <w:style w:type="paragraph" w:customStyle="1" w:styleId="-182-18">
    <w:name w:val="样式 表中小五 + 五号 左侧:  -1.8 磅 首行缩进:  2 字符 右侧:  -1.8 磅"/>
    <w:basedOn w:val="affffffff8"/>
    <w:uiPriority w:val="99"/>
    <w:qFormat/>
    <w:pPr>
      <w:autoSpaceDE w:val="0"/>
      <w:autoSpaceDN w:val="0"/>
      <w:adjustRightInd w:val="0"/>
      <w:spacing w:line="240" w:lineRule="auto"/>
      <w:ind w:left="-20" w:right="-20"/>
    </w:pPr>
    <w:rPr>
      <w:rFonts w:ascii="Calibri" w:hAnsi="Calibri" w:cs="宋体"/>
      <w:sz w:val="21"/>
      <w:szCs w:val="21"/>
    </w:rPr>
  </w:style>
  <w:style w:type="paragraph" w:customStyle="1" w:styleId="1d">
    <w:name w:val="1发文字号"/>
    <w:basedOn w:val="af3"/>
    <w:qFormat/>
    <w:pPr>
      <w:tabs>
        <w:tab w:val="right" w:pos="8525"/>
      </w:tabs>
      <w:adjustRightInd w:val="0"/>
      <w:ind w:leftChars="100" w:left="314" w:rightChars="100" w:right="314"/>
      <w:jc w:val="center"/>
    </w:pPr>
    <w:rPr>
      <w:rFonts w:ascii="仿宋_GB2312" w:eastAsia="仿宋_GB2312"/>
      <w:sz w:val="32"/>
      <w:szCs w:val="32"/>
    </w:rPr>
  </w:style>
  <w:style w:type="paragraph" w:customStyle="1" w:styleId="2f1">
    <w:name w:val="2标 　题"/>
    <w:basedOn w:val="af3"/>
    <w:qFormat/>
    <w:pPr>
      <w:adjustRightInd w:val="0"/>
      <w:snapToGrid w:val="0"/>
      <w:spacing w:line="579" w:lineRule="exact"/>
      <w:jc w:val="center"/>
    </w:pPr>
    <w:rPr>
      <w:rFonts w:ascii="方正大标宋简体" w:eastAsia="方正大标宋简体"/>
      <w:sz w:val="44"/>
      <w:szCs w:val="44"/>
    </w:rPr>
  </w:style>
  <w:style w:type="paragraph" w:customStyle="1" w:styleId="ParaCharCharCharCharCharCharCharCharCharCharCharCharChar">
    <w:name w:val="默认段落字体 Para Char Char Char Char Char Char Char Char Char Char Char Char Char"/>
    <w:basedOn w:val="af3"/>
    <w:semiHidden/>
    <w:qFormat/>
    <w:pPr>
      <w:tabs>
        <w:tab w:val="left" w:pos="650"/>
        <w:tab w:val="left" w:pos="900"/>
      </w:tabs>
      <w:adjustRightInd w:val="0"/>
      <w:snapToGrid w:val="0"/>
      <w:spacing w:line="360" w:lineRule="auto"/>
      <w:jc w:val="left"/>
    </w:pPr>
    <w:rPr>
      <w:rFonts w:ascii="宋体" w:hAnsi="宋体"/>
      <w:b/>
      <w:bCs/>
      <w:snapToGrid w:val="0"/>
      <w:kern w:val="0"/>
      <w:sz w:val="24"/>
    </w:rPr>
  </w:style>
  <w:style w:type="paragraph" w:customStyle="1" w:styleId="IDDS">
    <w:name w:val="IDDS表图注"/>
    <w:basedOn w:val="af3"/>
    <w:qFormat/>
    <w:pPr>
      <w:spacing w:line="360" w:lineRule="auto"/>
      <w:jc w:val="center"/>
    </w:pPr>
    <w:rPr>
      <w:rFonts w:ascii="宋体" w:hAnsi="宋体" w:cs="宋体"/>
      <w:b/>
      <w:bCs/>
      <w:szCs w:val="20"/>
    </w:rPr>
  </w:style>
  <w:style w:type="paragraph" w:customStyle="1" w:styleId="IDDS0">
    <w:name w:val="IDDS表格正文"/>
    <w:basedOn w:val="af3"/>
    <w:qFormat/>
    <w:pPr>
      <w:spacing w:line="300" w:lineRule="auto"/>
      <w:jc w:val="center"/>
    </w:pPr>
    <w:rPr>
      <w:rFonts w:cs="宋体"/>
      <w:szCs w:val="20"/>
    </w:rPr>
  </w:style>
  <w:style w:type="character" w:customStyle="1" w:styleId="2f2">
    <w:name w:val="正文文本 (2)_"/>
    <w:basedOn w:val="af5"/>
    <w:link w:val="211"/>
    <w:uiPriority w:val="99"/>
    <w:qFormat/>
    <w:rPr>
      <w:rFonts w:ascii="MingLiU" w:eastAsia="MingLiU" w:cs="MingLiU"/>
      <w:szCs w:val="21"/>
      <w:shd w:val="clear" w:color="auto" w:fill="FFFFFF"/>
    </w:rPr>
  </w:style>
  <w:style w:type="paragraph" w:customStyle="1" w:styleId="211">
    <w:name w:val="正文文本 (2)1"/>
    <w:basedOn w:val="af3"/>
    <w:link w:val="2f2"/>
    <w:uiPriority w:val="99"/>
    <w:qFormat/>
    <w:pPr>
      <w:shd w:val="clear" w:color="auto" w:fill="FFFFFF"/>
      <w:spacing w:line="314" w:lineRule="exact"/>
      <w:ind w:hanging="440"/>
      <w:jc w:val="left"/>
    </w:pPr>
    <w:rPr>
      <w:rFonts w:ascii="MingLiU" w:eastAsia="MingLiU" w:hAnsi="Calibri" w:cs="MingLiU"/>
      <w:kern w:val="0"/>
      <w:sz w:val="20"/>
      <w:szCs w:val="21"/>
    </w:rPr>
  </w:style>
  <w:style w:type="character" w:customStyle="1" w:styleId="2Garamond">
    <w:name w:val="正文文本 (2) + Garamond"/>
    <w:basedOn w:val="2f2"/>
    <w:uiPriority w:val="99"/>
    <w:qFormat/>
    <w:rPr>
      <w:rFonts w:ascii="Garamond" w:eastAsia="MingLiU" w:hAnsi="Garamond" w:cs="Garamond"/>
      <w:sz w:val="22"/>
      <w:szCs w:val="22"/>
      <w:shd w:val="clear" w:color="auto" w:fill="FFFFFF"/>
      <w:lang w:val="en-US" w:eastAsia="en-US"/>
    </w:rPr>
  </w:style>
  <w:style w:type="character" w:customStyle="1" w:styleId="2f3">
    <w:name w:val="正文文本 (2)"/>
    <w:basedOn w:val="2f2"/>
    <w:uiPriority w:val="99"/>
    <w:qFormat/>
    <w:rPr>
      <w:rFonts w:ascii="MingLiU" w:eastAsia="MingLiU" w:cs="MingLiU"/>
      <w:sz w:val="21"/>
      <w:szCs w:val="21"/>
      <w:u w:val="none"/>
      <w:shd w:val="clear" w:color="auto" w:fill="FFFFFF"/>
    </w:rPr>
  </w:style>
  <w:style w:type="character" w:customStyle="1" w:styleId="2Garamond7">
    <w:name w:val="正文文本 (2) + Garamond7"/>
    <w:basedOn w:val="2f2"/>
    <w:uiPriority w:val="99"/>
    <w:qFormat/>
    <w:rPr>
      <w:rFonts w:ascii="Garamond" w:eastAsia="MingLiU" w:hAnsi="Garamond" w:cs="Garamond"/>
      <w:sz w:val="21"/>
      <w:szCs w:val="21"/>
      <w:u w:val="none"/>
      <w:shd w:val="clear" w:color="auto" w:fill="FFFFFF"/>
    </w:rPr>
  </w:style>
  <w:style w:type="character" w:customStyle="1" w:styleId="2Garamond4">
    <w:name w:val="正文文本 (2) + Garamond4"/>
    <w:basedOn w:val="2f2"/>
    <w:uiPriority w:val="99"/>
    <w:qFormat/>
    <w:rPr>
      <w:rFonts w:ascii="Garamond" w:eastAsia="MingLiU" w:hAnsi="Garamond" w:cs="Garamond"/>
      <w:i/>
      <w:iCs/>
      <w:sz w:val="8"/>
      <w:szCs w:val="8"/>
      <w:u w:val="none"/>
      <w:shd w:val="clear" w:color="auto" w:fill="FFFFFF"/>
      <w:lang w:val="en-US" w:eastAsia="en-US"/>
    </w:rPr>
  </w:style>
  <w:style w:type="character" w:customStyle="1" w:styleId="2Georgia">
    <w:name w:val="正文文本 (2) + Georgia"/>
    <w:basedOn w:val="2f2"/>
    <w:uiPriority w:val="99"/>
    <w:qFormat/>
    <w:rPr>
      <w:rFonts w:ascii="Georgia" w:eastAsia="MingLiU" w:hAnsi="Georgia" w:cs="Georgia"/>
      <w:sz w:val="20"/>
      <w:szCs w:val="20"/>
      <w:u w:val="none"/>
      <w:shd w:val="clear" w:color="auto" w:fill="FFFFFF"/>
      <w:lang w:val="en-US" w:eastAsia="en-US"/>
    </w:rPr>
  </w:style>
  <w:style w:type="character" w:customStyle="1" w:styleId="81">
    <w:name w:val="正文文本 (8)_"/>
    <w:basedOn w:val="af5"/>
    <w:link w:val="810"/>
    <w:uiPriority w:val="99"/>
    <w:qFormat/>
    <w:rPr>
      <w:rFonts w:ascii="MingLiU" w:eastAsia="MingLiU" w:cs="MingLiU"/>
      <w:spacing w:val="10"/>
      <w:szCs w:val="21"/>
      <w:shd w:val="clear" w:color="auto" w:fill="FFFFFF"/>
    </w:rPr>
  </w:style>
  <w:style w:type="paragraph" w:customStyle="1" w:styleId="810">
    <w:name w:val="正文文本 (8)1"/>
    <w:basedOn w:val="af3"/>
    <w:link w:val="81"/>
    <w:uiPriority w:val="99"/>
    <w:qFormat/>
    <w:pPr>
      <w:shd w:val="clear" w:color="auto" w:fill="FFFFFF"/>
      <w:spacing w:line="326" w:lineRule="exact"/>
      <w:ind w:hanging="440"/>
      <w:jc w:val="left"/>
    </w:pPr>
    <w:rPr>
      <w:rFonts w:ascii="MingLiU" w:eastAsia="MingLiU" w:hAnsi="Calibri" w:cs="MingLiU"/>
      <w:spacing w:val="10"/>
      <w:kern w:val="0"/>
      <w:sz w:val="20"/>
      <w:szCs w:val="21"/>
    </w:rPr>
  </w:style>
  <w:style w:type="character" w:customStyle="1" w:styleId="82">
    <w:name w:val="正文文本 (8)"/>
    <w:basedOn w:val="81"/>
    <w:uiPriority w:val="99"/>
    <w:qFormat/>
    <w:rPr>
      <w:rFonts w:ascii="MingLiU" w:eastAsia="MingLiU" w:cs="MingLiU"/>
      <w:spacing w:val="10"/>
      <w:sz w:val="21"/>
      <w:szCs w:val="21"/>
      <w:u w:val="none"/>
      <w:shd w:val="clear" w:color="auto" w:fill="FFFFFF"/>
    </w:rPr>
  </w:style>
  <w:style w:type="character" w:customStyle="1" w:styleId="2TimesNewRoman1">
    <w:name w:val="正文文本 (2) + Times New Roman1"/>
    <w:basedOn w:val="2f2"/>
    <w:uiPriority w:val="99"/>
    <w:qFormat/>
    <w:rPr>
      <w:rFonts w:ascii="Times New Roman" w:eastAsia="MingLiU" w:hAnsi="Times New Roman" w:cs="Times New Roman"/>
      <w:spacing w:val="0"/>
      <w:sz w:val="21"/>
      <w:szCs w:val="21"/>
      <w:u w:val="none"/>
      <w:shd w:val="clear" w:color="auto" w:fill="FFFFFF"/>
      <w:lang w:val="en-US" w:eastAsia="en-US"/>
    </w:rPr>
  </w:style>
  <w:style w:type="paragraph" w:customStyle="1" w:styleId="nlw">
    <w:name w:val="nlw表内容"/>
    <w:basedOn w:val="affffffff"/>
    <w:link w:val="nlwChar"/>
    <w:qFormat/>
    <w:pPr>
      <w:adjustRightInd/>
      <w:spacing w:line="360" w:lineRule="auto"/>
      <w:jc w:val="left"/>
      <w:textAlignment w:val="auto"/>
    </w:pPr>
    <w:rPr>
      <w:rFonts w:ascii="Times New Roman"/>
    </w:rPr>
  </w:style>
  <w:style w:type="paragraph" w:customStyle="1" w:styleId="nlw0">
    <w:name w:val="nlw表头和图"/>
    <w:basedOn w:val="nlw"/>
    <w:link w:val="nlwChar0"/>
    <w:qFormat/>
    <w:pPr>
      <w:spacing w:afterLines="50" w:line="520" w:lineRule="exact"/>
      <w:ind w:left="-141"/>
      <w:jc w:val="center"/>
    </w:pPr>
    <w:rPr>
      <w:rFonts w:eastAsia="黑体"/>
      <w:szCs w:val="21"/>
    </w:rPr>
  </w:style>
  <w:style w:type="paragraph" w:customStyle="1" w:styleId="nlw1">
    <w:name w:val="nlw正文"/>
    <w:basedOn w:val="af3"/>
    <w:qFormat/>
    <w:pPr>
      <w:spacing w:line="520" w:lineRule="exact"/>
      <w:ind w:firstLineChars="200" w:firstLine="560"/>
    </w:pPr>
    <w:rPr>
      <w:rFonts w:ascii="宋体" w:hAnsi="宋体"/>
      <w:kern w:val="0"/>
      <w:sz w:val="28"/>
      <w:szCs w:val="28"/>
      <w:lang w:val="zh-CN"/>
    </w:rPr>
  </w:style>
  <w:style w:type="character" w:customStyle="1" w:styleId="Char3">
    <w:name w:val="表格 Char"/>
    <w:basedOn w:val="af5"/>
    <w:link w:val="affffffff"/>
    <w:qFormat/>
    <w:rPr>
      <w:rFonts w:ascii="宋体" w:hAnsi="Times New Roman"/>
      <w:sz w:val="21"/>
    </w:rPr>
  </w:style>
  <w:style w:type="character" w:customStyle="1" w:styleId="nlwChar">
    <w:name w:val="nlw表内容 Char"/>
    <w:basedOn w:val="Char3"/>
    <w:link w:val="nlw"/>
    <w:qFormat/>
    <w:rPr>
      <w:rFonts w:ascii="Times New Roman" w:hAnsi="Times New Roman"/>
      <w:sz w:val="21"/>
    </w:rPr>
  </w:style>
  <w:style w:type="character" w:customStyle="1" w:styleId="nlwChar0">
    <w:name w:val="nlw表头和图 Char"/>
    <w:basedOn w:val="nlwChar"/>
    <w:link w:val="nlw0"/>
    <w:qFormat/>
    <w:rPr>
      <w:rFonts w:ascii="Times New Roman" w:eastAsia="黑体" w:hAnsi="Times New Roman"/>
      <w:sz w:val="21"/>
      <w:szCs w:val="21"/>
    </w:rPr>
  </w:style>
  <w:style w:type="paragraph" w:customStyle="1" w:styleId="nlw10">
    <w:name w:val="nlw标题1"/>
    <w:basedOn w:val="afffff0"/>
    <w:qFormat/>
    <w:pPr>
      <w:adjustRightInd w:val="0"/>
      <w:snapToGrid w:val="0"/>
      <w:spacing w:before="120" w:after="120" w:line="520" w:lineRule="exact"/>
      <w:ind w:left="0" w:firstLine="0"/>
      <w:jc w:val="left"/>
      <w:outlineLvl w:val="0"/>
    </w:pPr>
    <w:rPr>
      <w:rFonts w:hAnsi="黑体"/>
      <w:bCs/>
      <w:sz w:val="32"/>
      <w:szCs w:val="28"/>
    </w:rPr>
  </w:style>
  <w:style w:type="paragraph" w:customStyle="1" w:styleId="nlw2">
    <w:name w:val="nlw标题2"/>
    <w:basedOn w:val="nlw10"/>
    <w:qFormat/>
    <w:pPr>
      <w:outlineLvl w:val="1"/>
    </w:pPr>
    <w:rPr>
      <w:sz w:val="28"/>
    </w:rPr>
  </w:style>
  <w:style w:type="paragraph" w:customStyle="1" w:styleId="nlw3">
    <w:name w:val="nlw标题3"/>
    <w:basedOn w:val="nlw2"/>
    <w:qFormat/>
    <w:pPr>
      <w:spacing w:afterLines="0"/>
      <w:jc w:val="both"/>
      <w:outlineLvl w:val="2"/>
    </w:pPr>
    <w:rPr>
      <w:rFonts w:ascii="Times New Roman" w:hAnsi="Times New Roman"/>
    </w:rPr>
  </w:style>
  <w:style w:type="paragraph" w:customStyle="1" w:styleId="nlw4">
    <w:name w:val="nlw标题4"/>
    <w:basedOn w:val="nlw3"/>
    <w:qFormat/>
    <w:pPr>
      <w:spacing w:before="50" w:after="50"/>
      <w:outlineLvl w:val="3"/>
    </w:pPr>
  </w:style>
  <w:style w:type="paragraph" w:customStyle="1" w:styleId="afffffffffe">
    <w:name w:val="标题一"/>
    <w:basedOn w:val="1"/>
    <w:semiHidden/>
    <w:qFormat/>
    <w:pPr>
      <w:spacing w:beforeLines="250" w:afterLines="150" w:line="360" w:lineRule="auto"/>
    </w:pPr>
    <w:rPr>
      <w:rFonts w:hAnsi="宋体"/>
      <w:spacing w:val="0"/>
      <w:kern w:val="2"/>
      <w:szCs w:val="32"/>
    </w:rPr>
  </w:style>
  <w:style w:type="paragraph" w:customStyle="1" w:styleId="xl26">
    <w:name w:val="xl26"/>
    <w:basedOn w:val="af3"/>
    <w:semiHidden/>
    <w:qFormat/>
    <w:pPr>
      <w:widowControl/>
      <w:pBdr>
        <w:bottom w:val="single" w:sz="4" w:space="0" w:color="auto"/>
        <w:right w:val="single" w:sz="4" w:space="0" w:color="auto"/>
      </w:pBdr>
      <w:spacing w:before="100" w:beforeAutospacing="1" w:after="100" w:afterAutospacing="1"/>
      <w:jc w:val="center"/>
    </w:pPr>
    <w:rPr>
      <w:rFonts w:ascii="黑体" w:eastAsia="黑体" w:hAnsi="Arial Unicode MS"/>
      <w:kern w:val="0"/>
      <w:szCs w:val="21"/>
    </w:rPr>
  </w:style>
  <w:style w:type="character" w:customStyle="1" w:styleId="dz">
    <w:name w:val="dz"/>
    <w:basedOn w:val="af5"/>
    <w:semiHidden/>
    <w:qFormat/>
  </w:style>
  <w:style w:type="character" w:customStyle="1" w:styleId="ttitle1">
    <w:name w:val="ttitle1"/>
    <w:semiHidden/>
    <w:qFormat/>
    <w:rPr>
      <w:spacing w:val="120"/>
      <w:sz w:val="21"/>
      <w:szCs w:val="21"/>
    </w:rPr>
  </w:style>
  <w:style w:type="character" w:customStyle="1" w:styleId="text1">
    <w:name w:val="text1"/>
    <w:basedOn w:val="af5"/>
    <w:semiHidden/>
    <w:qFormat/>
  </w:style>
  <w:style w:type="paragraph" w:customStyle="1" w:styleId="150">
    <w:name w:val="样式 宋体 小四 左 行距: 1.5 倍行距"/>
    <w:basedOn w:val="af3"/>
    <w:semiHidden/>
    <w:qFormat/>
    <w:pPr>
      <w:spacing w:line="360" w:lineRule="auto"/>
      <w:jc w:val="left"/>
    </w:pPr>
    <w:rPr>
      <w:rFonts w:ascii="宋体" w:hAnsi="宋体" w:cs="宋体"/>
      <w:b/>
      <w:bCs/>
      <w:snapToGrid w:val="0"/>
      <w:sz w:val="24"/>
      <w:szCs w:val="20"/>
    </w:rPr>
  </w:style>
  <w:style w:type="paragraph" w:customStyle="1" w:styleId="212">
    <w:name w:val="21"/>
    <w:basedOn w:val="af3"/>
    <w:next w:val="af3"/>
    <w:semiHidden/>
    <w:qFormat/>
    <w:rPr>
      <w:sz w:val="24"/>
      <w:szCs w:val="20"/>
    </w:rPr>
  </w:style>
  <w:style w:type="paragraph" w:customStyle="1" w:styleId="151">
    <w:name w:val="样式 宋体 小四 行距: 1.5 倍行距"/>
    <w:basedOn w:val="af3"/>
    <w:semiHidden/>
    <w:qFormat/>
    <w:pPr>
      <w:spacing w:line="360" w:lineRule="auto"/>
      <w:ind w:firstLineChars="200" w:firstLine="420"/>
    </w:pPr>
    <w:rPr>
      <w:rFonts w:hAnsi="宋体"/>
      <w:snapToGrid w:val="0"/>
      <w:color w:val="000000"/>
      <w:szCs w:val="21"/>
    </w:rPr>
  </w:style>
  <w:style w:type="paragraph" w:customStyle="1" w:styleId="TableText">
    <w:name w:val="Table Text"/>
    <w:basedOn w:val="af3"/>
    <w:semiHidden/>
    <w:qFormat/>
    <w:pPr>
      <w:autoSpaceDE w:val="0"/>
      <w:autoSpaceDN w:val="0"/>
      <w:adjustRightInd w:val="0"/>
      <w:spacing w:line="320" w:lineRule="atLeast"/>
      <w:jc w:val="center"/>
      <w:textAlignment w:val="baseline"/>
    </w:pPr>
    <w:rPr>
      <w:kern w:val="0"/>
      <w:szCs w:val="20"/>
    </w:rPr>
  </w:style>
  <w:style w:type="paragraph" w:customStyle="1" w:styleId="Figure">
    <w:name w:val="Figure"/>
    <w:basedOn w:val="af3"/>
    <w:link w:val="FigureChar"/>
    <w:semiHidden/>
    <w:qFormat/>
    <w:pPr>
      <w:autoSpaceDE w:val="0"/>
      <w:autoSpaceDN w:val="0"/>
      <w:adjustRightInd w:val="0"/>
      <w:spacing w:after="120" w:line="330" w:lineRule="atLeast"/>
      <w:jc w:val="center"/>
      <w:textAlignment w:val="baseline"/>
    </w:pPr>
    <w:rPr>
      <w:rFonts w:eastAsia="黑体"/>
      <w:kern w:val="0"/>
      <w:szCs w:val="20"/>
    </w:rPr>
  </w:style>
  <w:style w:type="character" w:customStyle="1" w:styleId="FigureChar">
    <w:name w:val="Figure Char"/>
    <w:link w:val="Figure"/>
    <w:semiHidden/>
    <w:qFormat/>
    <w:rPr>
      <w:rFonts w:ascii="Times New Roman" w:eastAsia="黑体" w:hAnsi="Times New Roman"/>
      <w:sz w:val="21"/>
    </w:rPr>
  </w:style>
  <w:style w:type="paragraph" w:customStyle="1" w:styleId="affffffffff">
    <w:name w:val="表格文字"/>
    <w:basedOn w:val="af3"/>
    <w:link w:val="Charf3"/>
    <w:qFormat/>
    <w:pPr>
      <w:adjustRightInd w:val="0"/>
      <w:snapToGrid w:val="0"/>
      <w:ind w:leftChars="-38" w:left="-106" w:rightChars="-33" w:right="-92"/>
    </w:pPr>
    <w:rPr>
      <w:szCs w:val="20"/>
    </w:rPr>
  </w:style>
  <w:style w:type="paragraph" w:customStyle="1" w:styleId="affffffffff0">
    <w:name w:val="图表名称"/>
    <w:basedOn w:val="af3"/>
    <w:semiHidden/>
    <w:qFormat/>
    <w:pPr>
      <w:spacing w:line="360" w:lineRule="auto"/>
      <w:ind w:firstLineChars="200" w:firstLine="480"/>
    </w:pPr>
    <w:rPr>
      <w:rFonts w:hAnsi="宋体"/>
      <w:sz w:val="24"/>
    </w:rPr>
  </w:style>
  <w:style w:type="paragraph" w:customStyle="1" w:styleId="affffffffff1">
    <w:name w:val="表内文字"/>
    <w:basedOn w:val="af3"/>
    <w:qFormat/>
    <w:pPr>
      <w:spacing w:line="360" w:lineRule="auto"/>
      <w:ind w:firstLineChars="200" w:firstLine="480"/>
    </w:pPr>
    <w:rPr>
      <w:rFonts w:hAnsi="宋体"/>
      <w:sz w:val="24"/>
    </w:rPr>
  </w:style>
  <w:style w:type="paragraph" w:customStyle="1" w:styleId="Char20">
    <w:name w:val="Char2"/>
    <w:basedOn w:val="af3"/>
    <w:qFormat/>
  </w:style>
  <w:style w:type="paragraph" w:customStyle="1" w:styleId="Char11">
    <w:name w:val="Char11"/>
    <w:basedOn w:val="af3"/>
    <w:qFormat/>
  </w:style>
  <w:style w:type="character" w:customStyle="1" w:styleId="afa">
    <w:name w:val="注释标题 字符"/>
    <w:basedOn w:val="af5"/>
    <w:link w:val="af9"/>
    <w:qFormat/>
    <w:rPr>
      <w:rFonts w:ascii="宋体" w:hAnsi="Times New Roman"/>
      <w:kern w:val="2"/>
      <w:sz w:val="21"/>
    </w:rPr>
  </w:style>
  <w:style w:type="paragraph" w:customStyle="1" w:styleId="BIGBOLD">
    <w:name w:val="BIG BOLD"/>
    <w:basedOn w:val="af3"/>
    <w:qFormat/>
    <w:pPr>
      <w:tabs>
        <w:tab w:val="left" w:leader="underscore" w:pos="1134"/>
      </w:tabs>
    </w:pPr>
    <w:rPr>
      <w:szCs w:val="20"/>
    </w:rPr>
  </w:style>
  <w:style w:type="character" w:customStyle="1" w:styleId="hong1">
    <w:name w:val="hong1"/>
    <w:qFormat/>
    <w:rPr>
      <w:color w:val="CC0000"/>
      <w:sz w:val="18"/>
      <w:szCs w:val="18"/>
      <w:u w:val="none"/>
    </w:rPr>
  </w:style>
  <w:style w:type="character" w:customStyle="1" w:styleId="scjy1">
    <w:name w:val="scjy1"/>
    <w:qFormat/>
    <w:rPr>
      <w:color w:val="413F3A"/>
      <w:sz w:val="18"/>
      <w:szCs w:val="18"/>
    </w:rPr>
  </w:style>
  <w:style w:type="character" w:customStyle="1" w:styleId="style81">
    <w:name w:val="style81"/>
    <w:qFormat/>
    <w:rPr>
      <w:color w:val="555555"/>
    </w:rPr>
  </w:style>
  <w:style w:type="character" w:customStyle="1" w:styleId="style51">
    <w:name w:val="style51"/>
    <w:qFormat/>
    <w:rPr>
      <w:color w:val="0000FF"/>
    </w:rPr>
  </w:style>
  <w:style w:type="paragraph" w:customStyle="1" w:styleId="CharCharCharChar2">
    <w:name w:val="Char Char Char Char2"/>
    <w:basedOn w:val="af3"/>
    <w:qFormat/>
  </w:style>
  <w:style w:type="character" w:customStyle="1" w:styleId="grame">
    <w:name w:val="grame"/>
    <w:basedOn w:val="af5"/>
    <w:qFormat/>
  </w:style>
  <w:style w:type="paragraph" w:customStyle="1" w:styleId="affffffffff2">
    <w:name w:val="报告正文"/>
    <w:basedOn w:val="af3"/>
    <w:qFormat/>
    <w:pPr>
      <w:spacing w:line="360" w:lineRule="auto"/>
      <w:ind w:firstLineChars="200" w:firstLine="200"/>
    </w:pPr>
    <w:rPr>
      <w:sz w:val="24"/>
    </w:rPr>
  </w:style>
  <w:style w:type="paragraph" w:customStyle="1" w:styleId="1e">
    <w:name w:val="样式 样式 标题 1 + 黑体 三号 + 自动设置"/>
    <w:basedOn w:val="af3"/>
    <w:next w:val="affffffffff2"/>
    <w:link w:val="1Char1"/>
    <w:qFormat/>
    <w:pPr>
      <w:keepNext/>
      <w:keepLines/>
      <w:spacing w:beforeLines="200" w:afterLines="100" w:line="360" w:lineRule="auto"/>
      <w:jc w:val="center"/>
      <w:outlineLvl w:val="0"/>
    </w:pPr>
    <w:rPr>
      <w:rFonts w:ascii="黑体" w:eastAsia="黑体" w:hAnsi="黑体"/>
      <w:b/>
      <w:bCs/>
      <w:kern w:val="44"/>
      <w:sz w:val="36"/>
      <w:szCs w:val="36"/>
    </w:rPr>
  </w:style>
  <w:style w:type="character" w:customStyle="1" w:styleId="1Char1">
    <w:name w:val="样式 样式 标题 1 + 黑体 三号 + 自动设置 Char"/>
    <w:link w:val="1e"/>
    <w:qFormat/>
    <w:rPr>
      <w:rFonts w:ascii="黑体" w:eastAsia="黑体" w:hAnsi="黑体"/>
      <w:b/>
      <w:bCs/>
      <w:kern w:val="44"/>
      <w:sz w:val="36"/>
      <w:szCs w:val="36"/>
    </w:rPr>
  </w:style>
  <w:style w:type="paragraph" w:customStyle="1" w:styleId="affffffffff3">
    <w:name w:val="小节标题"/>
    <w:basedOn w:val="af3"/>
    <w:next w:val="af3"/>
    <w:qFormat/>
    <w:pPr>
      <w:widowControl/>
      <w:spacing w:before="175" w:after="102" w:line="351" w:lineRule="atLeast"/>
      <w:textAlignment w:val="baseline"/>
    </w:pPr>
    <w:rPr>
      <w:rFonts w:eastAsia="黑体"/>
      <w:color w:val="000000"/>
      <w:kern w:val="0"/>
      <w:szCs w:val="20"/>
      <w:u w:color="000000"/>
    </w:rPr>
  </w:style>
  <w:style w:type="character" w:customStyle="1" w:styleId="CharChar31">
    <w:name w:val="Char Char31"/>
    <w:qFormat/>
    <w:rPr>
      <w:rFonts w:eastAsia="宋体"/>
      <w:b/>
      <w:bCs/>
      <w:kern w:val="2"/>
      <w:sz w:val="28"/>
      <w:szCs w:val="28"/>
      <w:lang w:val="en-US" w:eastAsia="zh-CN" w:bidi="ar-SA"/>
    </w:rPr>
  </w:style>
  <w:style w:type="paragraph" w:customStyle="1" w:styleId="affffffffff4">
    <w:name w:val="正文+首行缩进"/>
    <w:basedOn w:val="af3"/>
    <w:link w:val="Charf4"/>
    <w:qFormat/>
    <w:pPr>
      <w:spacing w:line="360" w:lineRule="auto"/>
      <w:ind w:firstLineChars="200" w:firstLine="480"/>
    </w:pPr>
    <w:rPr>
      <w:rFonts w:ascii="宋体" w:hAnsi="宋体"/>
      <w:sz w:val="24"/>
      <w:szCs w:val="22"/>
    </w:rPr>
  </w:style>
  <w:style w:type="character" w:customStyle="1" w:styleId="Charf4">
    <w:name w:val="正文+首行缩进 Char"/>
    <w:link w:val="affffffffff4"/>
    <w:qFormat/>
    <w:rPr>
      <w:rFonts w:ascii="宋体" w:hAnsi="宋体"/>
      <w:kern w:val="2"/>
      <w:sz w:val="24"/>
      <w:szCs w:val="22"/>
    </w:rPr>
  </w:style>
  <w:style w:type="paragraph" w:customStyle="1" w:styleId="nlw5">
    <w:name w:val="nlw前言"/>
    <w:basedOn w:val="nlw10"/>
    <w:qFormat/>
    <w:pPr>
      <w:spacing w:before="50" w:after="50"/>
      <w:outlineLvl w:val="9"/>
    </w:pPr>
    <w:rPr>
      <w:rFonts w:eastAsia="宋体"/>
      <w:b/>
      <w:sz w:val="30"/>
    </w:rPr>
  </w:style>
  <w:style w:type="paragraph" w:customStyle="1" w:styleId="nlw6">
    <w:name w:val="nlw前言内容"/>
    <w:basedOn w:val="nlw1"/>
    <w:qFormat/>
    <w:pPr>
      <w:ind w:firstLine="200"/>
    </w:pPr>
  </w:style>
  <w:style w:type="paragraph" w:customStyle="1" w:styleId="CharCharCharChar1">
    <w:name w:val="Char Char Char Char1"/>
    <w:basedOn w:val="af3"/>
    <w:qFormat/>
  </w:style>
  <w:style w:type="paragraph" w:customStyle="1" w:styleId="affffffffff5">
    <w:name w:val="图内容"/>
    <w:qFormat/>
    <w:pPr>
      <w:widowControl w:val="0"/>
      <w:adjustRightInd w:val="0"/>
      <w:jc w:val="center"/>
      <w:textAlignment w:val="baseline"/>
    </w:pPr>
    <w:rPr>
      <w:rFonts w:eastAsia="仿宋体"/>
      <w:sz w:val="24"/>
      <w:szCs w:val="24"/>
    </w:rPr>
  </w:style>
  <w:style w:type="character" w:customStyle="1" w:styleId="1Char0">
    <w:name w:val="样式1 Char"/>
    <w:link w:val="18"/>
    <w:qFormat/>
    <w:rPr>
      <w:rFonts w:ascii="Times New Roman" w:hAnsi="Times New Roman"/>
      <w:kern w:val="2"/>
      <w:sz w:val="18"/>
      <w:szCs w:val="18"/>
    </w:rPr>
  </w:style>
  <w:style w:type="character" w:customStyle="1" w:styleId="afffff7">
    <w:name w:val="列表段落 字符"/>
    <w:link w:val="afffff6"/>
    <w:uiPriority w:val="34"/>
    <w:qFormat/>
    <w:rPr>
      <w:kern w:val="2"/>
      <w:sz w:val="21"/>
      <w:szCs w:val="22"/>
    </w:rPr>
  </w:style>
  <w:style w:type="character" w:customStyle="1" w:styleId="afd">
    <w:name w:val="题注 字符"/>
    <w:basedOn w:val="af5"/>
    <w:link w:val="afc"/>
    <w:uiPriority w:val="35"/>
    <w:qFormat/>
    <w:rPr>
      <w:rFonts w:ascii="Times New Roman" w:hAnsi="Times New Roman"/>
      <w:bCs/>
      <w:sz w:val="28"/>
    </w:rPr>
  </w:style>
  <w:style w:type="character" w:customStyle="1" w:styleId="Charf3">
    <w:name w:val="表格文字 Char"/>
    <w:link w:val="affffffffff"/>
    <w:qFormat/>
    <w:rPr>
      <w:rFonts w:ascii="Times New Roman" w:hAnsi="Times New Roman"/>
      <w:kern w:val="2"/>
      <w:sz w:val="21"/>
    </w:rPr>
  </w:style>
  <w:style w:type="paragraph" w:customStyle="1" w:styleId="1f">
    <w:name w:val="图表目录1"/>
    <w:basedOn w:val="af3"/>
    <w:next w:val="af3"/>
    <w:qFormat/>
    <w:pPr>
      <w:widowControl/>
      <w:overflowPunct w:val="0"/>
      <w:autoSpaceDE w:val="0"/>
      <w:autoSpaceDN w:val="0"/>
      <w:adjustRightInd w:val="0"/>
      <w:ind w:leftChars="200" w:left="200" w:hangingChars="200" w:hanging="200"/>
      <w:jc w:val="left"/>
      <w:textAlignment w:val="baseline"/>
    </w:pPr>
    <w:rPr>
      <w:kern w:val="0"/>
      <w:sz w:val="20"/>
      <w:szCs w:val="20"/>
    </w:rPr>
  </w:style>
  <w:style w:type="paragraph" w:customStyle="1" w:styleId="xl77">
    <w:name w:val="xl77"/>
    <w:basedOn w:val="af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85">
    <w:name w:val="xl85"/>
    <w:basedOn w:val="af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新宋体" w:eastAsia="新宋体" w:hAnsi="新宋体" w:cs="宋体"/>
      <w:color w:val="FF0000"/>
      <w:kern w:val="0"/>
      <w:sz w:val="18"/>
      <w:szCs w:val="18"/>
    </w:rPr>
  </w:style>
  <w:style w:type="paragraph" w:customStyle="1" w:styleId="affffffffff6">
    <w:name w:val="表格正文"/>
    <w:basedOn w:val="af3"/>
    <w:next w:val="af3"/>
    <w:qFormat/>
    <w:pPr>
      <w:tabs>
        <w:tab w:val="left" w:pos="7405"/>
      </w:tabs>
      <w:overflowPunct w:val="0"/>
      <w:autoSpaceDE w:val="0"/>
      <w:autoSpaceDN w:val="0"/>
      <w:adjustRightInd w:val="0"/>
      <w:snapToGrid w:val="0"/>
      <w:spacing w:line="520" w:lineRule="exact"/>
      <w:jc w:val="center"/>
      <w:textAlignment w:val="baseline"/>
    </w:pPr>
    <w:rPr>
      <w:rFonts w:ascii="Calibri" w:hAnsi="Calibri"/>
      <w:kern w:val="0"/>
      <w:sz w:val="24"/>
    </w:rPr>
  </w:style>
  <w:style w:type="paragraph" w:customStyle="1" w:styleId="msonormal0">
    <w:name w:val="msonormal"/>
    <w:basedOn w:val="af3"/>
    <w:qFormat/>
    <w:pPr>
      <w:widowControl/>
      <w:spacing w:before="100" w:beforeAutospacing="1" w:after="100" w:afterAutospacing="1"/>
      <w:jc w:val="left"/>
    </w:pPr>
    <w:rPr>
      <w:rFonts w:ascii="宋体" w:hAnsi="宋体" w:cs="宋体"/>
      <w:kern w:val="0"/>
      <w:sz w:val="24"/>
    </w:rPr>
  </w:style>
  <w:style w:type="paragraph" w:customStyle="1" w:styleId="font6">
    <w:name w:val="font6"/>
    <w:basedOn w:val="af3"/>
    <w:qFormat/>
    <w:pPr>
      <w:widowControl/>
      <w:spacing w:before="100" w:beforeAutospacing="1" w:after="100" w:afterAutospacing="1"/>
      <w:jc w:val="left"/>
    </w:pPr>
    <w:rPr>
      <w:rFonts w:ascii="宋体" w:hAnsi="宋体" w:cs="宋体"/>
      <w:kern w:val="0"/>
      <w:sz w:val="20"/>
      <w:szCs w:val="20"/>
    </w:rPr>
  </w:style>
  <w:style w:type="paragraph" w:customStyle="1" w:styleId="xl194">
    <w:name w:val="xl194"/>
    <w:basedOn w:val="af3"/>
    <w:qFormat/>
    <w:pPr>
      <w:widowControl/>
      <w:spacing w:before="100" w:beforeAutospacing="1" w:after="100" w:afterAutospacing="1"/>
      <w:jc w:val="left"/>
    </w:pPr>
    <w:rPr>
      <w:rFonts w:ascii="宋体" w:hAnsi="宋体" w:cs="宋体"/>
      <w:color w:val="FF0000"/>
      <w:kern w:val="0"/>
      <w:sz w:val="24"/>
    </w:rPr>
  </w:style>
  <w:style w:type="paragraph" w:customStyle="1" w:styleId="xl195">
    <w:name w:val="xl195"/>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96">
    <w:name w:val="xl196"/>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97">
    <w:name w:val="xl197"/>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98">
    <w:name w:val="xl198"/>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99">
    <w:name w:val="xl199"/>
    <w:basedOn w:val="af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bottom"/>
    </w:pPr>
    <w:rPr>
      <w:rFonts w:ascii="宋体" w:hAnsi="宋体" w:cs="宋体"/>
      <w:kern w:val="0"/>
      <w:sz w:val="20"/>
      <w:szCs w:val="20"/>
    </w:rPr>
  </w:style>
  <w:style w:type="paragraph" w:customStyle="1" w:styleId="xl200">
    <w:name w:val="xl200"/>
    <w:basedOn w:val="af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character" w:customStyle="1" w:styleId="Charf5">
    <w:name w:val="页眉 Char"/>
    <w:basedOn w:val="af5"/>
    <w:qFormat/>
    <w:rPr>
      <w:kern w:val="2"/>
      <w:sz w:val="18"/>
      <w:szCs w:val="18"/>
    </w:rPr>
  </w:style>
  <w:style w:type="character" w:customStyle="1" w:styleId="Charf6">
    <w:name w:val="页脚 Char"/>
    <w:basedOn w:val="af5"/>
    <w:qFormat/>
    <w:rPr>
      <w:kern w:val="2"/>
      <w:sz w:val="18"/>
      <w:szCs w:val="18"/>
    </w:rPr>
  </w:style>
  <w:style w:type="paragraph" w:customStyle="1" w:styleId="Char30">
    <w:name w:val="Char3"/>
    <w:basedOn w:val="af3"/>
    <w:qFormat/>
    <w:pPr>
      <w:widowControl/>
      <w:spacing w:after="160" w:line="240" w:lineRule="exact"/>
      <w:jc w:val="left"/>
    </w:pPr>
    <w:rPr>
      <w:szCs w:val="20"/>
    </w:rPr>
  </w:style>
  <w:style w:type="paragraph" w:customStyle="1" w:styleId="li">
    <w:name w:val="li_正文"/>
    <w:basedOn w:val="af3"/>
    <w:qFormat/>
    <w:pPr>
      <w:topLinePunct/>
      <w:adjustRightInd w:val="0"/>
      <w:snapToGrid w:val="0"/>
      <w:spacing w:line="360" w:lineRule="auto"/>
      <w:ind w:firstLineChars="250" w:firstLine="700"/>
    </w:pPr>
    <w:rPr>
      <w:rFonts w:ascii="宋体" w:hAnsi="宋体"/>
      <w:sz w:val="28"/>
      <w:szCs w:val="28"/>
    </w:rPr>
  </w:style>
  <w:style w:type="paragraph" w:customStyle="1" w:styleId="affffffffff7">
    <w:name w:val="内容正文"/>
    <w:basedOn w:val="46"/>
    <w:qFormat/>
    <w:pPr>
      <w:ind w:firstLineChars="200" w:firstLine="200"/>
      <w:outlineLvl w:val="9"/>
    </w:pPr>
  </w:style>
  <w:style w:type="paragraph" w:customStyle="1" w:styleId="46">
    <w:name w:val="标4"/>
    <w:basedOn w:val="3SLCON"/>
    <w:qFormat/>
    <w:pPr>
      <w:keepNext w:val="0"/>
      <w:keepLines w:val="0"/>
      <w:widowControl w:val="0"/>
      <w:spacing w:beforeLines="0" w:before="0" w:afterLines="0" w:after="0"/>
      <w:outlineLvl w:val="3"/>
    </w:pPr>
    <w:rPr>
      <w:b w:val="0"/>
    </w:rPr>
  </w:style>
  <w:style w:type="paragraph" w:customStyle="1" w:styleId="3SLCON">
    <w:name w:val="标题 3 SL CON"/>
    <w:basedOn w:val="af3"/>
    <w:next w:val="af3"/>
    <w:qFormat/>
    <w:pPr>
      <w:keepNext/>
      <w:keepLines/>
      <w:widowControl/>
      <w:tabs>
        <w:tab w:val="left" w:pos="377"/>
        <w:tab w:val="left" w:pos="960"/>
        <w:tab w:val="left" w:pos="1036"/>
      </w:tabs>
      <w:spacing w:beforeLines="50" w:before="50" w:afterLines="50" w:after="50" w:line="360" w:lineRule="auto"/>
      <w:outlineLvl w:val="2"/>
    </w:pPr>
    <w:rPr>
      <w:rFonts w:cs="宋体"/>
      <w:b/>
      <w:kern w:val="0"/>
      <w:sz w:val="28"/>
      <w:szCs w:val="20"/>
    </w:rPr>
  </w:style>
  <w:style w:type="paragraph" w:customStyle="1" w:styleId="3e">
    <w:name w:val="标3"/>
    <w:basedOn w:val="3"/>
    <w:qFormat/>
    <w:pPr>
      <w:keepNext w:val="0"/>
      <w:keepLines w:val="0"/>
      <w:spacing w:before="0" w:after="0" w:line="360" w:lineRule="auto"/>
    </w:pPr>
    <w:rPr>
      <w:sz w:val="28"/>
    </w:rPr>
  </w:style>
  <w:style w:type="paragraph" w:customStyle="1" w:styleId="2f4">
    <w:name w:val="标2"/>
    <w:basedOn w:val="2"/>
    <w:qFormat/>
    <w:pPr>
      <w:keepNext w:val="0"/>
      <w:keepLines w:val="0"/>
      <w:spacing w:before="0" w:after="0" w:line="360" w:lineRule="auto"/>
    </w:pPr>
    <w:rPr>
      <w:rFonts w:ascii="Times New Roman" w:eastAsia="宋体" w:hAnsi="Times New Roman"/>
      <w:sz w:val="30"/>
    </w:rPr>
  </w:style>
  <w:style w:type="paragraph" w:customStyle="1" w:styleId="affffffffff8">
    <w:name w:val="页眉页脚"/>
    <w:basedOn w:val="afff"/>
    <w:qFormat/>
    <w:pPr>
      <w:pBdr>
        <w:top w:val="single" w:sz="4" w:space="1" w:color="auto"/>
      </w:pBdr>
    </w:pPr>
    <w:rPr>
      <w:rFonts w:eastAsia="楷体_GB2312"/>
      <w:sz w:val="21"/>
      <w:szCs w:val="21"/>
    </w:rPr>
  </w:style>
  <w:style w:type="paragraph" w:customStyle="1" w:styleId="affffffffff9">
    <w:name w:val="+正文"/>
    <w:basedOn w:val="af3"/>
    <w:qFormat/>
    <w:pPr>
      <w:spacing w:beforeLines="50"/>
      <w:ind w:firstLine="560"/>
      <w:jc w:val="left"/>
    </w:pPr>
    <w:rPr>
      <w:sz w:val="28"/>
      <w:szCs w:val="28"/>
    </w:rPr>
  </w:style>
  <w:style w:type="paragraph" w:customStyle="1" w:styleId="af1">
    <w:name w:val="标准文件_字母编号列项（一级）"/>
    <w:qFormat/>
    <w:pPr>
      <w:numPr>
        <w:numId w:val="11"/>
      </w:numPr>
      <w:jc w:val="both"/>
    </w:pPr>
    <w:rPr>
      <w:rFonts w:ascii="宋体"/>
      <w:sz w:val="21"/>
    </w:rPr>
  </w:style>
  <w:style w:type="character" w:customStyle="1" w:styleId="font31">
    <w:name w:val="font31"/>
    <w:basedOn w:val="af5"/>
    <w:qFormat/>
    <w:rPr>
      <w:rFonts w:ascii="微软雅黑" w:eastAsia="微软雅黑" w:hAnsi="微软雅黑" w:cs="微软雅黑" w:hint="eastAsia"/>
      <w:color w:val="000000"/>
      <w:sz w:val="20"/>
      <w:szCs w:val="20"/>
      <w:u w:val="none"/>
    </w:rPr>
  </w:style>
  <w:style w:type="character" w:customStyle="1" w:styleId="font21">
    <w:name w:val="font21"/>
    <w:basedOn w:val="af5"/>
    <w:qFormat/>
    <w:rPr>
      <w:rFonts w:ascii="宋体" w:eastAsia="宋体" w:hAnsi="宋体" w:cs="宋体" w:hint="eastAsia"/>
      <w:color w:val="2F75B5"/>
      <w:sz w:val="20"/>
      <w:szCs w:val="20"/>
      <w:u w:val="none"/>
    </w:rPr>
  </w:style>
  <w:style w:type="character" w:customStyle="1" w:styleId="font41">
    <w:name w:val="font41"/>
    <w:basedOn w:val="af5"/>
    <w:qFormat/>
    <w:rPr>
      <w:rFonts w:ascii="Arial" w:hAnsi="Arial" w:cs="Arial"/>
      <w:color w:val="2F75B5"/>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aike.baidu.com/item/%E4%B8%AD%E5%8D%8E%E4%BA%BA%E6%B0%91%E5%85%B1%E5%92%8C%E5%9B%BD%E9%81%93%E8%B7%AF%E4%BA%A4%E9%80%9A%E5%AE%89%E5%85%A8%E6%B3%95/149277" TargetMode="External"/><Relationship Id="rId18" Type="http://schemas.openxmlformats.org/officeDocument/2006/relationships/image" Target="media/image3.jpeg"/><Relationship Id="rId26" Type="http://schemas.openxmlformats.org/officeDocument/2006/relationships/hyperlink" Target="https://baike.baidu.com/item/%E4%B8%9A%E5%8A%A1%E4%B8%BB%E7%AE%A1%E9%83%A8%E9%97%A8" TargetMode="External"/><Relationship Id="rId39"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5.png"/><Relationship Id="rId34" Type="http://schemas.openxmlformats.org/officeDocument/2006/relationships/image" Target="media/image12.jpeg"/><Relationship Id="rId7" Type="http://schemas.openxmlformats.org/officeDocument/2006/relationships/footnotes" Target="footnotes.xml"/><Relationship Id="rId12" Type="http://schemas.openxmlformats.org/officeDocument/2006/relationships/hyperlink" Target="https://baike.baidu.com/item/%E7%AC%AC%E5%8D%81%E4%B8%89%E5%B1%8A%E5%85%A8%E5%9B%BD%E4%BA%BA%E6%B0%91%E4%BB%A3%E8%A1%A8%E5%A4%A7%E4%BC%9A%E5%B8%B8%E5%8A%A1%E5%A7%94%E5%91%98%E4%BC%9A/22439522" TargetMode="External"/><Relationship Id="rId17" Type="http://schemas.openxmlformats.org/officeDocument/2006/relationships/image" Target="media/image2.jpeg"/><Relationship Id="rId25" Type="http://schemas.openxmlformats.org/officeDocument/2006/relationships/hyperlink" Target="https://baike.baidu.com/item/%E5%AE%89%E5%85%A8%E7%94%9F%E4%BA%A7%E8%B4%B9%E7%94%A8" TargetMode="External"/><Relationship Id="rId33" Type="http://schemas.openxmlformats.org/officeDocument/2006/relationships/image" Target="media/image11.jpe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footer" Target="footer2.xml"/><Relationship Id="rId29"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ike.baidu.com/item/%E7%AC%AC%E5%85%AB%E5%B1%8A%E5%85%A8%E5%9B%BD%E4%BA%BA%E6%B0%91%E4%BB%A3%E8%A1%A8%E5%A4%A7%E4%BC%9A%E5%B8%B8%E5%8A%A1%E5%A7%94%E5%91%98%E4%BC%9A/10230165" TargetMode="External"/><Relationship Id="rId24" Type="http://schemas.openxmlformats.org/officeDocument/2006/relationships/hyperlink" Target="https://baike.baidu.com/item/%E5%AE%89%E5%85%A8%E7%94%9F%E4%BA%A7%E5%A5%96%E6%83%A9%E5%88%B6%E5%BA%A6" TargetMode="External"/><Relationship Id="rId32" Type="http://schemas.openxmlformats.org/officeDocument/2006/relationships/image" Target="media/image10.jpeg"/><Relationship Id="rId37" Type="http://schemas.openxmlformats.org/officeDocument/2006/relationships/image" Target="media/image15.jpeg"/><Relationship Id="rId5" Type="http://schemas.openxmlformats.org/officeDocument/2006/relationships/settings" Target="settings.xml"/><Relationship Id="rId15" Type="http://schemas.openxmlformats.org/officeDocument/2006/relationships/hyperlink" Target="http://www.jianbiaoku.com/webarbs/book/65390/2934134.shtml" TargetMode="External"/><Relationship Id="rId23" Type="http://schemas.openxmlformats.org/officeDocument/2006/relationships/hyperlink" Target="https://baike.baidu.com/item/%E5%AE%89%E5%85%A8%E7%94%9F%E4%BA%A7%E8%B4%A3%E4%BB%BB%E5%88%B6" TargetMode="External"/><Relationship Id="rId28" Type="http://schemas.openxmlformats.org/officeDocument/2006/relationships/image" Target="media/image6.jpeg"/><Relationship Id="rId36" Type="http://schemas.openxmlformats.org/officeDocument/2006/relationships/image" Target="media/image14.jpeg"/><Relationship Id="rId10" Type="http://schemas.openxmlformats.org/officeDocument/2006/relationships/footer" Target="footer1.xml"/><Relationship Id="rId19" Type="http://schemas.openxmlformats.org/officeDocument/2006/relationships/image" Target="media/image4.png"/><Relationship Id="rId31" Type="http://schemas.openxmlformats.org/officeDocument/2006/relationships/image" Target="media/image9.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s://baike.baidu.com/item/%E5%85%A8%E5%9B%BD%E4%BA%BA%E6%B0%91%E4%BB%A3%E8%A1%A8%E5%A4%A7%E4%BC%9A/117422" TargetMode="External"/><Relationship Id="rId22" Type="http://schemas.openxmlformats.org/officeDocument/2006/relationships/hyperlink" Target="https://baike.baidu.com/item/%E5%AE%89%E5%85%A8%E7%94%9F%E4%BA%A7%E7%AE%A1%E7%90%86" TargetMode="External"/><Relationship Id="rId27" Type="http://schemas.openxmlformats.org/officeDocument/2006/relationships/hyperlink" Target="https://baike.baidu.com/item/%E5%8A%B3%E5%8A%A8%E9%98%B2%E6%8A%A4%E7%94%A8%E5%93%81" TargetMode="External"/><Relationship Id="rId30" Type="http://schemas.openxmlformats.org/officeDocument/2006/relationships/image" Target="media/image8.jpeg"/><Relationship Id="rId35" Type="http://schemas.openxmlformats.org/officeDocument/2006/relationships/image" Target="media/image13.jpeg"/></Relationships>
</file>

<file path=word/_rels/settings.xml.rels><?xml version="1.0" encoding="UTF-8" standalone="yes"?>
<Relationships xmlns="http://schemas.openxmlformats.org/package/2006/relationships"><Relationship Id="rId1" Type="http://schemas.openxmlformats.org/officeDocument/2006/relationships/attachedTemplate" Target="file:///E:\&#24120;&#29992;\&#23433;&#35780;&#25253;&#21578;&#65288;&#27169;&#26495;&#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602E7432-AFCE-463F-AE06-BF71EACB4F7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安评报告（模板）.dotx</Template>
  <TotalTime>8</TotalTime>
  <Pages>1</Pages>
  <Words>14010</Words>
  <Characters>79858</Characters>
  <Application>Microsoft Office Word</Application>
  <DocSecurity>0</DocSecurity>
  <Lines>665</Lines>
  <Paragraphs>187</Paragraphs>
  <ScaleCrop>false</ScaleCrop>
  <Company>Sinopec</Company>
  <LinksUpToDate>false</LinksUpToDate>
  <CharactersWithSpaces>93681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dq</cp:lastModifiedBy>
  <cp:revision>37</cp:revision>
  <cp:lastPrinted>2023-07-13T07:40:00Z</cp:lastPrinted>
  <dcterms:created xsi:type="dcterms:W3CDTF">2020-11-07T15:53:00Z</dcterms:created>
  <dcterms:modified xsi:type="dcterms:W3CDTF">2023-09-06T00:28:00Z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00517D87FE3D4448BE3DAB1089C5DA85</vt:lpwstr>
  </property>
</Properties>
</file>