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0DC784" w14:textId="77777777" w:rsidR="002E0859" w:rsidRDefault="00000000">
      <w:pPr>
        <w:ind w:firstLineChars="0" w:firstLine="0"/>
        <w:rPr>
          <w:b/>
          <w:color w:val="000000" w:themeColor="text1"/>
          <w:sz w:val="44"/>
          <w:szCs w:val="44"/>
        </w:rPr>
      </w:pPr>
      <w:r>
        <w:rPr>
          <w:rFonts w:hint="eastAsia"/>
          <w:b/>
          <w:color w:val="000000" w:themeColor="text1"/>
          <w:sz w:val="24"/>
          <w:szCs w:val="24"/>
        </w:rPr>
        <w:t>报告编号：</w:t>
      </w:r>
      <w:r>
        <w:rPr>
          <w:rFonts w:hint="eastAsia"/>
          <w:b/>
          <w:color w:val="000000" w:themeColor="text1"/>
          <w:sz w:val="24"/>
          <w:szCs w:val="24"/>
        </w:rPr>
        <w:t>SH-2024-SY-YPJ-0302</w:t>
      </w:r>
    </w:p>
    <w:p w14:paraId="25ABE0A8" w14:textId="77777777" w:rsidR="002E0859" w:rsidRDefault="002E0859">
      <w:pPr>
        <w:ind w:firstLineChars="0" w:firstLine="0"/>
        <w:rPr>
          <w:b/>
          <w:color w:val="000000" w:themeColor="text1"/>
          <w:sz w:val="44"/>
          <w:szCs w:val="44"/>
        </w:rPr>
      </w:pPr>
    </w:p>
    <w:p w14:paraId="4DD64E5E" w14:textId="77777777" w:rsidR="002E0859" w:rsidRDefault="002E0859">
      <w:pPr>
        <w:ind w:firstLineChars="0" w:firstLine="0"/>
        <w:rPr>
          <w:b/>
          <w:color w:val="000000" w:themeColor="text1"/>
          <w:sz w:val="44"/>
          <w:szCs w:val="44"/>
        </w:rPr>
      </w:pPr>
    </w:p>
    <w:p w14:paraId="318954F9" w14:textId="77777777" w:rsidR="002E0859" w:rsidRDefault="00000000">
      <w:pPr>
        <w:spacing w:line="360" w:lineRule="auto"/>
        <w:ind w:firstLineChars="0" w:firstLine="0"/>
        <w:jc w:val="center"/>
        <w:rPr>
          <w:color w:val="000000" w:themeColor="text1"/>
        </w:rPr>
      </w:pPr>
      <w:bookmarkStart w:id="0" w:name="_Toc1064"/>
      <w:r>
        <w:rPr>
          <w:b/>
          <w:color w:val="000000" w:themeColor="text1"/>
          <w:sz w:val="44"/>
          <w:szCs w:val="44"/>
        </w:rPr>
        <w:t>中石化重庆涪陵页岩气勘探开发有限公司</w:t>
      </w:r>
      <w:bookmarkEnd w:id="0"/>
    </w:p>
    <w:p w14:paraId="7C8DB2B7" w14:textId="77777777" w:rsidR="002E0859" w:rsidRDefault="00000000">
      <w:pPr>
        <w:topLinePunct w:val="0"/>
        <w:spacing w:line="360" w:lineRule="auto"/>
        <w:ind w:firstLineChars="0" w:firstLine="0"/>
        <w:jc w:val="center"/>
        <w:rPr>
          <w:b/>
          <w:color w:val="000000" w:themeColor="text1"/>
          <w:sz w:val="44"/>
          <w:szCs w:val="44"/>
        </w:rPr>
      </w:pPr>
      <w:r>
        <w:rPr>
          <w:b/>
          <w:color w:val="000000" w:themeColor="text1"/>
          <w:sz w:val="44"/>
          <w:szCs w:val="44"/>
        </w:rPr>
        <w:t>涪陵页岩气田</w:t>
      </w:r>
      <w:r>
        <w:rPr>
          <w:rFonts w:hint="eastAsia"/>
          <w:b/>
          <w:color w:val="000000" w:themeColor="text1"/>
          <w:sz w:val="44"/>
          <w:szCs w:val="44"/>
        </w:rPr>
        <w:t>江东区块</w:t>
      </w:r>
    </w:p>
    <w:p w14:paraId="630E03A6" w14:textId="77777777" w:rsidR="002E0859" w:rsidRDefault="00000000">
      <w:pPr>
        <w:topLinePunct w:val="0"/>
        <w:spacing w:line="360" w:lineRule="auto"/>
        <w:ind w:firstLineChars="0" w:firstLine="0"/>
        <w:jc w:val="center"/>
        <w:rPr>
          <w:b/>
          <w:color w:val="000000" w:themeColor="text1"/>
          <w:sz w:val="44"/>
          <w:szCs w:val="44"/>
        </w:rPr>
      </w:pPr>
      <w:r>
        <w:rPr>
          <w:rFonts w:hint="eastAsia"/>
          <w:b/>
          <w:color w:val="000000" w:themeColor="text1"/>
          <w:sz w:val="44"/>
          <w:szCs w:val="44"/>
        </w:rPr>
        <w:t>焦页</w:t>
      </w:r>
      <w:r>
        <w:rPr>
          <w:rFonts w:hint="eastAsia"/>
          <w:b/>
          <w:color w:val="000000" w:themeColor="text1"/>
          <w:sz w:val="44"/>
          <w:szCs w:val="44"/>
        </w:rPr>
        <w:t>90</w:t>
      </w:r>
      <w:r>
        <w:rPr>
          <w:rFonts w:hint="eastAsia"/>
          <w:b/>
          <w:color w:val="000000" w:themeColor="text1"/>
          <w:sz w:val="44"/>
          <w:szCs w:val="44"/>
        </w:rPr>
        <w:t>号评价井组方案</w:t>
      </w:r>
    </w:p>
    <w:p w14:paraId="2BAEEA2C" w14:textId="77777777" w:rsidR="002E0859" w:rsidRDefault="002E0859">
      <w:pPr>
        <w:topLinePunct w:val="0"/>
        <w:spacing w:line="360" w:lineRule="auto"/>
        <w:ind w:firstLineChars="0" w:firstLine="0"/>
        <w:jc w:val="center"/>
        <w:rPr>
          <w:b/>
          <w:color w:val="000000" w:themeColor="text1"/>
          <w:sz w:val="44"/>
          <w:szCs w:val="44"/>
        </w:rPr>
      </w:pPr>
    </w:p>
    <w:p w14:paraId="705A5EEA" w14:textId="77777777" w:rsidR="002E0859" w:rsidRDefault="002E0859">
      <w:pPr>
        <w:pStyle w:val="Default"/>
        <w:rPr>
          <w:rFonts w:ascii="Times New Roman" w:cs="Times New Roman"/>
          <w:color w:val="000000" w:themeColor="text1"/>
        </w:rPr>
      </w:pPr>
    </w:p>
    <w:p w14:paraId="55F83B68" w14:textId="77777777" w:rsidR="002E0859" w:rsidRDefault="00000000">
      <w:pPr>
        <w:ind w:firstLineChars="0" w:firstLine="0"/>
        <w:jc w:val="center"/>
        <w:rPr>
          <w:rFonts w:eastAsia="黑体"/>
          <w:b/>
          <w:bCs/>
          <w:color w:val="000000" w:themeColor="text1"/>
          <w:sz w:val="52"/>
          <w:szCs w:val="52"/>
        </w:rPr>
      </w:pPr>
      <w:r>
        <w:rPr>
          <w:rFonts w:eastAsia="黑体"/>
          <w:b/>
          <w:bCs/>
          <w:color w:val="000000" w:themeColor="text1"/>
          <w:sz w:val="52"/>
          <w:szCs w:val="52"/>
        </w:rPr>
        <w:t>安全预评价报告</w:t>
      </w:r>
    </w:p>
    <w:p w14:paraId="2F0BDD20" w14:textId="77777777" w:rsidR="002E0859" w:rsidRDefault="002E0859">
      <w:pPr>
        <w:ind w:firstLine="560"/>
        <w:rPr>
          <w:color w:val="000000" w:themeColor="text1"/>
        </w:rPr>
      </w:pPr>
    </w:p>
    <w:p w14:paraId="752ECE04" w14:textId="77777777" w:rsidR="002E0859" w:rsidRDefault="002E0859">
      <w:pPr>
        <w:ind w:firstLine="560"/>
        <w:rPr>
          <w:color w:val="000000" w:themeColor="text1"/>
        </w:rPr>
      </w:pPr>
    </w:p>
    <w:p w14:paraId="1FA274E7" w14:textId="77777777" w:rsidR="002E0859" w:rsidRDefault="002E0859">
      <w:pPr>
        <w:ind w:firstLine="560"/>
        <w:rPr>
          <w:color w:val="000000" w:themeColor="text1"/>
        </w:rPr>
      </w:pPr>
    </w:p>
    <w:p w14:paraId="366B88BA" w14:textId="77777777" w:rsidR="002E0859" w:rsidRDefault="002E0859">
      <w:pPr>
        <w:ind w:firstLine="560"/>
        <w:rPr>
          <w:color w:val="000000" w:themeColor="text1"/>
        </w:rPr>
      </w:pPr>
    </w:p>
    <w:p w14:paraId="566913FF" w14:textId="77777777" w:rsidR="002E0859" w:rsidRDefault="002E0859">
      <w:pPr>
        <w:ind w:firstLine="560"/>
        <w:rPr>
          <w:color w:val="000000" w:themeColor="text1"/>
        </w:rPr>
      </w:pPr>
    </w:p>
    <w:p w14:paraId="183101F8" w14:textId="77777777" w:rsidR="002E0859" w:rsidRDefault="002E0859">
      <w:pPr>
        <w:ind w:firstLine="560"/>
        <w:rPr>
          <w:color w:val="000000" w:themeColor="text1"/>
        </w:rPr>
      </w:pPr>
    </w:p>
    <w:p w14:paraId="2B2542E3" w14:textId="77777777" w:rsidR="002E0859" w:rsidRDefault="002E0859">
      <w:pPr>
        <w:ind w:firstLine="560"/>
        <w:rPr>
          <w:color w:val="000000" w:themeColor="text1"/>
        </w:rPr>
      </w:pPr>
    </w:p>
    <w:p w14:paraId="4F83D65B" w14:textId="77777777" w:rsidR="002E0859" w:rsidRDefault="002E0859">
      <w:pPr>
        <w:ind w:firstLine="560"/>
        <w:rPr>
          <w:color w:val="000000" w:themeColor="text1"/>
        </w:rPr>
      </w:pPr>
    </w:p>
    <w:p w14:paraId="0FC33D60" w14:textId="77777777" w:rsidR="002E0859" w:rsidRDefault="002E0859">
      <w:pPr>
        <w:ind w:firstLine="560"/>
        <w:rPr>
          <w:color w:val="000000" w:themeColor="text1"/>
        </w:rPr>
      </w:pPr>
    </w:p>
    <w:p w14:paraId="501636F5" w14:textId="77777777" w:rsidR="002E0859" w:rsidRDefault="002E0859">
      <w:pPr>
        <w:ind w:firstLine="560"/>
        <w:rPr>
          <w:color w:val="000000" w:themeColor="text1"/>
        </w:rPr>
      </w:pPr>
    </w:p>
    <w:p w14:paraId="7F473FD9" w14:textId="77777777" w:rsidR="002E0859" w:rsidRDefault="00000000">
      <w:pPr>
        <w:topLinePunct w:val="0"/>
        <w:ind w:firstLineChars="0" w:firstLine="0"/>
        <w:jc w:val="center"/>
        <w:rPr>
          <w:b/>
          <w:bCs/>
          <w:color w:val="000000" w:themeColor="text1"/>
          <w:kern w:val="0"/>
          <w:sz w:val="44"/>
          <w:szCs w:val="44"/>
        </w:rPr>
      </w:pPr>
      <w:bookmarkStart w:id="1" w:name="_Toc19997"/>
      <w:r>
        <w:rPr>
          <w:b/>
          <w:bCs/>
          <w:color w:val="000000" w:themeColor="text1"/>
          <w:kern w:val="0"/>
          <w:sz w:val="44"/>
          <w:szCs w:val="44"/>
        </w:rPr>
        <w:t>山东实华安全技术有限公司</w:t>
      </w:r>
      <w:bookmarkEnd w:id="1"/>
    </w:p>
    <w:p w14:paraId="6B6968C8" w14:textId="77777777" w:rsidR="002E0859" w:rsidRDefault="00000000">
      <w:pPr>
        <w:topLinePunct w:val="0"/>
        <w:ind w:firstLineChars="0" w:firstLine="0"/>
        <w:jc w:val="center"/>
        <w:rPr>
          <w:b/>
          <w:bCs/>
          <w:color w:val="000000" w:themeColor="text1"/>
          <w:kern w:val="0"/>
          <w:sz w:val="32"/>
          <w:szCs w:val="32"/>
        </w:rPr>
      </w:pPr>
      <w:bookmarkStart w:id="2" w:name="_Toc31846"/>
      <w:r>
        <w:rPr>
          <w:b/>
          <w:bCs/>
          <w:color w:val="000000" w:themeColor="text1"/>
          <w:kern w:val="0"/>
          <w:sz w:val="32"/>
          <w:szCs w:val="32"/>
        </w:rPr>
        <w:t>资质证书编号：</w:t>
      </w:r>
      <w:r>
        <w:rPr>
          <w:b/>
          <w:bCs/>
          <w:color w:val="000000" w:themeColor="text1"/>
          <w:kern w:val="0"/>
          <w:sz w:val="32"/>
          <w:szCs w:val="32"/>
        </w:rPr>
        <w:t>APJ-</w:t>
      </w:r>
      <w:r>
        <w:rPr>
          <w:b/>
          <w:bCs/>
          <w:color w:val="000000" w:themeColor="text1"/>
          <w:kern w:val="0"/>
          <w:sz w:val="32"/>
          <w:szCs w:val="32"/>
        </w:rPr>
        <w:t>（鲁）</w:t>
      </w:r>
      <w:r>
        <w:rPr>
          <w:b/>
          <w:bCs/>
          <w:color w:val="000000" w:themeColor="text1"/>
          <w:kern w:val="0"/>
          <w:sz w:val="32"/>
          <w:szCs w:val="32"/>
        </w:rPr>
        <w:t>-013</w:t>
      </w:r>
      <w:bookmarkEnd w:id="2"/>
    </w:p>
    <w:p w14:paraId="45E5B1B9" w14:textId="77777777" w:rsidR="002E0859" w:rsidRDefault="00000000">
      <w:pPr>
        <w:ind w:firstLineChars="0" w:firstLine="0"/>
        <w:jc w:val="center"/>
        <w:rPr>
          <w:b/>
          <w:bCs/>
          <w:color w:val="000000" w:themeColor="text1"/>
          <w:kern w:val="0"/>
          <w:sz w:val="32"/>
          <w:szCs w:val="32"/>
        </w:rPr>
      </w:pPr>
      <w:r>
        <w:rPr>
          <w:rFonts w:hint="eastAsia"/>
          <w:b/>
          <w:bCs/>
          <w:color w:val="000000" w:themeColor="text1"/>
          <w:kern w:val="0"/>
          <w:sz w:val="32"/>
          <w:szCs w:val="32"/>
        </w:rPr>
        <w:t>2024</w:t>
      </w:r>
      <w:r>
        <w:rPr>
          <w:b/>
          <w:bCs/>
          <w:color w:val="000000" w:themeColor="text1"/>
          <w:kern w:val="0"/>
          <w:sz w:val="32"/>
          <w:szCs w:val="32"/>
        </w:rPr>
        <w:t>年</w:t>
      </w:r>
      <w:r>
        <w:rPr>
          <w:rFonts w:hint="eastAsia"/>
          <w:b/>
          <w:bCs/>
          <w:color w:val="000000" w:themeColor="text1"/>
          <w:kern w:val="0"/>
          <w:sz w:val="32"/>
          <w:szCs w:val="32"/>
        </w:rPr>
        <w:t>4</w:t>
      </w:r>
      <w:r>
        <w:rPr>
          <w:b/>
          <w:bCs/>
          <w:color w:val="000000" w:themeColor="text1"/>
          <w:kern w:val="0"/>
          <w:sz w:val="32"/>
          <w:szCs w:val="32"/>
        </w:rPr>
        <w:t>月</w:t>
      </w:r>
      <w:r>
        <w:rPr>
          <w:b/>
          <w:bCs/>
          <w:color w:val="000000" w:themeColor="text1"/>
          <w:kern w:val="0"/>
          <w:sz w:val="32"/>
          <w:szCs w:val="32"/>
          <w:lang w:val="es-MX"/>
        </w:rPr>
        <w:t>10</w:t>
      </w:r>
      <w:r>
        <w:rPr>
          <w:b/>
          <w:bCs/>
          <w:color w:val="000000" w:themeColor="text1"/>
          <w:kern w:val="0"/>
          <w:sz w:val="32"/>
          <w:szCs w:val="32"/>
        </w:rPr>
        <w:t>日</w:t>
      </w:r>
    </w:p>
    <w:p w14:paraId="17DFE3CC" w14:textId="77777777" w:rsidR="002E0859" w:rsidRDefault="00000000">
      <w:pPr>
        <w:ind w:firstLine="643"/>
        <w:rPr>
          <w:b/>
          <w:bCs/>
          <w:color w:val="000000" w:themeColor="text1"/>
          <w:kern w:val="0"/>
          <w:sz w:val="32"/>
          <w:szCs w:val="32"/>
        </w:rPr>
      </w:pPr>
      <w:r>
        <w:rPr>
          <w:b/>
          <w:bCs/>
          <w:color w:val="000000" w:themeColor="text1"/>
          <w:kern w:val="0"/>
          <w:sz w:val="32"/>
          <w:szCs w:val="32"/>
        </w:rPr>
        <w:br w:type="page"/>
      </w:r>
    </w:p>
    <w:p w14:paraId="0332B792" w14:textId="77777777" w:rsidR="002E0859" w:rsidRDefault="002E0859">
      <w:pPr>
        <w:topLinePunct w:val="0"/>
        <w:spacing w:line="360" w:lineRule="auto"/>
        <w:ind w:firstLineChars="0" w:firstLine="0"/>
        <w:jc w:val="center"/>
        <w:rPr>
          <w:b/>
          <w:color w:val="000000" w:themeColor="text1"/>
          <w:sz w:val="32"/>
          <w:szCs w:val="32"/>
        </w:rPr>
      </w:pPr>
    </w:p>
    <w:p w14:paraId="4BB900D4" w14:textId="77777777" w:rsidR="002E0859" w:rsidRDefault="002E0859">
      <w:pPr>
        <w:topLinePunct w:val="0"/>
        <w:spacing w:line="360" w:lineRule="auto"/>
        <w:ind w:firstLineChars="0" w:firstLine="0"/>
        <w:jc w:val="center"/>
        <w:rPr>
          <w:b/>
          <w:color w:val="000000" w:themeColor="text1"/>
          <w:sz w:val="32"/>
          <w:szCs w:val="32"/>
        </w:rPr>
        <w:sectPr w:rsidR="002E0859">
          <w:headerReference w:type="default" r:id="rId8"/>
          <w:footerReference w:type="first" r:id="rId9"/>
          <w:pgSz w:w="11905" w:h="16838"/>
          <w:pgMar w:top="1417" w:right="1134" w:bottom="1134" w:left="1587" w:header="794" w:footer="992" w:gutter="0"/>
          <w:cols w:space="0"/>
          <w:docGrid w:linePitch="312"/>
        </w:sectPr>
      </w:pPr>
    </w:p>
    <w:p w14:paraId="1361A5FA" w14:textId="77777777" w:rsidR="002E0859" w:rsidRDefault="002E0859">
      <w:pPr>
        <w:topLinePunct w:val="0"/>
        <w:spacing w:line="360" w:lineRule="auto"/>
        <w:ind w:firstLineChars="0" w:firstLine="0"/>
        <w:jc w:val="center"/>
        <w:rPr>
          <w:b/>
          <w:color w:val="000000" w:themeColor="text1"/>
          <w:sz w:val="32"/>
          <w:szCs w:val="32"/>
        </w:rPr>
      </w:pPr>
    </w:p>
    <w:p w14:paraId="242933F3" w14:textId="77777777" w:rsidR="002E0859" w:rsidRDefault="002E0859">
      <w:pPr>
        <w:topLinePunct w:val="0"/>
        <w:spacing w:line="360" w:lineRule="auto"/>
        <w:ind w:firstLineChars="0" w:firstLine="0"/>
        <w:jc w:val="center"/>
        <w:rPr>
          <w:b/>
          <w:color w:val="000000" w:themeColor="text1"/>
          <w:sz w:val="32"/>
          <w:szCs w:val="32"/>
        </w:rPr>
      </w:pPr>
    </w:p>
    <w:p w14:paraId="5BBAB9BB" w14:textId="77777777" w:rsidR="002E0859" w:rsidRDefault="00000000">
      <w:pPr>
        <w:topLinePunct w:val="0"/>
        <w:spacing w:line="360" w:lineRule="auto"/>
        <w:ind w:firstLineChars="0" w:firstLine="0"/>
        <w:jc w:val="center"/>
        <w:rPr>
          <w:b/>
          <w:color w:val="000000" w:themeColor="text1"/>
          <w:sz w:val="32"/>
          <w:szCs w:val="32"/>
        </w:rPr>
      </w:pPr>
      <w:bookmarkStart w:id="3" w:name="_Toc6528"/>
      <w:r>
        <w:rPr>
          <w:b/>
          <w:color w:val="000000" w:themeColor="text1"/>
          <w:sz w:val="32"/>
          <w:szCs w:val="32"/>
        </w:rPr>
        <w:t>中石化重庆涪陵页岩气勘探开发有限公司</w:t>
      </w:r>
      <w:bookmarkEnd w:id="3"/>
    </w:p>
    <w:p w14:paraId="25742D93" w14:textId="77777777" w:rsidR="002E0859" w:rsidRDefault="00000000">
      <w:pPr>
        <w:topLinePunct w:val="0"/>
        <w:spacing w:line="360" w:lineRule="auto"/>
        <w:ind w:firstLineChars="0" w:firstLine="0"/>
        <w:jc w:val="center"/>
        <w:rPr>
          <w:b/>
          <w:color w:val="000000" w:themeColor="text1"/>
          <w:sz w:val="32"/>
          <w:szCs w:val="32"/>
        </w:rPr>
      </w:pPr>
      <w:r>
        <w:rPr>
          <w:b/>
          <w:color w:val="000000" w:themeColor="text1"/>
          <w:sz w:val="32"/>
          <w:szCs w:val="32"/>
        </w:rPr>
        <w:t>涪陵页岩气田</w:t>
      </w:r>
      <w:r>
        <w:rPr>
          <w:rFonts w:hint="eastAsia"/>
          <w:b/>
          <w:color w:val="000000" w:themeColor="text1"/>
          <w:sz w:val="32"/>
          <w:szCs w:val="32"/>
        </w:rPr>
        <w:t>江东区块</w:t>
      </w:r>
    </w:p>
    <w:p w14:paraId="750536CB" w14:textId="77777777" w:rsidR="002E0859" w:rsidRDefault="00000000">
      <w:pPr>
        <w:topLinePunct w:val="0"/>
        <w:spacing w:line="360" w:lineRule="auto"/>
        <w:ind w:firstLineChars="0" w:firstLine="0"/>
        <w:jc w:val="center"/>
        <w:rPr>
          <w:b/>
          <w:color w:val="000000" w:themeColor="text1"/>
          <w:sz w:val="32"/>
          <w:szCs w:val="32"/>
        </w:rPr>
      </w:pPr>
      <w:r>
        <w:rPr>
          <w:rFonts w:hint="eastAsia"/>
          <w:b/>
          <w:color w:val="000000" w:themeColor="text1"/>
          <w:sz w:val="32"/>
          <w:szCs w:val="32"/>
        </w:rPr>
        <w:t>焦页</w:t>
      </w:r>
      <w:r>
        <w:rPr>
          <w:rFonts w:hint="eastAsia"/>
          <w:b/>
          <w:color w:val="000000" w:themeColor="text1"/>
          <w:sz w:val="32"/>
          <w:szCs w:val="32"/>
        </w:rPr>
        <w:t>90</w:t>
      </w:r>
      <w:r>
        <w:rPr>
          <w:rFonts w:hint="eastAsia"/>
          <w:b/>
          <w:color w:val="000000" w:themeColor="text1"/>
          <w:sz w:val="32"/>
          <w:szCs w:val="32"/>
        </w:rPr>
        <w:t>号评价井组方案</w:t>
      </w:r>
    </w:p>
    <w:p w14:paraId="6413F424" w14:textId="77777777" w:rsidR="002E0859" w:rsidRDefault="002E0859">
      <w:pPr>
        <w:topLinePunct w:val="0"/>
        <w:ind w:firstLineChars="0" w:firstLine="0"/>
        <w:jc w:val="center"/>
        <w:rPr>
          <w:rFonts w:eastAsia="黑体"/>
          <w:b/>
          <w:bCs/>
          <w:color w:val="000000" w:themeColor="text1"/>
          <w:sz w:val="52"/>
          <w:szCs w:val="52"/>
        </w:rPr>
      </w:pPr>
    </w:p>
    <w:p w14:paraId="6C8A0695" w14:textId="77777777" w:rsidR="002E0859" w:rsidRDefault="00000000">
      <w:pPr>
        <w:topLinePunct w:val="0"/>
        <w:ind w:firstLineChars="0" w:firstLine="0"/>
        <w:jc w:val="center"/>
        <w:rPr>
          <w:rFonts w:eastAsia="黑体"/>
          <w:b/>
          <w:bCs/>
          <w:color w:val="000000" w:themeColor="text1"/>
          <w:sz w:val="52"/>
          <w:szCs w:val="52"/>
        </w:rPr>
      </w:pPr>
      <w:r>
        <w:rPr>
          <w:b/>
          <w:bCs/>
          <w:color w:val="000000" w:themeColor="text1"/>
          <w:sz w:val="44"/>
          <w:szCs w:val="44"/>
        </w:rPr>
        <w:t>安全预评价报告</w:t>
      </w:r>
    </w:p>
    <w:p w14:paraId="062B657D" w14:textId="77777777" w:rsidR="002E0859" w:rsidRDefault="002E0859">
      <w:pPr>
        <w:topLinePunct w:val="0"/>
        <w:ind w:firstLineChars="0" w:firstLine="0"/>
        <w:jc w:val="center"/>
        <w:rPr>
          <w:b/>
          <w:bCs/>
          <w:color w:val="000000" w:themeColor="text1"/>
          <w:spacing w:val="60"/>
          <w:sz w:val="32"/>
          <w:szCs w:val="32"/>
        </w:rPr>
      </w:pPr>
    </w:p>
    <w:p w14:paraId="49E11A7E" w14:textId="77777777" w:rsidR="002E0859" w:rsidRDefault="002E0859">
      <w:pPr>
        <w:topLinePunct w:val="0"/>
        <w:ind w:firstLineChars="0" w:firstLine="0"/>
        <w:rPr>
          <w:b/>
          <w:bCs/>
          <w:color w:val="000000" w:themeColor="text1"/>
          <w:sz w:val="13"/>
        </w:rPr>
      </w:pPr>
    </w:p>
    <w:p w14:paraId="5BC22272" w14:textId="77777777" w:rsidR="002E0859" w:rsidRDefault="002E0859">
      <w:pPr>
        <w:topLinePunct w:val="0"/>
        <w:ind w:firstLineChars="0" w:firstLine="0"/>
        <w:jc w:val="center"/>
        <w:rPr>
          <w:b/>
          <w:bCs/>
          <w:color w:val="000000" w:themeColor="text1"/>
          <w:kern w:val="0"/>
        </w:rPr>
      </w:pPr>
    </w:p>
    <w:p w14:paraId="41B064FA" w14:textId="77777777" w:rsidR="002E0859" w:rsidRDefault="002E0859">
      <w:pPr>
        <w:topLinePunct w:val="0"/>
        <w:ind w:firstLineChars="0" w:firstLine="0"/>
        <w:jc w:val="center"/>
        <w:rPr>
          <w:b/>
          <w:bCs/>
          <w:color w:val="000000" w:themeColor="text1"/>
          <w:kern w:val="0"/>
        </w:rPr>
      </w:pPr>
    </w:p>
    <w:p w14:paraId="271EA470" w14:textId="77777777" w:rsidR="002E0859" w:rsidRDefault="002E0859">
      <w:pPr>
        <w:topLinePunct w:val="0"/>
        <w:ind w:firstLineChars="0" w:firstLine="0"/>
        <w:rPr>
          <w:b/>
          <w:bCs/>
          <w:color w:val="000000" w:themeColor="text1"/>
          <w:kern w:val="0"/>
          <w:sz w:val="32"/>
        </w:rPr>
      </w:pPr>
    </w:p>
    <w:p w14:paraId="5D971974" w14:textId="77777777" w:rsidR="002E0859" w:rsidRDefault="002E0859">
      <w:pPr>
        <w:topLinePunct w:val="0"/>
        <w:ind w:firstLineChars="0" w:firstLine="0"/>
        <w:rPr>
          <w:b/>
          <w:bCs/>
          <w:color w:val="000000" w:themeColor="text1"/>
          <w:kern w:val="0"/>
          <w:sz w:val="32"/>
        </w:rPr>
      </w:pPr>
    </w:p>
    <w:p w14:paraId="08B85CE6" w14:textId="77777777" w:rsidR="002E0859" w:rsidRDefault="00000000">
      <w:pPr>
        <w:topLinePunct w:val="0"/>
        <w:spacing w:line="360" w:lineRule="auto"/>
        <w:ind w:firstLineChars="0" w:firstLine="0"/>
        <w:jc w:val="center"/>
        <w:rPr>
          <w:bCs/>
          <w:color w:val="000000" w:themeColor="text1"/>
          <w:kern w:val="0"/>
        </w:rPr>
      </w:pPr>
      <w:r>
        <w:rPr>
          <w:bCs/>
          <w:color w:val="000000" w:themeColor="text1"/>
          <w:kern w:val="0"/>
        </w:rPr>
        <w:t>法定代表人：任红艳</w:t>
      </w:r>
    </w:p>
    <w:p w14:paraId="23D08A4B" w14:textId="77777777" w:rsidR="002E0859" w:rsidRDefault="00000000">
      <w:pPr>
        <w:topLinePunct w:val="0"/>
        <w:spacing w:line="360" w:lineRule="auto"/>
        <w:ind w:firstLineChars="0" w:firstLine="0"/>
        <w:jc w:val="center"/>
        <w:rPr>
          <w:bCs/>
          <w:color w:val="000000" w:themeColor="text1"/>
          <w:kern w:val="0"/>
        </w:rPr>
      </w:pPr>
      <w:r>
        <w:rPr>
          <w:bCs/>
          <w:color w:val="000000" w:themeColor="text1"/>
          <w:kern w:val="0"/>
        </w:rPr>
        <w:t>技术负责人：吴佳东</w:t>
      </w:r>
    </w:p>
    <w:p w14:paraId="12563591" w14:textId="77777777" w:rsidR="002E0859" w:rsidRDefault="00000000">
      <w:pPr>
        <w:topLinePunct w:val="0"/>
        <w:spacing w:line="360" w:lineRule="auto"/>
        <w:ind w:firstLineChars="0" w:firstLine="0"/>
        <w:jc w:val="center"/>
        <w:rPr>
          <w:bCs/>
          <w:color w:val="000000" w:themeColor="text1"/>
          <w:kern w:val="0"/>
        </w:rPr>
      </w:pPr>
      <w:r>
        <w:rPr>
          <w:bCs/>
          <w:color w:val="000000" w:themeColor="text1"/>
          <w:kern w:val="0"/>
        </w:rPr>
        <w:t>项目负责人：</w:t>
      </w:r>
      <w:r>
        <w:rPr>
          <w:rFonts w:hint="eastAsia"/>
          <w:bCs/>
          <w:color w:val="000000" w:themeColor="text1"/>
          <w:kern w:val="0"/>
        </w:rPr>
        <w:t>周菲菲</w:t>
      </w:r>
    </w:p>
    <w:p w14:paraId="1051B8BF" w14:textId="77777777" w:rsidR="002E0859" w:rsidRDefault="002E0859">
      <w:pPr>
        <w:topLinePunct w:val="0"/>
        <w:ind w:firstLineChars="0" w:firstLine="0"/>
        <w:jc w:val="center"/>
        <w:rPr>
          <w:color w:val="000000" w:themeColor="text1"/>
          <w:kern w:val="0"/>
          <w:szCs w:val="32"/>
        </w:rPr>
      </w:pPr>
    </w:p>
    <w:p w14:paraId="2A292C4A" w14:textId="77777777" w:rsidR="002E0859" w:rsidRDefault="002E0859">
      <w:pPr>
        <w:topLinePunct w:val="0"/>
        <w:ind w:firstLineChars="0" w:firstLine="0"/>
        <w:jc w:val="center"/>
        <w:rPr>
          <w:color w:val="000000" w:themeColor="text1"/>
          <w:kern w:val="0"/>
          <w:szCs w:val="32"/>
        </w:rPr>
      </w:pPr>
    </w:p>
    <w:p w14:paraId="0894CF81" w14:textId="77777777" w:rsidR="002E0859" w:rsidRDefault="002E0859">
      <w:pPr>
        <w:topLinePunct w:val="0"/>
        <w:ind w:firstLineChars="0" w:firstLine="0"/>
        <w:rPr>
          <w:color w:val="000000" w:themeColor="text1"/>
          <w:kern w:val="0"/>
          <w:sz w:val="32"/>
        </w:rPr>
      </w:pPr>
    </w:p>
    <w:p w14:paraId="4FE93951" w14:textId="77777777" w:rsidR="002E0859" w:rsidRDefault="002E0859">
      <w:pPr>
        <w:topLinePunct w:val="0"/>
        <w:ind w:firstLineChars="0" w:firstLine="0"/>
        <w:rPr>
          <w:color w:val="000000" w:themeColor="text1"/>
        </w:rPr>
      </w:pPr>
    </w:p>
    <w:p w14:paraId="4148ADC5" w14:textId="77777777" w:rsidR="002E0859" w:rsidRDefault="00000000">
      <w:pPr>
        <w:topLinePunct w:val="0"/>
        <w:spacing w:line="360" w:lineRule="auto"/>
        <w:ind w:firstLineChars="0" w:firstLine="0"/>
        <w:jc w:val="center"/>
        <w:rPr>
          <w:b/>
          <w:bCs/>
          <w:color w:val="000000" w:themeColor="text1"/>
          <w:kern w:val="0"/>
          <w:sz w:val="24"/>
          <w:szCs w:val="24"/>
        </w:rPr>
        <w:sectPr w:rsidR="002E0859">
          <w:pgSz w:w="11905" w:h="16838"/>
          <w:pgMar w:top="1417" w:right="1134" w:bottom="1134" w:left="1587" w:header="794" w:footer="992" w:gutter="0"/>
          <w:cols w:space="0"/>
          <w:docGrid w:linePitch="312"/>
        </w:sectPr>
      </w:pPr>
      <w:r>
        <w:rPr>
          <w:rFonts w:hint="eastAsia"/>
          <w:b/>
          <w:bCs/>
          <w:color w:val="000000" w:themeColor="text1"/>
          <w:kern w:val="0"/>
          <w:sz w:val="24"/>
          <w:szCs w:val="24"/>
        </w:rPr>
        <w:t>2024</w:t>
      </w:r>
      <w:r>
        <w:rPr>
          <w:b/>
          <w:bCs/>
          <w:color w:val="000000" w:themeColor="text1"/>
          <w:kern w:val="0"/>
          <w:sz w:val="24"/>
          <w:szCs w:val="24"/>
        </w:rPr>
        <w:t>年</w:t>
      </w:r>
      <w:r>
        <w:rPr>
          <w:rFonts w:hint="eastAsia"/>
          <w:b/>
          <w:bCs/>
          <w:color w:val="000000" w:themeColor="text1"/>
          <w:kern w:val="0"/>
          <w:sz w:val="24"/>
          <w:szCs w:val="24"/>
        </w:rPr>
        <w:t>4</w:t>
      </w:r>
      <w:r>
        <w:rPr>
          <w:b/>
          <w:bCs/>
          <w:color w:val="000000" w:themeColor="text1"/>
          <w:kern w:val="0"/>
          <w:sz w:val="24"/>
          <w:szCs w:val="24"/>
        </w:rPr>
        <w:t>月</w:t>
      </w:r>
      <w:r>
        <w:rPr>
          <w:b/>
          <w:bCs/>
          <w:color w:val="000000" w:themeColor="text1"/>
          <w:kern w:val="0"/>
          <w:sz w:val="24"/>
          <w:szCs w:val="24"/>
          <w:lang w:val="es-MX"/>
        </w:rPr>
        <w:t>10</w:t>
      </w:r>
      <w:r>
        <w:rPr>
          <w:b/>
          <w:bCs/>
          <w:color w:val="000000" w:themeColor="text1"/>
          <w:kern w:val="0"/>
          <w:sz w:val="24"/>
          <w:szCs w:val="24"/>
        </w:rPr>
        <w:t>日</w:t>
      </w:r>
    </w:p>
    <w:p w14:paraId="1C3F3423" w14:textId="77777777" w:rsidR="002E0859" w:rsidRDefault="002E0859">
      <w:pPr>
        <w:topLinePunct w:val="0"/>
        <w:spacing w:line="360" w:lineRule="auto"/>
        <w:ind w:firstLineChars="0" w:firstLine="0"/>
        <w:jc w:val="center"/>
        <w:rPr>
          <w:b/>
          <w:bCs/>
          <w:color w:val="000000" w:themeColor="text1"/>
          <w:kern w:val="0"/>
          <w:sz w:val="24"/>
          <w:szCs w:val="24"/>
        </w:rPr>
        <w:sectPr w:rsidR="002E0859">
          <w:pgSz w:w="11905" w:h="16838"/>
          <w:pgMar w:top="1417" w:right="1134" w:bottom="1134" w:left="1587" w:header="794" w:footer="992" w:gutter="0"/>
          <w:cols w:space="0"/>
          <w:docGrid w:linePitch="312"/>
        </w:sectPr>
      </w:pPr>
    </w:p>
    <w:p w14:paraId="3FBFE6D3" w14:textId="77777777" w:rsidR="002E0859" w:rsidRDefault="00000000">
      <w:pPr>
        <w:spacing w:line="360" w:lineRule="auto"/>
        <w:ind w:firstLineChars="0" w:firstLine="0"/>
        <w:jc w:val="center"/>
        <w:rPr>
          <w:rFonts w:eastAsia="黑体"/>
          <w:color w:val="000000" w:themeColor="text1"/>
          <w:kern w:val="0"/>
          <w:sz w:val="32"/>
          <w:szCs w:val="32"/>
        </w:rPr>
      </w:pPr>
      <w:bookmarkStart w:id="4" w:name="_Toc2576"/>
      <w:r>
        <w:rPr>
          <w:rFonts w:eastAsia="黑体"/>
          <w:color w:val="000000" w:themeColor="text1"/>
          <w:kern w:val="0"/>
          <w:sz w:val="32"/>
          <w:szCs w:val="32"/>
        </w:rPr>
        <w:lastRenderedPageBreak/>
        <w:t>前言</w:t>
      </w:r>
      <w:bookmarkEnd w:id="4"/>
    </w:p>
    <w:p w14:paraId="40070AC3" w14:textId="77777777" w:rsidR="002E0859" w:rsidRDefault="00000000">
      <w:pPr>
        <w:spacing w:line="360" w:lineRule="auto"/>
        <w:ind w:firstLine="480"/>
        <w:rPr>
          <w:color w:val="000000" w:themeColor="text1"/>
          <w:kern w:val="0"/>
          <w:sz w:val="24"/>
          <w:szCs w:val="24"/>
        </w:rPr>
      </w:pPr>
      <w:r>
        <w:rPr>
          <w:rFonts w:hint="eastAsia"/>
          <w:color w:val="000000" w:themeColor="text1"/>
          <w:kern w:val="0"/>
          <w:sz w:val="24"/>
          <w:szCs w:val="24"/>
        </w:rPr>
        <w:t>江东区块属涪陵油气勘查区块西部。涪陵油气勘查区块横跨重庆市南川、武隆、涪陵、丰都、长寿、垫江、忠县、梁平、万县九区县。项目名称为“重庆市四川盆地涪陵地区油气勘查”，许可证号为</w:t>
      </w:r>
      <w:r>
        <w:rPr>
          <w:rFonts w:hint="eastAsia"/>
          <w:color w:val="000000" w:themeColor="text1"/>
          <w:kern w:val="0"/>
          <w:sz w:val="24"/>
          <w:szCs w:val="24"/>
        </w:rPr>
        <w:t>0200001020289</w:t>
      </w:r>
      <w:r>
        <w:rPr>
          <w:rFonts w:hint="eastAsia"/>
          <w:color w:val="000000" w:themeColor="text1"/>
          <w:kern w:val="0"/>
          <w:sz w:val="24"/>
          <w:szCs w:val="24"/>
        </w:rPr>
        <w:t>，探矿权人为中国石油化工股份有限公司，储量权益比例</w:t>
      </w:r>
      <w:r>
        <w:rPr>
          <w:rFonts w:hint="eastAsia"/>
          <w:color w:val="000000" w:themeColor="text1"/>
          <w:kern w:val="0"/>
          <w:sz w:val="24"/>
          <w:szCs w:val="24"/>
        </w:rPr>
        <w:t>100%</w:t>
      </w:r>
      <w:r>
        <w:rPr>
          <w:rFonts w:hint="eastAsia"/>
          <w:color w:val="000000" w:themeColor="text1"/>
          <w:kern w:val="0"/>
          <w:sz w:val="24"/>
          <w:szCs w:val="24"/>
        </w:rPr>
        <w:t>；勘查单位为中国石油化工股份有限公司勘探分公司。区块极值坐标：东经</w:t>
      </w:r>
      <w:r>
        <w:rPr>
          <w:rFonts w:hint="eastAsia"/>
          <w:color w:val="000000" w:themeColor="text1"/>
          <w:kern w:val="0"/>
          <w:sz w:val="24"/>
          <w:szCs w:val="24"/>
        </w:rPr>
        <w:t>107</w:t>
      </w:r>
      <w:r>
        <w:rPr>
          <w:rFonts w:hint="eastAsia"/>
          <w:color w:val="000000" w:themeColor="text1"/>
          <w:kern w:val="0"/>
          <w:sz w:val="24"/>
          <w:szCs w:val="24"/>
        </w:rPr>
        <w:t>°</w:t>
      </w:r>
      <w:r>
        <w:rPr>
          <w:rFonts w:hint="eastAsia"/>
          <w:color w:val="000000" w:themeColor="text1"/>
          <w:kern w:val="0"/>
          <w:sz w:val="24"/>
          <w:szCs w:val="24"/>
        </w:rPr>
        <w:t>05</w:t>
      </w:r>
      <w:r>
        <w:rPr>
          <w:rFonts w:hint="eastAsia"/>
          <w:color w:val="000000" w:themeColor="text1"/>
          <w:kern w:val="0"/>
          <w:sz w:val="24"/>
          <w:szCs w:val="24"/>
        </w:rPr>
        <w:t>′</w:t>
      </w:r>
      <w:r>
        <w:rPr>
          <w:rFonts w:hint="eastAsia"/>
          <w:color w:val="000000" w:themeColor="text1"/>
          <w:kern w:val="0"/>
          <w:sz w:val="24"/>
          <w:szCs w:val="24"/>
        </w:rPr>
        <w:t>00</w:t>
      </w:r>
      <w:r>
        <w:rPr>
          <w:rFonts w:hint="eastAsia"/>
          <w:color w:val="000000" w:themeColor="text1"/>
          <w:kern w:val="0"/>
          <w:sz w:val="24"/>
          <w:szCs w:val="24"/>
        </w:rPr>
        <w:t>″</w:t>
      </w:r>
      <w:r>
        <w:rPr>
          <w:rFonts w:hint="eastAsia"/>
          <w:color w:val="000000" w:themeColor="text1"/>
          <w:kern w:val="0"/>
          <w:sz w:val="24"/>
          <w:szCs w:val="24"/>
        </w:rPr>
        <w:t>-108</w:t>
      </w:r>
      <w:r>
        <w:rPr>
          <w:rFonts w:hint="eastAsia"/>
          <w:color w:val="000000" w:themeColor="text1"/>
          <w:kern w:val="0"/>
          <w:sz w:val="24"/>
          <w:szCs w:val="24"/>
        </w:rPr>
        <w:t>°</w:t>
      </w:r>
      <w:r>
        <w:rPr>
          <w:rFonts w:hint="eastAsia"/>
          <w:color w:val="000000" w:themeColor="text1"/>
          <w:kern w:val="0"/>
          <w:sz w:val="24"/>
          <w:szCs w:val="24"/>
        </w:rPr>
        <w:t>13</w:t>
      </w:r>
      <w:r>
        <w:rPr>
          <w:rFonts w:hint="eastAsia"/>
          <w:color w:val="000000" w:themeColor="text1"/>
          <w:kern w:val="0"/>
          <w:sz w:val="24"/>
          <w:szCs w:val="24"/>
        </w:rPr>
        <w:t>′</w:t>
      </w:r>
      <w:r>
        <w:rPr>
          <w:rFonts w:hint="eastAsia"/>
          <w:color w:val="000000" w:themeColor="text1"/>
          <w:kern w:val="0"/>
          <w:sz w:val="24"/>
          <w:szCs w:val="24"/>
        </w:rPr>
        <w:t>00</w:t>
      </w:r>
      <w:r>
        <w:rPr>
          <w:rFonts w:hint="eastAsia"/>
          <w:color w:val="000000" w:themeColor="text1"/>
          <w:kern w:val="0"/>
          <w:sz w:val="24"/>
          <w:szCs w:val="24"/>
        </w:rPr>
        <w:t>″、北纬</w:t>
      </w:r>
      <w:r>
        <w:rPr>
          <w:rFonts w:hint="eastAsia"/>
          <w:color w:val="000000" w:themeColor="text1"/>
          <w:kern w:val="0"/>
          <w:sz w:val="24"/>
          <w:szCs w:val="24"/>
        </w:rPr>
        <w:t>29</w:t>
      </w:r>
      <w:r>
        <w:rPr>
          <w:rFonts w:hint="eastAsia"/>
          <w:color w:val="000000" w:themeColor="text1"/>
          <w:kern w:val="0"/>
          <w:sz w:val="24"/>
          <w:szCs w:val="24"/>
        </w:rPr>
        <w:t>°</w:t>
      </w:r>
      <w:r>
        <w:rPr>
          <w:rFonts w:hint="eastAsia"/>
          <w:color w:val="000000" w:themeColor="text1"/>
          <w:kern w:val="0"/>
          <w:sz w:val="24"/>
          <w:szCs w:val="24"/>
        </w:rPr>
        <w:t>16</w:t>
      </w:r>
      <w:r>
        <w:rPr>
          <w:rFonts w:hint="eastAsia"/>
          <w:color w:val="000000" w:themeColor="text1"/>
          <w:kern w:val="0"/>
          <w:sz w:val="24"/>
          <w:szCs w:val="24"/>
        </w:rPr>
        <w:t>′</w:t>
      </w:r>
      <w:r>
        <w:rPr>
          <w:rFonts w:hint="eastAsia"/>
          <w:color w:val="000000" w:themeColor="text1"/>
          <w:kern w:val="0"/>
          <w:sz w:val="24"/>
          <w:szCs w:val="24"/>
        </w:rPr>
        <w:t>00</w:t>
      </w:r>
      <w:r>
        <w:rPr>
          <w:rFonts w:hint="eastAsia"/>
          <w:color w:val="000000" w:themeColor="text1"/>
          <w:kern w:val="0"/>
          <w:sz w:val="24"/>
          <w:szCs w:val="24"/>
        </w:rPr>
        <w:t>″</w:t>
      </w:r>
      <w:r>
        <w:rPr>
          <w:rFonts w:hint="eastAsia"/>
          <w:color w:val="000000" w:themeColor="text1"/>
          <w:kern w:val="0"/>
          <w:sz w:val="24"/>
          <w:szCs w:val="24"/>
        </w:rPr>
        <w:t>-30</w:t>
      </w:r>
      <w:r>
        <w:rPr>
          <w:rFonts w:hint="eastAsia"/>
          <w:color w:val="000000" w:themeColor="text1"/>
          <w:kern w:val="0"/>
          <w:sz w:val="24"/>
          <w:szCs w:val="24"/>
        </w:rPr>
        <w:t>°</w:t>
      </w:r>
      <w:r>
        <w:rPr>
          <w:rFonts w:hint="eastAsia"/>
          <w:color w:val="000000" w:themeColor="text1"/>
          <w:kern w:val="0"/>
          <w:sz w:val="24"/>
          <w:szCs w:val="24"/>
        </w:rPr>
        <w:t>41</w:t>
      </w:r>
      <w:r>
        <w:rPr>
          <w:rFonts w:hint="eastAsia"/>
          <w:color w:val="000000" w:themeColor="text1"/>
          <w:kern w:val="0"/>
          <w:sz w:val="24"/>
          <w:szCs w:val="24"/>
        </w:rPr>
        <w:t>′</w:t>
      </w:r>
      <w:r>
        <w:rPr>
          <w:rFonts w:hint="eastAsia"/>
          <w:color w:val="000000" w:themeColor="text1"/>
          <w:kern w:val="0"/>
          <w:sz w:val="24"/>
          <w:szCs w:val="24"/>
        </w:rPr>
        <w:t>00</w:t>
      </w:r>
      <w:r>
        <w:rPr>
          <w:rFonts w:hint="eastAsia"/>
          <w:color w:val="000000" w:themeColor="text1"/>
          <w:kern w:val="0"/>
          <w:sz w:val="24"/>
          <w:szCs w:val="24"/>
        </w:rPr>
        <w:t>″，勘查面积</w:t>
      </w:r>
      <w:r>
        <w:rPr>
          <w:rFonts w:hint="eastAsia"/>
          <w:color w:val="000000" w:themeColor="text1"/>
          <w:kern w:val="0"/>
          <w:sz w:val="24"/>
          <w:szCs w:val="24"/>
        </w:rPr>
        <w:t>7307.77km</w:t>
      </w:r>
      <w:r>
        <w:rPr>
          <w:rFonts w:hint="eastAsia"/>
          <w:color w:val="000000" w:themeColor="text1"/>
          <w:kern w:val="0"/>
          <w:sz w:val="24"/>
          <w:szCs w:val="24"/>
          <w:vertAlign w:val="superscript"/>
        </w:rPr>
        <w:t>2</w:t>
      </w:r>
      <w:r>
        <w:rPr>
          <w:rFonts w:hint="eastAsia"/>
          <w:color w:val="000000" w:themeColor="text1"/>
          <w:kern w:val="0"/>
          <w:sz w:val="24"/>
          <w:szCs w:val="24"/>
        </w:rPr>
        <w:t>。</w:t>
      </w:r>
    </w:p>
    <w:p w14:paraId="6934BA12" w14:textId="77777777" w:rsidR="002E0859" w:rsidRDefault="00000000">
      <w:pPr>
        <w:spacing w:line="360" w:lineRule="auto"/>
        <w:ind w:firstLine="480"/>
        <w:rPr>
          <w:color w:val="000000" w:themeColor="text1"/>
          <w:kern w:val="0"/>
          <w:sz w:val="24"/>
          <w:szCs w:val="24"/>
        </w:rPr>
      </w:pPr>
      <w:r>
        <w:rPr>
          <w:rFonts w:hint="eastAsia"/>
          <w:color w:val="000000" w:themeColor="text1"/>
          <w:kern w:val="0"/>
          <w:sz w:val="24"/>
          <w:szCs w:val="24"/>
        </w:rPr>
        <w:t>2013</w:t>
      </w:r>
      <w:r>
        <w:rPr>
          <w:rFonts w:hint="eastAsia"/>
          <w:color w:val="000000" w:themeColor="text1"/>
          <w:kern w:val="0"/>
          <w:sz w:val="24"/>
          <w:szCs w:val="24"/>
        </w:rPr>
        <w:t>年</w:t>
      </w:r>
      <w:r>
        <w:rPr>
          <w:rFonts w:hint="eastAsia"/>
          <w:color w:val="000000" w:themeColor="text1"/>
          <w:kern w:val="0"/>
          <w:sz w:val="24"/>
          <w:szCs w:val="24"/>
        </w:rPr>
        <w:t>8</w:t>
      </w:r>
      <w:r>
        <w:rPr>
          <w:rFonts w:hint="eastAsia"/>
          <w:color w:val="000000" w:themeColor="text1"/>
          <w:kern w:val="0"/>
          <w:sz w:val="24"/>
          <w:szCs w:val="24"/>
        </w:rPr>
        <w:t>月中国石油化工股份有限公司将涪陵矿权区整体申报国家级页岩气示范区，</w:t>
      </w:r>
      <w:r>
        <w:rPr>
          <w:rFonts w:hint="eastAsia"/>
          <w:color w:val="000000" w:themeColor="text1"/>
          <w:kern w:val="0"/>
          <w:sz w:val="24"/>
          <w:szCs w:val="24"/>
        </w:rPr>
        <w:t>2013</w:t>
      </w:r>
      <w:r>
        <w:rPr>
          <w:rFonts w:hint="eastAsia"/>
          <w:color w:val="000000" w:themeColor="text1"/>
          <w:kern w:val="0"/>
          <w:sz w:val="24"/>
          <w:szCs w:val="24"/>
        </w:rPr>
        <w:t>年</w:t>
      </w:r>
      <w:r>
        <w:rPr>
          <w:rFonts w:hint="eastAsia"/>
          <w:color w:val="000000" w:themeColor="text1"/>
          <w:kern w:val="0"/>
          <w:sz w:val="24"/>
          <w:szCs w:val="24"/>
        </w:rPr>
        <w:t>9</w:t>
      </w:r>
      <w:r>
        <w:rPr>
          <w:rFonts w:hint="eastAsia"/>
          <w:color w:val="000000" w:themeColor="text1"/>
          <w:kern w:val="0"/>
          <w:sz w:val="24"/>
          <w:szCs w:val="24"/>
        </w:rPr>
        <w:t>月</w:t>
      </w:r>
      <w:r>
        <w:rPr>
          <w:rFonts w:hint="eastAsia"/>
          <w:color w:val="000000" w:themeColor="text1"/>
          <w:kern w:val="0"/>
          <w:sz w:val="24"/>
          <w:szCs w:val="24"/>
        </w:rPr>
        <w:t>3</w:t>
      </w:r>
      <w:r>
        <w:rPr>
          <w:rFonts w:hint="eastAsia"/>
          <w:color w:val="000000" w:themeColor="text1"/>
          <w:kern w:val="0"/>
          <w:sz w:val="24"/>
          <w:szCs w:val="24"/>
        </w:rPr>
        <w:t>日国家能源局复函同意设立“重庆涪陵国家级页岩气示范区”。</w:t>
      </w:r>
      <w:r>
        <w:rPr>
          <w:rFonts w:hint="eastAsia"/>
          <w:color w:val="000000" w:themeColor="text1"/>
          <w:kern w:val="0"/>
          <w:sz w:val="24"/>
          <w:szCs w:val="24"/>
        </w:rPr>
        <w:t>2016</w:t>
      </w:r>
      <w:r>
        <w:rPr>
          <w:rFonts w:hint="eastAsia"/>
          <w:color w:val="000000" w:themeColor="text1"/>
          <w:kern w:val="0"/>
          <w:sz w:val="24"/>
          <w:szCs w:val="24"/>
        </w:rPr>
        <w:t>年编制的涪陵页岩气田江东区块产能建设方案的工区位于示范区西部。本次编制的涪陵页岩气田江东区块焦页</w:t>
      </w:r>
      <w:r>
        <w:rPr>
          <w:rFonts w:hint="eastAsia"/>
          <w:color w:val="000000" w:themeColor="text1"/>
          <w:kern w:val="0"/>
          <w:sz w:val="24"/>
          <w:szCs w:val="24"/>
        </w:rPr>
        <w:t>90</w:t>
      </w:r>
      <w:r>
        <w:rPr>
          <w:rFonts w:hint="eastAsia"/>
          <w:color w:val="000000" w:themeColor="text1"/>
          <w:kern w:val="0"/>
          <w:sz w:val="24"/>
          <w:szCs w:val="24"/>
        </w:rPr>
        <w:t>号评价井组位于江东区块中部，地质分区属于江东区块江北</w:t>
      </w:r>
      <w:r>
        <w:rPr>
          <w:rFonts w:hint="eastAsia"/>
          <w:color w:val="000000" w:themeColor="text1"/>
          <w:kern w:val="0"/>
          <w:sz w:val="24"/>
          <w:szCs w:val="24"/>
        </w:rPr>
        <w:t>3</w:t>
      </w:r>
      <w:r>
        <w:rPr>
          <w:rFonts w:hint="eastAsia"/>
          <w:color w:val="000000" w:themeColor="text1"/>
          <w:kern w:val="0"/>
          <w:sz w:val="24"/>
          <w:szCs w:val="24"/>
        </w:rPr>
        <w:t>区。</w:t>
      </w:r>
    </w:p>
    <w:p w14:paraId="26D33F93" w14:textId="77777777" w:rsidR="002E0859" w:rsidRDefault="00000000">
      <w:pPr>
        <w:spacing w:line="360" w:lineRule="auto"/>
        <w:ind w:firstLine="480"/>
        <w:rPr>
          <w:color w:val="000000" w:themeColor="text1"/>
          <w:kern w:val="0"/>
          <w:sz w:val="24"/>
          <w:szCs w:val="24"/>
        </w:rPr>
      </w:pPr>
      <w:r>
        <w:rPr>
          <w:color w:val="000000" w:themeColor="text1"/>
          <w:kern w:val="0"/>
          <w:sz w:val="24"/>
          <w:szCs w:val="24"/>
        </w:rPr>
        <w:t>根据《中华人民共和国安全生产法》（中华人民共和国主席令</w:t>
      </w:r>
      <w:r>
        <w:rPr>
          <w:color w:val="000000" w:themeColor="text1"/>
          <w:kern w:val="0"/>
          <w:sz w:val="24"/>
          <w:szCs w:val="24"/>
        </w:rPr>
        <w:t>[2002]</w:t>
      </w:r>
      <w:r>
        <w:rPr>
          <w:color w:val="000000" w:themeColor="text1"/>
          <w:kern w:val="0"/>
          <w:sz w:val="24"/>
          <w:szCs w:val="24"/>
        </w:rPr>
        <w:t>第</w:t>
      </w:r>
      <w:r>
        <w:rPr>
          <w:color w:val="000000" w:themeColor="text1"/>
          <w:kern w:val="0"/>
          <w:sz w:val="24"/>
          <w:szCs w:val="24"/>
        </w:rPr>
        <w:t>70</w:t>
      </w:r>
      <w:r>
        <w:rPr>
          <w:color w:val="000000" w:themeColor="text1"/>
          <w:kern w:val="0"/>
          <w:sz w:val="24"/>
          <w:szCs w:val="24"/>
        </w:rPr>
        <w:t>号，</w:t>
      </w:r>
      <w:r>
        <w:rPr>
          <w:color w:val="000000" w:themeColor="text1"/>
          <w:kern w:val="0"/>
          <w:sz w:val="24"/>
          <w:szCs w:val="24"/>
        </w:rPr>
        <w:t>2021</w:t>
      </w:r>
      <w:r>
        <w:rPr>
          <w:color w:val="000000" w:themeColor="text1"/>
          <w:kern w:val="0"/>
          <w:sz w:val="24"/>
          <w:szCs w:val="24"/>
        </w:rPr>
        <w:t>年</w:t>
      </w:r>
      <w:r>
        <w:rPr>
          <w:color w:val="000000" w:themeColor="text1"/>
          <w:kern w:val="0"/>
          <w:sz w:val="24"/>
          <w:szCs w:val="24"/>
        </w:rPr>
        <w:t>6</w:t>
      </w:r>
      <w:r>
        <w:rPr>
          <w:color w:val="000000" w:themeColor="text1"/>
          <w:kern w:val="0"/>
          <w:sz w:val="24"/>
          <w:szCs w:val="24"/>
        </w:rPr>
        <w:t>月</w:t>
      </w:r>
      <w:r>
        <w:rPr>
          <w:color w:val="000000" w:themeColor="text1"/>
          <w:kern w:val="0"/>
          <w:sz w:val="24"/>
          <w:szCs w:val="24"/>
        </w:rPr>
        <w:t>10</w:t>
      </w:r>
      <w:r>
        <w:rPr>
          <w:color w:val="000000" w:themeColor="text1"/>
          <w:kern w:val="0"/>
          <w:sz w:val="24"/>
          <w:szCs w:val="24"/>
        </w:rPr>
        <w:t>日中华人民共和国主席令</w:t>
      </w:r>
      <w:r>
        <w:rPr>
          <w:color w:val="000000" w:themeColor="text1"/>
          <w:kern w:val="0"/>
          <w:sz w:val="24"/>
          <w:szCs w:val="24"/>
        </w:rPr>
        <w:t>[2021]</w:t>
      </w:r>
      <w:r>
        <w:rPr>
          <w:color w:val="000000" w:themeColor="text1"/>
          <w:kern w:val="0"/>
          <w:sz w:val="24"/>
          <w:szCs w:val="24"/>
        </w:rPr>
        <w:t>第</w:t>
      </w:r>
      <w:r>
        <w:rPr>
          <w:color w:val="000000" w:themeColor="text1"/>
          <w:kern w:val="0"/>
          <w:sz w:val="24"/>
          <w:szCs w:val="24"/>
        </w:rPr>
        <w:t>88</w:t>
      </w:r>
      <w:r>
        <w:rPr>
          <w:color w:val="000000" w:themeColor="text1"/>
          <w:kern w:val="0"/>
          <w:sz w:val="24"/>
          <w:szCs w:val="24"/>
        </w:rPr>
        <w:t>号修改）、《建设项目安全设施</w:t>
      </w:r>
      <w:r>
        <w:rPr>
          <w:rFonts w:hint="eastAsia"/>
          <w:color w:val="000000" w:themeColor="text1"/>
          <w:kern w:val="0"/>
          <w:sz w:val="24"/>
          <w:szCs w:val="24"/>
        </w:rPr>
        <w:t>“</w:t>
      </w:r>
      <w:r>
        <w:rPr>
          <w:color w:val="000000" w:themeColor="text1"/>
          <w:kern w:val="0"/>
          <w:sz w:val="24"/>
          <w:szCs w:val="24"/>
        </w:rPr>
        <w:t>三同时</w:t>
      </w:r>
      <w:r>
        <w:rPr>
          <w:rFonts w:hint="eastAsia"/>
          <w:color w:val="000000" w:themeColor="text1"/>
          <w:kern w:val="0"/>
          <w:sz w:val="24"/>
          <w:szCs w:val="24"/>
        </w:rPr>
        <w:t>”</w:t>
      </w:r>
      <w:r>
        <w:rPr>
          <w:color w:val="000000" w:themeColor="text1"/>
          <w:kern w:val="0"/>
          <w:sz w:val="24"/>
          <w:szCs w:val="24"/>
        </w:rPr>
        <w:t>监督管理办法》（原国家安全生产监督管理总局令第</w:t>
      </w:r>
      <w:r>
        <w:rPr>
          <w:color w:val="000000" w:themeColor="text1"/>
          <w:kern w:val="0"/>
          <w:sz w:val="24"/>
          <w:szCs w:val="24"/>
        </w:rPr>
        <w:t>36</w:t>
      </w:r>
      <w:r>
        <w:rPr>
          <w:color w:val="000000" w:themeColor="text1"/>
          <w:kern w:val="0"/>
          <w:sz w:val="24"/>
          <w:szCs w:val="24"/>
        </w:rPr>
        <w:t>号，第</w:t>
      </w:r>
      <w:r>
        <w:rPr>
          <w:color w:val="000000" w:themeColor="text1"/>
          <w:kern w:val="0"/>
          <w:sz w:val="24"/>
          <w:szCs w:val="24"/>
        </w:rPr>
        <w:t>77</w:t>
      </w:r>
      <w:r>
        <w:rPr>
          <w:color w:val="000000" w:themeColor="text1"/>
          <w:kern w:val="0"/>
          <w:sz w:val="24"/>
          <w:szCs w:val="24"/>
        </w:rPr>
        <w:t>号修订）等有关规定，山东实华安全技术有限公司受中石化重庆涪陵页岩气勘探开发有限公司的委托，对本工程项目进行安全预评价。</w:t>
      </w:r>
    </w:p>
    <w:p w14:paraId="113AA79F" w14:textId="77777777" w:rsidR="002E0859" w:rsidRDefault="00000000">
      <w:pPr>
        <w:spacing w:line="360" w:lineRule="auto"/>
        <w:ind w:firstLine="480"/>
        <w:rPr>
          <w:color w:val="000000" w:themeColor="text1"/>
          <w:kern w:val="0"/>
          <w:sz w:val="24"/>
          <w:szCs w:val="24"/>
        </w:rPr>
      </w:pPr>
      <w:r>
        <w:rPr>
          <w:color w:val="000000" w:themeColor="text1"/>
          <w:kern w:val="0"/>
          <w:sz w:val="24"/>
          <w:szCs w:val="24"/>
        </w:rPr>
        <w:t>接受委托后，山东实华安全技术有限公司成立了评价项目组，评价项目组遵循有关法律、法规、政策和标准，开展评价工作。在现场调查的基础上，仔细分析本工程项目的可研报告，及时与设计单位交换意见，并严格按照国家有关法律法规、技术标准的要求，综合运用了预先危险性分析（</w:t>
      </w:r>
      <w:r>
        <w:rPr>
          <w:color w:val="000000" w:themeColor="text1"/>
          <w:kern w:val="0"/>
          <w:sz w:val="24"/>
          <w:szCs w:val="24"/>
        </w:rPr>
        <w:t>PHA</w:t>
      </w:r>
      <w:r>
        <w:rPr>
          <w:color w:val="000000" w:themeColor="text1"/>
          <w:kern w:val="0"/>
          <w:sz w:val="24"/>
          <w:szCs w:val="24"/>
        </w:rPr>
        <w:t>）、安全检查表（</w:t>
      </w:r>
      <w:r>
        <w:rPr>
          <w:color w:val="000000" w:themeColor="text1"/>
          <w:kern w:val="0"/>
          <w:sz w:val="24"/>
          <w:szCs w:val="24"/>
        </w:rPr>
        <w:t>SCL</w:t>
      </w:r>
      <w:r>
        <w:rPr>
          <w:color w:val="000000" w:themeColor="text1"/>
          <w:kern w:val="0"/>
          <w:sz w:val="24"/>
          <w:szCs w:val="24"/>
        </w:rPr>
        <w:t>）、定量风险模拟评价等定性定量分析方法，对该工程项目存在的危险有害因素进行了分析评价，并提出了切实可行的安全对策措施和建议，为本工程项目的初步设计和今后安全生产管理提供依据。</w:t>
      </w:r>
    </w:p>
    <w:p w14:paraId="123D419A" w14:textId="77777777" w:rsidR="002E0859" w:rsidRDefault="00000000">
      <w:pPr>
        <w:spacing w:line="360" w:lineRule="auto"/>
        <w:ind w:firstLine="480"/>
        <w:rPr>
          <w:color w:val="000000" w:themeColor="text1"/>
          <w:kern w:val="0"/>
          <w:sz w:val="24"/>
          <w:szCs w:val="24"/>
        </w:rPr>
      </w:pPr>
      <w:r>
        <w:rPr>
          <w:color w:val="000000" w:themeColor="text1"/>
          <w:kern w:val="0"/>
          <w:sz w:val="24"/>
          <w:szCs w:val="24"/>
        </w:rPr>
        <w:t>本报告在评价、编制过程中，得到了中石化重庆涪陵页岩气勘探开发有限公司的大力支持，在此表示由衷的感谢！</w:t>
      </w:r>
    </w:p>
    <w:p w14:paraId="530A6552" w14:textId="77777777" w:rsidR="002E0859" w:rsidRDefault="002E0859">
      <w:pPr>
        <w:pStyle w:val="Default"/>
        <w:jc w:val="center"/>
        <w:rPr>
          <w:rFonts w:ascii="Times New Roman" w:eastAsia="宋体" w:cs="Times New Roman"/>
          <w:color w:val="000000" w:themeColor="text1"/>
        </w:rPr>
      </w:pPr>
    </w:p>
    <w:p w14:paraId="50DDD35B" w14:textId="77777777" w:rsidR="002E0859" w:rsidRDefault="00000000">
      <w:pPr>
        <w:pStyle w:val="Default"/>
        <w:jc w:val="right"/>
        <w:rPr>
          <w:rFonts w:ascii="Times New Roman" w:cs="Times New Roman"/>
          <w:color w:val="000000" w:themeColor="text1"/>
        </w:rPr>
      </w:pPr>
      <w:r>
        <w:rPr>
          <w:rFonts w:ascii="Times New Roman" w:eastAsia="宋体" w:cs="Times New Roman" w:hint="eastAsia"/>
          <w:color w:val="000000" w:themeColor="text1"/>
        </w:rPr>
        <w:t>2024</w:t>
      </w:r>
      <w:r>
        <w:rPr>
          <w:rFonts w:ascii="Times New Roman" w:eastAsia="宋体" w:cs="Times New Roman" w:hint="eastAsia"/>
          <w:color w:val="000000" w:themeColor="text1"/>
        </w:rPr>
        <w:t>年</w:t>
      </w:r>
      <w:r>
        <w:rPr>
          <w:rFonts w:ascii="Times New Roman" w:eastAsia="宋体" w:cs="Times New Roman" w:hint="eastAsia"/>
          <w:color w:val="000000" w:themeColor="text1"/>
        </w:rPr>
        <w:t>4</w:t>
      </w:r>
      <w:r>
        <w:rPr>
          <w:rFonts w:ascii="Times New Roman" w:eastAsia="宋体" w:cs="Times New Roman" w:hint="eastAsia"/>
          <w:color w:val="000000" w:themeColor="text1"/>
        </w:rPr>
        <w:t>月</w:t>
      </w:r>
    </w:p>
    <w:p w14:paraId="6902185B" w14:textId="77777777" w:rsidR="002E0859" w:rsidRDefault="00000000">
      <w:pPr>
        <w:ind w:firstLine="480"/>
        <w:rPr>
          <w:color w:val="000000" w:themeColor="text1"/>
          <w:kern w:val="0"/>
          <w:sz w:val="24"/>
          <w:szCs w:val="24"/>
        </w:rPr>
      </w:pPr>
      <w:r>
        <w:rPr>
          <w:color w:val="000000" w:themeColor="text1"/>
          <w:kern w:val="0"/>
          <w:sz w:val="24"/>
          <w:szCs w:val="24"/>
        </w:rPr>
        <w:br w:type="page"/>
      </w:r>
    </w:p>
    <w:p w14:paraId="106D5425" w14:textId="77777777" w:rsidR="002E0859" w:rsidRDefault="002E0859">
      <w:pPr>
        <w:spacing w:line="360" w:lineRule="auto"/>
        <w:ind w:firstLine="480"/>
        <w:rPr>
          <w:color w:val="000000" w:themeColor="text1"/>
          <w:kern w:val="0"/>
          <w:sz w:val="24"/>
          <w:szCs w:val="24"/>
        </w:rPr>
        <w:sectPr w:rsidR="002E0859">
          <w:headerReference w:type="default" r:id="rId10"/>
          <w:footerReference w:type="default" r:id="rId11"/>
          <w:headerReference w:type="first" r:id="rId12"/>
          <w:footerReference w:type="first" r:id="rId13"/>
          <w:pgSz w:w="11905" w:h="16838"/>
          <w:pgMar w:top="1417" w:right="1134" w:bottom="1134" w:left="1587" w:header="794" w:footer="992" w:gutter="0"/>
          <w:cols w:space="0"/>
          <w:docGrid w:linePitch="312"/>
        </w:sectPr>
      </w:pPr>
    </w:p>
    <w:p w14:paraId="4D41D74C" w14:textId="77777777" w:rsidR="002E0859" w:rsidRDefault="002E0859">
      <w:pPr>
        <w:spacing w:line="360" w:lineRule="auto"/>
        <w:ind w:firstLine="480"/>
        <w:rPr>
          <w:color w:val="000000" w:themeColor="text1"/>
          <w:kern w:val="0"/>
          <w:sz w:val="24"/>
          <w:szCs w:val="24"/>
        </w:rPr>
        <w:sectPr w:rsidR="002E0859">
          <w:headerReference w:type="default" r:id="rId14"/>
          <w:pgSz w:w="11905" w:h="16838"/>
          <w:pgMar w:top="1417" w:right="1134" w:bottom="1134" w:left="1587" w:header="794" w:footer="992" w:gutter="0"/>
          <w:cols w:space="0"/>
          <w:docGrid w:linePitch="312"/>
        </w:sectPr>
      </w:pPr>
    </w:p>
    <w:sdt>
      <w:sdtPr>
        <w:rPr>
          <w:color w:val="000000" w:themeColor="text1"/>
          <w:sz w:val="21"/>
        </w:rPr>
        <w:id w:val="147471007"/>
        <w15:color w:val="DBDBDB"/>
        <w:docPartObj>
          <w:docPartGallery w:val="Table of Contents"/>
          <w:docPartUnique/>
        </w:docPartObj>
      </w:sdtPr>
      <w:sdtEndPr>
        <w:rPr>
          <w:rFonts w:eastAsia="黑体"/>
          <w:b/>
          <w:sz w:val="24"/>
          <w:szCs w:val="24"/>
        </w:rPr>
      </w:sdtEndPr>
      <w:sdtContent>
        <w:p w14:paraId="71ED5FDD" w14:textId="77777777" w:rsidR="002E0859" w:rsidRDefault="00000000">
          <w:pPr>
            <w:spacing w:line="240" w:lineRule="auto"/>
            <w:ind w:firstLineChars="0" w:firstLine="0"/>
            <w:jc w:val="center"/>
            <w:rPr>
              <w:color w:val="000000" w:themeColor="text1"/>
            </w:rPr>
          </w:pPr>
          <w:r>
            <w:rPr>
              <w:rFonts w:eastAsia="黑体"/>
              <w:color w:val="000000" w:themeColor="text1"/>
              <w:sz w:val="32"/>
              <w:szCs w:val="32"/>
            </w:rPr>
            <w:t>目录</w:t>
          </w:r>
        </w:p>
        <w:p w14:paraId="3A8398A6" w14:textId="77777777" w:rsidR="002E0859" w:rsidRDefault="00000000">
          <w:pPr>
            <w:pStyle w:val="TOC1"/>
            <w:tabs>
              <w:tab w:val="right" w:leader="dot" w:pos="9184"/>
            </w:tabs>
            <w:spacing w:line="360" w:lineRule="auto"/>
            <w:ind w:firstLineChars="0" w:firstLine="0"/>
            <w:rPr>
              <w:color w:val="000000" w:themeColor="text1"/>
              <w:sz w:val="21"/>
            </w:rPr>
          </w:pPr>
          <w:r>
            <w:rPr>
              <w:color w:val="000000" w:themeColor="text1"/>
              <w:sz w:val="21"/>
              <w:szCs w:val="24"/>
            </w:rPr>
            <w:fldChar w:fldCharType="begin"/>
          </w:r>
          <w:r>
            <w:rPr>
              <w:color w:val="000000" w:themeColor="text1"/>
              <w:sz w:val="21"/>
              <w:szCs w:val="24"/>
            </w:rPr>
            <w:instrText xml:space="preserve">TOC \o "1-2" \h \u </w:instrText>
          </w:r>
          <w:r>
            <w:rPr>
              <w:color w:val="000000" w:themeColor="text1"/>
              <w:sz w:val="21"/>
              <w:szCs w:val="24"/>
            </w:rPr>
            <w:fldChar w:fldCharType="separate"/>
          </w:r>
          <w:hyperlink w:anchor="_Toc11403" w:history="1">
            <w:r>
              <w:rPr>
                <w:color w:val="000000" w:themeColor="text1"/>
                <w:sz w:val="21"/>
              </w:rPr>
              <w:t xml:space="preserve">1 </w:t>
            </w:r>
            <w:r>
              <w:rPr>
                <w:color w:val="000000" w:themeColor="text1"/>
                <w:sz w:val="21"/>
              </w:rPr>
              <w:t>概述</w:t>
            </w:r>
            <w:r>
              <w:rPr>
                <w:color w:val="000000" w:themeColor="text1"/>
                <w:sz w:val="21"/>
              </w:rPr>
              <w:tab/>
            </w:r>
            <w:r>
              <w:rPr>
                <w:color w:val="000000" w:themeColor="text1"/>
                <w:sz w:val="21"/>
              </w:rPr>
              <w:fldChar w:fldCharType="begin"/>
            </w:r>
            <w:r>
              <w:rPr>
                <w:color w:val="000000" w:themeColor="text1"/>
                <w:sz w:val="21"/>
              </w:rPr>
              <w:instrText xml:space="preserve"> PAGEREF _Toc11403 \h </w:instrText>
            </w:r>
            <w:r>
              <w:rPr>
                <w:color w:val="000000" w:themeColor="text1"/>
                <w:sz w:val="21"/>
              </w:rPr>
            </w:r>
            <w:r>
              <w:rPr>
                <w:color w:val="000000" w:themeColor="text1"/>
                <w:sz w:val="21"/>
              </w:rPr>
              <w:fldChar w:fldCharType="separate"/>
            </w:r>
            <w:r>
              <w:rPr>
                <w:color w:val="000000" w:themeColor="text1"/>
                <w:sz w:val="21"/>
              </w:rPr>
              <w:t>9</w:t>
            </w:r>
            <w:r>
              <w:rPr>
                <w:color w:val="000000" w:themeColor="text1"/>
                <w:sz w:val="21"/>
              </w:rPr>
              <w:fldChar w:fldCharType="end"/>
            </w:r>
          </w:hyperlink>
        </w:p>
        <w:p w14:paraId="6583D96A" w14:textId="77777777" w:rsidR="002E0859" w:rsidRDefault="00000000">
          <w:pPr>
            <w:pStyle w:val="TOC2"/>
            <w:tabs>
              <w:tab w:val="right" w:leader="dot" w:pos="9184"/>
            </w:tabs>
            <w:spacing w:line="360" w:lineRule="auto"/>
            <w:ind w:leftChars="0" w:left="0" w:firstLine="420"/>
            <w:rPr>
              <w:color w:val="000000" w:themeColor="text1"/>
              <w:sz w:val="21"/>
            </w:rPr>
          </w:pPr>
          <w:hyperlink w:anchor="_Toc29250" w:history="1">
            <w:r>
              <w:rPr>
                <w:color w:val="000000" w:themeColor="text1"/>
                <w:sz w:val="21"/>
              </w:rPr>
              <w:t xml:space="preserve">1.1 </w:t>
            </w:r>
            <w:r>
              <w:rPr>
                <w:color w:val="000000" w:themeColor="text1"/>
                <w:sz w:val="21"/>
              </w:rPr>
              <w:t>评价目的</w:t>
            </w:r>
            <w:r>
              <w:rPr>
                <w:color w:val="000000" w:themeColor="text1"/>
                <w:sz w:val="21"/>
              </w:rPr>
              <w:tab/>
            </w:r>
            <w:r>
              <w:rPr>
                <w:color w:val="000000" w:themeColor="text1"/>
                <w:sz w:val="21"/>
              </w:rPr>
              <w:fldChar w:fldCharType="begin"/>
            </w:r>
            <w:r>
              <w:rPr>
                <w:color w:val="000000" w:themeColor="text1"/>
                <w:sz w:val="21"/>
              </w:rPr>
              <w:instrText xml:space="preserve"> PAGEREF _Toc29250 \h </w:instrText>
            </w:r>
            <w:r>
              <w:rPr>
                <w:color w:val="000000" w:themeColor="text1"/>
                <w:sz w:val="21"/>
              </w:rPr>
            </w:r>
            <w:r>
              <w:rPr>
                <w:color w:val="000000" w:themeColor="text1"/>
                <w:sz w:val="21"/>
              </w:rPr>
              <w:fldChar w:fldCharType="separate"/>
            </w:r>
            <w:r>
              <w:rPr>
                <w:color w:val="000000" w:themeColor="text1"/>
                <w:sz w:val="21"/>
              </w:rPr>
              <w:t>9</w:t>
            </w:r>
            <w:r>
              <w:rPr>
                <w:color w:val="000000" w:themeColor="text1"/>
                <w:sz w:val="21"/>
              </w:rPr>
              <w:fldChar w:fldCharType="end"/>
            </w:r>
          </w:hyperlink>
        </w:p>
        <w:p w14:paraId="0E38B1CB" w14:textId="77777777" w:rsidR="002E0859" w:rsidRDefault="00000000">
          <w:pPr>
            <w:pStyle w:val="TOC2"/>
            <w:tabs>
              <w:tab w:val="right" w:leader="dot" w:pos="9184"/>
            </w:tabs>
            <w:spacing w:line="360" w:lineRule="auto"/>
            <w:ind w:leftChars="0" w:left="0" w:firstLine="420"/>
            <w:rPr>
              <w:color w:val="000000" w:themeColor="text1"/>
              <w:sz w:val="21"/>
            </w:rPr>
          </w:pPr>
          <w:hyperlink w:anchor="_Toc616" w:history="1">
            <w:r>
              <w:rPr>
                <w:color w:val="000000" w:themeColor="text1"/>
                <w:sz w:val="21"/>
              </w:rPr>
              <w:t xml:space="preserve">1.2 </w:t>
            </w:r>
            <w:r>
              <w:rPr>
                <w:color w:val="000000" w:themeColor="text1"/>
                <w:sz w:val="21"/>
              </w:rPr>
              <w:t>评价依据</w:t>
            </w:r>
            <w:r>
              <w:rPr>
                <w:color w:val="000000" w:themeColor="text1"/>
                <w:sz w:val="21"/>
              </w:rPr>
              <w:tab/>
            </w:r>
            <w:r>
              <w:rPr>
                <w:color w:val="000000" w:themeColor="text1"/>
                <w:sz w:val="21"/>
              </w:rPr>
              <w:fldChar w:fldCharType="begin"/>
            </w:r>
            <w:r>
              <w:rPr>
                <w:color w:val="000000" w:themeColor="text1"/>
                <w:sz w:val="21"/>
              </w:rPr>
              <w:instrText xml:space="preserve"> PAGEREF _Toc616 \h </w:instrText>
            </w:r>
            <w:r>
              <w:rPr>
                <w:color w:val="000000" w:themeColor="text1"/>
                <w:sz w:val="21"/>
              </w:rPr>
            </w:r>
            <w:r>
              <w:rPr>
                <w:color w:val="000000" w:themeColor="text1"/>
                <w:sz w:val="21"/>
              </w:rPr>
              <w:fldChar w:fldCharType="separate"/>
            </w:r>
            <w:r>
              <w:rPr>
                <w:color w:val="000000" w:themeColor="text1"/>
                <w:sz w:val="21"/>
              </w:rPr>
              <w:t>9</w:t>
            </w:r>
            <w:r>
              <w:rPr>
                <w:color w:val="000000" w:themeColor="text1"/>
                <w:sz w:val="21"/>
              </w:rPr>
              <w:fldChar w:fldCharType="end"/>
            </w:r>
          </w:hyperlink>
        </w:p>
        <w:p w14:paraId="30097D02" w14:textId="77777777" w:rsidR="002E0859" w:rsidRDefault="00000000">
          <w:pPr>
            <w:pStyle w:val="TOC2"/>
            <w:tabs>
              <w:tab w:val="right" w:leader="dot" w:pos="9184"/>
            </w:tabs>
            <w:spacing w:line="360" w:lineRule="auto"/>
            <w:ind w:leftChars="0" w:left="0" w:firstLine="420"/>
            <w:rPr>
              <w:color w:val="000000" w:themeColor="text1"/>
              <w:sz w:val="21"/>
            </w:rPr>
          </w:pPr>
          <w:hyperlink w:anchor="_Toc20740" w:history="1">
            <w:r>
              <w:rPr>
                <w:color w:val="000000" w:themeColor="text1"/>
                <w:sz w:val="21"/>
              </w:rPr>
              <w:t xml:space="preserve">1.3 </w:t>
            </w:r>
            <w:r>
              <w:rPr>
                <w:color w:val="000000" w:themeColor="text1"/>
                <w:sz w:val="21"/>
              </w:rPr>
              <w:t>评价范围</w:t>
            </w:r>
            <w:r>
              <w:rPr>
                <w:color w:val="000000" w:themeColor="text1"/>
                <w:sz w:val="21"/>
              </w:rPr>
              <w:tab/>
            </w:r>
            <w:r>
              <w:rPr>
                <w:color w:val="000000" w:themeColor="text1"/>
                <w:sz w:val="21"/>
              </w:rPr>
              <w:fldChar w:fldCharType="begin"/>
            </w:r>
            <w:r>
              <w:rPr>
                <w:color w:val="000000" w:themeColor="text1"/>
                <w:sz w:val="21"/>
              </w:rPr>
              <w:instrText xml:space="preserve"> PAGEREF _Toc20740 \h </w:instrText>
            </w:r>
            <w:r>
              <w:rPr>
                <w:color w:val="000000" w:themeColor="text1"/>
                <w:sz w:val="21"/>
              </w:rPr>
            </w:r>
            <w:r>
              <w:rPr>
                <w:color w:val="000000" w:themeColor="text1"/>
                <w:sz w:val="21"/>
              </w:rPr>
              <w:fldChar w:fldCharType="separate"/>
            </w:r>
            <w:r>
              <w:rPr>
                <w:color w:val="000000" w:themeColor="text1"/>
                <w:sz w:val="21"/>
              </w:rPr>
              <w:t>19</w:t>
            </w:r>
            <w:r>
              <w:rPr>
                <w:color w:val="000000" w:themeColor="text1"/>
                <w:sz w:val="21"/>
              </w:rPr>
              <w:fldChar w:fldCharType="end"/>
            </w:r>
          </w:hyperlink>
        </w:p>
        <w:p w14:paraId="770D7B68" w14:textId="77777777" w:rsidR="002E0859" w:rsidRDefault="00000000">
          <w:pPr>
            <w:pStyle w:val="TOC2"/>
            <w:tabs>
              <w:tab w:val="right" w:leader="dot" w:pos="9184"/>
            </w:tabs>
            <w:spacing w:line="360" w:lineRule="auto"/>
            <w:ind w:leftChars="0" w:left="0" w:firstLine="420"/>
            <w:rPr>
              <w:color w:val="000000" w:themeColor="text1"/>
              <w:sz w:val="21"/>
            </w:rPr>
          </w:pPr>
          <w:hyperlink w:anchor="_Toc16188" w:history="1">
            <w:r>
              <w:rPr>
                <w:color w:val="000000" w:themeColor="text1"/>
                <w:sz w:val="21"/>
              </w:rPr>
              <w:t xml:space="preserve">1.4 </w:t>
            </w:r>
            <w:r>
              <w:rPr>
                <w:color w:val="000000" w:themeColor="text1"/>
                <w:sz w:val="21"/>
              </w:rPr>
              <w:t>评价</w:t>
            </w:r>
            <w:r>
              <w:rPr>
                <w:rFonts w:hint="eastAsia"/>
                <w:color w:val="000000" w:themeColor="text1"/>
                <w:sz w:val="21"/>
              </w:rPr>
              <w:t>程序</w:t>
            </w:r>
            <w:r>
              <w:rPr>
                <w:color w:val="000000" w:themeColor="text1"/>
                <w:sz w:val="21"/>
              </w:rPr>
              <w:tab/>
            </w:r>
            <w:r>
              <w:rPr>
                <w:color w:val="000000" w:themeColor="text1"/>
                <w:sz w:val="21"/>
              </w:rPr>
              <w:fldChar w:fldCharType="begin"/>
            </w:r>
            <w:r>
              <w:rPr>
                <w:color w:val="000000" w:themeColor="text1"/>
                <w:sz w:val="21"/>
              </w:rPr>
              <w:instrText xml:space="preserve"> PAGEREF _Toc16188 \h </w:instrText>
            </w:r>
            <w:r>
              <w:rPr>
                <w:color w:val="000000" w:themeColor="text1"/>
                <w:sz w:val="21"/>
              </w:rPr>
            </w:r>
            <w:r>
              <w:rPr>
                <w:color w:val="000000" w:themeColor="text1"/>
                <w:sz w:val="21"/>
              </w:rPr>
              <w:fldChar w:fldCharType="separate"/>
            </w:r>
            <w:r>
              <w:rPr>
                <w:color w:val="000000" w:themeColor="text1"/>
                <w:sz w:val="21"/>
              </w:rPr>
              <w:t>20</w:t>
            </w:r>
            <w:r>
              <w:rPr>
                <w:color w:val="000000" w:themeColor="text1"/>
                <w:sz w:val="21"/>
              </w:rPr>
              <w:fldChar w:fldCharType="end"/>
            </w:r>
          </w:hyperlink>
        </w:p>
        <w:p w14:paraId="5B444223" w14:textId="77777777" w:rsidR="002E0859" w:rsidRDefault="00000000">
          <w:pPr>
            <w:pStyle w:val="TOC1"/>
            <w:tabs>
              <w:tab w:val="right" w:leader="dot" w:pos="9184"/>
            </w:tabs>
            <w:spacing w:line="360" w:lineRule="auto"/>
            <w:ind w:firstLineChars="0" w:firstLine="0"/>
            <w:rPr>
              <w:color w:val="000000" w:themeColor="text1"/>
              <w:sz w:val="21"/>
            </w:rPr>
          </w:pPr>
          <w:hyperlink w:anchor="_Toc8416" w:history="1">
            <w:r>
              <w:rPr>
                <w:color w:val="000000" w:themeColor="text1"/>
                <w:sz w:val="21"/>
              </w:rPr>
              <w:t xml:space="preserve">2 </w:t>
            </w:r>
            <w:r>
              <w:rPr>
                <w:rFonts w:hint="eastAsia"/>
                <w:color w:val="000000" w:themeColor="text1"/>
                <w:sz w:val="21"/>
              </w:rPr>
              <w:t>建设项目概况</w:t>
            </w:r>
            <w:r>
              <w:rPr>
                <w:color w:val="000000" w:themeColor="text1"/>
                <w:sz w:val="21"/>
              </w:rPr>
              <w:tab/>
            </w:r>
            <w:r>
              <w:rPr>
                <w:color w:val="000000" w:themeColor="text1"/>
                <w:sz w:val="21"/>
              </w:rPr>
              <w:fldChar w:fldCharType="begin"/>
            </w:r>
            <w:r>
              <w:rPr>
                <w:color w:val="000000" w:themeColor="text1"/>
                <w:sz w:val="21"/>
              </w:rPr>
              <w:instrText xml:space="preserve"> PAGEREF _Toc8416 \h </w:instrText>
            </w:r>
            <w:r>
              <w:rPr>
                <w:color w:val="000000" w:themeColor="text1"/>
                <w:sz w:val="21"/>
              </w:rPr>
            </w:r>
            <w:r>
              <w:rPr>
                <w:color w:val="000000" w:themeColor="text1"/>
                <w:sz w:val="21"/>
              </w:rPr>
              <w:fldChar w:fldCharType="separate"/>
            </w:r>
            <w:r>
              <w:rPr>
                <w:color w:val="000000" w:themeColor="text1"/>
                <w:sz w:val="21"/>
              </w:rPr>
              <w:t>22</w:t>
            </w:r>
            <w:r>
              <w:rPr>
                <w:color w:val="000000" w:themeColor="text1"/>
                <w:sz w:val="21"/>
              </w:rPr>
              <w:fldChar w:fldCharType="end"/>
            </w:r>
          </w:hyperlink>
        </w:p>
        <w:p w14:paraId="64AA0E35"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1981" w:history="1">
            <w:r>
              <w:rPr>
                <w:color w:val="000000" w:themeColor="text1"/>
                <w:sz w:val="21"/>
                <w:szCs w:val="24"/>
              </w:rPr>
              <w:t xml:space="preserve">2.1 </w:t>
            </w:r>
            <w:r>
              <w:rPr>
                <w:rFonts w:hint="eastAsia"/>
                <w:color w:val="000000" w:themeColor="text1"/>
                <w:sz w:val="21"/>
                <w:szCs w:val="24"/>
              </w:rPr>
              <w:t>建设项目基本情况</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_Toc1981 \h </w:instrText>
            </w:r>
            <w:r>
              <w:rPr>
                <w:color w:val="000000" w:themeColor="text1"/>
                <w:sz w:val="21"/>
                <w:szCs w:val="24"/>
              </w:rPr>
            </w:r>
            <w:r>
              <w:rPr>
                <w:color w:val="000000" w:themeColor="text1"/>
                <w:sz w:val="21"/>
                <w:szCs w:val="24"/>
              </w:rPr>
              <w:fldChar w:fldCharType="separate"/>
            </w:r>
            <w:r>
              <w:rPr>
                <w:color w:val="000000" w:themeColor="text1"/>
                <w:sz w:val="21"/>
                <w:szCs w:val="24"/>
              </w:rPr>
              <w:t>22</w:t>
            </w:r>
            <w:r>
              <w:rPr>
                <w:color w:val="000000" w:themeColor="text1"/>
                <w:sz w:val="21"/>
                <w:szCs w:val="24"/>
              </w:rPr>
              <w:fldChar w:fldCharType="end"/>
            </w:r>
          </w:hyperlink>
        </w:p>
        <w:p w14:paraId="6AEFEAC2"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15798" w:history="1">
            <w:r>
              <w:rPr>
                <w:color w:val="000000" w:themeColor="text1"/>
                <w:sz w:val="21"/>
                <w:szCs w:val="24"/>
              </w:rPr>
              <w:t xml:space="preserve">2.2 </w:t>
            </w:r>
            <w:r>
              <w:rPr>
                <w:rFonts w:hint="eastAsia"/>
                <w:color w:val="000000" w:themeColor="text1"/>
                <w:sz w:val="21"/>
                <w:szCs w:val="24"/>
              </w:rPr>
              <w:t>自然和社会环境概况</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_Toc15798 \h </w:instrText>
            </w:r>
            <w:r>
              <w:rPr>
                <w:color w:val="000000" w:themeColor="text1"/>
                <w:sz w:val="21"/>
                <w:szCs w:val="24"/>
              </w:rPr>
            </w:r>
            <w:r>
              <w:rPr>
                <w:color w:val="000000" w:themeColor="text1"/>
                <w:sz w:val="21"/>
                <w:szCs w:val="24"/>
              </w:rPr>
              <w:fldChar w:fldCharType="separate"/>
            </w:r>
            <w:r>
              <w:rPr>
                <w:color w:val="000000" w:themeColor="text1"/>
                <w:sz w:val="21"/>
                <w:szCs w:val="24"/>
              </w:rPr>
              <w:t>23</w:t>
            </w:r>
            <w:r>
              <w:rPr>
                <w:color w:val="000000" w:themeColor="text1"/>
                <w:sz w:val="21"/>
                <w:szCs w:val="24"/>
              </w:rPr>
              <w:fldChar w:fldCharType="end"/>
            </w:r>
          </w:hyperlink>
        </w:p>
        <w:p w14:paraId="110DF6B6"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9260" w:history="1">
            <w:r>
              <w:rPr>
                <w:color w:val="000000" w:themeColor="text1"/>
                <w:sz w:val="21"/>
                <w:szCs w:val="24"/>
              </w:rPr>
              <w:t xml:space="preserve">2.3 </w:t>
            </w:r>
            <w:r>
              <w:rPr>
                <w:rFonts w:hint="eastAsia"/>
                <w:color w:val="000000" w:themeColor="text1"/>
                <w:sz w:val="21"/>
                <w:szCs w:val="24"/>
              </w:rPr>
              <w:t>开发方案及气藏概况</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_Toc29260 \h </w:instrText>
            </w:r>
            <w:r>
              <w:rPr>
                <w:color w:val="000000" w:themeColor="text1"/>
                <w:sz w:val="21"/>
                <w:szCs w:val="24"/>
              </w:rPr>
            </w:r>
            <w:r>
              <w:rPr>
                <w:color w:val="000000" w:themeColor="text1"/>
                <w:sz w:val="21"/>
                <w:szCs w:val="24"/>
              </w:rPr>
              <w:fldChar w:fldCharType="separate"/>
            </w:r>
            <w:r>
              <w:rPr>
                <w:color w:val="000000" w:themeColor="text1"/>
                <w:sz w:val="21"/>
                <w:szCs w:val="24"/>
              </w:rPr>
              <w:t>26</w:t>
            </w:r>
            <w:r>
              <w:rPr>
                <w:color w:val="000000" w:themeColor="text1"/>
                <w:sz w:val="21"/>
                <w:szCs w:val="24"/>
              </w:rPr>
              <w:fldChar w:fldCharType="end"/>
            </w:r>
          </w:hyperlink>
        </w:p>
        <w:p w14:paraId="5FBE5CB0"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0090" w:history="1">
            <w:r>
              <w:rPr>
                <w:color w:val="000000" w:themeColor="text1"/>
                <w:sz w:val="21"/>
                <w:szCs w:val="24"/>
              </w:rPr>
              <w:t xml:space="preserve">2.4 </w:t>
            </w:r>
            <w:r>
              <w:rPr>
                <w:rFonts w:hint="eastAsia"/>
                <w:color w:val="000000" w:themeColor="text1"/>
                <w:sz w:val="21"/>
                <w:szCs w:val="24"/>
              </w:rPr>
              <w:t>钻井工程</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_Toc20090 \h </w:instrText>
            </w:r>
            <w:r>
              <w:rPr>
                <w:color w:val="000000" w:themeColor="text1"/>
                <w:sz w:val="21"/>
                <w:szCs w:val="24"/>
              </w:rPr>
            </w:r>
            <w:r>
              <w:rPr>
                <w:color w:val="000000" w:themeColor="text1"/>
                <w:sz w:val="21"/>
                <w:szCs w:val="24"/>
              </w:rPr>
              <w:fldChar w:fldCharType="separate"/>
            </w:r>
            <w:r>
              <w:rPr>
                <w:color w:val="000000" w:themeColor="text1"/>
                <w:sz w:val="21"/>
                <w:szCs w:val="24"/>
              </w:rPr>
              <w:t>34</w:t>
            </w:r>
            <w:r>
              <w:rPr>
                <w:color w:val="000000" w:themeColor="text1"/>
                <w:sz w:val="21"/>
                <w:szCs w:val="24"/>
              </w:rPr>
              <w:fldChar w:fldCharType="end"/>
            </w:r>
          </w:hyperlink>
        </w:p>
        <w:p w14:paraId="24F6AB19"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5077" w:history="1">
            <w:r>
              <w:rPr>
                <w:color w:val="000000" w:themeColor="text1"/>
                <w:sz w:val="21"/>
                <w:szCs w:val="24"/>
              </w:rPr>
              <w:t xml:space="preserve">2.5 </w:t>
            </w:r>
            <w:r>
              <w:rPr>
                <w:rFonts w:hint="eastAsia"/>
                <w:color w:val="000000" w:themeColor="text1"/>
                <w:sz w:val="21"/>
                <w:szCs w:val="24"/>
              </w:rPr>
              <w:t>采气工程</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_Toc5077 \h </w:instrText>
            </w:r>
            <w:r>
              <w:rPr>
                <w:color w:val="000000" w:themeColor="text1"/>
                <w:sz w:val="21"/>
                <w:szCs w:val="24"/>
              </w:rPr>
            </w:r>
            <w:r>
              <w:rPr>
                <w:color w:val="000000" w:themeColor="text1"/>
                <w:sz w:val="21"/>
                <w:szCs w:val="24"/>
              </w:rPr>
              <w:fldChar w:fldCharType="separate"/>
            </w:r>
            <w:r>
              <w:rPr>
                <w:color w:val="000000" w:themeColor="text1"/>
                <w:sz w:val="21"/>
                <w:szCs w:val="24"/>
              </w:rPr>
              <w:t>48</w:t>
            </w:r>
            <w:r>
              <w:rPr>
                <w:color w:val="000000" w:themeColor="text1"/>
                <w:sz w:val="21"/>
                <w:szCs w:val="24"/>
              </w:rPr>
              <w:fldChar w:fldCharType="end"/>
            </w:r>
          </w:hyperlink>
        </w:p>
        <w:p w14:paraId="260EABC9"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7937" w:history="1">
            <w:r>
              <w:rPr>
                <w:color w:val="000000" w:themeColor="text1"/>
                <w:sz w:val="21"/>
                <w:szCs w:val="24"/>
              </w:rPr>
              <w:t xml:space="preserve">2.6 </w:t>
            </w:r>
            <w:r>
              <w:rPr>
                <w:rFonts w:hint="eastAsia"/>
                <w:color w:val="000000" w:themeColor="text1"/>
                <w:sz w:val="21"/>
                <w:szCs w:val="24"/>
              </w:rPr>
              <w:t>集输工程</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_Toc7937 \h </w:instrText>
            </w:r>
            <w:r>
              <w:rPr>
                <w:color w:val="000000" w:themeColor="text1"/>
                <w:sz w:val="21"/>
                <w:szCs w:val="24"/>
              </w:rPr>
            </w:r>
            <w:r>
              <w:rPr>
                <w:color w:val="000000" w:themeColor="text1"/>
                <w:sz w:val="21"/>
                <w:szCs w:val="24"/>
              </w:rPr>
              <w:fldChar w:fldCharType="separate"/>
            </w:r>
            <w:r>
              <w:rPr>
                <w:color w:val="000000" w:themeColor="text1"/>
                <w:sz w:val="21"/>
                <w:szCs w:val="24"/>
              </w:rPr>
              <w:t>65</w:t>
            </w:r>
            <w:r>
              <w:rPr>
                <w:color w:val="000000" w:themeColor="text1"/>
                <w:sz w:val="21"/>
                <w:szCs w:val="24"/>
              </w:rPr>
              <w:fldChar w:fldCharType="end"/>
            </w:r>
          </w:hyperlink>
        </w:p>
        <w:p w14:paraId="1BE0FF5C"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8911" w:history="1">
            <w:r>
              <w:rPr>
                <w:color w:val="000000" w:themeColor="text1"/>
                <w:sz w:val="21"/>
                <w:szCs w:val="24"/>
              </w:rPr>
              <w:t xml:space="preserve">2.7 </w:t>
            </w:r>
            <w:r>
              <w:rPr>
                <w:rFonts w:hint="eastAsia"/>
                <w:color w:val="000000" w:themeColor="text1"/>
                <w:sz w:val="21"/>
                <w:szCs w:val="24"/>
              </w:rPr>
              <w:t>采出水处理</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_Toc28911 \h </w:instrText>
            </w:r>
            <w:r>
              <w:rPr>
                <w:color w:val="000000" w:themeColor="text1"/>
                <w:sz w:val="21"/>
                <w:szCs w:val="24"/>
              </w:rPr>
            </w:r>
            <w:r>
              <w:rPr>
                <w:color w:val="000000" w:themeColor="text1"/>
                <w:sz w:val="21"/>
                <w:szCs w:val="24"/>
              </w:rPr>
              <w:fldChar w:fldCharType="separate"/>
            </w:r>
            <w:r>
              <w:rPr>
                <w:color w:val="000000" w:themeColor="text1"/>
                <w:sz w:val="21"/>
                <w:szCs w:val="24"/>
              </w:rPr>
              <w:t>67</w:t>
            </w:r>
            <w:r>
              <w:rPr>
                <w:color w:val="000000" w:themeColor="text1"/>
                <w:sz w:val="21"/>
                <w:szCs w:val="24"/>
              </w:rPr>
              <w:fldChar w:fldCharType="end"/>
            </w:r>
          </w:hyperlink>
        </w:p>
        <w:p w14:paraId="21B12EE3"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0803" w:history="1">
            <w:r>
              <w:rPr>
                <w:color w:val="000000" w:themeColor="text1"/>
                <w:sz w:val="21"/>
                <w:szCs w:val="24"/>
              </w:rPr>
              <w:t xml:space="preserve">2.8 </w:t>
            </w:r>
            <w:r>
              <w:rPr>
                <w:rFonts w:hint="eastAsia"/>
                <w:color w:val="000000" w:themeColor="text1"/>
                <w:sz w:val="21"/>
                <w:szCs w:val="24"/>
              </w:rPr>
              <w:t>公用工程及辅助生产设施</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_Toc20803 \h </w:instrText>
            </w:r>
            <w:r>
              <w:rPr>
                <w:color w:val="000000" w:themeColor="text1"/>
                <w:sz w:val="21"/>
                <w:szCs w:val="24"/>
              </w:rPr>
            </w:r>
            <w:r>
              <w:rPr>
                <w:color w:val="000000" w:themeColor="text1"/>
                <w:sz w:val="21"/>
                <w:szCs w:val="24"/>
              </w:rPr>
              <w:fldChar w:fldCharType="separate"/>
            </w:r>
            <w:r>
              <w:rPr>
                <w:color w:val="000000" w:themeColor="text1"/>
                <w:sz w:val="21"/>
                <w:szCs w:val="24"/>
              </w:rPr>
              <w:t>68</w:t>
            </w:r>
            <w:r>
              <w:rPr>
                <w:color w:val="000000" w:themeColor="text1"/>
                <w:sz w:val="21"/>
                <w:szCs w:val="24"/>
              </w:rPr>
              <w:fldChar w:fldCharType="end"/>
            </w:r>
          </w:hyperlink>
        </w:p>
        <w:p w14:paraId="2560725D" w14:textId="77777777" w:rsidR="002E0859" w:rsidRDefault="00000000">
          <w:pPr>
            <w:pStyle w:val="TOC2"/>
            <w:tabs>
              <w:tab w:val="right" w:leader="dot" w:pos="9184"/>
            </w:tabs>
            <w:spacing w:line="360" w:lineRule="auto"/>
            <w:ind w:leftChars="0" w:left="0" w:firstLine="420"/>
            <w:rPr>
              <w:color w:val="000000" w:themeColor="text1"/>
              <w:sz w:val="21"/>
            </w:rPr>
          </w:pPr>
          <w:hyperlink w:anchor="_Toc23714" w:history="1">
            <w:r>
              <w:rPr>
                <w:color w:val="000000" w:themeColor="text1"/>
                <w:sz w:val="21"/>
                <w:szCs w:val="24"/>
              </w:rPr>
              <w:t xml:space="preserve">2.9 </w:t>
            </w:r>
            <w:r>
              <w:rPr>
                <w:rFonts w:hint="eastAsia"/>
                <w:color w:val="000000" w:themeColor="text1"/>
                <w:sz w:val="21"/>
                <w:szCs w:val="24"/>
              </w:rPr>
              <w:t>安全管理情况</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_Toc23714 \h </w:instrText>
            </w:r>
            <w:r>
              <w:rPr>
                <w:color w:val="000000" w:themeColor="text1"/>
                <w:sz w:val="21"/>
                <w:szCs w:val="24"/>
              </w:rPr>
            </w:r>
            <w:r>
              <w:rPr>
                <w:color w:val="000000" w:themeColor="text1"/>
                <w:sz w:val="21"/>
                <w:szCs w:val="24"/>
              </w:rPr>
              <w:fldChar w:fldCharType="separate"/>
            </w:r>
            <w:r>
              <w:rPr>
                <w:color w:val="000000" w:themeColor="text1"/>
                <w:sz w:val="21"/>
                <w:szCs w:val="24"/>
              </w:rPr>
              <w:t>79</w:t>
            </w:r>
            <w:r>
              <w:rPr>
                <w:color w:val="000000" w:themeColor="text1"/>
                <w:sz w:val="21"/>
                <w:szCs w:val="24"/>
              </w:rPr>
              <w:fldChar w:fldCharType="end"/>
            </w:r>
          </w:hyperlink>
        </w:p>
        <w:p w14:paraId="00102099" w14:textId="77777777" w:rsidR="002E0859" w:rsidRDefault="00000000">
          <w:pPr>
            <w:pStyle w:val="TOC1"/>
            <w:tabs>
              <w:tab w:val="right" w:leader="dot" w:pos="9184"/>
            </w:tabs>
            <w:spacing w:line="360" w:lineRule="auto"/>
            <w:ind w:firstLineChars="0" w:firstLine="0"/>
            <w:rPr>
              <w:color w:val="000000" w:themeColor="text1"/>
              <w:sz w:val="21"/>
            </w:rPr>
          </w:pPr>
          <w:hyperlink w:anchor="_Toc26977" w:history="1">
            <w:r>
              <w:rPr>
                <w:color w:val="000000" w:themeColor="text1"/>
                <w:sz w:val="21"/>
              </w:rPr>
              <w:t xml:space="preserve">3 </w:t>
            </w:r>
            <w:r>
              <w:rPr>
                <w:rFonts w:hint="eastAsia"/>
                <w:color w:val="000000" w:themeColor="text1"/>
                <w:sz w:val="21"/>
              </w:rPr>
              <w:t>危险、有害因素辨识与分析</w:t>
            </w:r>
            <w:r>
              <w:rPr>
                <w:color w:val="000000" w:themeColor="text1"/>
                <w:sz w:val="21"/>
              </w:rPr>
              <w:tab/>
            </w:r>
            <w:r>
              <w:rPr>
                <w:color w:val="000000" w:themeColor="text1"/>
                <w:sz w:val="21"/>
              </w:rPr>
              <w:fldChar w:fldCharType="begin"/>
            </w:r>
            <w:r>
              <w:rPr>
                <w:color w:val="000000" w:themeColor="text1"/>
                <w:sz w:val="21"/>
              </w:rPr>
              <w:instrText xml:space="preserve"> PAGEREF _Toc26977 \h </w:instrText>
            </w:r>
            <w:r>
              <w:rPr>
                <w:color w:val="000000" w:themeColor="text1"/>
                <w:sz w:val="21"/>
              </w:rPr>
            </w:r>
            <w:r>
              <w:rPr>
                <w:color w:val="000000" w:themeColor="text1"/>
                <w:sz w:val="21"/>
              </w:rPr>
              <w:fldChar w:fldCharType="separate"/>
            </w:r>
            <w:r>
              <w:rPr>
                <w:color w:val="000000" w:themeColor="text1"/>
                <w:sz w:val="21"/>
              </w:rPr>
              <w:t>81</w:t>
            </w:r>
            <w:r>
              <w:rPr>
                <w:color w:val="000000" w:themeColor="text1"/>
                <w:sz w:val="21"/>
              </w:rPr>
              <w:fldChar w:fldCharType="end"/>
            </w:r>
          </w:hyperlink>
        </w:p>
        <w:p w14:paraId="05BF33A6"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3232" w:history="1">
            <w:r>
              <w:rPr>
                <w:color w:val="000000" w:themeColor="text1"/>
                <w:sz w:val="21"/>
                <w:szCs w:val="24"/>
              </w:rPr>
              <w:t xml:space="preserve">3.1 </w:t>
            </w:r>
            <w:r>
              <w:rPr>
                <w:rFonts w:hint="eastAsia"/>
                <w:color w:val="000000" w:themeColor="text1"/>
                <w:sz w:val="21"/>
                <w:szCs w:val="24"/>
              </w:rPr>
              <w:t>主要物质危险、有害因素分析</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_Toc23232 \h </w:instrText>
            </w:r>
            <w:r>
              <w:rPr>
                <w:color w:val="000000" w:themeColor="text1"/>
                <w:sz w:val="21"/>
                <w:szCs w:val="24"/>
              </w:rPr>
            </w:r>
            <w:r>
              <w:rPr>
                <w:color w:val="000000" w:themeColor="text1"/>
                <w:sz w:val="21"/>
                <w:szCs w:val="24"/>
              </w:rPr>
              <w:fldChar w:fldCharType="separate"/>
            </w:r>
            <w:r>
              <w:rPr>
                <w:color w:val="000000" w:themeColor="text1"/>
                <w:sz w:val="21"/>
                <w:szCs w:val="24"/>
              </w:rPr>
              <w:t>81</w:t>
            </w:r>
            <w:r>
              <w:rPr>
                <w:color w:val="000000" w:themeColor="text1"/>
                <w:sz w:val="21"/>
                <w:szCs w:val="24"/>
              </w:rPr>
              <w:fldChar w:fldCharType="end"/>
            </w:r>
          </w:hyperlink>
        </w:p>
        <w:p w14:paraId="132D2546"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4921" w:history="1">
            <w:r>
              <w:rPr>
                <w:color w:val="000000" w:themeColor="text1"/>
                <w:sz w:val="21"/>
                <w:szCs w:val="24"/>
              </w:rPr>
              <w:t xml:space="preserve">3.2 </w:t>
            </w:r>
            <w:r>
              <w:rPr>
                <w:color w:val="000000" w:themeColor="text1"/>
                <w:sz w:val="21"/>
                <w:szCs w:val="24"/>
              </w:rPr>
              <w:t>生产</w:t>
            </w:r>
            <w:r>
              <w:rPr>
                <w:rFonts w:hint="eastAsia"/>
                <w:color w:val="000000" w:themeColor="text1"/>
                <w:sz w:val="21"/>
                <w:szCs w:val="24"/>
              </w:rPr>
              <w:t>工艺</w:t>
            </w:r>
            <w:r>
              <w:rPr>
                <w:color w:val="000000" w:themeColor="text1"/>
                <w:sz w:val="21"/>
                <w:szCs w:val="24"/>
              </w:rPr>
              <w:t>及设备设施</w:t>
            </w:r>
            <w:r>
              <w:rPr>
                <w:rFonts w:hint="eastAsia"/>
                <w:color w:val="000000" w:themeColor="text1"/>
                <w:sz w:val="21"/>
                <w:szCs w:val="24"/>
              </w:rPr>
              <w:t>危险、有害因素分析</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_Toc4921 \h </w:instrText>
            </w:r>
            <w:r>
              <w:rPr>
                <w:color w:val="000000" w:themeColor="text1"/>
                <w:sz w:val="21"/>
                <w:szCs w:val="24"/>
              </w:rPr>
            </w:r>
            <w:r>
              <w:rPr>
                <w:color w:val="000000" w:themeColor="text1"/>
                <w:sz w:val="21"/>
                <w:szCs w:val="24"/>
              </w:rPr>
              <w:fldChar w:fldCharType="separate"/>
            </w:r>
            <w:r>
              <w:rPr>
                <w:color w:val="000000" w:themeColor="text1"/>
                <w:sz w:val="21"/>
                <w:szCs w:val="24"/>
              </w:rPr>
              <w:t>96</w:t>
            </w:r>
            <w:r>
              <w:rPr>
                <w:color w:val="000000" w:themeColor="text1"/>
                <w:sz w:val="21"/>
                <w:szCs w:val="24"/>
              </w:rPr>
              <w:fldChar w:fldCharType="end"/>
            </w:r>
          </w:hyperlink>
        </w:p>
        <w:p w14:paraId="45FBB7E1"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494" w:history="1">
            <w:r>
              <w:rPr>
                <w:color w:val="000000" w:themeColor="text1"/>
                <w:sz w:val="21"/>
                <w:szCs w:val="24"/>
              </w:rPr>
              <w:t xml:space="preserve">3.3 </w:t>
            </w:r>
            <w:r>
              <w:rPr>
                <w:color w:val="000000" w:themeColor="text1"/>
                <w:sz w:val="21"/>
                <w:szCs w:val="24"/>
              </w:rPr>
              <w:t>自然和社会</w:t>
            </w:r>
            <w:r>
              <w:rPr>
                <w:rFonts w:hint="eastAsia"/>
                <w:color w:val="000000" w:themeColor="text1"/>
                <w:sz w:val="21"/>
                <w:szCs w:val="24"/>
              </w:rPr>
              <w:t>危险因素分析</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_Toc2494 \h </w:instrText>
            </w:r>
            <w:r>
              <w:rPr>
                <w:color w:val="000000" w:themeColor="text1"/>
                <w:sz w:val="21"/>
                <w:szCs w:val="24"/>
              </w:rPr>
            </w:r>
            <w:r>
              <w:rPr>
                <w:color w:val="000000" w:themeColor="text1"/>
                <w:sz w:val="21"/>
                <w:szCs w:val="24"/>
              </w:rPr>
              <w:fldChar w:fldCharType="separate"/>
            </w:r>
            <w:r>
              <w:rPr>
                <w:color w:val="000000" w:themeColor="text1"/>
                <w:sz w:val="21"/>
                <w:szCs w:val="24"/>
              </w:rPr>
              <w:t>114</w:t>
            </w:r>
            <w:r>
              <w:rPr>
                <w:color w:val="000000" w:themeColor="text1"/>
                <w:sz w:val="21"/>
                <w:szCs w:val="24"/>
              </w:rPr>
              <w:fldChar w:fldCharType="end"/>
            </w:r>
          </w:hyperlink>
        </w:p>
        <w:p w14:paraId="64CA0507"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13651" w:history="1">
            <w:r>
              <w:rPr>
                <w:color w:val="000000" w:themeColor="text1"/>
                <w:sz w:val="21"/>
                <w:szCs w:val="24"/>
              </w:rPr>
              <w:t xml:space="preserve">3.4 </w:t>
            </w:r>
            <w:r>
              <w:rPr>
                <w:rFonts w:hint="eastAsia"/>
                <w:color w:val="000000" w:themeColor="text1"/>
                <w:sz w:val="21"/>
                <w:szCs w:val="24"/>
              </w:rPr>
              <w:t>重大危险源辨识</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_Toc13651 \h </w:instrText>
            </w:r>
            <w:r>
              <w:rPr>
                <w:color w:val="000000" w:themeColor="text1"/>
                <w:sz w:val="21"/>
                <w:szCs w:val="24"/>
              </w:rPr>
            </w:r>
            <w:r>
              <w:rPr>
                <w:color w:val="000000" w:themeColor="text1"/>
                <w:sz w:val="21"/>
                <w:szCs w:val="24"/>
              </w:rPr>
              <w:fldChar w:fldCharType="separate"/>
            </w:r>
            <w:r>
              <w:rPr>
                <w:color w:val="000000" w:themeColor="text1"/>
                <w:sz w:val="21"/>
                <w:szCs w:val="24"/>
              </w:rPr>
              <w:t>117</w:t>
            </w:r>
            <w:r>
              <w:rPr>
                <w:color w:val="000000" w:themeColor="text1"/>
                <w:sz w:val="21"/>
                <w:szCs w:val="24"/>
              </w:rPr>
              <w:fldChar w:fldCharType="end"/>
            </w:r>
          </w:hyperlink>
        </w:p>
        <w:p w14:paraId="352FC073" w14:textId="77777777" w:rsidR="002E0859" w:rsidRDefault="00000000">
          <w:pPr>
            <w:pStyle w:val="TOC2"/>
            <w:tabs>
              <w:tab w:val="right" w:leader="dot" w:pos="9184"/>
            </w:tabs>
            <w:spacing w:line="360" w:lineRule="auto"/>
            <w:ind w:leftChars="0" w:left="0" w:firstLine="420"/>
            <w:rPr>
              <w:color w:val="000000" w:themeColor="text1"/>
              <w:sz w:val="21"/>
            </w:rPr>
          </w:pPr>
          <w:hyperlink w:anchor="_Toc30809" w:history="1">
            <w:r>
              <w:rPr>
                <w:color w:val="000000" w:themeColor="text1"/>
                <w:sz w:val="21"/>
                <w:szCs w:val="24"/>
              </w:rPr>
              <w:t xml:space="preserve">3.5 </w:t>
            </w:r>
            <w:r>
              <w:rPr>
                <w:rFonts w:hint="eastAsia"/>
                <w:color w:val="000000" w:themeColor="text1"/>
                <w:sz w:val="21"/>
                <w:szCs w:val="24"/>
              </w:rPr>
              <w:t>事故案例与事故原因分析</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_Toc30809 \h </w:instrText>
            </w:r>
            <w:r>
              <w:rPr>
                <w:color w:val="000000" w:themeColor="text1"/>
                <w:sz w:val="21"/>
                <w:szCs w:val="24"/>
              </w:rPr>
            </w:r>
            <w:r>
              <w:rPr>
                <w:color w:val="000000" w:themeColor="text1"/>
                <w:sz w:val="21"/>
                <w:szCs w:val="24"/>
              </w:rPr>
              <w:fldChar w:fldCharType="separate"/>
            </w:r>
            <w:r>
              <w:rPr>
                <w:color w:val="000000" w:themeColor="text1"/>
                <w:sz w:val="21"/>
                <w:szCs w:val="24"/>
              </w:rPr>
              <w:t>118</w:t>
            </w:r>
            <w:r>
              <w:rPr>
                <w:color w:val="000000" w:themeColor="text1"/>
                <w:sz w:val="21"/>
                <w:szCs w:val="24"/>
              </w:rPr>
              <w:fldChar w:fldCharType="end"/>
            </w:r>
          </w:hyperlink>
        </w:p>
        <w:p w14:paraId="03F6CCA1" w14:textId="77777777" w:rsidR="002E0859" w:rsidRDefault="00000000">
          <w:pPr>
            <w:pStyle w:val="TOC1"/>
            <w:tabs>
              <w:tab w:val="right" w:leader="dot" w:pos="9184"/>
            </w:tabs>
            <w:spacing w:line="360" w:lineRule="auto"/>
            <w:ind w:firstLineChars="0" w:firstLine="0"/>
            <w:rPr>
              <w:color w:val="000000" w:themeColor="text1"/>
              <w:sz w:val="21"/>
            </w:rPr>
          </w:pPr>
          <w:hyperlink w:anchor="_Toc17507" w:history="1">
            <w:r>
              <w:rPr>
                <w:color w:val="000000" w:themeColor="text1"/>
                <w:sz w:val="21"/>
              </w:rPr>
              <w:t xml:space="preserve">4 </w:t>
            </w:r>
            <w:r>
              <w:rPr>
                <w:rFonts w:hint="eastAsia"/>
                <w:color w:val="000000" w:themeColor="text1"/>
                <w:sz w:val="21"/>
              </w:rPr>
              <w:t>评价单元划分和评价方法选择</w:t>
            </w:r>
            <w:r>
              <w:rPr>
                <w:color w:val="000000" w:themeColor="text1"/>
                <w:sz w:val="21"/>
              </w:rPr>
              <w:tab/>
            </w:r>
            <w:r>
              <w:rPr>
                <w:color w:val="000000" w:themeColor="text1"/>
                <w:sz w:val="21"/>
              </w:rPr>
              <w:fldChar w:fldCharType="begin"/>
            </w:r>
            <w:r>
              <w:rPr>
                <w:color w:val="000000" w:themeColor="text1"/>
                <w:sz w:val="21"/>
              </w:rPr>
              <w:instrText xml:space="preserve"> PAGEREF _Toc17507 \h </w:instrText>
            </w:r>
            <w:r>
              <w:rPr>
                <w:color w:val="000000" w:themeColor="text1"/>
                <w:sz w:val="21"/>
              </w:rPr>
            </w:r>
            <w:r>
              <w:rPr>
                <w:color w:val="000000" w:themeColor="text1"/>
                <w:sz w:val="21"/>
              </w:rPr>
              <w:fldChar w:fldCharType="separate"/>
            </w:r>
            <w:r>
              <w:rPr>
                <w:color w:val="000000" w:themeColor="text1"/>
                <w:sz w:val="21"/>
              </w:rPr>
              <w:t>126</w:t>
            </w:r>
            <w:r>
              <w:rPr>
                <w:color w:val="000000" w:themeColor="text1"/>
                <w:sz w:val="21"/>
              </w:rPr>
              <w:fldChar w:fldCharType="end"/>
            </w:r>
          </w:hyperlink>
        </w:p>
        <w:p w14:paraId="2E14EF97"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11683" w:history="1">
            <w:r>
              <w:rPr>
                <w:color w:val="000000" w:themeColor="text1"/>
                <w:sz w:val="21"/>
                <w:szCs w:val="24"/>
              </w:rPr>
              <w:t xml:space="preserve">4.1 </w:t>
            </w:r>
            <w:r>
              <w:rPr>
                <w:rFonts w:hint="eastAsia"/>
                <w:color w:val="000000" w:themeColor="text1"/>
                <w:sz w:val="21"/>
                <w:szCs w:val="24"/>
              </w:rPr>
              <w:t>评价单元划分</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_Toc11683 \h </w:instrText>
            </w:r>
            <w:r>
              <w:rPr>
                <w:color w:val="000000" w:themeColor="text1"/>
                <w:sz w:val="21"/>
                <w:szCs w:val="24"/>
              </w:rPr>
            </w:r>
            <w:r>
              <w:rPr>
                <w:color w:val="000000" w:themeColor="text1"/>
                <w:sz w:val="21"/>
                <w:szCs w:val="24"/>
              </w:rPr>
              <w:fldChar w:fldCharType="separate"/>
            </w:r>
            <w:r>
              <w:rPr>
                <w:color w:val="000000" w:themeColor="text1"/>
                <w:sz w:val="21"/>
                <w:szCs w:val="24"/>
              </w:rPr>
              <w:t>126</w:t>
            </w:r>
            <w:r>
              <w:rPr>
                <w:color w:val="000000" w:themeColor="text1"/>
                <w:sz w:val="21"/>
                <w:szCs w:val="24"/>
              </w:rPr>
              <w:fldChar w:fldCharType="end"/>
            </w:r>
          </w:hyperlink>
        </w:p>
        <w:p w14:paraId="7438490C" w14:textId="77777777" w:rsidR="002E0859" w:rsidRDefault="00000000">
          <w:pPr>
            <w:pStyle w:val="TOC2"/>
            <w:tabs>
              <w:tab w:val="right" w:leader="dot" w:pos="9184"/>
            </w:tabs>
            <w:spacing w:line="360" w:lineRule="auto"/>
            <w:ind w:leftChars="0" w:left="0" w:firstLine="420"/>
            <w:rPr>
              <w:color w:val="000000" w:themeColor="text1"/>
              <w:sz w:val="21"/>
            </w:rPr>
          </w:pPr>
          <w:hyperlink w:anchor="_Toc9146" w:history="1">
            <w:r>
              <w:rPr>
                <w:color w:val="000000" w:themeColor="text1"/>
                <w:sz w:val="21"/>
                <w:szCs w:val="24"/>
              </w:rPr>
              <w:t xml:space="preserve">4.2 </w:t>
            </w:r>
            <w:r>
              <w:rPr>
                <w:rFonts w:hint="eastAsia"/>
                <w:color w:val="000000" w:themeColor="text1"/>
                <w:sz w:val="21"/>
                <w:szCs w:val="24"/>
              </w:rPr>
              <w:t>评价方法选择</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_Toc9146 \h </w:instrText>
            </w:r>
            <w:r>
              <w:rPr>
                <w:color w:val="000000" w:themeColor="text1"/>
                <w:sz w:val="21"/>
                <w:szCs w:val="24"/>
              </w:rPr>
            </w:r>
            <w:r>
              <w:rPr>
                <w:color w:val="000000" w:themeColor="text1"/>
                <w:sz w:val="21"/>
                <w:szCs w:val="24"/>
              </w:rPr>
              <w:fldChar w:fldCharType="separate"/>
            </w:r>
            <w:r>
              <w:rPr>
                <w:color w:val="000000" w:themeColor="text1"/>
                <w:sz w:val="21"/>
                <w:szCs w:val="24"/>
              </w:rPr>
              <w:t>126</w:t>
            </w:r>
            <w:r>
              <w:rPr>
                <w:color w:val="000000" w:themeColor="text1"/>
                <w:sz w:val="21"/>
                <w:szCs w:val="24"/>
              </w:rPr>
              <w:fldChar w:fldCharType="end"/>
            </w:r>
          </w:hyperlink>
        </w:p>
        <w:p w14:paraId="2E573F5B" w14:textId="77777777" w:rsidR="002E0859" w:rsidRDefault="00000000">
          <w:pPr>
            <w:pStyle w:val="TOC1"/>
            <w:tabs>
              <w:tab w:val="right" w:leader="dot" w:pos="9184"/>
            </w:tabs>
            <w:spacing w:line="360" w:lineRule="auto"/>
            <w:ind w:firstLineChars="0" w:firstLine="0"/>
            <w:rPr>
              <w:color w:val="000000" w:themeColor="text1"/>
              <w:sz w:val="21"/>
            </w:rPr>
          </w:pPr>
          <w:hyperlink w:anchor="_Toc7713" w:history="1">
            <w:r>
              <w:rPr>
                <w:color w:val="000000" w:themeColor="text1"/>
                <w:sz w:val="21"/>
              </w:rPr>
              <w:t xml:space="preserve">5 </w:t>
            </w:r>
            <w:r>
              <w:rPr>
                <w:rFonts w:hint="eastAsia"/>
                <w:color w:val="000000" w:themeColor="text1"/>
                <w:sz w:val="21"/>
              </w:rPr>
              <w:t>定性、定量评价</w:t>
            </w:r>
            <w:r>
              <w:rPr>
                <w:color w:val="000000" w:themeColor="text1"/>
                <w:sz w:val="21"/>
              </w:rPr>
              <w:tab/>
            </w:r>
            <w:r>
              <w:rPr>
                <w:color w:val="000000" w:themeColor="text1"/>
                <w:sz w:val="21"/>
              </w:rPr>
              <w:fldChar w:fldCharType="begin"/>
            </w:r>
            <w:r>
              <w:rPr>
                <w:color w:val="000000" w:themeColor="text1"/>
                <w:sz w:val="21"/>
              </w:rPr>
              <w:instrText xml:space="preserve"> PAGEREF _Toc7713 \h </w:instrText>
            </w:r>
            <w:r>
              <w:rPr>
                <w:color w:val="000000" w:themeColor="text1"/>
                <w:sz w:val="21"/>
              </w:rPr>
            </w:r>
            <w:r>
              <w:rPr>
                <w:color w:val="000000" w:themeColor="text1"/>
                <w:sz w:val="21"/>
              </w:rPr>
              <w:fldChar w:fldCharType="separate"/>
            </w:r>
            <w:r>
              <w:rPr>
                <w:color w:val="000000" w:themeColor="text1"/>
                <w:sz w:val="21"/>
              </w:rPr>
              <w:t>130</w:t>
            </w:r>
            <w:r>
              <w:rPr>
                <w:color w:val="000000" w:themeColor="text1"/>
                <w:sz w:val="21"/>
              </w:rPr>
              <w:fldChar w:fldCharType="end"/>
            </w:r>
          </w:hyperlink>
        </w:p>
        <w:p w14:paraId="64265269"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599" w:history="1">
            <w:r>
              <w:rPr>
                <w:color w:val="000000" w:themeColor="text1"/>
                <w:sz w:val="21"/>
                <w:szCs w:val="24"/>
              </w:rPr>
              <w:t xml:space="preserve">5.1 </w:t>
            </w:r>
            <w:r>
              <w:rPr>
                <w:rFonts w:hint="eastAsia"/>
                <w:color w:val="000000" w:themeColor="text1"/>
                <w:sz w:val="21"/>
                <w:szCs w:val="24"/>
              </w:rPr>
              <w:t>选址及外部安全条件评价</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_Toc599 \h </w:instrText>
            </w:r>
            <w:r>
              <w:rPr>
                <w:color w:val="000000" w:themeColor="text1"/>
                <w:sz w:val="21"/>
                <w:szCs w:val="24"/>
              </w:rPr>
            </w:r>
            <w:r>
              <w:rPr>
                <w:color w:val="000000" w:themeColor="text1"/>
                <w:sz w:val="21"/>
                <w:szCs w:val="24"/>
              </w:rPr>
              <w:fldChar w:fldCharType="separate"/>
            </w:r>
            <w:r>
              <w:rPr>
                <w:color w:val="000000" w:themeColor="text1"/>
                <w:sz w:val="21"/>
                <w:szCs w:val="24"/>
              </w:rPr>
              <w:t>130</w:t>
            </w:r>
            <w:r>
              <w:rPr>
                <w:color w:val="000000" w:themeColor="text1"/>
                <w:sz w:val="21"/>
                <w:szCs w:val="24"/>
              </w:rPr>
              <w:fldChar w:fldCharType="end"/>
            </w:r>
          </w:hyperlink>
        </w:p>
        <w:p w14:paraId="2D346382"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4350" w:history="1">
            <w:r>
              <w:rPr>
                <w:color w:val="000000" w:themeColor="text1"/>
                <w:sz w:val="21"/>
                <w:szCs w:val="24"/>
              </w:rPr>
              <w:t xml:space="preserve">5.2 </w:t>
            </w:r>
            <w:r>
              <w:rPr>
                <w:rFonts w:hint="eastAsia"/>
                <w:color w:val="000000" w:themeColor="text1"/>
                <w:sz w:val="21"/>
                <w:szCs w:val="24"/>
              </w:rPr>
              <w:t>技术、工艺安全可靠性评价</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_Toc24350 \h </w:instrText>
            </w:r>
            <w:r>
              <w:rPr>
                <w:color w:val="000000" w:themeColor="text1"/>
                <w:sz w:val="21"/>
                <w:szCs w:val="24"/>
              </w:rPr>
            </w:r>
            <w:r>
              <w:rPr>
                <w:color w:val="000000" w:themeColor="text1"/>
                <w:sz w:val="21"/>
                <w:szCs w:val="24"/>
              </w:rPr>
              <w:fldChar w:fldCharType="separate"/>
            </w:r>
            <w:r>
              <w:rPr>
                <w:color w:val="000000" w:themeColor="text1"/>
                <w:sz w:val="21"/>
                <w:szCs w:val="24"/>
              </w:rPr>
              <w:t>130</w:t>
            </w:r>
            <w:r>
              <w:rPr>
                <w:color w:val="000000" w:themeColor="text1"/>
                <w:sz w:val="21"/>
                <w:szCs w:val="24"/>
              </w:rPr>
              <w:fldChar w:fldCharType="end"/>
            </w:r>
          </w:hyperlink>
        </w:p>
        <w:p w14:paraId="4DDA3224"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4960" w:history="1">
            <w:r>
              <w:rPr>
                <w:color w:val="000000" w:themeColor="text1"/>
                <w:sz w:val="21"/>
                <w:szCs w:val="24"/>
              </w:rPr>
              <w:t xml:space="preserve">5.3 </w:t>
            </w:r>
            <w:r>
              <w:rPr>
                <w:rFonts w:hint="eastAsia"/>
                <w:color w:val="000000" w:themeColor="text1"/>
                <w:sz w:val="21"/>
                <w:szCs w:val="24"/>
              </w:rPr>
              <w:t>设备、装置、设施配套及可靠性评价</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_Toc24960 \h </w:instrText>
            </w:r>
            <w:r>
              <w:rPr>
                <w:color w:val="000000" w:themeColor="text1"/>
                <w:sz w:val="21"/>
                <w:szCs w:val="24"/>
              </w:rPr>
            </w:r>
            <w:r>
              <w:rPr>
                <w:color w:val="000000" w:themeColor="text1"/>
                <w:sz w:val="21"/>
                <w:szCs w:val="24"/>
              </w:rPr>
              <w:fldChar w:fldCharType="separate"/>
            </w:r>
            <w:r>
              <w:rPr>
                <w:color w:val="000000" w:themeColor="text1"/>
                <w:sz w:val="21"/>
                <w:szCs w:val="24"/>
              </w:rPr>
              <w:t>132</w:t>
            </w:r>
            <w:r>
              <w:rPr>
                <w:color w:val="000000" w:themeColor="text1"/>
                <w:sz w:val="21"/>
                <w:szCs w:val="24"/>
              </w:rPr>
              <w:fldChar w:fldCharType="end"/>
            </w:r>
          </w:hyperlink>
        </w:p>
        <w:p w14:paraId="46C26698"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12646" w:history="1">
            <w:r>
              <w:rPr>
                <w:color w:val="000000" w:themeColor="text1"/>
                <w:sz w:val="21"/>
                <w:szCs w:val="24"/>
              </w:rPr>
              <w:t xml:space="preserve">5.4 </w:t>
            </w:r>
            <w:r>
              <w:rPr>
                <w:rFonts w:hint="eastAsia"/>
                <w:color w:val="000000" w:themeColor="text1"/>
                <w:sz w:val="21"/>
                <w:szCs w:val="24"/>
              </w:rPr>
              <w:t>公用工程及辅助生产设施单元</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_Toc12646 \h </w:instrText>
            </w:r>
            <w:r>
              <w:rPr>
                <w:color w:val="000000" w:themeColor="text1"/>
                <w:sz w:val="21"/>
                <w:szCs w:val="24"/>
              </w:rPr>
            </w:r>
            <w:r>
              <w:rPr>
                <w:color w:val="000000" w:themeColor="text1"/>
                <w:sz w:val="21"/>
                <w:szCs w:val="24"/>
              </w:rPr>
              <w:fldChar w:fldCharType="separate"/>
            </w:r>
            <w:r>
              <w:rPr>
                <w:color w:val="000000" w:themeColor="text1"/>
                <w:sz w:val="21"/>
                <w:szCs w:val="24"/>
              </w:rPr>
              <w:t>133</w:t>
            </w:r>
            <w:r>
              <w:rPr>
                <w:color w:val="000000" w:themeColor="text1"/>
                <w:sz w:val="21"/>
                <w:szCs w:val="24"/>
              </w:rPr>
              <w:fldChar w:fldCharType="end"/>
            </w:r>
          </w:hyperlink>
        </w:p>
        <w:p w14:paraId="2AE6B50E" w14:textId="77777777" w:rsidR="002E0859" w:rsidRDefault="00000000">
          <w:pPr>
            <w:pStyle w:val="TOC2"/>
            <w:tabs>
              <w:tab w:val="right" w:leader="dot" w:pos="9184"/>
            </w:tabs>
            <w:spacing w:line="360" w:lineRule="auto"/>
            <w:ind w:leftChars="0" w:left="0" w:firstLine="420"/>
            <w:rPr>
              <w:color w:val="000000" w:themeColor="text1"/>
              <w:sz w:val="21"/>
            </w:rPr>
          </w:pPr>
          <w:hyperlink w:anchor="_Toc6400" w:history="1">
            <w:r>
              <w:rPr>
                <w:color w:val="000000" w:themeColor="text1"/>
                <w:sz w:val="21"/>
                <w:szCs w:val="24"/>
              </w:rPr>
              <w:t xml:space="preserve">5.5 </w:t>
            </w:r>
            <w:r>
              <w:rPr>
                <w:rFonts w:hint="eastAsia"/>
                <w:color w:val="000000" w:themeColor="text1"/>
                <w:sz w:val="21"/>
                <w:szCs w:val="24"/>
              </w:rPr>
              <w:t>风险程度评价</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_Toc6400 \h </w:instrText>
            </w:r>
            <w:r>
              <w:rPr>
                <w:color w:val="000000" w:themeColor="text1"/>
                <w:sz w:val="21"/>
                <w:szCs w:val="24"/>
              </w:rPr>
            </w:r>
            <w:r>
              <w:rPr>
                <w:color w:val="000000" w:themeColor="text1"/>
                <w:sz w:val="21"/>
                <w:szCs w:val="24"/>
              </w:rPr>
              <w:fldChar w:fldCharType="separate"/>
            </w:r>
            <w:r>
              <w:rPr>
                <w:color w:val="000000" w:themeColor="text1"/>
                <w:sz w:val="21"/>
                <w:szCs w:val="24"/>
              </w:rPr>
              <w:t>133</w:t>
            </w:r>
            <w:r>
              <w:rPr>
                <w:color w:val="000000" w:themeColor="text1"/>
                <w:sz w:val="21"/>
                <w:szCs w:val="24"/>
              </w:rPr>
              <w:fldChar w:fldCharType="end"/>
            </w:r>
          </w:hyperlink>
        </w:p>
        <w:p w14:paraId="6FBC99C6" w14:textId="77777777" w:rsidR="002E0859" w:rsidRDefault="00000000">
          <w:pPr>
            <w:pStyle w:val="TOC1"/>
            <w:tabs>
              <w:tab w:val="right" w:leader="dot" w:pos="9184"/>
            </w:tabs>
            <w:spacing w:line="360" w:lineRule="auto"/>
            <w:ind w:firstLineChars="0" w:firstLine="0"/>
            <w:rPr>
              <w:color w:val="000000" w:themeColor="text1"/>
              <w:sz w:val="21"/>
            </w:rPr>
          </w:pPr>
          <w:hyperlink w:anchor="_Toc1793" w:history="1">
            <w:r>
              <w:rPr>
                <w:color w:val="000000" w:themeColor="text1"/>
                <w:sz w:val="21"/>
              </w:rPr>
              <w:t xml:space="preserve">6 </w:t>
            </w:r>
            <w:r>
              <w:rPr>
                <w:rFonts w:hint="eastAsia"/>
                <w:color w:val="000000" w:themeColor="text1"/>
                <w:sz w:val="21"/>
              </w:rPr>
              <w:t>安全管理和应急管理评价</w:t>
            </w:r>
            <w:r>
              <w:rPr>
                <w:color w:val="000000" w:themeColor="text1"/>
                <w:sz w:val="21"/>
              </w:rPr>
              <w:tab/>
            </w:r>
            <w:r>
              <w:rPr>
                <w:color w:val="000000" w:themeColor="text1"/>
                <w:sz w:val="21"/>
              </w:rPr>
              <w:fldChar w:fldCharType="begin"/>
            </w:r>
            <w:r>
              <w:rPr>
                <w:color w:val="000000" w:themeColor="text1"/>
                <w:sz w:val="21"/>
              </w:rPr>
              <w:instrText xml:space="preserve"> PAGEREF _Toc1793 \h </w:instrText>
            </w:r>
            <w:r>
              <w:rPr>
                <w:color w:val="000000" w:themeColor="text1"/>
                <w:sz w:val="21"/>
              </w:rPr>
            </w:r>
            <w:r>
              <w:rPr>
                <w:color w:val="000000" w:themeColor="text1"/>
                <w:sz w:val="21"/>
              </w:rPr>
              <w:fldChar w:fldCharType="separate"/>
            </w:r>
            <w:r>
              <w:rPr>
                <w:color w:val="000000" w:themeColor="text1"/>
                <w:sz w:val="21"/>
              </w:rPr>
              <w:t>134</w:t>
            </w:r>
            <w:r>
              <w:rPr>
                <w:color w:val="000000" w:themeColor="text1"/>
                <w:sz w:val="21"/>
              </w:rPr>
              <w:fldChar w:fldCharType="end"/>
            </w:r>
          </w:hyperlink>
        </w:p>
        <w:p w14:paraId="316429E8"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3712" w:history="1">
            <w:r>
              <w:rPr>
                <w:color w:val="000000" w:themeColor="text1"/>
                <w:sz w:val="21"/>
                <w:szCs w:val="24"/>
              </w:rPr>
              <w:t xml:space="preserve">6.1 </w:t>
            </w:r>
            <w:r>
              <w:rPr>
                <w:rFonts w:hint="eastAsia"/>
                <w:color w:val="000000" w:themeColor="text1"/>
                <w:sz w:val="21"/>
                <w:szCs w:val="24"/>
              </w:rPr>
              <w:t>安全管理</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_Toc3712 \h </w:instrText>
            </w:r>
            <w:r>
              <w:rPr>
                <w:color w:val="000000" w:themeColor="text1"/>
                <w:sz w:val="21"/>
                <w:szCs w:val="24"/>
              </w:rPr>
            </w:r>
            <w:r>
              <w:rPr>
                <w:color w:val="000000" w:themeColor="text1"/>
                <w:sz w:val="21"/>
                <w:szCs w:val="24"/>
              </w:rPr>
              <w:fldChar w:fldCharType="separate"/>
            </w:r>
            <w:r>
              <w:rPr>
                <w:color w:val="000000" w:themeColor="text1"/>
                <w:sz w:val="21"/>
                <w:szCs w:val="24"/>
              </w:rPr>
              <w:t>134</w:t>
            </w:r>
            <w:r>
              <w:rPr>
                <w:color w:val="000000" w:themeColor="text1"/>
                <w:sz w:val="21"/>
                <w:szCs w:val="24"/>
              </w:rPr>
              <w:fldChar w:fldCharType="end"/>
            </w:r>
          </w:hyperlink>
        </w:p>
        <w:p w14:paraId="6AA86F30" w14:textId="77777777" w:rsidR="002E0859" w:rsidRDefault="00000000">
          <w:pPr>
            <w:pStyle w:val="TOC2"/>
            <w:tabs>
              <w:tab w:val="right" w:leader="dot" w:pos="9184"/>
            </w:tabs>
            <w:spacing w:line="360" w:lineRule="auto"/>
            <w:ind w:leftChars="0" w:left="0" w:firstLine="420"/>
            <w:rPr>
              <w:color w:val="000000" w:themeColor="text1"/>
              <w:sz w:val="21"/>
            </w:rPr>
          </w:pPr>
          <w:hyperlink w:anchor="_Toc940" w:history="1">
            <w:r>
              <w:rPr>
                <w:color w:val="000000" w:themeColor="text1"/>
                <w:sz w:val="21"/>
                <w:szCs w:val="24"/>
              </w:rPr>
              <w:t xml:space="preserve">6.2 </w:t>
            </w:r>
            <w:r>
              <w:rPr>
                <w:rFonts w:hint="eastAsia"/>
                <w:color w:val="000000" w:themeColor="text1"/>
                <w:sz w:val="21"/>
                <w:szCs w:val="24"/>
              </w:rPr>
              <w:t>应急管理</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_Toc940 \h </w:instrText>
            </w:r>
            <w:r>
              <w:rPr>
                <w:color w:val="000000" w:themeColor="text1"/>
                <w:sz w:val="21"/>
                <w:szCs w:val="24"/>
              </w:rPr>
            </w:r>
            <w:r>
              <w:rPr>
                <w:color w:val="000000" w:themeColor="text1"/>
                <w:sz w:val="21"/>
                <w:szCs w:val="24"/>
              </w:rPr>
              <w:fldChar w:fldCharType="separate"/>
            </w:r>
            <w:r>
              <w:rPr>
                <w:color w:val="000000" w:themeColor="text1"/>
                <w:sz w:val="21"/>
                <w:szCs w:val="24"/>
              </w:rPr>
              <w:t>134</w:t>
            </w:r>
            <w:r>
              <w:rPr>
                <w:color w:val="000000" w:themeColor="text1"/>
                <w:sz w:val="21"/>
                <w:szCs w:val="24"/>
              </w:rPr>
              <w:fldChar w:fldCharType="end"/>
            </w:r>
          </w:hyperlink>
        </w:p>
        <w:p w14:paraId="5ABE7055" w14:textId="77777777" w:rsidR="002E0859" w:rsidRDefault="00000000">
          <w:pPr>
            <w:pStyle w:val="TOC1"/>
            <w:tabs>
              <w:tab w:val="right" w:leader="dot" w:pos="9184"/>
            </w:tabs>
            <w:spacing w:line="360" w:lineRule="auto"/>
            <w:ind w:firstLineChars="0" w:firstLine="0"/>
            <w:rPr>
              <w:color w:val="000000" w:themeColor="text1"/>
              <w:sz w:val="21"/>
            </w:rPr>
          </w:pPr>
          <w:hyperlink w:anchor="_Toc16542" w:history="1">
            <w:r>
              <w:rPr>
                <w:color w:val="000000" w:themeColor="text1"/>
                <w:sz w:val="21"/>
              </w:rPr>
              <w:t xml:space="preserve">7 </w:t>
            </w:r>
            <w:r>
              <w:rPr>
                <w:rFonts w:hint="eastAsia"/>
                <w:color w:val="000000" w:themeColor="text1"/>
                <w:sz w:val="21"/>
              </w:rPr>
              <w:t>安全对策措施及建议</w:t>
            </w:r>
            <w:r>
              <w:rPr>
                <w:color w:val="000000" w:themeColor="text1"/>
                <w:sz w:val="21"/>
              </w:rPr>
              <w:tab/>
            </w:r>
            <w:r>
              <w:rPr>
                <w:color w:val="000000" w:themeColor="text1"/>
                <w:sz w:val="21"/>
              </w:rPr>
              <w:fldChar w:fldCharType="begin"/>
            </w:r>
            <w:r>
              <w:rPr>
                <w:color w:val="000000" w:themeColor="text1"/>
                <w:sz w:val="21"/>
              </w:rPr>
              <w:instrText xml:space="preserve"> PAGEREF _Toc16542 \h </w:instrText>
            </w:r>
            <w:r>
              <w:rPr>
                <w:color w:val="000000" w:themeColor="text1"/>
                <w:sz w:val="21"/>
              </w:rPr>
            </w:r>
            <w:r>
              <w:rPr>
                <w:color w:val="000000" w:themeColor="text1"/>
                <w:sz w:val="21"/>
              </w:rPr>
              <w:fldChar w:fldCharType="separate"/>
            </w:r>
            <w:r>
              <w:rPr>
                <w:color w:val="000000" w:themeColor="text1"/>
                <w:sz w:val="21"/>
              </w:rPr>
              <w:t>135</w:t>
            </w:r>
            <w:r>
              <w:rPr>
                <w:color w:val="000000" w:themeColor="text1"/>
                <w:sz w:val="21"/>
              </w:rPr>
              <w:fldChar w:fldCharType="end"/>
            </w:r>
          </w:hyperlink>
        </w:p>
        <w:p w14:paraId="56E85C4C"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13849" w:history="1">
            <w:r>
              <w:rPr>
                <w:color w:val="000000" w:themeColor="text1"/>
                <w:sz w:val="21"/>
                <w:szCs w:val="24"/>
              </w:rPr>
              <w:t xml:space="preserve">7.1 </w:t>
            </w:r>
            <w:r>
              <w:rPr>
                <w:rFonts w:hint="eastAsia"/>
                <w:color w:val="000000" w:themeColor="text1"/>
                <w:sz w:val="21"/>
                <w:szCs w:val="24"/>
              </w:rPr>
              <w:t>可研报告中提出的主要安全对策措施</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_Toc13849 \h </w:instrText>
            </w:r>
            <w:r>
              <w:rPr>
                <w:color w:val="000000" w:themeColor="text1"/>
                <w:sz w:val="21"/>
                <w:szCs w:val="24"/>
              </w:rPr>
            </w:r>
            <w:r>
              <w:rPr>
                <w:color w:val="000000" w:themeColor="text1"/>
                <w:sz w:val="21"/>
                <w:szCs w:val="24"/>
              </w:rPr>
              <w:fldChar w:fldCharType="separate"/>
            </w:r>
            <w:r>
              <w:rPr>
                <w:color w:val="000000" w:themeColor="text1"/>
                <w:sz w:val="21"/>
                <w:szCs w:val="24"/>
              </w:rPr>
              <w:t>135</w:t>
            </w:r>
            <w:r>
              <w:rPr>
                <w:color w:val="000000" w:themeColor="text1"/>
                <w:sz w:val="21"/>
                <w:szCs w:val="24"/>
              </w:rPr>
              <w:fldChar w:fldCharType="end"/>
            </w:r>
          </w:hyperlink>
        </w:p>
        <w:p w14:paraId="2B29AD45" w14:textId="77777777" w:rsidR="002E0859" w:rsidRDefault="00000000">
          <w:pPr>
            <w:pStyle w:val="TOC2"/>
            <w:tabs>
              <w:tab w:val="right" w:leader="dot" w:pos="9184"/>
            </w:tabs>
            <w:spacing w:line="360" w:lineRule="auto"/>
            <w:ind w:leftChars="0" w:left="0" w:firstLine="420"/>
            <w:rPr>
              <w:color w:val="000000" w:themeColor="text1"/>
              <w:sz w:val="21"/>
            </w:rPr>
          </w:pPr>
          <w:hyperlink w:anchor="_Toc2980" w:history="1">
            <w:r>
              <w:rPr>
                <w:color w:val="000000" w:themeColor="text1"/>
                <w:sz w:val="21"/>
                <w:szCs w:val="24"/>
              </w:rPr>
              <w:t xml:space="preserve">7.2 </w:t>
            </w:r>
            <w:r>
              <w:rPr>
                <w:rFonts w:hint="eastAsia"/>
                <w:color w:val="000000" w:themeColor="text1"/>
                <w:sz w:val="21"/>
                <w:szCs w:val="24"/>
              </w:rPr>
              <w:t>补充的安全对策措施及建议</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_Toc2980 \h </w:instrText>
            </w:r>
            <w:r>
              <w:rPr>
                <w:color w:val="000000" w:themeColor="text1"/>
                <w:sz w:val="21"/>
                <w:szCs w:val="24"/>
              </w:rPr>
            </w:r>
            <w:r>
              <w:rPr>
                <w:color w:val="000000" w:themeColor="text1"/>
                <w:sz w:val="21"/>
                <w:szCs w:val="24"/>
              </w:rPr>
              <w:fldChar w:fldCharType="separate"/>
            </w:r>
            <w:r>
              <w:rPr>
                <w:color w:val="000000" w:themeColor="text1"/>
                <w:sz w:val="21"/>
                <w:szCs w:val="24"/>
              </w:rPr>
              <w:t>148</w:t>
            </w:r>
            <w:r>
              <w:rPr>
                <w:color w:val="000000" w:themeColor="text1"/>
                <w:sz w:val="21"/>
                <w:szCs w:val="24"/>
              </w:rPr>
              <w:fldChar w:fldCharType="end"/>
            </w:r>
          </w:hyperlink>
        </w:p>
        <w:p w14:paraId="78E90BDA" w14:textId="77777777" w:rsidR="002E0859" w:rsidRDefault="00000000">
          <w:pPr>
            <w:pStyle w:val="TOC1"/>
            <w:tabs>
              <w:tab w:val="right" w:leader="dot" w:pos="9184"/>
            </w:tabs>
            <w:spacing w:line="360" w:lineRule="auto"/>
            <w:ind w:firstLineChars="0" w:firstLine="0"/>
            <w:rPr>
              <w:color w:val="000000" w:themeColor="text1"/>
              <w:sz w:val="21"/>
            </w:rPr>
          </w:pPr>
          <w:hyperlink w:anchor="_Toc30788" w:history="1">
            <w:r>
              <w:rPr>
                <w:color w:val="000000" w:themeColor="text1"/>
                <w:sz w:val="21"/>
              </w:rPr>
              <w:t xml:space="preserve">8 </w:t>
            </w:r>
            <w:r>
              <w:rPr>
                <w:rFonts w:hint="eastAsia"/>
                <w:color w:val="000000" w:themeColor="text1"/>
                <w:sz w:val="21"/>
              </w:rPr>
              <w:t>评价结论</w:t>
            </w:r>
            <w:r>
              <w:rPr>
                <w:color w:val="000000" w:themeColor="text1"/>
                <w:sz w:val="21"/>
              </w:rPr>
              <w:tab/>
            </w:r>
            <w:r>
              <w:rPr>
                <w:color w:val="000000" w:themeColor="text1"/>
                <w:sz w:val="21"/>
              </w:rPr>
              <w:fldChar w:fldCharType="begin"/>
            </w:r>
            <w:r>
              <w:rPr>
                <w:color w:val="000000" w:themeColor="text1"/>
                <w:sz w:val="21"/>
              </w:rPr>
              <w:instrText xml:space="preserve"> PAGEREF _Toc30788 \h </w:instrText>
            </w:r>
            <w:r>
              <w:rPr>
                <w:color w:val="000000" w:themeColor="text1"/>
                <w:sz w:val="21"/>
              </w:rPr>
            </w:r>
            <w:r>
              <w:rPr>
                <w:color w:val="000000" w:themeColor="text1"/>
                <w:sz w:val="21"/>
              </w:rPr>
              <w:fldChar w:fldCharType="separate"/>
            </w:r>
            <w:r>
              <w:rPr>
                <w:color w:val="000000" w:themeColor="text1"/>
                <w:sz w:val="21"/>
              </w:rPr>
              <w:t>149</w:t>
            </w:r>
            <w:r>
              <w:rPr>
                <w:color w:val="000000" w:themeColor="text1"/>
                <w:sz w:val="21"/>
              </w:rPr>
              <w:fldChar w:fldCharType="end"/>
            </w:r>
          </w:hyperlink>
        </w:p>
        <w:p w14:paraId="1F789798"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32014" w:history="1">
            <w:r>
              <w:rPr>
                <w:color w:val="000000" w:themeColor="text1"/>
                <w:sz w:val="21"/>
                <w:szCs w:val="24"/>
              </w:rPr>
              <w:t xml:space="preserve">8.1 </w:t>
            </w:r>
            <w:r>
              <w:rPr>
                <w:color w:val="000000" w:themeColor="text1"/>
                <w:sz w:val="21"/>
                <w:szCs w:val="24"/>
              </w:rPr>
              <w:t>项目主要特点及主要危险、有害因素评价结果</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_Toc32014 \h </w:instrText>
            </w:r>
            <w:r>
              <w:rPr>
                <w:color w:val="000000" w:themeColor="text1"/>
                <w:sz w:val="21"/>
                <w:szCs w:val="24"/>
              </w:rPr>
            </w:r>
            <w:r>
              <w:rPr>
                <w:color w:val="000000" w:themeColor="text1"/>
                <w:sz w:val="21"/>
                <w:szCs w:val="24"/>
              </w:rPr>
              <w:fldChar w:fldCharType="separate"/>
            </w:r>
            <w:r>
              <w:rPr>
                <w:color w:val="000000" w:themeColor="text1"/>
                <w:sz w:val="21"/>
                <w:szCs w:val="24"/>
              </w:rPr>
              <w:t>149</w:t>
            </w:r>
            <w:r>
              <w:rPr>
                <w:color w:val="000000" w:themeColor="text1"/>
                <w:sz w:val="21"/>
                <w:szCs w:val="24"/>
              </w:rPr>
              <w:fldChar w:fldCharType="end"/>
            </w:r>
          </w:hyperlink>
        </w:p>
        <w:p w14:paraId="705C5D2F"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5983" w:history="1">
            <w:r>
              <w:rPr>
                <w:color w:val="000000" w:themeColor="text1"/>
                <w:sz w:val="21"/>
                <w:szCs w:val="24"/>
              </w:rPr>
              <w:t xml:space="preserve">8.2 </w:t>
            </w:r>
            <w:r>
              <w:rPr>
                <w:color w:val="000000" w:themeColor="text1"/>
                <w:sz w:val="21"/>
                <w:szCs w:val="24"/>
              </w:rPr>
              <w:t>应重点防范的重大风险和应重视的安全对策措施建议</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_Toc5983 \h </w:instrText>
            </w:r>
            <w:r>
              <w:rPr>
                <w:color w:val="000000" w:themeColor="text1"/>
                <w:sz w:val="21"/>
                <w:szCs w:val="24"/>
              </w:rPr>
            </w:r>
            <w:r>
              <w:rPr>
                <w:color w:val="000000" w:themeColor="text1"/>
                <w:sz w:val="21"/>
                <w:szCs w:val="24"/>
              </w:rPr>
              <w:fldChar w:fldCharType="separate"/>
            </w:r>
            <w:r>
              <w:rPr>
                <w:color w:val="000000" w:themeColor="text1"/>
                <w:sz w:val="21"/>
                <w:szCs w:val="24"/>
              </w:rPr>
              <w:t>149</w:t>
            </w:r>
            <w:r>
              <w:rPr>
                <w:color w:val="000000" w:themeColor="text1"/>
                <w:sz w:val="21"/>
                <w:szCs w:val="24"/>
              </w:rPr>
              <w:fldChar w:fldCharType="end"/>
            </w:r>
          </w:hyperlink>
        </w:p>
        <w:p w14:paraId="226FD268" w14:textId="77777777" w:rsidR="002E0859" w:rsidRDefault="00000000">
          <w:pPr>
            <w:pStyle w:val="TOC2"/>
            <w:tabs>
              <w:tab w:val="right" w:leader="dot" w:pos="9184"/>
            </w:tabs>
            <w:spacing w:line="360" w:lineRule="auto"/>
            <w:ind w:leftChars="0" w:left="0" w:firstLine="420"/>
            <w:rPr>
              <w:color w:val="000000" w:themeColor="text1"/>
              <w:sz w:val="21"/>
              <w:szCs w:val="24"/>
            </w:rPr>
          </w:pPr>
          <w:hyperlink w:anchor="_Toc29770" w:history="1">
            <w:r>
              <w:rPr>
                <w:color w:val="000000" w:themeColor="text1"/>
                <w:sz w:val="21"/>
                <w:szCs w:val="24"/>
              </w:rPr>
              <w:t xml:space="preserve">8.3 </w:t>
            </w:r>
            <w:r>
              <w:rPr>
                <w:color w:val="000000" w:themeColor="text1"/>
                <w:sz w:val="21"/>
                <w:szCs w:val="24"/>
              </w:rPr>
              <w:t>项目潜在的危险、有害因素控制</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_Toc29770 \h </w:instrText>
            </w:r>
            <w:r>
              <w:rPr>
                <w:color w:val="000000" w:themeColor="text1"/>
                <w:sz w:val="21"/>
                <w:szCs w:val="24"/>
              </w:rPr>
            </w:r>
            <w:r>
              <w:rPr>
                <w:color w:val="000000" w:themeColor="text1"/>
                <w:sz w:val="21"/>
                <w:szCs w:val="24"/>
              </w:rPr>
              <w:fldChar w:fldCharType="separate"/>
            </w:r>
            <w:r>
              <w:rPr>
                <w:color w:val="000000" w:themeColor="text1"/>
                <w:sz w:val="21"/>
                <w:szCs w:val="24"/>
              </w:rPr>
              <w:t>150</w:t>
            </w:r>
            <w:r>
              <w:rPr>
                <w:color w:val="000000" w:themeColor="text1"/>
                <w:sz w:val="21"/>
                <w:szCs w:val="24"/>
              </w:rPr>
              <w:fldChar w:fldCharType="end"/>
            </w:r>
          </w:hyperlink>
        </w:p>
        <w:p w14:paraId="36E79CD9" w14:textId="77777777" w:rsidR="002E0859" w:rsidRDefault="00000000">
          <w:pPr>
            <w:pStyle w:val="TOC2"/>
            <w:tabs>
              <w:tab w:val="right" w:leader="dot" w:pos="9184"/>
            </w:tabs>
            <w:spacing w:line="360" w:lineRule="auto"/>
            <w:ind w:leftChars="0" w:left="0" w:firstLine="420"/>
            <w:rPr>
              <w:color w:val="000000" w:themeColor="text1"/>
              <w:sz w:val="21"/>
            </w:rPr>
          </w:pPr>
          <w:hyperlink w:anchor="_Toc10272" w:history="1">
            <w:r>
              <w:rPr>
                <w:color w:val="000000" w:themeColor="text1"/>
                <w:sz w:val="21"/>
                <w:szCs w:val="24"/>
              </w:rPr>
              <w:t xml:space="preserve">8.4 </w:t>
            </w:r>
            <w:r>
              <w:rPr>
                <w:color w:val="000000" w:themeColor="text1"/>
                <w:sz w:val="21"/>
                <w:szCs w:val="24"/>
              </w:rPr>
              <w:t>综合评价结论</w:t>
            </w:r>
            <w:r>
              <w:rPr>
                <w:color w:val="000000" w:themeColor="text1"/>
                <w:sz w:val="21"/>
                <w:szCs w:val="24"/>
              </w:rPr>
              <w:tab/>
            </w:r>
            <w:r>
              <w:rPr>
                <w:color w:val="000000" w:themeColor="text1"/>
                <w:sz w:val="21"/>
                <w:szCs w:val="24"/>
              </w:rPr>
              <w:fldChar w:fldCharType="begin"/>
            </w:r>
            <w:r>
              <w:rPr>
                <w:color w:val="000000" w:themeColor="text1"/>
                <w:sz w:val="21"/>
                <w:szCs w:val="24"/>
              </w:rPr>
              <w:instrText xml:space="preserve"> PAGEREF _Toc10272 \h </w:instrText>
            </w:r>
            <w:r>
              <w:rPr>
                <w:color w:val="000000" w:themeColor="text1"/>
                <w:sz w:val="21"/>
                <w:szCs w:val="24"/>
              </w:rPr>
            </w:r>
            <w:r>
              <w:rPr>
                <w:color w:val="000000" w:themeColor="text1"/>
                <w:sz w:val="21"/>
                <w:szCs w:val="24"/>
              </w:rPr>
              <w:fldChar w:fldCharType="separate"/>
            </w:r>
            <w:r>
              <w:rPr>
                <w:color w:val="000000" w:themeColor="text1"/>
                <w:sz w:val="21"/>
                <w:szCs w:val="24"/>
              </w:rPr>
              <w:t>150</w:t>
            </w:r>
            <w:r>
              <w:rPr>
                <w:color w:val="000000" w:themeColor="text1"/>
                <w:sz w:val="21"/>
                <w:szCs w:val="24"/>
              </w:rPr>
              <w:fldChar w:fldCharType="end"/>
            </w:r>
          </w:hyperlink>
        </w:p>
        <w:p w14:paraId="6E790C18" w14:textId="77777777" w:rsidR="002E0859" w:rsidRDefault="00000000">
          <w:pPr>
            <w:pStyle w:val="Default"/>
            <w:snapToGrid w:val="0"/>
            <w:spacing w:line="360" w:lineRule="auto"/>
            <w:rPr>
              <w:rFonts w:ascii="Times New Roman" w:cs="Times New Roman"/>
              <w:color w:val="000000" w:themeColor="text1"/>
            </w:rPr>
          </w:pPr>
          <w:r>
            <w:rPr>
              <w:rFonts w:ascii="Times New Roman" w:eastAsia="宋体" w:cs="Times New Roman"/>
              <w:color w:val="000000" w:themeColor="text1"/>
            </w:rPr>
            <w:fldChar w:fldCharType="end"/>
          </w:r>
        </w:p>
      </w:sdtContent>
    </w:sdt>
    <w:p w14:paraId="34D1D7B3" w14:textId="77777777" w:rsidR="002E0859" w:rsidRDefault="002E0859">
      <w:pPr>
        <w:spacing w:line="360" w:lineRule="auto"/>
        <w:ind w:firstLine="480"/>
        <w:rPr>
          <w:color w:val="000000" w:themeColor="text1"/>
          <w:kern w:val="0"/>
          <w:sz w:val="24"/>
          <w:szCs w:val="24"/>
        </w:rPr>
        <w:sectPr w:rsidR="002E0859">
          <w:headerReference w:type="default" r:id="rId15"/>
          <w:footerReference w:type="default" r:id="rId16"/>
          <w:pgSz w:w="11905" w:h="16838"/>
          <w:pgMar w:top="1417" w:right="1134" w:bottom="1134" w:left="1587" w:header="794" w:footer="992" w:gutter="0"/>
          <w:cols w:space="0"/>
          <w:docGrid w:linePitch="312"/>
        </w:sectPr>
      </w:pPr>
    </w:p>
    <w:p w14:paraId="714CC5EA" w14:textId="77777777" w:rsidR="002E0859" w:rsidRDefault="00000000">
      <w:pPr>
        <w:pStyle w:val="1"/>
        <w:keepNext w:val="0"/>
        <w:keepLines w:val="0"/>
        <w:spacing w:before="240" w:after="240" w:line="360" w:lineRule="auto"/>
        <w:rPr>
          <w:color w:val="000000" w:themeColor="text1"/>
        </w:rPr>
      </w:pPr>
      <w:bookmarkStart w:id="5" w:name="_Toc11403"/>
      <w:bookmarkStart w:id="6" w:name="_Toc14402"/>
      <w:r>
        <w:rPr>
          <w:color w:val="000000" w:themeColor="text1"/>
        </w:rPr>
        <w:lastRenderedPageBreak/>
        <w:t>概述</w:t>
      </w:r>
      <w:bookmarkEnd w:id="5"/>
      <w:bookmarkEnd w:id="6"/>
    </w:p>
    <w:p w14:paraId="2951A4AF" w14:textId="77777777" w:rsidR="002E0859" w:rsidRDefault="00000000">
      <w:pPr>
        <w:pStyle w:val="2"/>
        <w:keepNext w:val="0"/>
        <w:keepLines w:val="0"/>
        <w:spacing w:before="120" w:after="120" w:line="360" w:lineRule="auto"/>
        <w:jc w:val="center"/>
        <w:rPr>
          <w:color w:val="000000" w:themeColor="text1"/>
        </w:rPr>
      </w:pPr>
      <w:bookmarkStart w:id="7" w:name="_Toc13799"/>
      <w:bookmarkStart w:id="8" w:name="_Toc29250"/>
      <w:r>
        <w:rPr>
          <w:color w:val="000000" w:themeColor="text1"/>
        </w:rPr>
        <w:t>评价目的</w:t>
      </w:r>
      <w:bookmarkEnd w:id="7"/>
      <w:bookmarkEnd w:id="8"/>
    </w:p>
    <w:p w14:paraId="3C279F06" w14:textId="77777777" w:rsidR="002E0859" w:rsidRDefault="00000000">
      <w:pPr>
        <w:numPr>
          <w:ilvl w:val="0"/>
          <w:numId w:val="2"/>
        </w:numPr>
        <w:spacing w:line="360" w:lineRule="auto"/>
        <w:ind w:firstLine="480"/>
        <w:rPr>
          <w:color w:val="000000" w:themeColor="text1"/>
          <w:sz w:val="24"/>
          <w:szCs w:val="24"/>
        </w:rPr>
      </w:pPr>
      <w:r>
        <w:rPr>
          <w:color w:val="000000" w:themeColor="text1"/>
          <w:sz w:val="24"/>
          <w:szCs w:val="24"/>
        </w:rPr>
        <w:t>贯彻</w:t>
      </w:r>
      <w:r>
        <w:rPr>
          <w:rFonts w:hint="eastAsia"/>
          <w:color w:val="000000" w:themeColor="text1"/>
          <w:sz w:val="24"/>
          <w:szCs w:val="24"/>
        </w:rPr>
        <w:t>“</w:t>
      </w:r>
      <w:r>
        <w:rPr>
          <w:color w:val="000000" w:themeColor="text1"/>
          <w:sz w:val="24"/>
          <w:szCs w:val="24"/>
        </w:rPr>
        <w:t>安全第一、预防为主、综合治理</w:t>
      </w:r>
      <w:r>
        <w:rPr>
          <w:rFonts w:hint="eastAsia"/>
          <w:color w:val="000000" w:themeColor="text1"/>
          <w:sz w:val="24"/>
          <w:szCs w:val="24"/>
        </w:rPr>
        <w:t>”</w:t>
      </w:r>
      <w:r>
        <w:rPr>
          <w:color w:val="000000" w:themeColor="text1"/>
          <w:sz w:val="24"/>
          <w:szCs w:val="24"/>
        </w:rPr>
        <w:t>的方针，分析与辨识本工程项目施工及投产运行后可能存在的主要危险有害因素；确定本项目与安全生产法律、法规、规章、标准的符合性。</w:t>
      </w:r>
    </w:p>
    <w:p w14:paraId="570C6DAA" w14:textId="77777777" w:rsidR="002E0859" w:rsidRDefault="00000000">
      <w:pPr>
        <w:numPr>
          <w:ilvl w:val="0"/>
          <w:numId w:val="2"/>
        </w:numPr>
        <w:spacing w:line="360" w:lineRule="auto"/>
        <w:ind w:firstLine="480"/>
        <w:rPr>
          <w:color w:val="000000" w:themeColor="text1"/>
          <w:sz w:val="24"/>
          <w:szCs w:val="24"/>
        </w:rPr>
      </w:pPr>
      <w:r>
        <w:rPr>
          <w:color w:val="000000" w:themeColor="text1"/>
          <w:sz w:val="24"/>
          <w:szCs w:val="24"/>
        </w:rPr>
        <w:t>预测本项目运行过程中发生事故的可能性及其严重程度；并提出消除、预防和降低危险、危害后果的安全对策措施和建议。</w:t>
      </w:r>
    </w:p>
    <w:p w14:paraId="12D7ED59" w14:textId="77777777" w:rsidR="002E0859" w:rsidRDefault="00000000">
      <w:pPr>
        <w:numPr>
          <w:ilvl w:val="0"/>
          <w:numId w:val="2"/>
        </w:numPr>
        <w:spacing w:line="360" w:lineRule="auto"/>
        <w:ind w:firstLine="480"/>
        <w:rPr>
          <w:color w:val="000000" w:themeColor="text1"/>
          <w:sz w:val="24"/>
          <w:szCs w:val="24"/>
        </w:rPr>
      </w:pPr>
      <w:r>
        <w:rPr>
          <w:color w:val="000000" w:themeColor="text1"/>
          <w:sz w:val="24"/>
          <w:szCs w:val="24"/>
        </w:rPr>
        <w:t>为本项目安全运行提供技术性指导，为应急管理部门实施监督提供参考依据，为建设项目初步设计提供依据。</w:t>
      </w:r>
    </w:p>
    <w:p w14:paraId="00B939F7" w14:textId="77777777" w:rsidR="002E0859" w:rsidRDefault="00000000">
      <w:pPr>
        <w:pStyle w:val="2"/>
        <w:keepNext w:val="0"/>
        <w:keepLines w:val="0"/>
        <w:spacing w:before="120" w:after="120" w:line="360" w:lineRule="auto"/>
        <w:jc w:val="center"/>
        <w:rPr>
          <w:color w:val="000000" w:themeColor="text1"/>
        </w:rPr>
      </w:pPr>
      <w:bookmarkStart w:id="9" w:name="_Toc616"/>
      <w:bookmarkStart w:id="10" w:name="_Toc24386"/>
      <w:r>
        <w:rPr>
          <w:color w:val="000000" w:themeColor="text1"/>
        </w:rPr>
        <w:t>评价依据</w:t>
      </w:r>
      <w:bookmarkEnd w:id="9"/>
    </w:p>
    <w:p w14:paraId="5CF168E8"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color w:val="000000" w:themeColor="text1"/>
          <w:sz w:val="24"/>
          <w:szCs w:val="24"/>
        </w:rPr>
        <w:t>国家法律法规、部门规章和地方性法规</w:t>
      </w:r>
    </w:p>
    <w:p w14:paraId="3452849E"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法律</w:t>
      </w:r>
    </w:p>
    <w:p w14:paraId="5CB67BC3" w14:textId="77777777" w:rsidR="002E0859" w:rsidRDefault="00000000">
      <w:pPr>
        <w:pStyle w:val="ae"/>
        <w:numPr>
          <w:ilvl w:val="0"/>
          <w:numId w:val="3"/>
        </w:numPr>
        <w:topLinePunct w:val="0"/>
        <w:spacing w:line="360" w:lineRule="auto"/>
        <w:ind w:firstLine="480"/>
        <w:rPr>
          <w:color w:val="000000" w:themeColor="text1"/>
          <w:sz w:val="24"/>
          <w:szCs w:val="24"/>
        </w:rPr>
      </w:pPr>
      <w:r>
        <w:rPr>
          <w:color w:val="000000" w:themeColor="text1"/>
          <w:sz w:val="24"/>
          <w:szCs w:val="24"/>
        </w:rPr>
        <w:t>《中华人民共和国安全生产法》（中华人民共和国主席令</w:t>
      </w:r>
      <w:r>
        <w:rPr>
          <w:color w:val="000000" w:themeColor="text1"/>
          <w:sz w:val="24"/>
          <w:szCs w:val="24"/>
        </w:rPr>
        <w:t>[2002]</w:t>
      </w:r>
      <w:r>
        <w:rPr>
          <w:color w:val="000000" w:themeColor="text1"/>
          <w:sz w:val="24"/>
          <w:szCs w:val="24"/>
        </w:rPr>
        <w:t>第</w:t>
      </w:r>
      <w:r>
        <w:rPr>
          <w:color w:val="000000" w:themeColor="text1"/>
          <w:sz w:val="24"/>
          <w:szCs w:val="24"/>
        </w:rPr>
        <w:t>70</w:t>
      </w:r>
      <w:r>
        <w:rPr>
          <w:color w:val="000000" w:themeColor="text1"/>
          <w:sz w:val="24"/>
          <w:szCs w:val="24"/>
        </w:rPr>
        <w:t>号发布，主席令</w:t>
      </w:r>
      <w:r>
        <w:rPr>
          <w:color w:val="000000" w:themeColor="text1"/>
          <w:sz w:val="24"/>
          <w:szCs w:val="24"/>
        </w:rPr>
        <w:t>[2009]</w:t>
      </w:r>
      <w:r>
        <w:rPr>
          <w:color w:val="000000" w:themeColor="text1"/>
          <w:sz w:val="24"/>
          <w:szCs w:val="24"/>
        </w:rPr>
        <w:t>第</w:t>
      </w:r>
      <w:r>
        <w:rPr>
          <w:color w:val="000000" w:themeColor="text1"/>
          <w:sz w:val="24"/>
          <w:szCs w:val="24"/>
        </w:rPr>
        <w:t>18</w:t>
      </w:r>
      <w:r>
        <w:rPr>
          <w:color w:val="000000" w:themeColor="text1"/>
          <w:sz w:val="24"/>
          <w:szCs w:val="24"/>
        </w:rPr>
        <w:t>号、主席令</w:t>
      </w:r>
      <w:r>
        <w:rPr>
          <w:color w:val="000000" w:themeColor="text1"/>
          <w:sz w:val="24"/>
          <w:szCs w:val="24"/>
        </w:rPr>
        <w:t>[2014]</w:t>
      </w:r>
      <w:r>
        <w:rPr>
          <w:color w:val="000000" w:themeColor="text1"/>
          <w:sz w:val="24"/>
          <w:szCs w:val="24"/>
        </w:rPr>
        <w:t>第</w:t>
      </w:r>
      <w:r>
        <w:rPr>
          <w:color w:val="000000" w:themeColor="text1"/>
          <w:sz w:val="24"/>
          <w:szCs w:val="24"/>
        </w:rPr>
        <w:t>13</w:t>
      </w:r>
      <w:r>
        <w:rPr>
          <w:color w:val="000000" w:themeColor="text1"/>
          <w:sz w:val="24"/>
          <w:szCs w:val="24"/>
        </w:rPr>
        <w:t>号、主席令</w:t>
      </w:r>
      <w:r>
        <w:rPr>
          <w:color w:val="000000" w:themeColor="text1"/>
          <w:sz w:val="24"/>
          <w:szCs w:val="24"/>
        </w:rPr>
        <w:t>[2021]</w:t>
      </w:r>
      <w:r>
        <w:rPr>
          <w:color w:val="000000" w:themeColor="text1"/>
          <w:sz w:val="24"/>
          <w:szCs w:val="24"/>
        </w:rPr>
        <w:t>第</w:t>
      </w:r>
      <w:r>
        <w:rPr>
          <w:color w:val="000000" w:themeColor="text1"/>
          <w:sz w:val="24"/>
          <w:szCs w:val="24"/>
        </w:rPr>
        <w:t>88</w:t>
      </w:r>
      <w:r>
        <w:rPr>
          <w:color w:val="000000" w:themeColor="text1"/>
          <w:sz w:val="24"/>
          <w:szCs w:val="24"/>
        </w:rPr>
        <w:t>号修正，</w:t>
      </w:r>
      <w:r>
        <w:rPr>
          <w:color w:val="000000" w:themeColor="text1"/>
          <w:sz w:val="24"/>
          <w:szCs w:val="24"/>
        </w:rPr>
        <w:t>2021</w:t>
      </w:r>
      <w:r>
        <w:rPr>
          <w:color w:val="000000" w:themeColor="text1"/>
          <w:sz w:val="24"/>
          <w:szCs w:val="24"/>
        </w:rPr>
        <w:t>年</w:t>
      </w:r>
      <w:r>
        <w:rPr>
          <w:color w:val="000000" w:themeColor="text1"/>
          <w:sz w:val="24"/>
          <w:szCs w:val="24"/>
        </w:rPr>
        <w:t>9</w:t>
      </w:r>
      <w:r>
        <w:rPr>
          <w:color w:val="000000" w:themeColor="text1"/>
          <w:sz w:val="24"/>
          <w:szCs w:val="24"/>
        </w:rPr>
        <w:t>月</w:t>
      </w:r>
      <w:r>
        <w:rPr>
          <w:color w:val="000000" w:themeColor="text1"/>
          <w:sz w:val="24"/>
          <w:szCs w:val="24"/>
        </w:rPr>
        <w:t>1</w:t>
      </w:r>
      <w:r>
        <w:rPr>
          <w:color w:val="000000" w:themeColor="text1"/>
          <w:sz w:val="24"/>
          <w:szCs w:val="24"/>
        </w:rPr>
        <w:t>日起施行）</w:t>
      </w:r>
    </w:p>
    <w:p w14:paraId="5FB6C3ED" w14:textId="77777777" w:rsidR="002E0859" w:rsidRDefault="00000000">
      <w:pPr>
        <w:pStyle w:val="ae"/>
        <w:numPr>
          <w:ilvl w:val="0"/>
          <w:numId w:val="3"/>
        </w:numPr>
        <w:topLinePunct w:val="0"/>
        <w:spacing w:line="360" w:lineRule="auto"/>
        <w:ind w:firstLine="480"/>
        <w:rPr>
          <w:color w:val="000000" w:themeColor="text1"/>
          <w:sz w:val="24"/>
          <w:szCs w:val="24"/>
        </w:rPr>
      </w:pPr>
      <w:r>
        <w:rPr>
          <w:color w:val="000000" w:themeColor="text1"/>
          <w:sz w:val="24"/>
          <w:szCs w:val="24"/>
        </w:rPr>
        <w:t>《中华人民共和国石油天然气管道保护法》（中华人民共和国主席令第</w:t>
      </w:r>
      <w:r>
        <w:rPr>
          <w:color w:val="000000" w:themeColor="text1"/>
          <w:sz w:val="24"/>
          <w:szCs w:val="24"/>
        </w:rPr>
        <w:t>30</w:t>
      </w:r>
      <w:r>
        <w:rPr>
          <w:color w:val="000000" w:themeColor="text1"/>
          <w:sz w:val="24"/>
          <w:szCs w:val="24"/>
        </w:rPr>
        <w:t>号，</w:t>
      </w:r>
      <w:r>
        <w:rPr>
          <w:color w:val="000000" w:themeColor="text1"/>
          <w:sz w:val="24"/>
          <w:szCs w:val="24"/>
        </w:rPr>
        <w:t>2010</w:t>
      </w:r>
      <w:r>
        <w:rPr>
          <w:color w:val="000000" w:themeColor="text1"/>
          <w:sz w:val="24"/>
          <w:szCs w:val="24"/>
        </w:rPr>
        <w:t>年</w:t>
      </w:r>
      <w:r>
        <w:rPr>
          <w:color w:val="000000" w:themeColor="text1"/>
          <w:sz w:val="24"/>
          <w:szCs w:val="24"/>
        </w:rPr>
        <w:t>6</w:t>
      </w:r>
      <w:r>
        <w:rPr>
          <w:color w:val="000000" w:themeColor="text1"/>
          <w:sz w:val="24"/>
          <w:szCs w:val="24"/>
        </w:rPr>
        <w:t>月</w:t>
      </w:r>
      <w:r>
        <w:rPr>
          <w:color w:val="000000" w:themeColor="text1"/>
          <w:sz w:val="24"/>
          <w:szCs w:val="24"/>
        </w:rPr>
        <w:t>25</w:t>
      </w:r>
      <w:r>
        <w:rPr>
          <w:color w:val="000000" w:themeColor="text1"/>
          <w:sz w:val="24"/>
          <w:szCs w:val="24"/>
        </w:rPr>
        <w:t>日通过，</w:t>
      </w:r>
      <w:r>
        <w:rPr>
          <w:color w:val="000000" w:themeColor="text1"/>
          <w:sz w:val="24"/>
          <w:szCs w:val="24"/>
        </w:rPr>
        <w:t>2010</w:t>
      </w:r>
      <w:r>
        <w:rPr>
          <w:color w:val="000000" w:themeColor="text1"/>
          <w:sz w:val="24"/>
          <w:szCs w:val="24"/>
        </w:rPr>
        <w:t>年</w:t>
      </w:r>
      <w:r>
        <w:rPr>
          <w:color w:val="000000" w:themeColor="text1"/>
          <w:sz w:val="24"/>
          <w:szCs w:val="24"/>
        </w:rPr>
        <w:t>10</w:t>
      </w:r>
      <w:r>
        <w:rPr>
          <w:color w:val="000000" w:themeColor="text1"/>
          <w:sz w:val="24"/>
          <w:szCs w:val="24"/>
        </w:rPr>
        <w:t>月</w:t>
      </w:r>
      <w:r>
        <w:rPr>
          <w:color w:val="000000" w:themeColor="text1"/>
          <w:sz w:val="24"/>
          <w:szCs w:val="24"/>
        </w:rPr>
        <w:t>1</w:t>
      </w:r>
      <w:r>
        <w:rPr>
          <w:color w:val="000000" w:themeColor="text1"/>
          <w:sz w:val="24"/>
          <w:szCs w:val="24"/>
        </w:rPr>
        <w:t>日施行）</w:t>
      </w:r>
    </w:p>
    <w:p w14:paraId="01873E02" w14:textId="77777777" w:rsidR="002E0859" w:rsidRDefault="00000000">
      <w:pPr>
        <w:pStyle w:val="ae"/>
        <w:numPr>
          <w:ilvl w:val="0"/>
          <w:numId w:val="3"/>
        </w:numPr>
        <w:topLinePunct w:val="0"/>
        <w:spacing w:line="360" w:lineRule="auto"/>
        <w:ind w:firstLine="480"/>
        <w:rPr>
          <w:color w:val="000000" w:themeColor="text1"/>
          <w:sz w:val="24"/>
          <w:szCs w:val="24"/>
        </w:rPr>
      </w:pPr>
      <w:r>
        <w:rPr>
          <w:color w:val="000000" w:themeColor="text1"/>
          <w:sz w:val="24"/>
          <w:szCs w:val="24"/>
        </w:rPr>
        <w:t>《中华人民共和国消防法》（中华人民共和国主席令</w:t>
      </w:r>
      <w:r>
        <w:rPr>
          <w:color w:val="000000" w:themeColor="text1"/>
          <w:sz w:val="24"/>
          <w:szCs w:val="24"/>
        </w:rPr>
        <w:t>[2008]</w:t>
      </w:r>
      <w:r>
        <w:rPr>
          <w:color w:val="000000" w:themeColor="text1"/>
          <w:sz w:val="24"/>
          <w:szCs w:val="24"/>
        </w:rPr>
        <w:t>第</w:t>
      </w:r>
      <w:r>
        <w:rPr>
          <w:color w:val="000000" w:themeColor="text1"/>
          <w:sz w:val="24"/>
          <w:szCs w:val="24"/>
        </w:rPr>
        <w:t>6</w:t>
      </w:r>
      <w:r>
        <w:rPr>
          <w:color w:val="000000" w:themeColor="text1"/>
          <w:sz w:val="24"/>
          <w:szCs w:val="24"/>
        </w:rPr>
        <w:t>号，主席令</w:t>
      </w:r>
      <w:r>
        <w:rPr>
          <w:color w:val="000000" w:themeColor="text1"/>
          <w:sz w:val="24"/>
          <w:szCs w:val="24"/>
        </w:rPr>
        <w:t>[2019]29</w:t>
      </w:r>
      <w:r>
        <w:rPr>
          <w:color w:val="000000" w:themeColor="text1"/>
          <w:sz w:val="24"/>
          <w:szCs w:val="24"/>
        </w:rPr>
        <w:t>号修订，</w:t>
      </w:r>
      <w:r>
        <w:rPr>
          <w:color w:val="000000" w:themeColor="text1"/>
          <w:sz w:val="24"/>
          <w:szCs w:val="24"/>
        </w:rPr>
        <w:t>[2021]81</w:t>
      </w:r>
      <w:r>
        <w:rPr>
          <w:color w:val="000000" w:themeColor="text1"/>
          <w:sz w:val="24"/>
          <w:szCs w:val="24"/>
        </w:rPr>
        <w:t>号修订，</w:t>
      </w:r>
      <w:r>
        <w:rPr>
          <w:color w:val="000000" w:themeColor="text1"/>
          <w:sz w:val="24"/>
          <w:szCs w:val="24"/>
        </w:rPr>
        <w:t>2021</w:t>
      </w:r>
      <w:r>
        <w:rPr>
          <w:color w:val="000000" w:themeColor="text1"/>
          <w:sz w:val="24"/>
          <w:szCs w:val="24"/>
        </w:rPr>
        <w:t>年</w:t>
      </w:r>
      <w:r>
        <w:rPr>
          <w:color w:val="000000" w:themeColor="text1"/>
          <w:sz w:val="24"/>
          <w:szCs w:val="24"/>
        </w:rPr>
        <w:t>4</w:t>
      </w:r>
      <w:r>
        <w:rPr>
          <w:color w:val="000000" w:themeColor="text1"/>
          <w:sz w:val="24"/>
          <w:szCs w:val="24"/>
        </w:rPr>
        <w:t>月</w:t>
      </w:r>
      <w:r>
        <w:rPr>
          <w:color w:val="000000" w:themeColor="text1"/>
          <w:sz w:val="24"/>
          <w:szCs w:val="24"/>
        </w:rPr>
        <w:t>29</w:t>
      </w:r>
      <w:r>
        <w:rPr>
          <w:color w:val="000000" w:themeColor="text1"/>
          <w:sz w:val="24"/>
          <w:szCs w:val="24"/>
        </w:rPr>
        <w:t>日起施行）</w:t>
      </w:r>
    </w:p>
    <w:p w14:paraId="3C627D36" w14:textId="77777777" w:rsidR="002E0859" w:rsidRDefault="00000000">
      <w:pPr>
        <w:pStyle w:val="ae"/>
        <w:numPr>
          <w:ilvl w:val="0"/>
          <w:numId w:val="3"/>
        </w:numPr>
        <w:topLinePunct w:val="0"/>
        <w:spacing w:line="360" w:lineRule="auto"/>
        <w:ind w:firstLine="480"/>
        <w:rPr>
          <w:color w:val="000000" w:themeColor="text1"/>
          <w:sz w:val="24"/>
          <w:szCs w:val="24"/>
        </w:rPr>
      </w:pPr>
      <w:r>
        <w:rPr>
          <w:color w:val="000000" w:themeColor="text1"/>
          <w:sz w:val="24"/>
          <w:szCs w:val="24"/>
        </w:rPr>
        <w:t>《中华人民共和国特种设备安全法》（中华人民共和国主席令</w:t>
      </w:r>
      <w:r>
        <w:rPr>
          <w:color w:val="000000" w:themeColor="text1"/>
          <w:sz w:val="24"/>
          <w:szCs w:val="24"/>
        </w:rPr>
        <w:t>[2013]</w:t>
      </w:r>
      <w:r>
        <w:rPr>
          <w:color w:val="000000" w:themeColor="text1"/>
          <w:sz w:val="24"/>
          <w:szCs w:val="24"/>
        </w:rPr>
        <w:t>第</w:t>
      </w:r>
      <w:r>
        <w:rPr>
          <w:color w:val="000000" w:themeColor="text1"/>
          <w:sz w:val="24"/>
          <w:szCs w:val="24"/>
        </w:rPr>
        <w:t>4</w:t>
      </w:r>
      <w:r>
        <w:rPr>
          <w:color w:val="000000" w:themeColor="text1"/>
          <w:sz w:val="24"/>
          <w:szCs w:val="24"/>
        </w:rPr>
        <w:t>号，</w:t>
      </w:r>
      <w:r>
        <w:rPr>
          <w:color w:val="000000" w:themeColor="text1"/>
          <w:sz w:val="24"/>
          <w:szCs w:val="24"/>
        </w:rPr>
        <w:t>2014</w:t>
      </w:r>
      <w:r>
        <w:rPr>
          <w:color w:val="000000" w:themeColor="text1"/>
          <w:sz w:val="24"/>
          <w:szCs w:val="24"/>
        </w:rPr>
        <w:t>年</w:t>
      </w:r>
      <w:r>
        <w:rPr>
          <w:color w:val="000000" w:themeColor="text1"/>
          <w:sz w:val="24"/>
          <w:szCs w:val="24"/>
        </w:rPr>
        <w:t>1</w:t>
      </w:r>
      <w:r>
        <w:rPr>
          <w:color w:val="000000" w:themeColor="text1"/>
          <w:sz w:val="24"/>
          <w:szCs w:val="24"/>
        </w:rPr>
        <w:t>月</w:t>
      </w:r>
      <w:r>
        <w:rPr>
          <w:color w:val="000000" w:themeColor="text1"/>
          <w:sz w:val="24"/>
          <w:szCs w:val="24"/>
        </w:rPr>
        <w:t>1</w:t>
      </w:r>
      <w:r>
        <w:rPr>
          <w:color w:val="000000" w:themeColor="text1"/>
          <w:sz w:val="24"/>
          <w:szCs w:val="24"/>
        </w:rPr>
        <w:t>日起施行。）</w:t>
      </w:r>
    </w:p>
    <w:p w14:paraId="296A5A16" w14:textId="77777777" w:rsidR="002E0859" w:rsidRDefault="00000000">
      <w:pPr>
        <w:pStyle w:val="ae"/>
        <w:numPr>
          <w:ilvl w:val="0"/>
          <w:numId w:val="3"/>
        </w:numPr>
        <w:topLinePunct w:val="0"/>
        <w:spacing w:line="360" w:lineRule="auto"/>
        <w:ind w:firstLine="480"/>
        <w:rPr>
          <w:color w:val="000000" w:themeColor="text1"/>
          <w:sz w:val="24"/>
          <w:szCs w:val="24"/>
        </w:rPr>
      </w:pPr>
      <w:bookmarkStart w:id="11" w:name="_Toc11025"/>
      <w:r>
        <w:rPr>
          <w:color w:val="000000" w:themeColor="text1"/>
          <w:sz w:val="24"/>
          <w:szCs w:val="24"/>
        </w:rPr>
        <w:t>《中华人民共和国防震减灾法》（中华人民共和国主席令</w:t>
      </w:r>
      <w:r>
        <w:rPr>
          <w:color w:val="000000" w:themeColor="text1"/>
          <w:sz w:val="24"/>
          <w:szCs w:val="24"/>
        </w:rPr>
        <w:t>[2008]</w:t>
      </w:r>
      <w:r>
        <w:rPr>
          <w:color w:val="000000" w:themeColor="text1"/>
          <w:sz w:val="24"/>
          <w:szCs w:val="24"/>
        </w:rPr>
        <w:t>第</w:t>
      </w:r>
      <w:r>
        <w:rPr>
          <w:color w:val="000000" w:themeColor="text1"/>
          <w:sz w:val="24"/>
          <w:szCs w:val="24"/>
        </w:rPr>
        <w:t>7</w:t>
      </w:r>
      <w:r>
        <w:rPr>
          <w:color w:val="000000" w:themeColor="text1"/>
          <w:sz w:val="24"/>
          <w:szCs w:val="24"/>
        </w:rPr>
        <w:t>号修订版，</w:t>
      </w:r>
      <w:r>
        <w:rPr>
          <w:color w:val="000000" w:themeColor="text1"/>
          <w:sz w:val="24"/>
          <w:szCs w:val="24"/>
        </w:rPr>
        <w:t>2009</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1</w:t>
      </w:r>
      <w:r>
        <w:rPr>
          <w:color w:val="000000" w:themeColor="text1"/>
          <w:sz w:val="24"/>
          <w:szCs w:val="24"/>
        </w:rPr>
        <w:t>日起施行）</w:t>
      </w:r>
      <w:bookmarkEnd w:id="11"/>
    </w:p>
    <w:p w14:paraId="700EB849" w14:textId="77777777" w:rsidR="002E0859" w:rsidRDefault="00000000">
      <w:pPr>
        <w:pStyle w:val="ae"/>
        <w:numPr>
          <w:ilvl w:val="0"/>
          <w:numId w:val="3"/>
        </w:numPr>
        <w:topLinePunct w:val="0"/>
        <w:spacing w:line="360" w:lineRule="auto"/>
        <w:ind w:firstLine="480"/>
        <w:rPr>
          <w:color w:val="000000" w:themeColor="text1"/>
          <w:sz w:val="24"/>
          <w:szCs w:val="24"/>
        </w:rPr>
      </w:pPr>
      <w:r>
        <w:rPr>
          <w:color w:val="000000" w:themeColor="text1"/>
          <w:sz w:val="24"/>
          <w:szCs w:val="24"/>
        </w:rPr>
        <w:t>《中华人民共和国突发事件应对法》（中华人民共和国主席令</w:t>
      </w:r>
      <w:r>
        <w:rPr>
          <w:color w:val="000000" w:themeColor="text1"/>
          <w:sz w:val="24"/>
          <w:szCs w:val="24"/>
        </w:rPr>
        <w:t>[2007]</w:t>
      </w:r>
      <w:r>
        <w:rPr>
          <w:color w:val="000000" w:themeColor="text1"/>
          <w:sz w:val="24"/>
          <w:szCs w:val="24"/>
        </w:rPr>
        <w:t>第</w:t>
      </w:r>
      <w:r>
        <w:rPr>
          <w:color w:val="000000" w:themeColor="text1"/>
          <w:sz w:val="24"/>
          <w:szCs w:val="24"/>
        </w:rPr>
        <w:t>69</w:t>
      </w:r>
      <w:r>
        <w:rPr>
          <w:color w:val="000000" w:themeColor="text1"/>
          <w:sz w:val="24"/>
          <w:szCs w:val="24"/>
        </w:rPr>
        <w:t>号，</w:t>
      </w:r>
      <w:r>
        <w:rPr>
          <w:color w:val="000000" w:themeColor="text1"/>
          <w:sz w:val="24"/>
          <w:szCs w:val="24"/>
        </w:rPr>
        <w:t>2007</w:t>
      </w:r>
      <w:r>
        <w:rPr>
          <w:color w:val="000000" w:themeColor="text1"/>
          <w:sz w:val="24"/>
          <w:szCs w:val="24"/>
        </w:rPr>
        <w:t>年</w:t>
      </w:r>
      <w:r>
        <w:rPr>
          <w:color w:val="000000" w:themeColor="text1"/>
          <w:sz w:val="24"/>
          <w:szCs w:val="24"/>
        </w:rPr>
        <w:t>11</w:t>
      </w:r>
      <w:r>
        <w:rPr>
          <w:color w:val="000000" w:themeColor="text1"/>
          <w:sz w:val="24"/>
          <w:szCs w:val="24"/>
        </w:rPr>
        <w:t>月</w:t>
      </w:r>
      <w:r>
        <w:rPr>
          <w:color w:val="000000" w:themeColor="text1"/>
          <w:sz w:val="24"/>
          <w:szCs w:val="24"/>
        </w:rPr>
        <w:t>1</w:t>
      </w:r>
      <w:r>
        <w:rPr>
          <w:color w:val="000000" w:themeColor="text1"/>
          <w:sz w:val="24"/>
          <w:szCs w:val="24"/>
        </w:rPr>
        <w:t>日起施行）</w:t>
      </w:r>
    </w:p>
    <w:p w14:paraId="7FC0AE7E" w14:textId="77777777" w:rsidR="002E0859" w:rsidRDefault="00000000">
      <w:pPr>
        <w:pStyle w:val="ae"/>
        <w:numPr>
          <w:ilvl w:val="0"/>
          <w:numId w:val="3"/>
        </w:numPr>
        <w:topLinePunct w:val="0"/>
        <w:spacing w:line="360" w:lineRule="auto"/>
        <w:ind w:firstLine="480"/>
        <w:rPr>
          <w:color w:val="000000" w:themeColor="text1"/>
          <w:sz w:val="24"/>
          <w:szCs w:val="24"/>
        </w:rPr>
      </w:pPr>
      <w:r>
        <w:rPr>
          <w:color w:val="000000" w:themeColor="text1"/>
          <w:sz w:val="24"/>
          <w:szCs w:val="24"/>
        </w:rPr>
        <w:t>《中华人民共和国防洪法》（中华人民共和国主席令</w:t>
      </w:r>
      <w:r>
        <w:rPr>
          <w:color w:val="000000" w:themeColor="text1"/>
          <w:sz w:val="24"/>
          <w:szCs w:val="24"/>
        </w:rPr>
        <w:t>[1997]</w:t>
      </w:r>
      <w:r>
        <w:rPr>
          <w:color w:val="000000" w:themeColor="text1"/>
          <w:sz w:val="24"/>
          <w:szCs w:val="24"/>
        </w:rPr>
        <w:t>第</w:t>
      </w:r>
      <w:r>
        <w:rPr>
          <w:color w:val="000000" w:themeColor="text1"/>
          <w:sz w:val="24"/>
          <w:szCs w:val="24"/>
        </w:rPr>
        <w:t>88</w:t>
      </w:r>
      <w:r>
        <w:rPr>
          <w:color w:val="000000" w:themeColor="text1"/>
          <w:sz w:val="24"/>
          <w:szCs w:val="24"/>
        </w:rPr>
        <w:t>号，</w:t>
      </w:r>
      <w:r>
        <w:rPr>
          <w:color w:val="000000" w:themeColor="text1"/>
          <w:sz w:val="24"/>
          <w:szCs w:val="24"/>
        </w:rPr>
        <w:t>2016</w:t>
      </w:r>
      <w:r>
        <w:rPr>
          <w:color w:val="000000" w:themeColor="text1"/>
          <w:sz w:val="24"/>
          <w:szCs w:val="24"/>
        </w:rPr>
        <w:t>年第</w:t>
      </w:r>
      <w:r>
        <w:rPr>
          <w:color w:val="000000" w:themeColor="text1"/>
          <w:sz w:val="24"/>
          <w:szCs w:val="24"/>
        </w:rPr>
        <w:t>48</w:t>
      </w:r>
      <w:r>
        <w:rPr>
          <w:color w:val="000000" w:themeColor="text1"/>
          <w:sz w:val="24"/>
          <w:szCs w:val="24"/>
        </w:rPr>
        <w:t>号主席令修正，</w:t>
      </w:r>
      <w:r>
        <w:rPr>
          <w:color w:val="000000" w:themeColor="text1"/>
          <w:sz w:val="24"/>
          <w:szCs w:val="24"/>
        </w:rPr>
        <w:t>2016</w:t>
      </w:r>
      <w:r>
        <w:rPr>
          <w:color w:val="000000" w:themeColor="text1"/>
          <w:sz w:val="24"/>
          <w:szCs w:val="24"/>
        </w:rPr>
        <w:t>年</w:t>
      </w:r>
      <w:r>
        <w:rPr>
          <w:color w:val="000000" w:themeColor="text1"/>
          <w:sz w:val="24"/>
          <w:szCs w:val="24"/>
        </w:rPr>
        <w:t>9</w:t>
      </w:r>
      <w:r>
        <w:rPr>
          <w:color w:val="000000" w:themeColor="text1"/>
          <w:sz w:val="24"/>
          <w:szCs w:val="24"/>
        </w:rPr>
        <w:t>月</w:t>
      </w:r>
      <w:r>
        <w:rPr>
          <w:color w:val="000000" w:themeColor="text1"/>
          <w:sz w:val="24"/>
          <w:szCs w:val="24"/>
        </w:rPr>
        <w:t>1</w:t>
      </w:r>
      <w:r>
        <w:rPr>
          <w:color w:val="000000" w:themeColor="text1"/>
          <w:sz w:val="24"/>
          <w:szCs w:val="24"/>
        </w:rPr>
        <w:t>日起施行）</w:t>
      </w:r>
    </w:p>
    <w:p w14:paraId="1DF32038"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lastRenderedPageBreak/>
        <w:t>行政法规</w:t>
      </w:r>
    </w:p>
    <w:p w14:paraId="1327D558"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《危险化学品安全管理条例》（国务院令第</w:t>
      </w:r>
      <w:r>
        <w:rPr>
          <w:color w:val="000000" w:themeColor="text1"/>
          <w:sz w:val="24"/>
          <w:szCs w:val="24"/>
        </w:rPr>
        <w:t>344</w:t>
      </w:r>
      <w:r>
        <w:rPr>
          <w:color w:val="000000" w:themeColor="text1"/>
          <w:sz w:val="24"/>
          <w:szCs w:val="24"/>
        </w:rPr>
        <w:t>号，第</w:t>
      </w:r>
      <w:r>
        <w:rPr>
          <w:color w:val="000000" w:themeColor="text1"/>
          <w:sz w:val="24"/>
          <w:szCs w:val="24"/>
        </w:rPr>
        <w:t>591</w:t>
      </w:r>
      <w:r>
        <w:rPr>
          <w:color w:val="000000" w:themeColor="text1"/>
          <w:sz w:val="24"/>
          <w:szCs w:val="24"/>
        </w:rPr>
        <w:t>号、第</w:t>
      </w:r>
      <w:r>
        <w:rPr>
          <w:color w:val="000000" w:themeColor="text1"/>
          <w:sz w:val="24"/>
          <w:szCs w:val="24"/>
        </w:rPr>
        <w:t>645</w:t>
      </w:r>
      <w:r>
        <w:rPr>
          <w:color w:val="000000" w:themeColor="text1"/>
          <w:sz w:val="24"/>
          <w:szCs w:val="24"/>
        </w:rPr>
        <w:t>号修订，</w:t>
      </w:r>
      <w:r>
        <w:rPr>
          <w:color w:val="000000" w:themeColor="text1"/>
          <w:sz w:val="24"/>
          <w:szCs w:val="24"/>
        </w:rPr>
        <w:t>2013</w:t>
      </w:r>
      <w:r>
        <w:rPr>
          <w:color w:val="000000" w:themeColor="text1"/>
          <w:sz w:val="24"/>
          <w:szCs w:val="24"/>
        </w:rPr>
        <w:t>年</w:t>
      </w:r>
      <w:r>
        <w:rPr>
          <w:color w:val="000000" w:themeColor="text1"/>
          <w:sz w:val="24"/>
          <w:szCs w:val="24"/>
        </w:rPr>
        <w:t>12</w:t>
      </w:r>
      <w:r>
        <w:rPr>
          <w:color w:val="000000" w:themeColor="text1"/>
          <w:sz w:val="24"/>
          <w:szCs w:val="24"/>
        </w:rPr>
        <w:t>月</w:t>
      </w:r>
      <w:r>
        <w:rPr>
          <w:color w:val="000000" w:themeColor="text1"/>
          <w:sz w:val="24"/>
          <w:szCs w:val="24"/>
        </w:rPr>
        <w:t>7</w:t>
      </w:r>
      <w:r>
        <w:rPr>
          <w:color w:val="000000" w:themeColor="text1"/>
          <w:sz w:val="24"/>
          <w:szCs w:val="24"/>
        </w:rPr>
        <w:t>日起施行）</w:t>
      </w:r>
    </w:p>
    <w:p w14:paraId="7A305201"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《建设工程质量管理条例》（中华人民共和国国务院令</w:t>
      </w:r>
      <w:r>
        <w:rPr>
          <w:color w:val="000000" w:themeColor="text1"/>
          <w:sz w:val="24"/>
          <w:szCs w:val="24"/>
        </w:rPr>
        <w:t>[2000]</w:t>
      </w:r>
      <w:r>
        <w:rPr>
          <w:color w:val="000000" w:themeColor="text1"/>
          <w:sz w:val="24"/>
          <w:szCs w:val="24"/>
        </w:rPr>
        <w:t>第</w:t>
      </w:r>
      <w:r>
        <w:rPr>
          <w:color w:val="000000" w:themeColor="text1"/>
          <w:sz w:val="24"/>
          <w:szCs w:val="24"/>
        </w:rPr>
        <w:t>279</w:t>
      </w:r>
      <w:r>
        <w:rPr>
          <w:color w:val="000000" w:themeColor="text1"/>
          <w:sz w:val="24"/>
          <w:szCs w:val="24"/>
        </w:rPr>
        <w:t>号，国务院令第</w:t>
      </w:r>
      <w:r>
        <w:rPr>
          <w:color w:val="000000" w:themeColor="text1"/>
          <w:sz w:val="24"/>
          <w:szCs w:val="24"/>
        </w:rPr>
        <w:t>714</w:t>
      </w:r>
      <w:r>
        <w:rPr>
          <w:color w:val="000000" w:themeColor="text1"/>
          <w:sz w:val="24"/>
          <w:szCs w:val="24"/>
        </w:rPr>
        <w:t>号修改，</w:t>
      </w:r>
      <w:r>
        <w:rPr>
          <w:color w:val="000000" w:themeColor="text1"/>
          <w:sz w:val="24"/>
          <w:szCs w:val="24"/>
        </w:rPr>
        <w:t>2019</w:t>
      </w:r>
      <w:r>
        <w:rPr>
          <w:color w:val="000000" w:themeColor="text1"/>
          <w:sz w:val="24"/>
          <w:szCs w:val="24"/>
        </w:rPr>
        <w:t>年</w:t>
      </w:r>
      <w:r>
        <w:rPr>
          <w:color w:val="000000" w:themeColor="text1"/>
          <w:sz w:val="24"/>
          <w:szCs w:val="24"/>
        </w:rPr>
        <w:t>4</w:t>
      </w:r>
      <w:r>
        <w:rPr>
          <w:color w:val="000000" w:themeColor="text1"/>
          <w:sz w:val="24"/>
          <w:szCs w:val="24"/>
        </w:rPr>
        <w:t>月</w:t>
      </w:r>
      <w:r>
        <w:rPr>
          <w:color w:val="000000" w:themeColor="text1"/>
          <w:sz w:val="24"/>
          <w:szCs w:val="24"/>
        </w:rPr>
        <w:t>23</w:t>
      </w:r>
      <w:r>
        <w:rPr>
          <w:color w:val="000000" w:themeColor="text1"/>
          <w:sz w:val="24"/>
          <w:szCs w:val="24"/>
        </w:rPr>
        <w:t>日实施）</w:t>
      </w:r>
    </w:p>
    <w:p w14:paraId="2AC6E3AE"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《建设工程安全生产管理条例》（中华人民共和国国务院令</w:t>
      </w:r>
      <w:r>
        <w:rPr>
          <w:color w:val="000000" w:themeColor="text1"/>
          <w:sz w:val="24"/>
          <w:szCs w:val="24"/>
        </w:rPr>
        <w:t>[2003]</w:t>
      </w:r>
      <w:r>
        <w:rPr>
          <w:color w:val="000000" w:themeColor="text1"/>
          <w:sz w:val="24"/>
          <w:szCs w:val="24"/>
        </w:rPr>
        <w:t>第</w:t>
      </w:r>
      <w:r>
        <w:rPr>
          <w:color w:val="000000" w:themeColor="text1"/>
          <w:sz w:val="24"/>
          <w:szCs w:val="24"/>
        </w:rPr>
        <w:t>393</w:t>
      </w:r>
      <w:r>
        <w:rPr>
          <w:color w:val="000000" w:themeColor="text1"/>
          <w:sz w:val="24"/>
          <w:szCs w:val="24"/>
        </w:rPr>
        <w:t>号，</w:t>
      </w:r>
      <w:r>
        <w:rPr>
          <w:color w:val="000000" w:themeColor="text1"/>
          <w:sz w:val="24"/>
          <w:szCs w:val="24"/>
        </w:rPr>
        <w:t>2004</w:t>
      </w:r>
      <w:r>
        <w:rPr>
          <w:color w:val="000000" w:themeColor="text1"/>
          <w:sz w:val="24"/>
          <w:szCs w:val="24"/>
        </w:rPr>
        <w:t>年</w:t>
      </w:r>
      <w:r>
        <w:rPr>
          <w:color w:val="000000" w:themeColor="text1"/>
          <w:sz w:val="24"/>
          <w:szCs w:val="24"/>
        </w:rPr>
        <w:t>2</w:t>
      </w:r>
      <w:r>
        <w:rPr>
          <w:color w:val="000000" w:themeColor="text1"/>
          <w:sz w:val="24"/>
          <w:szCs w:val="24"/>
        </w:rPr>
        <w:t>月</w:t>
      </w:r>
      <w:r>
        <w:rPr>
          <w:color w:val="000000" w:themeColor="text1"/>
          <w:sz w:val="24"/>
          <w:szCs w:val="24"/>
        </w:rPr>
        <w:t>1</w:t>
      </w:r>
      <w:r>
        <w:rPr>
          <w:color w:val="000000" w:themeColor="text1"/>
          <w:sz w:val="24"/>
          <w:szCs w:val="24"/>
        </w:rPr>
        <w:t>日起施行）</w:t>
      </w:r>
    </w:p>
    <w:p w14:paraId="2B1952AB"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《中华人民共和国工伤保险条例》（中华人民共和国国务院令</w:t>
      </w:r>
      <w:r>
        <w:rPr>
          <w:color w:val="000000" w:themeColor="text1"/>
          <w:sz w:val="24"/>
          <w:szCs w:val="24"/>
        </w:rPr>
        <w:t>[2010]</w:t>
      </w:r>
      <w:r>
        <w:rPr>
          <w:color w:val="000000" w:themeColor="text1"/>
          <w:sz w:val="24"/>
          <w:szCs w:val="24"/>
        </w:rPr>
        <w:t>第</w:t>
      </w:r>
      <w:r>
        <w:rPr>
          <w:color w:val="000000" w:themeColor="text1"/>
          <w:sz w:val="24"/>
          <w:szCs w:val="24"/>
        </w:rPr>
        <w:t>586</w:t>
      </w:r>
      <w:r>
        <w:rPr>
          <w:color w:val="000000" w:themeColor="text1"/>
          <w:sz w:val="24"/>
          <w:szCs w:val="24"/>
        </w:rPr>
        <w:t>号，</w:t>
      </w:r>
      <w:r>
        <w:rPr>
          <w:color w:val="000000" w:themeColor="text1"/>
          <w:sz w:val="24"/>
          <w:szCs w:val="24"/>
        </w:rPr>
        <w:t>2011</w:t>
      </w:r>
      <w:r>
        <w:rPr>
          <w:color w:val="000000" w:themeColor="text1"/>
          <w:sz w:val="24"/>
          <w:szCs w:val="24"/>
        </w:rPr>
        <w:t>年</w:t>
      </w:r>
      <w:r>
        <w:rPr>
          <w:color w:val="000000" w:themeColor="text1"/>
          <w:sz w:val="24"/>
          <w:szCs w:val="24"/>
        </w:rPr>
        <w:t>1</w:t>
      </w:r>
      <w:r>
        <w:rPr>
          <w:color w:val="000000" w:themeColor="text1"/>
          <w:sz w:val="24"/>
          <w:szCs w:val="24"/>
        </w:rPr>
        <w:t>月</w:t>
      </w:r>
      <w:r>
        <w:rPr>
          <w:color w:val="000000" w:themeColor="text1"/>
          <w:sz w:val="24"/>
          <w:szCs w:val="24"/>
        </w:rPr>
        <w:t>1</w:t>
      </w:r>
      <w:r>
        <w:rPr>
          <w:color w:val="000000" w:themeColor="text1"/>
          <w:sz w:val="24"/>
          <w:szCs w:val="24"/>
        </w:rPr>
        <w:t>日起施行）</w:t>
      </w:r>
    </w:p>
    <w:p w14:paraId="05853667"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《中华人民共和国生产安全事故应急条例》（中华人民共和国国务院令</w:t>
      </w:r>
      <w:r>
        <w:rPr>
          <w:color w:val="000000" w:themeColor="text1"/>
          <w:sz w:val="24"/>
          <w:szCs w:val="24"/>
        </w:rPr>
        <w:t>[2019]</w:t>
      </w:r>
      <w:r>
        <w:rPr>
          <w:color w:val="000000" w:themeColor="text1"/>
          <w:sz w:val="24"/>
          <w:szCs w:val="24"/>
        </w:rPr>
        <w:t>第</w:t>
      </w:r>
      <w:r>
        <w:rPr>
          <w:color w:val="000000" w:themeColor="text1"/>
          <w:sz w:val="24"/>
          <w:szCs w:val="24"/>
        </w:rPr>
        <w:t>708</w:t>
      </w:r>
      <w:r>
        <w:rPr>
          <w:color w:val="000000" w:themeColor="text1"/>
          <w:sz w:val="24"/>
          <w:szCs w:val="24"/>
        </w:rPr>
        <w:t>号，</w:t>
      </w:r>
      <w:r>
        <w:rPr>
          <w:color w:val="000000" w:themeColor="text1"/>
          <w:sz w:val="24"/>
          <w:szCs w:val="24"/>
        </w:rPr>
        <w:t>2019</w:t>
      </w:r>
      <w:r>
        <w:rPr>
          <w:color w:val="000000" w:themeColor="text1"/>
          <w:sz w:val="24"/>
          <w:szCs w:val="24"/>
        </w:rPr>
        <w:t>年</w:t>
      </w:r>
      <w:r>
        <w:rPr>
          <w:color w:val="000000" w:themeColor="text1"/>
          <w:sz w:val="24"/>
          <w:szCs w:val="24"/>
        </w:rPr>
        <w:t>4</w:t>
      </w:r>
      <w:r>
        <w:rPr>
          <w:color w:val="000000" w:themeColor="text1"/>
          <w:sz w:val="24"/>
          <w:szCs w:val="24"/>
        </w:rPr>
        <w:t>月</w:t>
      </w:r>
      <w:r>
        <w:rPr>
          <w:color w:val="000000" w:themeColor="text1"/>
          <w:sz w:val="24"/>
          <w:szCs w:val="24"/>
        </w:rPr>
        <w:t>1</w:t>
      </w:r>
      <w:r>
        <w:rPr>
          <w:color w:val="000000" w:themeColor="text1"/>
          <w:sz w:val="24"/>
          <w:szCs w:val="24"/>
        </w:rPr>
        <w:t>日起施行）</w:t>
      </w:r>
    </w:p>
    <w:p w14:paraId="6284BD72"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《国务院关于修改</w:t>
      </w:r>
      <w:r>
        <w:rPr>
          <w:color w:val="000000" w:themeColor="text1"/>
          <w:sz w:val="24"/>
          <w:szCs w:val="24"/>
        </w:rPr>
        <w:t>&lt;</w:t>
      </w:r>
      <w:r>
        <w:rPr>
          <w:color w:val="000000" w:themeColor="text1"/>
          <w:sz w:val="24"/>
          <w:szCs w:val="24"/>
        </w:rPr>
        <w:t>特种设备安全监察条例</w:t>
      </w:r>
      <w:r>
        <w:rPr>
          <w:color w:val="000000" w:themeColor="text1"/>
          <w:sz w:val="24"/>
          <w:szCs w:val="24"/>
        </w:rPr>
        <w:t>&gt;</w:t>
      </w:r>
      <w:r>
        <w:rPr>
          <w:color w:val="000000" w:themeColor="text1"/>
          <w:sz w:val="24"/>
          <w:szCs w:val="24"/>
        </w:rPr>
        <w:t>的决定》（国务院令第</w:t>
      </w:r>
      <w:r>
        <w:rPr>
          <w:color w:val="000000" w:themeColor="text1"/>
          <w:sz w:val="24"/>
          <w:szCs w:val="24"/>
        </w:rPr>
        <w:t>549</w:t>
      </w:r>
      <w:r>
        <w:rPr>
          <w:color w:val="000000" w:themeColor="text1"/>
          <w:sz w:val="24"/>
          <w:szCs w:val="24"/>
        </w:rPr>
        <w:t>号，</w:t>
      </w:r>
      <w:r>
        <w:rPr>
          <w:color w:val="000000" w:themeColor="text1"/>
          <w:sz w:val="24"/>
          <w:szCs w:val="24"/>
        </w:rPr>
        <w:t>2009</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1</w:t>
      </w:r>
      <w:r>
        <w:rPr>
          <w:color w:val="000000" w:themeColor="text1"/>
          <w:sz w:val="24"/>
          <w:szCs w:val="24"/>
        </w:rPr>
        <w:t>日起施行）</w:t>
      </w:r>
    </w:p>
    <w:p w14:paraId="1964A8D1"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《易制毒化学品管理条例》（国务院令第</w:t>
      </w:r>
      <w:r>
        <w:rPr>
          <w:color w:val="000000" w:themeColor="text1"/>
          <w:sz w:val="24"/>
          <w:szCs w:val="24"/>
        </w:rPr>
        <w:t>445</w:t>
      </w:r>
      <w:r>
        <w:rPr>
          <w:color w:val="000000" w:themeColor="text1"/>
          <w:sz w:val="24"/>
          <w:szCs w:val="24"/>
        </w:rPr>
        <w:t>号，国务院令第</w:t>
      </w:r>
      <w:r>
        <w:rPr>
          <w:color w:val="000000" w:themeColor="text1"/>
          <w:sz w:val="24"/>
          <w:szCs w:val="24"/>
        </w:rPr>
        <w:t>653</w:t>
      </w:r>
      <w:r>
        <w:rPr>
          <w:color w:val="000000" w:themeColor="text1"/>
          <w:sz w:val="24"/>
          <w:szCs w:val="24"/>
        </w:rPr>
        <w:t>、</w:t>
      </w:r>
      <w:r>
        <w:rPr>
          <w:color w:val="000000" w:themeColor="text1"/>
          <w:sz w:val="24"/>
          <w:szCs w:val="24"/>
        </w:rPr>
        <w:t>666</w:t>
      </w:r>
      <w:r>
        <w:rPr>
          <w:color w:val="000000" w:themeColor="text1"/>
          <w:sz w:val="24"/>
          <w:szCs w:val="24"/>
        </w:rPr>
        <w:t>、</w:t>
      </w:r>
      <w:r>
        <w:rPr>
          <w:color w:val="000000" w:themeColor="text1"/>
          <w:sz w:val="24"/>
          <w:szCs w:val="24"/>
        </w:rPr>
        <w:t>703</w:t>
      </w:r>
      <w:r>
        <w:rPr>
          <w:color w:val="000000" w:themeColor="text1"/>
          <w:sz w:val="24"/>
          <w:szCs w:val="24"/>
        </w:rPr>
        <w:t>号、国办函</w:t>
      </w:r>
      <w:r>
        <w:rPr>
          <w:color w:val="000000" w:themeColor="text1"/>
          <w:sz w:val="24"/>
          <w:szCs w:val="24"/>
        </w:rPr>
        <w:t>[2017]120</w:t>
      </w:r>
      <w:r>
        <w:rPr>
          <w:color w:val="000000" w:themeColor="text1"/>
          <w:sz w:val="24"/>
          <w:szCs w:val="24"/>
        </w:rPr>
        <w:t>号、国办函</w:t>
      </w:r>
      <w:r>
        <w:rPr>
          <w:color w:val="000000" w:themeColor="text1"/>
          <w:sz w:val="24"/>
          <w:szCs w:val="24"/>
        </w:rPr>
        <w:t>[2021]58</w:t>
      </w:r>
      <w:r>
        <w:rPr>
          <w:color w:val="000000" w:themeColor="text1"/>
          <w:sz w:val="24"/>
          <w:szCs w:val="24"/>
        </w:rPr>
        <w:t>号增补修正，</w:t>
      </w:r>
      <w:r>
        <w:rPr>
          <w:color w:val="000000" w:themeColor="text1"/>
          <w:sz w:val="24"/>
          <w:szCs w:val="24"/>
        </w:rPr>
        <w:t>2005</w:t>
      </w:r>
      <w:r>
        <w:rPr>
          <w:color w:val="000000" w:themeColor="text1"/>
          <w:sz w:val="24"/>
          <w:szCs w:val="24"/>
        </w:rPr>
        <w:t>年</w:t>
      </w:r>
      <w:r>
        <w:rPr>
          <w:color w:val="000000" w:themeColor="text1"/>
          <w:sz w:val="24"/>
          <w:szCs w:val="24"/>
        </w:rPr>
        <w:t>11</w:t>
      </w:r>
      <w:r>
        <w:rPr>
          <w:color w:val="000000" w:themeColor="text1"/>
          <w:sz w:val="24"/>
          <w:szCs w:val="24"/>
        </w:rPr>
        <w:t>月</w:t>
      </w:r>
      <w:r>
        <w:rPr>
          <w:color w:val="000000" w:themeColor="text1"/>
          <w:sz w:val="24"/>
          <w:szCs w:val="24"/>
        </w:rPr>
        <w:t>1</w:t>
      </w:r>
      <w:r>
        <w:rPr>
          <w:color w:val="000000" w:themeColor="text1"/>
          <w:sz w:val="24"/>
          <w:szCs w:val="24"/>
        </w:rPr>
        <w:t>日起施行）</w:t>
      </w:r>
    </w:p>
    <w:p w14:paraId="45AD0AB4"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《中华人民共和国监控化学品管理条例》（国务院令第</w:t>
      </w:r>
      <w:r>
        <w:rPr>
          <w:color w:val="000000" w:themeColor="text1"/>
          <w:sz w:val="24"/>
          <w:szCs w:val="24"/>
        </w:rPr>
        <w:t>190</w:t>
      </w:r>
      <w:r>
        <w:rPr>
          <w:color w:val="000000" w:themeColor="text1"/>
          <w:sz w:val="24"/>
          <w:szCs w:val="24"/>
        </w:rPr>
        <w:t>号，国务院令</w:t>
      </w:r>
      <w:r>
        <w:rPr>
          <w:color w:val="000000" w:themeColor="text1"/>
          <w:sz w:val="24"/>
          <w:szCs w:val="24"/>
        </w:rPr>
        <w:t>588</w:t>
      </w:r>
      <w:r>
        <w:rPr>
          <w:color w:val="000000" w:themeColor="text1"/>
          <w:sz w:val="24"/>
          <w:szCs w:val="24"/>
        </w:rPr>
        <w:t>号修改，</w:t>
      </w:r>
      <w:r>
        <w:rPr>
          <w:color w:val="000000" w:themeColor="text1"/>
          <w:sz w:val="24"/>
          <w:szCs w:val="24"/>
        </w:rPr>
        <w:t>2011</w:t>
      </w:r>
      <w:r>
        <w:rPr>
          <w:color w:val="000000" w:themeColor="text1"/>
          <w:sz w:val="24"/>
          <w:szCs w:val="24"/>
        </w:rPr>
        <w:t>年</w:t>
      </w:r>
      <w:r>
        <w:rPr>
          <w:color w:val="000000" w:themeColor="text1"/>
          <w:sz w:val="24"/>
          <w:szCs w:val="24"/>
        </w:rPr>
        <w:t>1</w:t>
      </w:r>
      <w:r>
        <w:rPr>
          <w:color w:val="000000" w:themeColor="text1"/>
          <w:sz w:val="24"/>
          <w:szCs w:val="24"/>
        </w:rPr>
        <w:t>月</w:t>
      </w:r>
      <w:r>
        <w:rPr>
          <w:color w:val="000000" w:themeColor="text1"/>
          <w:sz w:val="24"/>
          <w:szCs w:val="24"/>
        </w:rPr>
        <w:t>8</w:t>
      </w:r>
      <w:r>
        <w:rPr>
          <w:color w:val="000000" w:themeColor="text1"/>
          <w:sz w:val="24"/>
          <w:szCs w:val="24"/>
        </w:rPr>
        <w:t>日起施行）</w:t>
      </w:r>
    </w:p>
    <w:p w14:paraId="1A807EC0"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《生产安全事故报告和调查处理条例》（国务院令第</w:t>
      </w:r>
      <w:r>
        <w:rPr>
          <w:color w:val="000000" w:themeColor="text1"/>
          <w:sz w:val="24"/>
          <w:szCs w:val="24"/>
        </w:rPr>
        <w:t>493</w:t>
      </w:r>
      <w:r>
        <w:rPr>
          <w:color w:val="000000" w:themeColor="text1"/>
          <w:sz w:val="24"/>
          <w:szCs w:val="24"/>
        </w:rPr>
        <w:t>号，</w:t>
      </w:r>
      <w:r>
        <w:rPr>
          <w:color w:val="000000" w:themeColor="text1"/>
          <w:sz w:val="24"/>
          <w:szCs w:val="24"/>
        </w:rPr>
        <w:t>2007</w:t>
      </w:r>
      <w:r>
        <w:rPr>
          <w:color w:val="000000" w:themeColor="text1"/>
          <w:sz w:val="24"/>
          <w:szCs w:val="24"/>
        </w:rPr>
        <w:t>年</w:t>
      </w:r>
      <w:r>
        <w:rPr>
          <w:color w:val="000000" w:themeColor="text1"/>
          <w:sz w:val="24"/>
          <w:szCs w:val="24"/>
        </w:rPr>
        <w:t>6</w:t>
      </w:r>
      <w:r>
        <w:rPr>
          <w:color w:val="000000" w:themeColor="text1"/>
          <w:sz w:val="24"/>
          <w:szCs w:val="24"/>
        </w:rPr>
        <w:t>月</w:t>
      </w:r>
      <w:r>
        <w:rPr>
          <w:color w:val="000000" w:themeColor="text1"/>
          <w:sz w:val="24"/>
          <w:szCs w:val="24"/>
        </w:rPr>
        <w:t>1</w:t>
      </w:r>
      <w:r>
        <w:rPr>
          <w:color w:val="000000" w:themeColor="text1"/>
          <w:sz w:val="24"/>
          <w:szCs w:val="24"/>
        </w:rPr>
        <w:t>日起施行）</w:t>
      </w:r>
    </w:p>
    <w:p w14:paraId="4E8B39AE"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《建设工程抗震管理条例》（国务院令第</w:t>
      </w:r>
      <w:r>
        <w:rPr>
          <w:color w:val="000000" w:themeColor="text1"/>
          <w:sz w:val="24"/>
          <w:szCs w:val="24"/>
        </w:rPr>
        <w:t>744</w:t>
      </w:r>
      <w:r>
        <w:rPr>
          <w:color w:val="000000" w:themeColor="text1"/>
          <w:sz w:val="24"/>
          <w:szCs w:val="24"/>
        </w:rPr>
        <w:t>号，</w:t>
      </w:r>
      <w:r>
        <w:rPr>
          <w:color w:val="000000" w:themeColor="text1"/>
          <w:sz w:val="24"/>
          <w:szCs w:val="24"/>
        </w:rPr>
        <w:t>2021</w:t>
      </w:r>
      <w:r>
        <w:rPr>
          <w:color w:val="000000" w:themeColor="text1"/>
          <w:sz w:val="24"/>
          <w:szCs w:val="24"/>
        </w:rPr>
        <w:t>年</w:t>
      </w:r>
      <w:r>
        <w:rPr>
          <w:color w:val="000000" w:themeColor="text1"/>
          <w:sz w:val="24"/>
          <w:szCs w:val="24"/>
        </w:rPr>
        <w:t>9</w:t>
      </w:r>
      <w:r>
        <w:rPr>
          <w:color w:val="000000" w:themeColor="text1"/>
          <w:sz w:val="24"/>
          <w:szCs w:val="24"/>
        </w:rPr>
        <w:t>月</w:t>
      </w:r>
      <w:r>
        <w:rPr>
          <w:color w:val="000000" w:themeColor="text1"/>
          <w:sz w:val="24"/>
          <w:szCs w:val="24"/>
        </w:rPr>
        <w:t>1</w:t>
      </w:r>
      <w:r>
        <w:rPr>
          <w:color w:val="000000" w:themeColor="text1"/>
          <w:sz w:val="24"/>
          <w:szCs w:val="24"/>
        </w:rPr>
        <w:t>日起施行）</w:t>
      </w:r>
    </w:p>
    <w:p w14:paraId="4E30AF50" w14:textId="77777777" w:rsidR="002E0859" w:rsidRDefault="00000000">
      <w:pPr>
        <w:pStyle w:val="ae"/>
        <w:numPr>
          <w:ilvl w:val="0"/>
          <w:numId w:val="4"/>
        </w:numPr>
        <w:topLinePunct w:val="0"/>
        <w:spacing w:line="360" w:lineRule="auto"/>
        <w:ind w:firstLine="480"/>
        <w:rPr>
          <w:color w:val="000000" w:themeColor="text1"/>
          <w:sz w:val="24"/>
          <w:szCs w:val="24"/>
        </w:rPr>
      </w:pPr>
      <w:r>
        <w:rPr>
          <w:color w:val="000000" w:themeColor="text1"/>
          <w:sz w:val="24"/>
          <w:szCs w:val="24"/>
        </w:rPr>
        <w:t>《地质灾害防治条例》（国务院令第</w:t>
      </w:r>
      <w:r>
        <w:rPr>
          <w:color w:val="000000" w:themeColor="text1"/>
          <w:sz w:val="24"/>
          <w:szCs w:val="24"/>
        </w:rPr>
        <w:t>394</w:t>
      </w:r>
      <w:r>
        <w:rPr>
          <w:color w:val="000000" w:themeColor="text1"/>
          <w:sz w:val="24"/>
          <w:szCs w:val="24"/>
        </w:rPr>
        <w:t>号，</w:t>
      </w:r>
      <w:r>
        <w:rPr>
          <w:color w:val="000000" w:themeColor="text1"/>
          <w:sz w:val="24"/>
          <w:szCs w:val="24"/>
        </w:rPr>
        <w:t>2004</w:t>
      </w:r>
      <w:r>
        <w:rPr>
          <w:color w:val="000000" w:themeColor="text1"/>
          <w:sz w:val="24"/>
          <w:szCs w:val="24"/>
        </w:rPr>
        <w:t>年</w:t>
      </w:r>
      <w:r>
        <w:rPr>
          <w:color w:val="000000" w:themeColor="text1"/>
          <w:sz w:val="24"/>
          <w:szCs w:val="24"/>
        </w:rPr>
        <w:t>3</w:t>
      </w:r>
      <w:r>
        <w:rPr>
          <w:color w:val="000000" w:themeColor="text1"/>
          <w:sz w:val="24"/>
          <w:szCs w:val="24"/>
        </w:rPr>
        <w:t>月</w:t>
      </w:r>
      <w:r>
        <w:rPr>
          <w:color w:val="000000" w:themeColor="text1"/>
          <w:sz w:val="24"/>
          <w:szCs w:val="24"/>
        </w:rPr>
        <w:t>1</w:t>
      </w:r>
      <w:r>
        <w:rPr>
          <w:color w:val="000000" w:themeColor="text1"/>
          <w:sz w:val="24"/>
          <w:szCs w:val="24"/>
        </w:rPr>
        <w:t>日起施行）</w:t>
      </w:r>
    </w:p>
    <w:p w14:paraId="3CC26781"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部门规章及规范性文件</w:t>
      </w:r>
    </w:p>
    <w:p w14:paraId="090998BB"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《建设项目安全设施</w:t>
      </w:r>
      <w:r>
        <w:rPr>
          <w:rFonts w:hint="eastAsia"/>
          <w:color w:val="000000" w:themeColor="text1"/>
          <w:sz w:val="24"/>
          <w:szCs w:val="24"/>
        </w:rPr>
        <w:t>“</w:t>
      </w:r>
      <w:r>
        <w:rPr>
          <w:color w:val="000000" w:themeColor="text1"/>
          <w:sz w:val="24"/>
          <w:szCs w:val="24"/>
        </w:rPr>
        <w:t>三同时</w:t>
      </w:r>
      <w:r>
        <w:rPr>
          <w:rFonts w:hint="eastAsia"/>
          <w:color w:val="000000" w:themeColor="text1"/>
          <w:sz w:val="24"/>
          <w:szCs w:val="24"/>
        </w:rPr>
        <w:t>”</w:t>
      </w:r>
      <w:r>
        <w:rPr>
          <w:color w:val="000000" w:themeColor="text1"/>
          <w:sz w:val="24"/>
          <w:szCs w:val="24"/>
        </w:rPr>
        <w:t>监督管理办法》（国家安全生产监督管理总局令</w:t>
      </w:r>
      <w:r>
        <w:rPr>
          <w:color w:val="000000" w:themeColor="text1"/>
          <w:sz w:val="24"/>
          <w:szCs w:val="24"/>
        </w:rPr>
        <w:t>[2011]</w:t>
      </w:r>
      <w:r>
        <w:rPr>
          <w:color w:val="000000" w:themeColor="text1"/>
          <w:sz w:val="24"/>
          <w:szCs w:val="24"/>
        </w:rPr>
        <w:t>第</w:t>
      </w:r>
      <w:r>
        <w:rPr>
          <w:color w:val="000000" w:themeColor="text1"/>
          <w:sz w:val="24"/>
          <w:szCs w:val="24"/>
        </w:rPr>
        <w:t>36</w:t>
      </w:r>
      <w:r>
        <w:rPr>
          <w:color w:val="000000" w:themeColor="text1"/>
          <w:sz w:val="24"/>
          <w:szCs w:val="24"/>
        </w:rPr>
        <w:t>号，国家安全生产监督管理总局令第</w:t>
      </w:r>
      <w:r>
        <w:rPr>
          <w:color w:val="000000" w:themeColor="text1"/>
          <w:sz w:val="24"/>
          <w:szCs w:val="24"/>
        </w:rPr>
        <w:t>77</w:t>
      </w:r>
      <w:r>
        <w:rPr>
          <w:color w:val="000000" w:themeColor="text1"/>
          <w:sz w:val="24"/>
          <w:szCs w:val="24"/>
        </w:rPr>
        <w:t>号修改，</w:t>
      </w:r>
      <w:r>
        <w:rPr>
          <w:color w:val="000000" w:themeColor="text1"/>
          <w:sz w:val="24"/>
          <w:szCs w:val="24"/>
        </w:rPr>
        <w:t>2015</w:t>
      </w:r>
      <w:r>
        <w:rPr>
          <w:color w:val="000000" w:themeColor="text1"/>
          <w:sz w:val="24"/>
          <w:szCs w:val="24"/>
        </w:rPr>
        <w:t>年</w:t>
      </w:r>
      <w:r>
        <w:rPr>
          <w:color w:val="000000" w:themeColor="text1"/>
          <w:sz w:val="24"/>
          <w:szCs w:val="24"/>
        </w:rPr>
        <w:t>4</w:t>
      </w:r>
      <w:r>
        <w:rPr>
          <w:color w:val="000000" w:themeColor="text1"/>
          <w:sz w:val="24"/>
          <w:szCs w:val="24"/>
        </w:rPr>
        <w:t>月</w:t>
      </w:r>
      <w:r>
        <w:rPr>
          <w:color w:val="000000" w:themeColor="text1"/>
          <w:sz w:val="24"/>
          <w:szCs w:val="24"/>
        </w:rPr>
        <w:t>2</w:t>
      </w:r>
      <w:r>
        <w:rPr>
          <w:color w:val="000000" w:themeColor="text1"/>
          <w:sz w:val="24"/>
          <w:szCs w:val="24"/>
        </w:rPr>
        <w:t>日实施）</w:t>
      </w:r>
    </w:p>
    <w:p w14:paraId="503501BE"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《化学品物理危险性鉴定与分类管理办法》</w:t>
      </w:r>
      <w:r>
        <w:rPr>
          <w:rFonts w:hint="eastAsia"/>
          <w:color w:val="000000" w:themeColor="text1"/>
          <w:sz w:val="24"/>
          <w:szCs w:val="24"/>
        </w:rPr>
        <w:t>（原国家安全生产监督管理总局令第</w:t>
      </w:r>
      <w:r>
        <w:rPr>
          <w:rFonts w:hint="eastAsia"/>
          <w:color w:val="000000" w:themeColor="text1"/>
          <w:sz w:val="24"/>
          <w:szCs w:val="24"/>
        </w:rPr>
        <w:t>60</w:t>
      </w:r>
      <w:r>
        <w:rPr>
          <w:rFonts w:hint="eastAsia"/>
          <w:color w:val="000000" w:themeColor="text1"/>
          <w:sz w:val="24"/>
          <w:szCs w:val="24"/>
        </w:rPr>
        <w:t>号，自</w:t>
      </w:r>
      <w:r>
        <w:rPr>
          <w:rFonts w:hint="eastAsia"/>
          <w:color w:val="000000" w:themeColor="text1"/>
          <w:sz w:val="24"/>
          <w:szCs w:val="24"/>
        </w:rPr>
        <w:t>2013</w:t>
      </w:r>
      <w:r>
        <w:rPr>
          <w:rFonts w:hint="eastAsia"/>
          <w:color w:val="000000" w:themeColor="text1"/>
          <w:sz w:val="24"/>
          <w:szCs w:val="24"/>
        </w:rPr>
        <w:t>年</w:t>
      </w:r>
      <w:r>
        <w:rPr>
          <w:rFonts w:hint="eastAsia"/>
          <w:color w:val="000000" w:themeColor="text1"/>
          <w:sz w:val="24"/>
          <w:szCs w:val="24"/>
        </w:rPr>
        <w:t>9</w:t>
      </w:r>
      <w:r>
        <w:rPr>
          <w:rFonts w:hint="eastAsia"/>
          <w:color w:val="000000" w:themeColor="text1"/>
          <w:sz w:val="24"/>
          <w:szCs w:val="24"/>
        </w:rPr>
        <w:t>月</w:t>
      </w:r>
      <w:r>
        <w:rPr>
          <w:rFonts w:hint="eastAsia"/>
          <w:color w:val="000000" w:themeColor="text1"/>
          <w:sz w:val="24"/>
          <w:szCs w:val="24"/>
        </w:rPr>
        <w:t>1</w:t>
      </w:r>
      <w:r>
        <w:rPr>
          <w:rFonts w:hint="eastAsia"/>
          <w:color w:val="000000" w:themeColor="text1"/>
          <w:sz w:val="24"/>
          <w:szCs w:val="24"/>
        </w:rPr>
        <w:t>日起施行。）</w:t>
      </w:r>
    </w:p>
    <w:p w14:paraId="1C90BEA0"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《生产安全事故应急预案管理办法》（国家安全生产监督管理总局令</w:t>
      </w:r>
      <w:r>
        <w:rPr>
          <w:color w:val="000000" w:themeColor="text1"/>
          <w:sz w:val="24"/>
          <w:szCs w:val="24"/>
        </w:rPr>
        <w:t>[2009]</w:t>
      </w:r>
      <w:r>
        <w:rPr>
          <w:color w:val="000000" w:themeColor="text1"/>
          <w:sz w:val="24"/>
          <w:szCs w:val="24"/>
        </w:rPr>
        <w:t>第</w:t>
      </w:r>
      <w:r>
        <w:rPr>
          <w:color w:val="000000" w:themeColor="text1"/>
          <w:sz w:val="24"/>
          <w:szCs w:val="24"/>
        </w:rPr>
        <w:t>17</w:t>
      </w:r>
      <w:r>
        <w:rPr>
          <w:color w:val="000000" w:themeColor="text1"/>
          <w:sz w:val="24"/>
          <w:szCs w:val="24"/>
        </w:rPr>
        <w:t>号，</w:t>
      </w:r>
      <w:r>
        <w:rPr>
          <w:color w:val="000000" w:themeColor="text1"/>
          <w:sz w:val="24"/>
          <w:szCs w:val="24"/>
        </w:rPr>
        <w:t>2019</w:t>
      </w:r>
      <w:r>
        <w:rPr>
          <w:color w:val="000000" w:themeColor="text1"/>
          <w:sz w:val="24"/>
          <w:szCs w:val="24"/>
        </w:rPr>
        <w:t>年应急管理部令第</w:t>
      </w:r>
      <w:r>
        <w:rPr>
          <w:color w:val="000000" w:themeColor="text1"/>
          <w:sz w:val="24"/>
          <w:szCs w:val="24"/>
        </w:rPr>
        <w:t>2</w:t>
      </w:r>
      <w:r>
        <w:rPr>
          <w:color w:val="000000" w:themeColor="text1"/>
          <w:sz w:val="24"/>
          <w:szCs w:val="24"/>
        </w:rPr>
        <w:t>号修改，</w:t>
      </w:r>
      <w:r>
        <w:rPr>
          <w:color w:val="000000" w:themeColor="text1"/>
          <w:sz w:val="24"/>
          <w:szCs w:val="24"/>
        </w:rPr>
        <w:t>2019</w:t>
      </w:r>
      <w:r>
        <w:rPr>
          <w:color w:val="000000" w:themeColor="text1"/>
          <w:sz w:val="24"/>
          <w:szCs w:val="24"/>
        </w:rPr>
        <w:t>年</w:t>
      </w:r>
      <w:r>
        <w:rPr>
          <w:color w:val="000000" w:themeColor="text1"/>
          <w:sz w:val="24"/>
          <w:szCs w:val="24"/>
        </w:rPr>
        <w:t>9</w:t>
      </w:r>
      <w:r>
        <w:rPr>
          <w:color w:val="000000" w:themeColor="text1"/>
          <w:sz w:val="24"/>
          <w:szCs w:val="24"/>
        </w:rPr>
        <w:t>月</w:t>
      </w:r>
      <w:r>
        <w:rPr>
          <w:color w:val="000000" w:themeColor="text1"/>
          <w:sz w:val="24"/>
          <w:szCs w:val="24"/>
        </w:rPr>
        <w:t>1</w:t>
      </w:r>
      <w:r>
        <w:rPr>
          <w:color w:val="000000" w:themeColor="text1"/>
          <w:sz w:val="24"/>
          <w:szCs w:val="24"/>
        </w:rPr>
        <w:t>日起施行）</w:t>
      </w:r>
    </w:p>
    <w:p w14:paraId="77EDC97A"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《危险化学品重大危险源监督管理暂行规定》（原国家安监总局令第</w:t>
      </w:r>
      <w:r>
        <w:rPr>
          <w:color w:val="000000" w:themeColor="text1"/>
          <w:sz w:val="24"/>
          <w:szCs w:val="24"/>
        </w:rPr>
        <w:t>40</w:t>
      </w:r>
      <w:r>
        <w:rPr>
          <w:color w:val="000000" w:themeColor="text1"/>
          <w:sz w:val="24"/>
          <w:szCs w:val="24"/>
        </w:rPr>
        <w:t>号，总局令第</w:t>
      </w:r>
      <w:r>
        <w:rPr>
          <w:color w:val="000000" w:themeColor="text1"/>
          <w:sz w:val="24"/>
          <w:szCs w:val="24"/>
        </w:rPr>
        <w:t>79</w:t>
      </w:r>
      <w:r>
        <w:rPr>
          <w:color w:val="000000" w:themeColor="text1"/>
          <w:sz w:val="24"/>
          <w:szCs w:val="24"/>
        </w:rPr>
        <w:t>号修正，</w:t>
      </w:r>
      <w:r>
        <w:rPr>
          <w:color w:val="000000" w:themeColor="text1"/>
          <w:sz w:val="24"/>
          <w:szCs w:val="24"/>
        </w:rPr>
        <w:t>2015</w:t>
      </w:r>
      <w:r>
        <w:rPr>
          <w:color w:val="000000" w:themeColor="text1"/>
          <w:sz w:val="24"/>
          <w:szCs w:val="24"/>
        </w:rPr>
        <w:t>年</w:t>
      </w:r>
      <w:r>
        <w:rPr>
          <w:color w:val="000000" w:themeColor="text1"/>
          <w:sz w:val="24"/>
          <w:szCs w:val="24"/>
        </w:rPr>
        <w:t>7</w:t>
      </w:r>
      <w:r>
        <w:rPr>
          <w:color w:val="000000" w:themeColor="text1"/>
          <w:sz w:val="24"/>
          <w:szCs w:val="24"/>
        </w:rPr>
        <w:t>月</w:t>
      </w:r>
      <w:r>
        <w:rPr>
          <w:color w:val="000000" w:themeColor="text1"/>
          <w:sz w:val="24"/>
          <w:szCs w:val="24"/>
        </w:rPr>
        <w:t>1</w:t>
      </w:r>
      <w:r>
        <w:rPr>
          <w:color w:val="000000" w:themeColor="text1"/>
          <w:sz w:val="24"/>
          <w:szCs w:val="24"/>
        </w:rPr>
        <w:t>日起施行）</w:t>
      </w:r>
    </w:p>
    <w:p w14:paraId="785746DA"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lastRenderedPageBreak/>
        <w:t>《生产经营单位安全培训规定》（国家安全生产监督管理总局令</w:t>
      </w:r>
      <w:r>
        <w:rPr>
          <w:color w:val="000000" w:themeColor="text1"/>
          <w:sz w:val="24"/>
          <w:szCs w:val="24"/>
        </w:rPr>
        <w:t>[2005]</w:t>
      </w:r>
      <w:r>
        <w:rPr>
          <w:color w:val="000000" w:themeColor="text1"/>
          <w:sz w:val="24"/>
          <w:szCs w:val="24"/>
        </w:rPr>
        <w:t>第</w:t>
      </w:r>
      <w:r>
        <w:rPr>
          <w:color w:val="000000" w:themeColor="text1"/>
          <w:sz w:val="24"/>
          <w:szCs w:val="24"/>
        </w:rPr>
        <w:t>3</w:t>
      </w:r>
      <w:r>
        <w:rPr>
          <w:color w:val="000000" w:themeColor="text1"/>
          <w:sz w:val="24"/>
          <w:szCs w:val="24"/>
        </w:rPr>
        <w:t>号，</w:t>
      </w:r>
      <w:r>
        <w:rPr>
          <w:color w:val="000000" w:themeColor="text1"/>
          <w:sz w:val="24"/>
          <w:szCs w:val="24"/>
        </w:rPr>
        <w:t>2015</w:t>
      </w:r>
      <w:r>
        <w:rPr>
          <w:color w:val="000000" w:themeColor="text1"/>
          <w:sz w:val="24"/>
          <w:szCs w:val="24"/>
        </w:rPr>
        <w:t>年国家安全生产监督管理总局令第</w:t>
      </w:r>
      <w:r>
        <w:rPr>
          <w:color w:val="000000" w:themeColor="text1"/>
          <w:sz w:val="24"/>
          <w:szCs w:val="24"/>
        </w:rPr>
        <w:t>80</w:t>
      </w:r>
      <w:r>
        <w:rPr>
          <w:color w:val="000000" w:themeColor="text1"/>
          <w:sz w:val="24"/>
          <w:szCs w:val="24"/>
        </w:rPr>
        <w:t>号修改，</w:t>
      </w:r>
      <w:r>
        <w:rPr>
          <w:color w:val="000000" w:themeColor="text1"/>
          <w:sz w:val="24"/>
          <w:szCs w:val="24"/>
        </w:rPr>
        <w:t>2015</w:t>
      </w:r>
      <w:r>
        <w:rPr>
          <w:color w:val="000000" w:themeColor="text1"/>
          <w:sz w:val="24"/>
          <w:szCs w:val="24"/>
        </w:rPr>
        <w:t>年</w:t>
      </w:r>
      <w:r>
        <w:rPr>
          <w:color w:val="000000" w:themeColor="text1"/>
          <w:sz w:val="24"/>
          <w:szCs w:val="24"/>
        </w:rPr>
        <w:t>7</w:t>
      </w:r>
      <w:r>
        <w:rPr>
          <w:color w:val="000000" w:themeColor="text1"/>
          <w:sz w:val="24"/>
          <w:szCs w:val="24"/>
        </w:rPr>
        <w:t>月</w:t>
      </w:r>
      <w:r>
        <w:rPr>
          <w:color w:val="000000" w:themeColor="text1"/>
          <w:sz w:val="24"/>
          <w:szCs w:val="24"/>
        </w:rPr>
        <w:t>1</w:t>
      </w:r>
      <w:r>
        <w:rPr>
          <w:color w:val="000000" w:themeColor="text1"/>
          <w:sz w:val="24"/>
          <w:szCs w:val="24"/>
        </w:rPr>
        <w:t>日起施行）</w:t>
      </w:r>
    </w:p>
    <w:p w14:paraId="47460B03"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《特种作业人员安全技术培训考核管理规定》（原国家安监总局令第</w:t>
      </w:r>
      <w:r>
        <w:rPr>
          <w:color w:val="000000" w:themeColor="text1"/>
          <w:sz w:val="24"/>
          <w:szCs w:val="24"/>
        </w:rPr>
        <w:t>30</w:t>
      </w:r>
      <w:r>
        <w:rPr>
          <w:color w:val="000000" w:themeColor="text1"/>
          <w:sz w:val="24"/>
          <w:szCs w:val="24"/>
        </w:rPr>
        <w:t>号，原总局令</w:t>
      </w:r>
      <w:r>
        <w:rPr>
          <w:color w:val="000000" w:themeColor="text1"/>
          <w:sz w:val="24"/>
          <w:szCs w:val="24"/>
        </w:rPr>
        <w:t>80</w:t>
      </w:r>
      <w:r>
        <w:rPr>
          <w:color w:val="000000" w:themeColor="text1"/>
          <w:sz w:val="24"/>
          <w:szCs w:val="24"/>
        </w:rPr>
        <w:t>号修订版，</w:t>
      </w:r>
      <w:r>
        <w:rPr>
          <w:color w:val="000000" w:themeColor="text1"/>
          <w:sz w:val="24"/>
          <w:szCs w:val="24"/>
        </w:rPr>
        <w:t>2015</w:t>
      </w:r>
      <w:r>
        <w:rPr>
          <w:color w:val="000000" w:themeColor="text1"/>
          <w:sz w:val="24"/>
          <w:szCs w:val="24"/>
        </w:rPr>
        <w:t>年</w:t>
      </w:r>
      <w:r>
        <w:rPr>
          <w:color w:val="000000" w:themeColor="text1"/>
          <w:sz w:val="24"/>
          <w:szCs w:val="24"/>
        </w:rPr>
        <w:t>7</w:t>
      </w:r>
      <w:r>
        <w:rPr>
          <w:color w:val="000000" w:themeColor="text1"/>
          <w:sz w:val="24"/>
          <w:szCs w:val="24"/>
        </w:rPr>
        <w:t>月</w:t>
      </w:r>
      <w:r>
        <w:rPr>
          <w:color w:val="000000" w:themeColor="text1"/>
          <w:sz w:val="24"/>
          <w:szCs w:val="24"/>
        </w:rPr>
        <w:t>1</w:t>
      </w:r>
      <w:r>
        <w:rPr>
          <w:color w:val="000000" w:themeColor="text1"/>
          <w:sz w:val="24"/>
          <w:szCs w:val="24"/>
        </w:rPr>
        <w:t>日起施行）</w:t>
      </w:r>
    </w:p>
    <w:p w14:paraId="652148A1"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《国家安全监管总局关于修改</w:t>
      </w:r>
      <w:r>
        <w:rPr>
          <w:color w:val="000000" w:themeColor="text1"/>
          <w:sz w:val="24"/>
          <w:szCs w:val="24"/>
        </w:rPr>
        <w:t>&lt;</w:t>
      </w:r>
      <w:r>
        <w:rPr>
          <w:color w:val="000000" w:themeColor="text1"/>
          <w:sz w:val="24"/>
          <w:szCs w:val="24"/>
        </w:rPr>
        <w:t>生产安全事故报告和调查处理条例</w:t>
      </w:r>
      <w:r>
        <w:rPr>
          <w:color w:val="000000" w:themeColor="text1"/>
          <w:sz w:val="24"/>
          <w:szCs w:val="24"/>
        </w:rPr>
        <w:t>&gt;</w:t>
      </w:r>
      <w:r>
        <w:rPr>
          <w:color w:val="000000" w:themeColor="text1"/>
          <w:sz w:val="24"/>
          <w:szCs w:val="24"/>
        </w:rPr>
        <w:t>罚款处罚暂行规定等四部规章的决定》（原国家安监总局令第</w:t>
      </w:r>
      <w:r>
        <w:rPr>
          <w:color w:val="000000" w:themeColor="text1"/>
          <w:sz w:val="24"/>
          <w:szCs w:val="24"/>
        </w:rPr>
        <w:t>77</w:t>
      </w:r>
      <w:r>
        <w:rPr>
          <w:color w:val="000000" w:themeColor="text1"/>
          <w:sz w:val="24"/>
          <w:szCs w:val="24"/>
        </w:rPr>
        <w:t>号，</w:t>
      </w:r>
      <w:r>
        <w:rPr>
          <w:color w:val="000000" w:themeColor="text1"/>
          <w:sz w:val="24"/>
          <w:szCs w:val="24"/>
        </w:rPr>
        <w:t>2015</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1</w:t>
      </w:r>
      <w:r>
        <w:rPr>
          <w:color w:val="000000" w:themeColor="text1"/>
          <w:sz w:val="24"/>
          <w:szCs w:val="24"/>
        </w:rPr>
        <w:t>日起施行）</w:t>
      </w:r>
    </w:p>
    <w:p w14:paraId="48EC40D3"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《国家安全监管总局关于废止和修改危险化学品等领域七部规章的决定》（原国家安监总局令第</w:t>
      </w:r>
      <w:r>
        <w:rPr>
          <w:color w:val="000000" w:themeColor="text1"/>
          <w:sz w:val="24"/>
          <w:szCs w:val="24"/>
        </w:rPr>
        <w:t>79</w:t>
      </w:r>
      <w:r>
        <w:rPr>
          <w:color w:val="000000" w:themeColor="text1"/>
          <w:sz w:val="24"/>
          <w:szCs w:val="24"/>
        </w:rPr>
        <w:t>号，</w:t>
      </w:r>
      <w:r>
        <w:rPr>
          <w:color w:val="000000" w:themeColor="text1"/>
          <w:sz w:val="24"/>
          <w:szCs w:val="24"/>
        </w:rPr>
        <w:t>2015</w:t>
      </w:r>
      <w:r>
        <w:rPr>
          <w:color w:val="000000" w:themeColor="text1"/>
          <w:sz w:val="24"/>
          <w:szCs w:val="24"/>
        </w:rPr>
        <w:t>年</w:t>
      </w:r>
      <w:r>
        <w:rPr>
          <w:color w:val="000000" w:themeColor="text1"/>
          <w:sz w:val="24"/>
          <w:szCs w:val="24"/>
        </w:rPr>
        <w:t>7</w:t>
      </w:r>
      <w:r>
        <w:rPr>
          <w:color w:val="000000" w:themeColor="text1"/>
          <w:sz w:val="24"/>
          <w:szCs w:val="24"/>
        </w:rPr>
        <w:t>月</w:t>
      </w:r>
      <w:r>
        <w:rPr>
          <w:color w:val="000000" w:themeColor="text1"/>
          <w:sz w:val="24"/>
          <w:szCs w:val="24"/>
        </w:rPr>
        <w:t>1</w:t>
      </w:r>
      <w:r>
        <w:rPr>
          <w:color w:val="000000" w:themeColor="text1"/>
          <w:sz w:val="24"/>
          <w:szCs w:val="24"/>
        </w:rPr>
        <w:t>日起施行）</w:t>
      </w:r>
    </w:p>
    <w:p w14:paraId="2A7FAD8E"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《国家安全监管总局关于废止和修改劳动防护用品和安全培训等领域十部规章的决定》（原国家安监总局令第</w:t>
      </w:r>
      <w:r>
        <w:rPr>
          <w:color w:val="000000" w:themeColor="text1"/>
          <w:sz w:val="24"/>
          <w:szCs w:val="24"/>
        </w:rPr>
        <w:t>80</w:t>
      </w:r>
      <w:r>
        <w:rPr>
          <w:color w:val="000000" w:themeColor="text1"/>
          <w:sz w:val="24"/>
          <w:szCs w:val="24"/>
        </w:rPr>
        <w:t>号，</w:t>
      </w:r>
      <w:r>
        <w:rPr>
          <w:color w:val="000000" w:themeColor="text1"/>
          <w:sz w:val="24"/>
          <w:szCs w:val="24"/>
        </w:rPr>
        <w:t>2015</w:t>
      </w:r>
      <w:r>
        <w:rPr>
          <w:color w:val="000000" w:themeColor="text1"/>
          <w:sz w:val="24"/>
          <w:szCs w:val="24"/>
        </w:rPr>
        <w:t>年</w:t>
      </w:r>
      <w:r>
        <w:rPr>
          <w:color w:val="000000" w:themeColor="text1"/>
          <w:sz w:val="24"/>
          <w:szCs w:val="24"/>
        </w:rPr>
        <w:t>7</w:t>
      </w:r>
      <w:r>
        <w:rPr>
          <w:color w:val="000000" w:themeColor="text1"/>
          <w:sz w:val="24"/>
          <w:szCs w:val="24"/>
        </w:rPr>
        <w:t>月</w:t>
      </w:r>
      <w:r>
        <w:rPr>
          <w:color w:val="000000" w:themeColor="text1"/>
          <w:sz w:val="24"/>
          <w:szCs w:val="24"/>
        </w:rPr>
        <w:t>1</w:t>
      </w:r>
      <w:r>
        <w:rPr>
          <w:color w:val="000000" w:themeColor="text1"/>
          <w:sz w:val="24"/>
          <w:szCs w:val="24"/>
        </w:rPr>
        <w:t>日起施行）</w:t>
      </w:r>
    </w:p>
    <w:p w14:paraId="7F31DE53"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《危险化学品目录（</w:t>
      </w:r>
      <w:r>
        <w:rPr>
          <w:color w:val="000000" w:themeColor="text1"/>
          <w:sz w:val="24"/>
          <w:szCs w:val="24"/>
        </w:rPr>
        <w:t>2015</w:t>
      </w:r>
      <w:r>
        <w:rPr>
          <w:color w:val="000000" w:themeColor="text1"/>
          <w:sz w:val="24"/>
          <w:szCs w:val="24"/>
        </w:rPr>
        <w:t>年版）》（原国家安全生产监督管理局等十部门公告</w:t>
      </w:r>
      <w:r>
        <w:rPr>
          <w:color w:val="000000" w:themeColor="text1"/>
          <w:sz w:val="24"/>
          <w:szCs w:val="24"/>
        </w:rPr>
        <w:t>2015</w:t>
      </w:r>
      <w:r>
        <w:rPr>
          <w:color w:val="000000" w:themeColor="text1"/>
          <w:sz w:val="24"/>
          <w:szCs w:val="24"/>
        </w:rPr>
        <w:t>年第</w:t>
      </w:r>
      <w:r>
        <w:rPr>
          <w:color w:val="000000" w:themeColor="text1"/>
          <w:sz w:val="24"/>
          <w:szCs w:val="24"/>
        </w:rPr>
        <w:t>5</w:t>
      </w:r>
      <w:r>
        <w:rPr>
          <w:color w:val="000000" w:themeColor="text1"/>
          <w:sz w:val="24"/>
          <w:szCs w:val="24"/>
        </w:rPr>
        <w:t>号，应急管理部等十部委公告</w:t>
      </w:r>
      <w:r>
        <w:rPr>
          <w:color w:val="000000" w:themeColor="text1"/>
          <w:sz w:val="24"/>
          <w:szCs w:val="24"/>
        </w:rPr>
        <w:t>2022</w:t>
      </w:r>
      <w:r>
        <w:rPr>
          <w:color w:val="000000" w:themeColor="text1"/>
          <w:sz w:val="24"/>
          <w:szCs w:val="24"/>
        </w:rPr>
        <w:t>年第</w:t>
      </w:r>
      <w:r>
        <w:rPr>
          <w:color w:val="000000" w:themeColor="text1"/>
          <w:sz w:val="24"/>
          <w:szCs w:val="24"/>
        </w:rPr>
        <w:t>8</w:t>
      </w:r>
      <w:r>
        <w:rPr>
          <w:color w:val="000000" w:themeColor="text1"/>
          <w:sz w:val="24"/>
          <w:szCs w:val="24"/>
        </w:rPr>
        <w:t>号，</w:t>
      </w:r>
      <w:r>
        <w:rPr>
          <w:color w:val="000000" w:themeColor="text1"/>
          <w:sz w:val="24"/>
          <w:szCs w:val="24"/>
        </w:rPr>
        <w:t>2023</w:t>
      </w:r>
      <w:r>
        <w:rPr>
          <w:color w:val="000000" w:themeColor="text1"/>
          <w:sz w:val="24"/>
          <w:szCs w:val="24"/>
        </w:rPr>
        <w:t>年</w:t>
      </w:r>
      <w:r>
        <w:rPr>
          <w:color w:val="000000" w:themeColor="text1"/>
          <w:sz w:val="24"/>
          <w:szCs w:val="24"/>
        </w:rPr>
        <w:t>1</w:t>
      </w:r>
      <w:r>
        <w:rPr>
          <w:color w:val="000000" w:themeColor="text1"/>
          <w:sz w:val="24"/>
          <w:szCs w:val="24"/>
        </w:rPr>
        <w:t>月</w:t>
      </w:r>
      <w:r>
        <w:rPr>
          <w:color w:val="000000" w:themeColor="text1"/>
          <w:sz w:val="24"/>
          <w:szCs w:val="24"/>
        </w:rPr>
        <w:t>1</w:t>
      </w:r>
      <w:r>
        <w:rPr>
          <w:color w:val="000000" w:themeColor="text1"/>
          <w:sz w:val="24"/>
          <w:szCs w:val="24"/>
        </w:rPr>
        <w:t>日）</w:t>
      </w:r>
    </w:p>
    <w:p w14:paraId="372B09C4"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《产业结构调整指导目录》（中华人民共和国国家发展和改革委员会令</w:t>
      </w:r>
      <w:r>
        <w:rPr>
          <w:color w:val="000000" w:themeColor="text1"/>
          <w:sz w:val="24"/>
          <w:szCs w:val="24"/>
        </w:rPr>
        <w:t>[20</w:t>
      </w:r>
      <w:r>
        <w:rPr>
          <w:rFonts w:hint="eastAsia"/>
          <w:color w:val="000000" w:themeColor="text1"/>
          <w:sz w:val="24"/>
          <w:szCs w:val="24"/>
        </w:rPr>
        <w:t>23</w:t>
      </w:r>
      <w:r>
        <w:rPr>
          <w:color w:val="000000" w:themeColor="text1"/>
          <w:sz w:val="24"/>
          <w:szCs w:val="24"/>
        </w:rPr>
        <w:t>]</w:t>
      </w:r>
      <w:r>
        <w:rPr>
          <w:color w:val="000000" w:themeColor="text1"/>
          <w:sz w:val="24"/>
          <w:szCs w:val="24"/>
        </w:rPr>
        <w:t>第</w:t>
      </w:r>
      <w:r>
        <w:rPr>
          <w:rFonts w:hint="eastAsia"/>
          <w:color w:val="000000" w:themeColor="text1"/>
          <w:sz w:val="24"/>
          <w:szCs w:val="24"/>
        </w:rPr>
        <w:t>7</w:t>
      </w:r>
      <w:r>
        <w:rPr>
          <w:color w:val="000000" w:themeColor="text1"/>
          <w:sz w:val="24"/>
          <w:szCs w:val="24"/>
        </w:rPr>
        <w:t>号</w:t>
      </w:r>
      <w:r>
        <w:rPr>
          <w:rFonts w:hint="eastAsia"/>
          <w:color w:val="000000" w:themeColor="text1"/>
          <w:sz w:val="24"/>
          <w:szCs w:val="24"/>
        </w:rPr>
        <w:t>，</w:t>
      </w:r>
      <w:r>
        <w:rPr>
          <w:color w:val="000000" w:themeColor="text1"/>
          <w:sz w:val="24"/>
          <w:szCs w:val="24"/>
        </w:rPr>
        <w:t>自</w:t>
      </w:r>
      <w:r>
        <w:rPr>
          <w:color w:val="000000" w:themeColor="text1"/>
          <w:sz w:val="24"/>
          <w:szCs w:val="24"/>
        </w:rPr>
        <w:t>202</w:t>
      </w:r>
      <w:r>
        <w:rPr>
          <w:rFonts w:hint="eastAsia"/>
          <w:color w:val="000000" w:themeColor="text1"/>
          <w:sz w:val="24"/>
          <w:szCs w:val="24"/>
        </w:rPr>
        <w:t>4</w:t>
      </w:r>
      <w:r>
        <w:rPr>
          <w:color w:val="000000" w:themeColor="text1"/>
          <w:sz w:val="24"/>
          <w:szCs w:val="24"/>
        </w:rPr>
        <w:t>年</w:t>
      </w:r>
      <w:r>
        <w:rPr>
          <w:color w:val="000000" w:themeColor="text1"/>
          <w:sz w:val="24"/>
          <w:szCs w:val="24"/>
        </w:rPr>
        <w:t>2</w:t>
      </w:r>
      <w:r>
        <w:rPr>
          <w:color w:val="000000" w:themeColor="text1"/>
          <w:sz w:val="24"/>
          <w:szCs w:val="24"/>
        </w:rPr>
        <w:t>月</w:t>
      </w:r>
      <w:r>
        <w:rPr>
          <w:rFonts w:hint="eastAsia"/>
          <w:color w:val="000000" w:themeColor="text1"/>
          <w:sz w:val="24"/>
          <w:szCs w:val="24"/>
        </w:rPr>
        <w:t>1</w:t>
      </w:r>
      <w:r>
        <w:rPr>
          <w:color w:val="000000" w:themeColor="text1"/>
          <w:sz w:val="24"/>
          <w:szCs w:val="24"/>
        </w:rPr>
        <w:t>日起施行）</w:t>
      </w:r>
    </w:p>
    <w:p w14:paraId="09228889"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《关于印发</w:t>
      </w:r>
      <w:r>
        <w:rPr>
          <w:color w:val="000000" w:themeColor="text1"/>
          <w:sz w:val="24"/>
          <w:szCs w:val="24"/>
        </w:rPr>
        <w:t>&lt;</w:t>
      </w:r>
      <w:r>
        <w:rPr>
          <w:color w:val="000000" w:themeColor="text1"/>
          <w:sz w:val="24"/>
          <w:szCs w:val="24"/>
        </w:rPr>
        <w:t>企业安全生产费用提取和使用管理办法</w:t>
      </w:r>
      <w:r>
        <w:rPr>
          <w:color w:val="000000" w:themeColor="text1"/>
          <w:sz w:val="24"/>
          <w:szCs w:val="24"/>
        </w:rPr>
        <w:t>&gt;</w:t>
      </w:r>
      <w:r>
        <w:rPr>
          <w:color w:val="000000" w:themeColor="text1"/>
          <w:sz w:val="24"/>
          <w:szCs w:val="24"/>
        </w:rPr>
        <w:t>的通知》（财资</w:t>
      </w:r>
      <w:r>
        <w:rPr>
          <w:color w:val="000000" w:themeColor="text1"/>
          <w:sz w:val="24"/>
          <w:szCs w:val="24"/>
        </w:rPr>
        <w:t>[2022]136</w:t>
      </w:r>
      <w:r>
        <w:rPr>
          <w:color w:val="000000" w:themeColor="text1"/>
          <w:sz w:val="24"/>
          <w:szCs w:val="24"/>
        </w:rPr>
        <w:t>号，</w:t>
      </w:r>
      <w:r>
        <w:rPr>
          <w:color w:val="000000" w:themeColor="text1"/>
          <w:sz w:val="24"/>
          <w:szCs w:val="24"/>
        </w:rPr>
        <w:t>2022</w:t>
      </w:r>
      <w:r>
        <w:rPr>
          <w:color w:val="000000" w:themeColor="text1"/>
          <w:sz w:val="24"/>
          <w:szCs w:val="24"/>
        </w:rPr>
        <w:t>年</w:t>
      </w:r>
      <w:r>
        <w:rPr>
          <w:color w:val="000000" w:themeColor="text1"/>
          <w:sz w:val="24"/>
          <w:szCs w:val="24"/>
        </w:rPr>
        <w:t>12</w:t>
      </w:r>
      <w:r>
        <w:rPr>
          <w:color w:val="000000" w:themeColor="text1"/>
          <w:sz w:val="24"/>
          <w:szCs w:val="24"/>
        </w:rPr>
        <w:t>月</w:t>
      </w:r>
      <w:r>
        <w:rPr>
          <w:color w:val="000000" w:themeColor="text1"/>
          <w:sz w:val="24"/>
          <w:szCs w:val="24"/>
        </w:rPr>
        <w:t>12</w:t>
      </w:r>
      <w:r>
        <w:rPr>
          <w:color w:val="000000" w:themeColor="text1"/>
          <w:sz w:val="24"/>
          <w:szCs w:val="24"/>
        </w:rPr>
        <w:t>日起实行）</w:t>
      </w:r>
    </w:p>
    <w:p w14:paraId="0CDCAB91"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《防雷减灾管理办法（修订）》（中国气象局第</w:t>
      </w:r>
      <w:r>
        <w:rPr>
          <w:color w:val="000000" w:themeColor="text1"/>
          <w:sz w:val="24"/>
          <w:szCs w:val="24"/>
        </w:rPr>
        <w:t>24</w:t>
      </w:r>
      <w:r>
        <w:rPr>
          <w:color w:val="000000" w:themeColor="text1"/>
          <w:sz w:val="24"/>
          <w:szCs w:val="24"/>
        </w:rPr>
        <w:t>号令，</w:t>
      </w:r>
      <w:r>
        <w:rPr>
          <w:color w:val="000000" w:themeColor="text1"/>
          <w:sz w:val="24"/>
          <w:szCs w:val="24"/>
        </w:rPr>
        <w:t>2013</w:t>
      </w:r>
      <w:r>
        <w:rPr>
          <w:color w:val="000000" w:themeColor="text1"/>
          <w:sz w:val="24"/>
          <w:szCs w:val="24"/>
        </w:rPr>
        <w:t>年</w:t>
      </w:r>
      <w:r>
        <w:rPr>
          <w:color w:val="000000" w:themeColor="text1"/>
          <w:sz w:val="24"/>
          <w:szCs w:val="24"/>
        </w:rPr>
        <w:t>6</w:t>
      </w:r>
      <w:r>
        <w:rPr>
          <w:color w:val="000000" w:themeColor="text1"/>
          <w:sz w:val="24"/>
          <w:szCs w:val="24"/>
        </w:rPr>
        <w:t>月</w:t>
      </w:r>
      <w:r>
        <w:rPr>
          <w:color w:val="000000" w:themeColor="text1"/>
          <w:sz w:val="24"/>
          <w:szCs w:val="24"/>
        </w:rPr>
        <w:t>1</w:t>
      </w:r>
      <w:r>
        <w:rPr>
          <w:color w:val="000000" w:themeColor="text1"/>
          <w:sz w:val="24"/>
          <w:szCs w:val="24"/>
        </w:rPr>
        <w:t>日起施行）</w:t>
      </w:r>
    </w:p>
    <w:p w14:paraId="08AE8B35"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《质检总局关于修订</w:t>
      </w:r>
      <w:r>
        <w:rPr>
          <w:color w:val="000000" w:themeColor="text1"/>
          <w:sz w:val="24"/>
          <w:szCs w:val="24"/>
        </w:rPr>
        <w:t>&lt;</w:t>
      </w:r>
      <w:r>
        <w:rPr>
          <w:color w:val="000000" w:themeColor="text1"/>
          <w:sz w:val="24"/>
          <w:szCs w:val="24"/>
        </w:rPr>
        <w:t>特种设备目录</w:t>
      </w:r>
      <w:r>
        <w:rPr>
          <w:color w:val="000000" w:themeColor="text1"/>
          <w:sz w:val="24"/>
          <w:szCs w:val="24"/>
        </w:rPr>
        <w:t>&gt;</w:t>
      </w:r>
      <w:r>
        <w:rPr>
          <w:color w:val="000000" w:themeColor="text1"/>
          <w:sz w:val="24"/>
          <w:szCs w:val="24"/>
        </w:rPr>
        <w:t>的公告》（国家质量监督检验检疫总局公告</w:t>
      </w:r>
      <w:r>
        <w:rPr>
          <w:color w:val="000000" w:themeColor="text1"/>
          <w:sz w:val="24"/>
          <w:szCs w:val="24"/>
        </w:rPr>
        <w:t>[2014]</w:t>
      </w:r>
      <w:r>
        <w:rPr>
          <w:color w:val="000000" w:themeColor="text1"/>
          <w:sz w:val="24"/>
          <w:szCs w:val="24"/>
        </w:rPr>
        <w:t>第</w:t>
      </w:r>
      <w:r>
        <w:rPr>
          <w:color w:val="000000" w:themeColor="text1"/>
          <w:sz w:val="24"/>
          <w:szCs w:val="24"/>
        </w:rPr>
        <w:t>114</w:t>
      </w:r>
      <w:r>
        <w:rPr>
          <w:color w:val="000000" w:themeColor="text1"/>
          <w:sz w:val="24"/>
          <w:szCs w:val="24"/>
        </w:rPr>
        <w:t>号，</w:t>
      </w:r>
      <w:r>
        <w:rPr>
          <w:color w:val="000000" w:themeColor="text1"/>
          <w:sz w:val="24"/>
          <w:szCs w:val="24"/>
        </w:rPr>
        <w:t>2014</w:t>
      </w:r>
      <w:r>
        <w:rPr>
          <w:color w:val="000000" w:themeColor="text1"/>
          <w:sz w:val="24"/>
          <w:szCs w:val="24"/>
        </w:rPr>
        <w:t>年</w:t>
      </w:r>
      <w:r>
        <w:rPr>
          <w:color w:val="000000" w:themeColor="text1"/>
          <w:sz w:val="24"/>
          <w:szCs w:val="24"/>
        </w:rPr>
        <w:t>10</w:t>
      </w:r>
      <w:r>
        <w:rPr>
          <w:color w:val="000000" w:themeColor="text1"/>
          <w:sz w:val="24"/>
          <w:szCs w:val="24"/>
        </w:rPr>
        <w:t>月</w:t>
      </w:r>
      <w:r>
        <w:rPr>
          <w:color w:val="000000" w:themeColor="text1"/>
          <w:sz w:val="24"/>
          <w:szCs w:val="24"/>
        </w:rPr>
        <w:t>30</w:t>
      </w:r>
      <w:r>
        <w:rPr>
          <w:color w:val="000000" w:themeColor="text1"/>
          <w:sz w:val="24"/>
          <w:szCs w:val="24"/>
        </w:rPr>
        <w:t>日起施行）</w:t>
      </w:r>
    </w:p>
    <w:p w14:paraId="2B1F2634"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《各类监控化学品名录》（中华人民共和国工业和信息化部令第</w:t>
      </w:r>
      <w:r>
        <w:rPr>
          <w:color w:val="000000" w:themeColor="text1"/>
          <w:sz w:val="24"/>
          <w:szCs w:val="24"/>
        </w:rPr>
        <w:t>52</w:t>
      </w:r>
      <w:r>
        <w:rPr>
          <w:color w:val="000000" w:themeColor="text1"/>
          <w:sz w:val="24"/>
          <w:szCs w:val="24"/>
        </w:rPr>
        <w:t>号，</w:t>
      </w:r>
      <w:r>
        <w:rPr>
          <w:color w:val="000000" w:themeColor="text1"/>
          <w:sz w:val="24"/>
          <w:szCs w:val="24"/>
        </w:rPr>
        <w:t>2020</w:t>
      </w:r>
      <w:r>
        <w:rPr>
          <w:color w:val="000000" w:themeColor="text1"/>
          <w:sz w:val="24"/>
          <w:szCs w:val="24"/>
        </w:rPr>
        <w:t>年</w:t>
      </w:r>
      <w:r>
        <w:rPr>
          <w:color w:val="000000" w:themeColor="text1"/>
          <w:sz w:val="24"/>
          <w:szCs w:val="24"/>
        </w:rPr>
        <w:t>6</w:t>
      </w:r>
      <w:r>
        <w:rPr>
          <w:color w:val="000000" w:themeColor="text1"/>
          <w:sz w:val="24"/>
          <w:szCs w:val="24"/>
        </w:rPr>
        <w:t>月</w:t>
      </w:r>
      <w:r>
        <w:rPr>
          <w:color w:val="000000" w:themeColor="text1"/>
          <w:sz w:val="24"/>
          <w:szCs w:val="24"/>
        </w:rPr>
        <w:t>3</w:t>
      </w:r>
      <w:r>
        <w:rPr>
          <w:color w:val="000000" w:themeColor="text1"/>
          <w:sz w:val="24"/>
          <w:szCs w:val="24"/>
        </w:rPr>
        <w:t>日起施行）</w:t>
      </w:r>
      <w:bookmarkStart w:id="12" w:name="_Toc1621"/>
    </w:p>
    <w:p w14:paraId="65096A56" w14:textId="77777777" w:rsidR="002E0859" w:rsidRDefault="00000000">
      <w:pPr>
        <w:pStyle w:val="ae"/>
        <w:numPr>
          <w:ilvl w:val="0"/>
          <w:numId w:val="5"/>
        </w:numPr>
        <w:topLinePunct w:val="0"/>
        <w:spacing w:line="360" w:lineRule="auto"/>
        <w:ind w:firstLine="480"/>
        <w:rPr>
          <w:color w:val="000000" w:themeColor="text1"/>
          <w:sz w:val="24"/>
          <w:szCs w:val="24"/>
        </w:rPr>
      </w:pPr>
      <w:bookmarkStart w:id="13" w:name="_Toc9534"/>
      <w:bookmarkEnd w:id="12"/>
      <w:r>
        <w:rPr>
          <w:color w:val="000000" w:themeColor="text1"/>
          <w:sz w:val="24"/>
          <w:szCs w:val="24"/>
        </w:rPr>
        <w:t>《重点监管的危险化学品名录》（</w:t>
      </w:r>
      <w:r>
        <w:rPr>
          <w:color w:val="000000" w:themeColor="text1"/>
          <w:sz w:val="24"/>
          <w:szCs w:val="24"/>
        </w:rPr>
        <w:t>2013</w:t>
      </w:r>
      <w:r>
        <w:rPr>
          <w:color w:val="000000" w:themeColor="text1"/>
          <w:sz w:val="24"/>
          <w:szCs w:val="24"/>
        </w:rPr>
        <w:t>年完整版，</w:t>
      </w:r>
      <w:r>
        <w:rPr>
          <w:color w:val="000000" w:themeColor="text1"/>
          <w:sz w:val="24"/>
          <w:szCs w:val="24"/>
        </w:rPr>
        <w:t>2013</w:t>
      </w:r>
      <w:r>
        <w:rPr>
          <w:color w:val="000000" w:themeColor="text1"/>
          <w:sz w:val="24"/>
          <w:szCs w:val="24"/>
        </w:rPr>
        <w:t>年</w:t>
      </w:r>
      <w:r>
        <w:rPr>
          <w:color w:val="000000" w:themeColor="text1"/>
          <w:sz w:val="24"/>
          <w:szCs w:val="24"/>
        </w:rPr>
        <w:t>2</w:t>
      </w:r>
      <w:r>
        <w:rPr>
          <w:color w:val="000000" w:themeColor="text1"/>
          <w:sz w:val="24"/>
          <w:szCs w:val="24"/>
        </w:rPr>
        <w:t>月</w:t>
      </w:r>
      <w:r>
        <w:rPr>
          <w:color w:val="000000" w:themeColor="text1"/>
          <w:sz w:val="24"/>
          <w:szCs w:val="24"/>
        </w:rPr>
        <w:t>5</w:t>
      </w:r>
      <w:r>
        <w:rPr>
          <w:color w:val="000000" w:themeColor="text1"/>
          <w:sz w:val="24"/>
          <w:szCs w:val="24"/>
        </w:rPr>
        <w:t>日起施行）</w:t>
      </w:r>
    </w:p>
    <w:p w14:paraId="35415017"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《重点监管危险化工工艺目录》（</w:t>
      </w:r>
      <w:r>
        <w:rPr>
          <w:color w:val="000000" w:themeColor="text1"/>
          <w:sz w:val="24"/>
          <w:szCs w:val="24"/>
        </w:rPr>
        <w:t>2013</w:t>
      </w:r>
      <w:r>
        <w:rPr>
          <w:color w:val="000000" w:themeColor="text1"/>
          <w:sz w:val="24"/>
          <w:szCs w:val="24"/>
        </w:rPr>
        <w:t>年完整版，</w:t>
      </w:r>
      <w:r>
        <w:rPr>
          <w:color w:val="000000" w:themeColor="text1"/>
          <w:sz w:val="24"/>
          <w:szCs w:val="24"/>
        </w:rPr>
        <w:t>2013</w:t>
      </w:r>
      <w:r>
        <w:rPr>
          <w:color w:val="000000" w:themeColor="text1"/>
          <w:sz w:val="24"/>
          <w:szCs w:val="24"/>
        </w:rPr>
        <w:t>年</w:t>
      </w:r>
      <w:r>
        <w:rPr>
          <w:color w:val="000000" w:themeColor="text1"/>
          <w:sz w:val="24"/>
          <w:szCs w:val="24"/>
        </w:rPr>
        <w:t>2</w:t>
      </w:r>
      <w:r>
        <w:rPr>
          <w:color w:val="000000" w:themeColor="text1"/>
          <w:sz w:val="24"/>
          <w:szCs w:val="24"/>
        </w:rPr>
        <w:t>月</w:t>
      </w:r>
      <w:r>
        <w:rPr>
          <w:color w:val="000000" w:themeColor="text1"/>
          <w:sz w:val="24"/>
          <w:szCs w:val="24"/>
        </w:rPr>
        <w:t>6</w:t>
      </w:r>
      <w:r>
        <w:rPr>
          <w:color w:val="000000" w:themeColor="text1"/>
          <w:sz w:val="24"/>
          <w:szCs w:val="24"/>
        </w:rPr>
        <w:t>日起施行）</w:t>
      </w:r>
    </w:p>
    <w:p w14:paraId="25AA5CF2"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t>《易制爆危险化学品目录（</w:t>
      </w:r>
      <w:r>
        <w:rPr>
          <w:color w:val="000000" w:themeColor="text1"/>
          <w:sz w:val="24"/>
          <w:szCs w:val="24"/>
        </w:rPr>
        <w:t>2017</w:t>
      </w:r>
      <w:r>
        <w:rPr>
          <w:color w:val="000000" w:themeColor="text1"/>
          <w:sz w:val="24"/>
          <w:szCs w:val="24"/>
        </w:rPr>
        <w:t>年版）》（</w:t>
      </w:r>
      <w:r>
        <w:rPr>
          <w:color w:val="000000" w:themeColor="text1"/>
          <w:sz w:val="24"/>
          <w:szCs w:val="24"/>
        </w:rPr>
        <w:t>2017</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11</w:t>
      </w:r>
      <w:r>
        <w:rPr>
          <w:color w:val="000000" w:themeColor="text1"/>
          <w:sz w:val="24"/>
          <w:szCs w:val="24"/>
        </w:rPr>
        <w:t>日起施行）</w:t>
      </w:r>
      <w:bookmarkEnd w:id="13"/>
    </w:p>
    <w:p w14:paraId="13BC7A8C" w14:textId="77777777" w:rsidR="002E0859" w:rsidRDefault="00000000">
      <w:pPr>
        <w:pStyle w:val="ae"/>
        <w:numPr>
          <w:ilvl w:val="0"/>
          <w:numId w:val="5"/>
        </w:numPr>
        <w:topLinePunct w:val="0"/>
        <w:spacing w:line="360" w:lineRule="auto"/>
        <w:ind w:firstLine="480"/>
        <w:rPr>
          <w:color w:val="000000" w:themeColor="text1"/>
          <w:sz w:val="24"/>
          <w:szCs w:val="24"/>
        </w:rPr>
      </w:pPr>
      <w:bookmarkStart w:id="14" w:name="_Toc20287"/>
      <w:r>
        <w:rPr>
          <w:color w:val="000000" w:themeColor="text1"/>
          <w:sz w:val="24"/>
          <w:szCs w:val="24"/>
        </w:rPr>
        <w:t>《特别管控危险化学品目录（第一版）》（应急管理部工业和信息化部公安部交通运输部公告</w:t>
      </w:r>
      <w:r>
        <w:rPr>
          <w:color w:val="000000" w:themeColor="text1"/>
          <w:sz w:val="24"/>
          <w:szCs w:val="24"/>
        </w:rPr>
        <w:t>2020</w:t>
      </w:r>
      <w:r>
        <w:rPr>
          <w:color w:val="000000" w:themeColor="text1"/>
          <w:sz w:val="24"/>
          <w:szCs w:val="24"/>
        </w:rPr>
        <w:t>年第</w:t>
      </w:r>
      <w:r>
        <w:rPr>
          <w:color w:val="000000" w:themeColor="text1"/>
          <w:sz w:val="24"/>
          <w:szCs w:val="24"/>
        </w:rPr>
        <w:t>3</w:t>
      </w:r>
      <w:r>
        <w:rPr>
          <w:color w:val="000000" w:themeColor="text1"/>
          <w:sz w:val="24"/>
          <w:szCs w:val="24"/>
        </w:rPr>
        <w:t>号，</w:t>
      </w:r>
      <w:r>
        <w:rPr>
          <w:color w:val="000000" w:themeColor="text1"/>
          <w:sz w:val="24"/>
          <w:szCs w:val="24"/>
        </w:rPr>
        <w:t>2020</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30</w:t>
      </w:r>
      <w:r>
        <w:rPr>
          <w:color w:val="000000" w:themeColor="text1"/>
          <w:sz w:val="24"/>
          <w:szCs w:val="24"/>
        </w:rPr>
        <w:t>日起施行）</w:t>
      </w:r>
      <w:bookmarkEnd w:id="14"/>
    </w:p>
    <w:p w14:paraId="40B5FD0A" w14:textId="77777777" w:rsidR="002E0859" w:rsidRDefault="00000000">
      <w:pPr>
        <w:pStyle w:val="ae"/>
        <w:numPr>
          <w:ilvl w:val="0"/>
          <w:numId w:val="5"/>
        </w:numPr>
        <w:topLinePunct w:val="0"/>
        <w:spacing w:line="360" w:lineRule="auto"/>
        <w:ind w:firstLine="480"/>
        <w:rPr>
          <w:color w:val="000000" w:themeColor="text1"/>
          <w:sz w:val="24"/>
          <w:szCs w:val="24"/>
        </w:rPr>
      </w:pPr>
      <w:bookmarkStart w:id="15" w:name="_Toc8025"/>
      <w:r>
        <w:rPr>
          <w:color w:val="000000" w:themeColor="text1"/>
          <w:sz w:val="24"/>
          <w:szCs w:val="24"/>
        </w:rPr>
        <w:t>《卫生部关于印发</w:t>
      </w:r>
      <w:r>
        <w:rPr>
          <w:color w:val="000000" w:themeColor="text1"/>
          <w:sz w:val="24"/>
          <w:szCs w:val="24"/>
        </w:rPr>
        <w:t>&lt;</w:t>
      </w:r>
      <w:r>
        <w:rPr>
          <w:color w:val="000000" w:themeColor="text1"/>
          <w:sz w:val="24"/>
          <w:szCs w:val="24"/>
        </w:rPr>
        <w:t>高毒物品目录</w:t>
      </w:r>
      <w:r>
        <w:rPr>
          <w:color w:val="000000" w:themeColor="text1"/>
          <w:sz w:val="24"/>
          <w:szCs w:val="24"/>
        </w:rPr>
        <w:t>&gt;</w:t>
      </w:r>
      <w:r>
        <w:rPr>
          <w:color w:val="000000" w:themeColor="text1"/>
          <w:sz w:val="24"/>
          <w:szCs w:val="24"/>
        </w:rPr>
        <w:t>的通知》（卫法监发</w:t>
      </w:r>
      <w:r>
        <w:rPr>
          <w:color w:val="000000" w:themeColor="text1"/>
          <w:sz w:val="24"/>
          <w:szCs w:val="24"/>
        </w:rPr>
        <w:t>[2003]142</w:t>
      </w:r>
      <w:r>
        <w:rPr>
          <w:color w:val="000000" w:themeColor="text1"/>
          <w:sz w:val="24"/>
          <w:szCs w:val="24"/>
        </w:rPr>
        <w:t>号，</w:t>
      </w:r>
      <w:r>
        <w:rPr>
          <w:color w:val="000000" w:themeColor="text1"/>
          <w:sz w:val="24"/>
          <w:szCs w:val="24"/>
        </w:rPr>
        <w:t>2003</w:t>
      </w:r>
      <w:r>
        <w:rPr>
          <w:color w:val="000000" w:themeColor="text1"/>
          <w:sz w:val="24"/>
          <w:szCs w:val="24"/>
        </w:rPr>
        <w:t>年</w:t>
      </w:r>
      <w:r>
        <w:rPr>
          <w:color w:val="000000" w:themeColor="text1"/>
          <w:sz w:val="24"/>
          <w:szCs w:val="24"/>
        </w:rPr>
        <w:t>6</w:t>
      </w:r>
      <w:r>
        <w:rPr>
          <w:color w:val="000000" w:themeColor="text1"/>
          <w:sz w:val="24"/>
          <w:szCs w:val="24"/>
        </w:rPr>
        <w:t>月</w:t>
      </w:r>
      <w:r>
        <w:rPr>
          <w:color w:val="000000" w:themeColor="text1"/>
          <w:sz w:val="24"/>
          <w:szCs w:val="24"/>
        </w:rPr>
        <w:t>10</w:t>
      </w:r>
      <w:r>
        <w:rPr>
          <w:color w:val="000000" w:themeColor="text1"/>
          <w:sz w:val="24"/>
          <w:szCs w:val="24"/>
        </w:rPr>
        <w:t>日起施行）</w:t>
      </w:r>
      <w:bookmarkEnd w:id="15"/>
    </w:p>
    <w:p w14:paraId="20B93A9B" w14:textId="77777777" w:rsidR="002E0859" w:rsidRDefault="00000000">
      <w:pPr>
        <w:pStyle w:val="ae"/>
        <w:numPr>
          <w:ilvl w:val="0"/>
          <w:numId w:val="5"/>
        </w:numPr>
        <w:topLinePunct w:val="0"/>
        <w:spacing w:line="360" w:lineRule="auto"/>
        <w:ind w:firstLine="480"/>
        <w:rPr>
          <w:color w:val="000000" w:themeColor="text1"/>
          <w:sz w:val="24"/>
          <w:szCs w:val="24"/>
        </w:rPr>
      </w:pPr>
      <w:bookmarkStart w:id="16" w:name="_Toc2417"/>
      <w:r>
        <w:rPr>
          <w:color w:val="000000" w:themeColor="text1"/>
          <w:sz w:val="24"/>
          <w:szCs w:val="24"/>
        </w:rPr>
        <w:t>《中国严格限制的有毒化学品名录（</w:t>
      </w:r>
      <w:r>
        <w:rPr>
          <w:color w:val="000000" w:themeColor="text1"/>
          <w:sz w:val="24"/>
          <w:szCs w:val="24"/>
        </w:rPr>
        <w:t>2023</w:t>
      </w:r>
      <w:r>
        <w:rPr>
          <w:color w:val="000000" w:themeColor="text1"/>
          <w:sz w:val="24"/>
          <w:szCs w:val="24"/>
        </w:rPr>
        <w:t>年版）》（</w:t>
      </w:r>
      <w:r>
        <w:rPr>
          <w:color w:val="000000" w:themeColor="text1"/>
          <w:sz w:val="24"/>
          <w:szCs w:val="24"/>
        </w:rPr>
        <w:t>2023</w:t>
      </w:r>
      <w:r>
        <w:rPr>
          <w:color w:val="000000" w:themeColor="text1"/>
          <w:sz w:val="24"/>
          <w:szCs w:val="24"/>
        </w:rPr>
        <w:t>年</w:t>
      </w:r>
      <w:r>
        <w:rPr>
          <w:color w:val="000000" w:themeColor="text1"/>
          <w:sz w:val="24"/>
          <w:szCs w:val="24"/>
        </w:rPr>
        <w:t>10</w:t>
      </w:r>
      <w:r>
        <w:rPr>
          <w:color w:val="000000" w:themeColor="text1"/>
          <w:sz w:val="24"/>
          <w:szCs w:val="24"/>
        </w:rPr>
        <w:t>月</w:t>
      </w:r>
      <w:r>
        <w:rPr>
          <w:color w:val="000000" w:themeColor="text1"/>
          <w:sz w:val="24"/>
          <w:szCs w:val="24"/>
        </w:rPr>
        <w:t>18</w:t>
      </w:r>
      <w:r>
        <w:rPr>
          <w:color w:val="000000" w:themeColor="text1"/>
          <w:sz w:val="24"/>
          <w:szCs w:val="24"/>
        </w:rPr>
        <w:t>日起施行）</w:t>
      </w:r>
      <w:bookmarkEnd w:id="16"/>
    </w:p>
    <w:p w14:paraId="7D0A1B34" w14:textId="77777777" w:rsidR="002E0859" w:rsidRDefault="00000000">
      <w:pPr>
        <w:pStyle w:val="ae"/>
        <w:numPr>
          <w:ilvl w:val="0"/>
          <w:numId w:val="5"/>
        </w:numPr>
        <w:topLinePunct w:val="0"/>
        <w:spacing w:line="360" w:lineRule="auto"/>
        <w:ind w:firstLine="480"/>
        <w:rPr>
          <w:color w:val="000000" w:themeColor="text1"/>
          <w:sz w:val="24"/>
          <w:szCs w:val="24"/>
        </w:rPr>
      </w:pPr>
      <w:r>
        <w:rPr>
          <w:color w:val="000000" w:themeColor="text1"/>
          <w:sz w:val="24"/>
          <w:szCs w:val="24"/>
        </w:rPr>
        <w:lastRenderedPageBreak/>
        <w:t>《质检总局关于实施新修订的</w:t>
      </w:r>
      <w:r>
        <w:rPr>
          <w:color w:val="000000" w:themeColor="text1"/>
          <w:sz w:val="24"/>
          <w:szCs w:val="24"/>
        </w:rPr>
        <w:t>&lt;</w:t>
      </w:r>
      <w:r>
        <w:rPr>
          <w:color w:val="000000" w:themeColor="text1"/>
          <w:sz w:val="24"/>
          <w:szCs w:val="24"/>
        </w:rPr>
        <w:t>特种设备目录</w:t>
      </w:r>
      <w:r>
        <w:rPr>
          <w:color w:val="000000" w:themeColor="text1"/>
          <w:sz w:val="24"/>
          <w:szCs w:val="24"/>
        </w:rPr>
        <w:t>&gt;</w:t>
      </w:r>
      <w:r>
        <w:rPr>
          <w:color w:val="000000" w:themeColor="text1"/>
          <w:sz w:val="24"/>
          <w:szCs w:val="24"/>
        </w:rPr>
        <w:t>若干问题的意见》（国质检特</w:t>
      </w:r>
      <w:r>
        <w:rPr>
          <w:color w:val="000000" w:themeColor="text1"/>
          <w:sz w:val="24"/>
          <w:szCs w:val="24"/>
        </w:rPr>
        <w:t>[2014]679</w:t>
      </w:r>
      <w:r>
        <w:rPr>
          <w:color w:val="000000" w:themeColor="text1"/>
          <w:sz w:val="24"/>
          <w:szCs w:val="24"/>
        </w:rPr>
        <w:t>号，</w:t>
      </w:r>
      <w:r>
        <w:rPr>
          <w:color w:val="000000" w:themeColor="text1"/>
          <w:sz w:val="24"/>
          <w:szCs w:val="24"/>
        </w:rPr>
        <w:t>2014</w:t>
      </w:r>
      <w:r>
        <w:rPr>
          <w:color w:val="000000" w:themeColor="text1"/>
          <w:sz w:val="24"/>
          <w:szCs w:val="24"/>
        </w:rPr>
        <w:t>年</w:t>
      </w:r>
      <w:r>
        <w:rPr>
          <w:color w:val="000000" w:themeColor="text1"/>
          <w:sz w:val="24"/>
          <w:szCs w:val="24"/>
        </w:rPr>
        <w:t>10</w:t>
      </w:r>
      <w:r>
        <w:rPr>
          <w:color w:val="000000" w:themeColor="text1"/>
          <w:sz w:val="24"/>
          <w:szCs w:val="24"/>
        </w:rPr>
        <w:t>月</w:t>
      </w:r>
      <w:r>
        <w:rPr>
          <w:color w:val="000000" w:themeColor="text1"/>
          <w:sz w:val="24"/>
          <w:szCs w:val="24"/>
        </w:rPr>
        <w:t>30</w:t>
      </w:r>
      <w:r>
        <w:rPr>
          <w:color w:val="000000" w:themeColor="text1"/>
          <w:sz w:val="24"/>
          <w:szCs w:val="24"/>
        </w:rPr>
        <w:t>日起施行）</w:t>
      </w:r>
    </w:p>
    <w:p w14:paraId="07C2A45D"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地方性法规、规章</w:t>
      </w:r>
    </w:p>
    <w:p w14:paraId="51282AAC" w14:textId="77777777" w:rsidR="002E0859" w:rsidRDefault="00000000">
      <w:pPr>
        <w:numPr>
          <w:ilvl w:val="0"/>
          <w:numId w:val="6"/>
        </w:numPr>
        <w:spacing w:line="360" w:lineRule="auto"/>
        <w:ind w:firstLine="480"/>
        <w:rPr>
          <w:color w:val="000000" w:themeColor="text1"/>
          <w:sz w:val="24"/>
          <w:szCs w:val="24"/>
        </w:rPr>
      </w:pPr>
      <w:r>
        <w:rPr>
          <w:color w:val="000000" w:themeColor="text1"/>
          <w:sz w:val="24"/>
          <w:szCs w:val="24"/>
        </w:rPr>
        <w:t>《重庆市安全生产条例》（渝人常</w:t>
      </w:r>
      <w:r>
        <w:rPr>
          <w:color w:val="000000" w:themeColor="text1"/>
          <w:sz w:val="24"/>
          <w:szCs w:val="24"/>
        </w:rPr>
        <w:t>[2024]</w:t>
      </w:r>
      <w:r>
        <w:rPr>
          <w:color w:val="000000" w:themeColor="text1"/>
          <w:sz w:val="24"/>
          <w:szCs w:val="24"/>
        </w:rPr>
        <w:t>第</w:t>
      </w:r>
      <w:r>
        <w:rPr>
          <w:color w:val="000000" w:themeColor="text1"/>
          <w:sz w:val="24"/>
          <w:szCs w:val="24"/>
        </w:rPr>
        <w:t>29</w:t>
      </w:r>
      <w:r>
        <w:rPr>
          <w:color w:val="000000" w:themeColor="text1"/>
          <w:sz w:val="24"/>
          <w:szCs w:val="24"/>
        </w:rPr>
        <w:t>号，</w:t>
      </w:r>
      <w:r>
        <w:rPr>
          <w:color w:val="000000" w:themeColor="text1"/>
          <w:sz w:val="24"/>
          <w:szCs w:val="24"/>
        </w:rPr>
        <w:t>2024</w:t>
      </w:r>
      <w:r>
        <w:rPr>
          <w:color w:val="000000" w:themeColor="text1"/>
          <w:sz w:val="24"/>
          <w:szCs w:val="24"/>
        </w:rPr>
        <w:t>年</w:t>
      </w:r>
      <w:r>
        <w:rPr>
          <w:color w:val="000000" w:themeColor="text1"/>
          <w:sz w:val="24"/>
          <w:szCs w:val="24"/>
        </w:rPr>
        <w:t>07</w:t>
      </w:r>
      <w:r>
        <w:rPr>
          <w:color w:val="000000" w:themeColor="text1"/>
          <w:sz w:val="24"/>
          <w:szCs w:val="24"/>
        </w:rPr>
        <w:t>月</w:t>
      </w:r>
      <w:r>
        <w:rPr>
          <w:color w:val="000000" w:themeColor="text1"/>
          <w:sz w:val="24"/>
          <w:szCs w:val="24"/>
        </w:rPr>
        <w:t>01</w:t>
      </w:r>
      <w:r>
        <w:rPr>
          <w:color w:val="000000" w:themeColor="text1"/>
          <w:sz w:val="24"/>
          <w:szCs w:val="24"/>
        </w:rPr>
        <w:t>日施行）</w:t>
      </w:r>
    </w:p>
    <w:p w14:paraId="0CF9ECBE" w14:textId="77777777" w:rsidR="002E0859" w:rsidRDefault="00000000">
      <w:pPr>
        <w:numPr>
          <w:ilvl w:val="0"/>
          <w:numId w:val="6"/>
        </w:numPr>
        <w:spacing w:line="360" w:lineRule="auto"/>
        <w:ind w:firstLine="480"/>
        <w:rPr>
          <w:color w:val="000000" w:themeColor="text1"/>
          <w:sz w:val="24"/>
          <w:szCs w:val="24"/>
        </w:rPr>
      </w:pPr>
      <w:r>
        <w:rPr>
          <w:color w:val="000000" w:themeColor="text1"/>
          <w:sz w:val="24"/>
          <w:szCs w:val="24"/>
        </w:rPr>
        <w:t>《重庆市建设工程安全生产管理办法》（重庆市人民政府令</w:t>
      </w:r>
      <w:r>
        <w:rPr>
          <w:color w:val="000000" w:themeColor="text1"/>
          <w:sz w:val="24"/>
          <w:szCs w:val="24"/>
        </w:rPr>
        <w:t>[2015]</w:t>
      </w:r>
      <w:r>
        <w:rPr>
          <w:color w:val="000000" w:themeColor="text1"/>
          <w:sz w:val="24"/>
          <w:szCs w:val="24"/>
        </w:rPr>
        <w:t>第</w:t>
      </w:r>
      <w:r>
        <w:rPr>
          <w:color w:val="000000" w:themeColor="text1"/>
          <w:sz w:val="24"/>
          <w:szCs w:val="24"/>
        </w:rPr>
        <w:t>289</w:t>
      </w:r>
      <w:r>
        <w:rPr>
          <w:color w:val="000000" w:themeColor="text1"/>
          <w:sz w:val="24"/>
          <w:szCs w:val="24"/>
        </w:rPr>
        <w:t>号，</w:t>
      </w:r>
      <w:r>
        <w:rPr>
          <w:color w:val="000000" w:themeColor="text1"/>
          <w:sz w:val="24"/>
          <w:szCs w:val="24"/>
        </w:rPr>
        <w:t>2015</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1</w:t>
      </w:r>
      <w:r>
        <w:rPr>
          <w:color w:val="000000" w:themeColor="text1"/>
          <w:sz w:val="24"/>
          <w:szCs w:val="24"/>
        </w:rPr>
        <w:t>日起施行）</w:t>
      </w:r>
    </w:p>
    <w:p w14:paraId="6AFBE9D8" w14:textId="77777777" w:rsidR="002E0859" w:rsidRDefault="00000000">
      <w:pPr>
        <w:numPr>
          <w:ilvl w:val="0"/>
          <w:numId w:val="6"/>
        </w:numPr>
        <w:spacing w:line="360" w:lineRule="auto"/>
        <w:ind w:firstLine="480"/>
        <w:rPr>
          <w:color w:val="000000" w:themeColor="text1"/>
          <w:sz w:val="24"/>
          <w:szCs w:val="24"/>
        </w:rPr>
      </w:pPr>
      <w:r>
        <w:rPr>
          <w:color w:val="000000" w:themeColor="text1"/>
          <w:sz w:val="24"/>
          <w:szCs w:val="24"/>
        </w:rPr>
        <w:t>《重庆市突发事件应对条例》（重庆市第三届人民代表大会常务委员会第</w:t>
      </w:r>
      <w:r>
        <w:rPr>
          <w:color w:val="000000" w:themeColor="text1"/>
          <w:sz w:val="24"/>
          <w:szCs w:val="24"/>
        </w:rPr>
        <w:t>30</w:t>
      </w:r>
      <w:r>
        <w:rPr>
          <w:color w:val="000000" w:themeColor="text1"/>
          <w:sz w:val="24"/>
          <w:szCs w:val="24"/>
        </w:rPr>
        <w:t>次会议通过，</w:t>
      </w:r>
      <w:r>
        <w:rPr>
          <w:color w:val="000000" w:themeColor="text1"/>
          <w:sz w:val="24"/>
          <w:szCs w:val="24"/>
        </w:rPr>
        <w:t>2012</w:t>
      </w:r>
      <w:r>
        <w:rPr>
          <w:color w:val="000000" w:themeColor="text1"/>
          <w:sz w:val="24"/>
          <w:szCs w:val="24"/>
        </w:rPr>
        <w:t>年</w:t>
      </w:r>
      <w:r>
        <w:rPr>
          <w:color w:val="000000" w:themeColor="text1"/>
          <w:sz w:val="24"/>
          <w:szCs w:val="24"/>
        </w:rPr>
        <w:t>7</w:t>
      </w:r>
      <w:r>
        <w:rPr>
          <w:color w:val="000000" w:themeColor="text1"/>
          <w:sz w:val="24"/>
          <w:szCs w:val="24"/>
        </w:rPr>
        <w:t>月</w:t>
      </w:r>
      <w:r>
        <w:rPr>
          <w:color w:val="000000" w:themeColor="text1"/>
          <w:sz w:val="24"/>
          <w:szCs w:val="24"/>
        </w:rPr>
        <w:t>1</w:t>
      </w:r>
      <w:r>
        <w:rPr>
          <w:color w:val="000000" w:themeColor="text1"/>
          <w:sz w:val="24"/>
          <w:szCs w:val="24"/>
        </w:rPr>
        <w:t>日起施行）</w:t>
      </w:r>
    </w:p>
    <w:p w14:paraId="5D4705D8" w14:textId="77777777" w:rsidR="002E0859" w:rsidRDefault="00000000">
      <w:pPr>
        <w:numPr>
          <w:ilvl w:val="0"/>
          <w:numId w:val="6"/>
        </w:numPr>
        <w:spacing w:line="360" w:lineRule="auto"/>
        <w:ind w:firstLine="480"/>
        <w:rPr>
          <w:color w:val="000000" w:themeColor="text1"/>
          <w:sz w:val="24"/>
          <w:szCs w:val="24"/>
        </w:rPr>
      </w:pPr>
      <w:r>
        <w:rPr>
          <w:rFonts w:hint="eastAsia"/>
          <w:color w:val="000000" w:themeColor="text1"/>
          <w:sz w:val="24"/>
          <w:szCs w:val="24"/>
        </w:rPr>
        <w:t>《重庆市安全生产委员会办公室关于印发〈重庆市生产安全事故应急预案管理办法实施细则〉的通知》（渝安办</w:t>
      </w:r>
      <w:r>
        <w:rPr>
          <w:rFonts w:hint="eastAsia"/>
          <w:color w:val="000000" w:themeColor="text1"/>
          <w:sz w:val="24"/>
          <w:szCs w:val="24"/>
        </w:rPr>
        <w:t>[2020]110</w:t>
      </w:r>
      <w:r>
        <w:rPr>
          <w:rFonts w:hint="eastAsia"/>
          <w:color w:val="000000" w:themeColor="text1"/>
          <w:sz w:val="24"/>
          <w:szCs w:val="24"/>
        </w:rPr>
        <w:t>号，</w:t>
      </w:r>
      <w:r>
        <w:rPr>
          <w:rFonts w:hint="eastAsia"/>
          <w:color w:val="000000" w:themeColor="text1"/>
          <w:sz w:val="24"/>
          <w:szCs w:val="24"/>
        </w:rPr>
        <w:t>2020</w:t>
      </w:r>
      <w:r>
        <w:rPr>
          <w:rFonts w:hint="eastAsia"/>
          <w:color w:val="000000" w:themeColor="text1"/>
          <w:sz w:val="24"/>
          <w:szCs w:val="24"/>
        </w:rPr>
        <w:t>年</w:t>
      </w:r>
      <w:r>
        <w:rPr>
          <w:rFonts w:hint="eastAsia"/>
          <w:color w:val="000000" w:themeColor="text1"/>
          <w:sz w:val="24"/>
          <w:szCs w:val="24"/>
        </w:rPr>
        <w:t>11</w:t>
      </w:r>
      <w:r>
        <w:rPr>
          <w:rFonts w:hint="eastAsia"/>
          <w:color w:val="000000" w:themeColor="text1"/>
          <w:sz w:val="24"/>
          <w:szCs w:val="24"/>
        </w:rPr>
        <w:t>月</w:t>
      </w:r>
      <w:r>
        <w:rPr>
          <w:rFonts w:hint="eastAsia"/>
          <w:color w:val="000000" w:themeColor="text1"/>
          <w:sz w:val="24"/>
          <w:szCs w:val="24"/>
        </w:rPr>
        <w:t>12</w:t>
      </w:r>
      <w:r>
        <w:rPr>
          <w:rFonts w:hint="eastAsia"/>
          <w:color w:val="000000" w:themeColor="text1"/>
          <w:sz w:val="24"/>
          <w:szCs w:val="24"/>
        </w:rPr>
        <w:t>日起施行</w:t>
      </w:r>
      <w:r>
        <w:rPr>
          <w:color w:val="000000" w:themeColor="text1"/>
          <w:sz w:val="24"/>
          <w:szCs w:val="24"/>
        </w:rPr>
        <w:t>）</w:t>
      </w:r>
    </w:p>
    <w:p w14:paraId="08B80B69"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color w:val="000000" w:themeColor="text1"/>
          <w:sz w:val="24"/>
          <w:szCs w:val="24"/>
        </w:rPr>
        <w:t>标准规范</w:t>
      </w:r>
    </w:p>
    <w:p w14:paraId="179A69C1"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国家标准</w:t>
      </w:r>
    </w:p>
    <w:p w14:paraId="19D7C3D8"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《企业职工伤亡事故分类》（</w:t>
      </w:r>
      <w:r>
        <w:rPr>
          <w:color w:val="000000" w:themeColor="text1"/>
          <w:sz w:val="24"/>
          <w:szCs w:val="24"/>
        </w:rPr>
        <w:t>GB6441-1986</w:t>
      </w:r>
      <w:r>
        <w:rPr>
          <w:color w:val="000000" w:themeColor="text1"/>
          <w:sz w:val="24"/>
          <w:szCs w:val="24"/>
        </w:rPr>
        <w:t>）</w:t>
      </w:r>
    </w:p>
    <w:p w14:paraId="0580E7D3"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《消防安全标志设置要求》（</w:t>
      </w:r>
      <w:r>
        <w:rPr>
          <w:color w:val="000000" w:themeColor="text1"/>
          <w:sz w:val="24"/>
          <w:szCs w:val="24"/>
        </w:rPr>
        <w:t>GB15630-1995</w:t>
      </w:r>
      <w:r>
        <w:rPr>
          <w:color w:val="000000" w:themeColor="text1"/>
          <w:sz w:val="24"/>
          <w:szCs w:val="24"/>
        </w:rPr>
        <w:t>）</w:t>
      </w:r>
    </w:p>
    <w:p w14:paraId="3D4A3F8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《生产设备安全卫生设计总则》（</w:t>
      </w:r>
      <w:r>
        <w:rPr>
          <w:color w:val="000000" w:themeColor="text1"/>
          <w:sz w:val="24"/>
          <w:szCs w:val="24"/>
        </w:rPr>
        <w:t>GB5083-2023</w:t>
      </w:r>
      <w:r>
        <w:rPr>
          <w:color w:val="000000" w:themeColor="text1"/>
          <w:sz w:val="24"/>
          <w:szCs w:val="24"/>
        </w:rPr>
        <w:t>）</w:t>
      </w:r>
    </w:p>
    <w:p w14:paraId="6473E885"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《工业管道的基本识别色、识别符号和安全标识》（</w:t>
      </w:r>
      <w:r>
        <w:rPr>
          <w:color w:val="000000" w:themeColor="text1"/>
          <w:sz w:val="24"/>
          <w:szCs w:val="24"/>
        </w:rPr>
        <w:t>GB7231-2003</w:t>
      </w:r>
      <w:r>
        <w:rPr>
          <w:color w:val="000000" w:themeColor="text1"/>
          <w:sz w:val="24"/>
          <w:szCs w:val="24"/>
        </w:rPr>
        <w:t>）</w:t>
      </w:r>
    </w:p>
    <w:p w14:paraId="4DAC2549"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《石油天然气工程设计防火规范》（</w:t>
      </w:r>
      <w:r>
        <w:rPr>
          <w:color w:val="000000" w:themeColor="text1"/>
          <w:sz w:val="24"/>
          <w:szCs w:val="24"/>
        </w:rPr>
        <w:t>GB50183-2004</w:t>
      </w:r>
      <w:r>
        <w:rPr>
          <w:color w:val="000000" w:themeColor="text1"/>
          <w:sz w:val="24"/>
          <w:szCs w:val="24"/>
        </w:rPr>
        <w:t>）</w:t>
      </w:r>
    </w:p>
    <w:p w14:paraId="601F3BBB"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《建筑灭火器配置设计规范》（</w:t>
      </w:r>
      <w:r>
        <w:rPr>
          <w:color w:val="000000" w:themeColor="text1"/>
          <w:sz w:val="24"/>
          <w:szCs w:val="24"/>
        </w:rPr>
        <w:t>GB50140-2005</w:t>
      </w:r>
      <w:r>
        <w:rPr>
          <w:color w:val="000000" w:themeColor="text1"/>
          <w:sz w:val="24"/>
          <w:szCs w:val="24"/>
        </w:rPr>
        <w:t>）</w:t>
      </w:r>
    </w:p>
    <w:p w14:paraId="29436973"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《防止静电事故通用导则》（</w:t>
      </w:r>
      <w:r>
        <w:rPr>
          <w:color w:val="000000" w:themeColor="text1"/>
          <w:sz w:val="24"/>
          <w:szCs w:val="24"/>
        </w:rPr>
        <w:t>GB12158-2006</w:t>
      </w:r>
      <w:r>
        <w:rPr>
          <w:color w:val="000000" w:themeColor="text1"/>
          <w:sz w:val="24"/>
          <w:szCs w:val="24"/>
        </w:rPr>
        <w:t>）</w:t>
      </w:r>
    </w:p>
    <w:p w14:paraId="1A312590"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《视频安防监控系统工程设计规范》（</w:t>
      </w:r>
      <w:r>
        <w:rPr>
          <w:color w:val="000000" w:themeColor="text1"/>
          <w:sz w:val="24"/>
          <w:szCs w:val="24"/>
        </w:rPr>
        <w:t>GB50395-2007</w:t>
      </w:r>
      <w:r>
        <w:rPr>
          <w:color w:val="000000" w:themeColor="text1"/>
          <w:sz w:val="24"/>
          <w:szCs w:val="24"/>
        </w:rPr>
        <w:t>）</w:t>
      </w:r>
    </w:p>
    <w:p w14:paraId="6A7AD569"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《安全色》（</w:t>
      </w:r>
      <w:r>
        <w:rPr>
          <w:color w:val="000000" w:themeColor="text1"/>
          <w:sz w:val="24"/>
          <w:szCs w:val="24"/>
        </w:rPr>
        <w:t>GB2893-2008</w:t>
      </w:r>
      <w:r>
        <w:rPr>
          <w:color w:val="000000" w:themeColor="text1"/>
          <w:sz w:val="24"/>
          <w:szCs w:val="24"/>
        </w:rPr>
        <w:t>）</w:t>
      </w:r>
    </w:p>
    <w:p w14:paraId="0559FDA8"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《安全标志及其使用导则》（</w:t>
      </w:r>
      <w:r>
        <w:rPr>
          <w:color w:val="000000" w:themeColor="text1"/>
          <w:sz w:val="24"/>
          <w:szCs w:val="24"/>
        </w:rPr>
        <w:t>GB2894-2008</w:t>
      </w:r>
      <w:r>
        <w:rPr>
          <w:color w:val="000000" w:themeColor="text1"/>
          <w:sz w:val="24"/>
          <w:szCs w:val="24"/>
        </w:rPr>
        <w:t>）</w:t>
      </w:r>
    </w:p>
    <w:p w14:paraId="6864C7B5"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3</w:t>
      </w:r>
      <w:r>
        <w:rPr>
          <w:color w:val="000000" w:themeColor="text1"/>
          <w:sz w:val="24"/>
          <w:szCs w:val="24"/>
        </w:rPr>
        <w:t>～</w:t>
      </w:r>
      <w:r>
        <w:rPr>
          <w:color w:val="000000" w:themeColor="text1"/>
          <w:sz w:val="24"/>
          <w:szCs w:val="24"/>
        </w:rPr>
        <w:t>110kV</w:t>
      </w:r>
      <w:r>
        <w:rPr>
          <w:color w:val="000000" w:themeColor="text1"/>
          <w:sz w:val="24"/>
          <w:szCs w:val="24"/>
        </w:rPr>
        <w:t>高压配电装置设计规范》（</w:t>
      </w:r>
      <w:r>
        <w:rPr>
          <w:color w:val="000000" w:themeColor="text1"/>
          <w:sz w:val="24"/>
          <w:szCs w:val="24"/>
        </w:rPr>
        <w:t>GB50060-2008</w:t>
      </w:r>
      <w:r>
        <w:rPr>
          <w:color w:val="000000" w:themeColor="text1"/>
          <w:sz w:val="24"/>
          <w:szCs w:val="24"/>
        </w:rPr>
        <w:t>）</w:t>
      </w:r>
    </w:p>
    <w:p w14:paraId="7D4E5500"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《建筑工程抗震设防分类标准》（</w:t>
      </w:r>
      <w:r>
        <w:rPr>
          <w:color w:val="000000" w:themeColor="text1"/>
          <w:sz w:val="24"/>
          <w:szCs w:val="24"/>
        </w:rPr>
        <w:t>GB50223-2008</w:t>
      </w:r>
      <w:r>
        <w:rPr>
          <w:color w:val="000000" w:themeColor="text1"/>
          <w:sz w:val="24"/>
          <w:szCs w:val="24"/>
        </w:rPr>
        <w:t>）</w:t>
      </w:r>
    </w:p>
    <w:p w14:paraId="411FD092"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《石油与石油设施雷电安全规范》（</w:t>
      </w:r>
      <w:r>
        <w:rPr>
          <w:color w:val="000000" w:themeColor="text1"/>
          <w:sz w:val="24"/>
          <w:szCs w:val="24"/>
        </w:rPr>
        <w:t>GB15599-2009</w:t>
      </w:r>
      <w:r>
        <w:rPr>
          <w:color w:val="000000" w:themeColor="text1"/>
          <w:sz w:val="24"/>
          <w:szCs w:val="24"/>
        </w:rPr>
        <w:t>）</w:t>
      </w:r>
    </w:p>
    <w:p w14:paraId="7C913658"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《化学品分类和危险性公示通则》（</w:t>
      </w:r>
      <w:r>
        <w:rPr>
          <w:color w:val="000000" w:themeColor="text1"/>
          <w:sz w:val="24"/>
          <w:szCs w:val="24"/>
        </w:rPr>
        <w:t>GB13690-2009</w:t>
      </w:r>
      <w:r>
        <w:rPr>
          <w:color w:val="000000" w:themeColor="text1"/>
          <w:sz w:val="24"/>
          <w:szCs w:val="24"/>
        </w:rPr>
        <w:t>）</w:t>
      </w:r>
    </w:p>
    <w:p w14:paraId="69DECED8"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《固定式钢梯及平台安全要求第</w:t>
      </w:r>
      <w:r>
        <w:rPr>
          <w:color w:val="000000" w:themeColor="text1"/>
          <w:sz w:val="24"/>
          <w:szCs w:val="24"/>
        </w:rPr>
        <w:t>2</w:t>
      </w:r>
      <w:r>
        <w:rPr>
          <w:color w:val="000000" w:themeColor="text1"/>
          <w:sz w:val="24"/>
          <w:szCs w:val="24"/>
        </w:rPr>
        <w:t>部分：钢斜梯》（</w:t>
      </w:r>
      <w:r>
        <w:rPr>
          <w:color w:val="000000" w:themeColor="text1"/>
          <w:sz w:val="24"/>
          <w:szCs w:val="24"/>
        </w:rPr>
        <w:t>GB4053.2-2009</w:t>
      </w:r>
      <w:r>
        <w:rPr>
          <w:color w:val="000000" w:themeColor="text1"/>
          <w:sz w:val="24"/>
          <w:szCs w:val="24"/>
        </w:rPr>
        <w:t>）</w:t>
      </w:r>
    </w:p>
    <w:p w14:paraId="23B21E7F"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《固定式钢梯及平台安全要求第</w:t>
      </w:r>
      <w:r>
        <w:rPr>
          <w:color w:val="000000" w:themeColor="text1"/>
          <w:sz w:val="24"/>
          <w:szCs w:val="24"/>
        </w:rPr>
        <w:t>3</w:t>
      </w:r>
      <w:r>
        <w:rPr>
          <w:color w:val="000000" w:themeColor="text1"/>
          <w:sz w:val="24"/>
          <w:szCs w:val="24"/>
        </w:rPr>
        <w:t>部分：工业防护栏杆及钢平台》（</w:t>
      </w:r>
      <w:r>
        <w:rPr>
          <w:color w:val="000000" w:themeColor="text1"/>
          <w:sz w:val="24"/>
          <w:szCs w:val="24"/>
        </w:rPr>
        <w:t>GB4053.3-2009</w:t>
      </w:r>
      <w:r>
        <w:rPr>
          <w:color w:val="000000" w:themeColor="text1"/>
          <w:sz w:val="24"/>
          <w:szCs w:val="24"/>
        </w:rPr>
        <w:t>）</w:t>
      </w:r>
    </w:p>
    <w:p w14:paraId="0348A27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lastRenderedPageBreak/>
        <w:t>《供配电系统设计规范》（</w:t>
      </w:r>
      <w:r>
        <w:rPr>
          <w:color w:val="000000" w:themeColor="text1"/>
          <w:sz w:val="24"/>
          <w:szCs w:val="24"/>
        </w:rPr>
        <w:t>GB50052-2009</w:t>
      </w:r>
      <w:r>
        <w:rPr>
          <w:color w:val="000000" w:themeColor="text1"/>
          <w:sz w:val="24"/>
          <w:szCs w:val="24"/>
        </w:rPr>
        <w:t>）</w:t>
      </w:r>
    </w:p>
    <w:p w14:paraId="148C744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w:t>
      </w:r>
      <w:bookmarkStart w:id="17" w:name="OLE_LINK4"/>
      <w:bookmarkStart w:id="18" w:name="OLE_LINK6"/>
      <w:r>
        <w:rPr>
          <w:color w:val="000000" w:themeColor="text1"/>
          <w:sz w:val="24"/>
          <w:szCs w:val="24"/>
        </w:rPr>
        <w:t>建筑物防雷设计规范</w:t>
      </w:r>
      <w:bookmarkEnd w:id="17"/>
      <w:bookmarkEnd w:id="18"/>
      <w:r>
        <w:rPr>
          <w:color w:val="000000" w:themeColor="text1"/>
          <w:sz w:val="24"/>
          <w:szCs w:val="24"/>
        </w:rPr>
        <w:t>》（</w:t>
      </w:r>
      <w:r>
        <w:rPr>
          <w:color w:val="000000" w:themeColor="text1"/>
          <w:sz w:val="24"/>
          <w:szCs w:val="24"/>
        </w:rPr>
        <w:t>GB50057-2010</w:t>
      </w:r>
      <w:r>
        <w:rPr>
          <w:color w:val="000000" w:themeColor="text1"/>
          <w:sz w:val="24"/>
          <w:szCs w:val="24"/>
        </w:rPr>
        <w:t>）</w:t>
      </w:r>
    </w:p>
    <w:p w14:paraId="6B55E6F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《低压配电设计规范》（</w:t>
      </w:r>
      <w:r>
        <w:rPr>
          <w:color w:val="000000" w:themeColor="text1"/>
          <w:sz w:val="24"/>
          <w:szCs w:val="24"/>
        </w:rPr>
        <w:t>GB50054-2011</w:t>
      </w:r>
      <w:r>
        <w:rPr>
          <w:color w:val="000000" w:themeColor="text1"/>
          <w:sz w:val="24"/>
          <w:szCs w:val="24"/>
        </w:rPr>
        <w:t>）</w:t>
      </w:r>
    </w:p>
    <w:p w14:paraId="598994E6"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《通用用电设备配电设计规范》（</w:t>
      </w:r>
      <w:r>
        <w:rPr>
          <w:color w:val="000000" w:themeColor="text1"/>
          <w:sz w:val="24"/>
          <w:szCs w:val="24"/>
        </w:rPr>
        <w:t>GB50055-2011</w:t>
      </w:r>
      <w:r>
        <w:rPr>
          <w:color w:val="000000" w:themeColor="text1"/>
          <w:sz w:val="24"/>
          <w:szCs w:val="24"/>
        </w:rPr>
        <w:t>）</w:t>
      </w:r>
    </w:p>
    <w:p w14:paraId="0E222462"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《工业金属管道工程施工质量验收规范》（</w:t>
      </w:r>
      <w:r>
        <w:rPr>
          <w:color w:val="000000" w:themeColor="text1"/>
          <w:sz w:val="24"/>
          <w:szCs w:val="24"/>
        </w:rPr>
        <w:t>GB50184-2011</w:t>
      </w:r>
      <w:r>
        <w:rPr>
          <w:color w:val="000000" w:themeColor="text1"/>
          <w:sz w:val="24"/>
          <w:szCs w:val="24"/>
        </w:rPr>
        <w:t>）</w:t>
      </w:r>
    </w:p>
    <w:p w14:paraId="4EDA7B7F"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《工业企业总平面设计规范》（</w:t>
      </w:r>
      <w:r>
        <w:rPr>
          <w:color w:val="000000" w:themeColor="text1"/>
          <w:sz w:val="24"/>
          <w:szCs w:val="24"/>
        </w:rPr>
        <w:t>GB50187-2012</w:t>
      </w:r>
      <w:r>
        <w:rPr>
          <w:color w:val="000000" w:themeColor="text1"/>
          <w:sz w:val="24"/>
          <w:szCs w:val="24"/>
        </w:rPr>
        <w:t>）</w:t>
      </w:r>
    </w:p>
    <w:p w14:paraId="2EC0A44F"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《危险货物品名表》（</w:t>
      </w:r>
      <w:r>
        <w:rPr>
          <w:color w:val="000000" w:themeColor="text1"/>
          <w:sz w:val="24"/>
          <w:szCs w:val="24"/>
        </w:rPr>
        <w:t>GB12268-2012</w:t>
      </w:r>
      <w:r>
        <w:rPr>
          <w:color w:val="000000" w:themeColor="text1"/>
          <w:sz w:val="24"/>
          <w:szCs w:val="24"/>
        </w:rPr>
        <w:t>）</w:t>
      </w:r>
    </w:p>
    <w:p w14:paraId="2F6C372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《构筑物抗震设计规范》（</w:t>
      </w:r>
      <w:r>
        <w:rPr>
          <w:color w:val="000000" w:themeColor="text1"/>
          <w:sz w:val="24"/>
          <w:szCs w:val="24"/>
        </w:rPr>
        <w:t>GB50191-2012</w:t>
      </w:r>
      <w:r>
        <w:rPr>
          <w:color w:val="000000" w:themeColor="text1"/>
          <w:sz w:val="24"/>
          <w:szCs w:val="24"/>
        </w:rPr>
        <w:t>）</w:t>
      </w:r>
    </w:p>
    <w:p w14:paraId="658BAAF4"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《建筑物电子信息系统防雷技术规范》（</w:t>
      </w:r>
      <w:r>
        <w:rPr>
          <w:color w:val="000000" w:themeColor="text1"/>
          <w:sz w:val="24"/>
          <w:szCs w:val="24"/>
        </w:rPr>
        <w:t>GB50343-2012</w:t>
      </w:r>
      <w:r>
        <w:rPr>
          <w:color w:val="000000" w:themeColor="text1"/>
          <w:sz w:val="24"/>
          <w:szCs w:val="24"/>
        </w:rPr>
        <w:t>）</w:t>
      </w:r>
    </w:p>
    <w:p w14:paraId="3A2A34C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《石油天然气站内工艺管道工程施工规范（</w:t>
      </w:r>
      <w:r>
        <w:rPr>
          <w:color w:val="000000" w:themeColor="text1"/>
          <w:sz w:val="24"/>
          <w:szCs w:val="24"/>
        </w:rPr>
        <w:t>2012</w:t>
      </w:r>
      <w:r>
        <w:rPr>
          <w:color w:val="000000" w:themeColor="text1"/>
          <w:sz w:val="24"/>
          <w:szCs w:val="24"/>
        </w:rPr>
        <w:t>年版）》（</w:t>
      </w:r>
      <w:r>
        <w:rPr>
          <w:color w:val="000000" w:themeColor="text1"/>
          <w:sz w:val="24"/>
          <w:szCs w:val="24"/>
        </w:rPr>
        <w:t>GB50540-2009</w:t>
      </w:r>
      <w:r>
        <w:rPr>
          <w:color w:val="000000" w:themeColor="text1"/>
          <w:sz w:val="24"/>
          <w:szCs w:val="24"/>
        </w:rPr>
        <w:t>）</w:t>
      </w:r>
    </w:p>
    <w:p w14:paraId="00384E0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《油气田集输管道施工规范》（</w:t>
      </w:r>
      <w:r>
        <w:rPr>
          <w:color w:val="000000" w:themeColor="text1"/>
          <w:sz w:val="24"/>
          <w:szCs w:val="24"/>
        </w:rPr>
        <w:t>GB50819-2013</w:t>
      </w:r>
      <w:r>
        <w:rPr>
          <w:color w:val="000000" w:themeColor="text1"/>
          <w:sz w:val="24"/>
          <w:szCs w:val="24"/>
        </w:rPr>
        <w:t>）</w:t>
      </w:r>
    </w:p>
    <w:p w14:paraId="0B15325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20kV</w:t>
      </w:r>
      <w:r>
        <w:rPr>
          <w:color w:val="000000" w:themeColor="text1"/>
          <w:sz w:val="24"/>
          <w:szCs w:val="24"/>
        </w:rPr>
        <w:t>及以下变电所设计规范》（</w:t>
      </w:r>
      <w:r>
        <w:rPr>
          <w:color w:val="000000" w:themeColor="text1"/>
          <w:sz w:val="24"/>
          <w:szCs w:val="24"/>
        </w:rPr>
        <w:t>GB50053-2013</w:t>
      </w:r>
      <w:r>
        <w:rPr>
          <w:color w:val="000000" w:themeColor="text1"/>
          <w:sz w:val="24"/>
          <w:szCs w:val="24"/>
        </w:rPr>
        <w:t>）</w:t>
      </w:r>
    </w:p>
    <w:p w14:paraId="4737F883"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《建筑照明设计标准》（</w:t>
      </w:r>
      <w:r>
        <w:rPr>
          <w:color w:val="000000" w:themeColor="text1"/>
          <w:sz w:val="24"/>
          <w:szCs w:val="24"/>
        </w:rPr>
        <w:t>GB50034-2013</w:t>
      </w:r>
      <w:r>
        <w:rPr>
          <w:color w:val="000000" w:themeColor="text1"/>
          <w:sz w:val="24"/>
          <w:szCs w:val="24"/>
        </w:rPr>
        <w:t>）</w:t>
      </w:r>
    </w:p>
    <w:p w14:paraId="49458C73"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《火灾自动报警系统设计规范》（</w:t>
      </w:r>
      <w:r>
        <w:rPr>
          <w:color w:val="000000" w:themeColor="text1"/>
          <w:sz w:val="24"/>
          <w:szCs w:val="24"/>
        </w:rPr>
        <w:t>GB50116-2013</w:t>
      </w:r>
      <w:r>
        <w:rPr>
          <w:color w:val="000000" w:themeColor="text1"/>
          <w:sz w:val="24"/>
          <w:szCs w:val="24"/>
        </w:rPr>
        <w:t>）</w:t>
      </w:r>
    </w:p>
    <w:p w14:paraId="0C2A04A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《自动化仪表工程施工及质量验收规范》（</w:t>
      </w:r>
      <w:r>
        <w:rPr>
          <w:color w:val="000000" w:themeColor="text1"/>
          <w:sz w:val="24"/>
          <w:szCs w:val="24"/>
        </w:rPr>
        <w:t>GB50093-2013</w:t>
      </w:r>
      <w:r>
        <w:rPr>
          <w:color w:val="000000" w:themeColor="text1"/>
          <w:sz w:val="24"/>
          <w:szCs w:val="24"/>
        </w:rPr>
        <w:t>）</w:t>
      </w:r>
    </w:p>
    <w:p w14:paraId="43012B39"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《工业设备及管道绝热工程设计规范》（</w:t>
      </w:r>
      <w:r>
        <w:rPr>
          <w:color w:val="000000" w:themeColor="text1"/>
          <w:sz w:val="24"/>
          <w:szCs w:val="24"/>
        </w:rPr>
        <w:t>GB50264-2013</w:t>
      </w:r>
      <w:r>
        <w:rPr>
          <w:color w:val="000000" w:themeColor="text1"/>
          <w:sz w:val="24"/>
          <w:szCs w:val="24"/>
        </w:rPr>
        <w:t>）</w:t>
      </w:r>
    </w:p>
    <w:p w14:paraId="1EE3F829"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《电力设施抗震设计规范》（</w:t>
      </w:r>
      <w:r>
        <w:rPr>
          <w:color w:val="000000" w:themeColor="text1"/>
          <w:sz w:val="24"/>
          <w:szCs w:val="24"/>
        </w:rPr>
        <w:t>GB50260-2013</w:t>
      </w:r>
      <w:r>
        <w:rPr>
          <w:color w:val="000000" w:themeColor="text1"/>
          <w:sz w:val="24"/>
          <w:szCs w:val="24"/>
        </w:rPr>
        <w:t>）</w:t>
      </w:r>
    </w:p>
    <w:p w14:paraId="2AB3F73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《爆炸危险环境电力装置设计规范</w:t>
      </w:r>
      <w:bookmarkStart w:id="19" w:name="1"/>
      <w:bookmarkEnd w:id="19"/>
      <w:r>
        <w:rPr>
          <w:color w:val="000000" w:themeColor="text1"/>
          <w:sz w:val="24"/>
          <w:szCs w:val="24"/>
        </w:rPr>
        <w:t>》（</w:t>
      </w:r>
      <w:r>
        <w:rPr>
          <w:color w:val="000000" w:themeColor="text1"/>
          <w:sz w:val="24"/>
          <w:szCs w:val="24"/>
        </w:rPr>
        <w:t>GB50058-2014</w:t>
      </w:r>
      <w:r>
        <w:rPr>
          <w:color w:val="000000" w:themeColor="text1"/>
          <w:sz w:val="24"/>
          <w:szCs w:val="24"/>
        </w:rPr>
        <w:t>）</w:t>
      </w:r>
    </w:p>
    <w:p w14:paraId="551ED26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《电气装置安装工程爆炸和火灾危险环境电气装置施工及验收规范》（</w:t>
      </w:r>
      <w:r>
        <w:rPr>
          <w:color w:val="000000" w:themeColor="text1"/>
          <w:sz w:val="24"/>
          <w:szCs w:val="24"/>
        </w:rPr>
        <w:t>GB50257-2014</w:t>
      </w:r>
      <w:r>
        <w:rPr>
          <w:color w:val="000000" w:themeColor="text1"/>
          <w:sz w:val="24"/>
          <w:szCs w:val="24"/>
        </w:rPr>
        <w:t>）</w:t>
      </w:r>
    </w:p>
    <w:p w14:paraId="1A7B0E84"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《埋地钢质管道直流干扰防护技术标准》（</w:t>
      </w:r>
      <w:r>
        <w:rPr>
          <w:color w:val="000000" w:themeColor="text1"/>
          <w:sz w:val="24"/>
          <w:szCs w:val="24"/>
        </w:rPr>
        <w:t>GB50991-2014</w:t>
      </w:r>
      <w:r>
        <w:rPr>
          <w:color w:val="000000" w:themeColor="text1"/>
          <w:sz w:val="24"/>
          <w:szCs w:val="24"/>
        </w:rPr>
        <w:t>）</w:t>
      </w:r>
    </w:p>
    <w:p w14:paraId="7DE8A7E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《气田集输设计规范》（</w:t>
      </w:r>
      <w:r>
        <w:rPr>
          <w:color w:val="000000" w:themeColor="text1"/>
          <w:sz w:val="24"/>
          <w:szCs w:val="24"/>
        </w:rPr>
        <w:t>GB50349-2015</w:t>
      </w:r>
      <w:r>
        <w:rPr>
          <w:color w:val="000000" w:themeColor="text1"/>
          <w:sz w:val="24"/>
          <w:szCs w:val="24"/>
        </w:rPr>
        <w:t>）</w:t>
      </w:r>
    </w:p>
    <w:p w14:paraId="617E53D5"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《油田油气集输设计规范》（</w:t>
      </w:r>
      <w:r>
        <w:rPr>
          <w:color w:val="000000" w:themeColor="text1"/>
          <w:sz w:val="24"/>
          <w:szCs w:val="24"/>
        </w:rPr>
        <w:t>GB50350-2015</w:t>
      </w:r>
      <w:r>
        <w:rPr>
          <w:color w:val="000000" w:themeColor="text1"/>
          <w:sz w:val="24"/>
          <w:szCs w:val="24"/>
        </w:rPr>
        <w:t>）</w:t>
      </w:r>
    </w:p>
    <w:p w14:paraId="4663099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《输气管道工程设计规范》（</w:t>
      </w:r>
      <w:r>
        <w:rPr>
          <w:color w:val="000000" w:themeColor="text1"/>
          <w:sz w:val="24"/>
          <w:szCs w:val="24"/>
        </w:rPr>
        <w:t>GB50251-2015</w:t>
      </w:r>
      <w:r>
        <w:rPr>
          <w:color w:val="000000" w:themeColor="text1"/>
          <w:sz w:val="24"/>
          <w:szCs w:val="24"/>
        </w:rPr>
        <w:t>）</w:t>
      </w:r>
    </w:p>
    <w:p w14:paraId="6073BF5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《混凝土结构设计规范（</w:t>
      </w:r>
      <w:r>
        <w:rPr>
          <w:color w:val="000000" w:themeColor="text1"/>
          <w:sz w:val="24"/>
          <w:szCs w:val="24"/>
        </w:rPr>
        <w:t>2015</w:t>
      </w:r>
      <w:r>
        <w:rPr>
          <w:color w:val="000000" w:themeColor="text1"/>
          <w:sz w:val="24"/>
          <w:szCs w:val="24"/>
        </w:rPr>
        <w:t>年版）》（</w:t>
      </w:r>
      <w:r>
        <w:rPr>
          <w:color w:val="000000" w:themeColor="text1"/>
          <w:sz w:val="24"/>
          <w:szCs w:val="24"/>
        </w:rPr>
        <w:t>GB50010-2010</w:t>
      </w:r>
      <w:r>
        <w:rPr>
          <w:color w:val="000000" w:themeColor="text1"/>
          <w:sz w:val="24"/>
          <w:szCs w:val="24"/>
        </w:rPr>
        <w:t>）</w:t>
      </w:r>
    </w:p>
    <w:p w14:paraId="537F81FB"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《通信线路工程设计规范》（</w:t>
      </w:r>
      <w:r>
        <w:rPr>
          <w:color w:val="000000" w:themeColor="text1"/>
          <w:sz w:val="24"/>
          <w:szCs w:val="24"/>
        </w:rPr>
        <w:t>GB51158-2015</w:t>
      </w:r>
      <w:r>
        <w:rPr>
          <w:color w:val="000000" w:themeColor="text1"/>
          <w:sz w:val="24"/>
          <w:szCs w:val="24"/>
        </w:rPr>
        <w:t>）</w:t>
      </w:r>
    </w:p>
    <w:p w14:paraId="5DAA682D"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《中国地震动参数区划图》（</w:t>
      </w:r>
      <w:r>
        <w:rPr>
          <w:color w:val="000000" w:themeColor="text1"/>
          <w:sz w:val="24"/>
          <w:szCs w:val="24"/>
        </w:rPr>
        <w:t>GB18306-2015</w:t>
      </w:r>
      <w:r>
        <w:rPr>
          <w:color w:val="000000" w:themeColor="text1"/>
          <w:sz w:val="24"/>
          <w:szCs w:val="24"/>
        </w:rPr>
        <w:t>）</w:t>
      </w:r>
    </w:p>
    <w:p w14:paraId="6D6B790F"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《油气输送管道完整性管理规范》（</w:t>
      </w:r>
      <w:r>
        <w:rPr>
          <w:color w:val="000000" w:themeColor="text1"/>
          <w:sz w:val="24"/>
          <w:szCs w:val="24"/>
        </w:rPr>
        <w:t>GB32167-2015</w:t>
      </w:r>
      <w:r>
        <w:rPr>
          <w:color w:val="000000" w:themeColor="text1"/>
          <w:sz w:val="24"/>
          <w:szCs w:val="24"/>
        </w:rPr>
        <w:t>）</w:t>
      </w:r>
    </w:p>
    <w:p w14:paraId="4F10382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《油田采出水处理设计规范》（</w:t>
      </w:r>
      <w:r>
        <w:rPr>
          <w:color w:val="000000" w:themeColor="text1"/>
          <w:sz w:val="24"/>
          <w:szCs w:val="24"/>
        </w:rPr>
        <w:t>GB50428-2015</w:t>
      </w:r>
      <w:r>
        <w:rPr>
          <w:color w:val="000000" w:themeColor="text1"/>
          <w:sz w:val="24"/>
          <w:szCs w:val="24"/>
        </w:rPr>
        <w:t>）</w:t>
      </w:r>
    </w:p>
    <w:p w14:paraId="3C47D669"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《建筑抗震设计规范（</w:t>
      </w:r>
      <w:r>
        <w:rPr>
          <w:color w:val="000000" w:themeColor="text1"/>
          <w:sz w:val="24"/>
          <w:szCs w:val="24"/>
        </w:rPr>
        <w:t>2016</w:t>
      </w:r>
      <w:r>
        <w:rPr>
          <w:color w:val="000000" w:themeColor="text1"/>
          <w:sz w:val="24"/>
          <w:szCs w:val="24"/>
        </w:rPr>
        <w:t>年版）》（</w:t>
      </w:r>
      <w:r>
        <w:rPr>
          <w:color w:val="000000" w:themeColor="text1"/>
          <w:sz w:val="24"/>
          <w:szCs w:val="24"/>
        </w:rPr>
        <w:t>GB50011-2010</w:t>
      </w:r>
      <w:r>
        <w:rPr>
          <w:color w:val="000000" w:themeColor="text1"/>
          <w:sz w:val="24"/>
          <w:szCs w:val="24"/>
        </w:rPr>
        <w:t>）</w:t>
      </w:r>
    </w:p>
    <w:p w14:paraId="2AF95F99"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lastRenderedPageBreak/>
        <w:t>《钢结构设计标准》（</w:t>
      </w:r>
      <w:r>
        <w:rPr>
          <w:color w:val="000000" w:themeColor="text1"/>
          <w:sz w:val="24"/>
          <w:szCs w:val="24"/>
        </w:rPr>
        <w:t>GB50017-2017</w:t>
      </w:r>
      <w:r>
        <w:rPr>
          <w:color w:val="000000" w:themeColor="text1"/>
          <w:sz w:val="24"/>
          <w:szCs w:val="24"/>
        </w:rPr>
        <w:t>）</w:t>
      </w:r>
    </w:p>
    <w:p w14:paraId="3BD5482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《天然气》（</w:t>
      </w:r>
      <w:r>
        <w:rPr>
          <w:color w:val="000000" w:themeColor="text1"/>
          <w:sz w:val="24"/>
          <w:szCs w:val="24"/>
        </w:rPr>
        <w:t>GB17820-2018</w:t>
      </w:r>
      <w:r>
        <w:rPr>
          <w:color w:val="000000" w:themeColor="text1"/>
          <w:sz w:val="24"/>
          <w:szCs w:val="24"/>
        </w:rPr>
        <w:t>）</w:t>
      </w:r>
    </w:p>
    <w:p w14:paraId="003EA6C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《电力工程电缆设计标准》（</w:t>
      </w:r>
      <w:r>
        <w:rPr>
          <w:color w:val="000000" w:themeColor="text1"/>
          <w:sz w:val="24"/>
          <w:szCs w:val="24"/>
        </w:rPr>
        <w:t>GB50217-2018</w:t>
      </w:r>
      <w:r>
        <w:rPr>
          <w:color w:val="000000" w:themeColor="text1"/>
          <w:sz w:val="24"/>
          <w:szCs w:val="24"/>
        </w:rPr>
        <w:t>）</w:t>
      </w:r>
    </w:p>
    <w:p w14:paraId="7E914EF3"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《建筑设计防火规范（</w:t>
      </w:r>
      <w:r>
        <w:rPr>
          <w:color w:val="000000" w:themeColor="text1"/>
          <w:sz w:val="24"/>
          <w:szCs w:val="24"/>
        </w:rPr>
        <w:t>2018</w:t>
      </w:r>
      <w:r>
        <w:rPr>
          <w:color w:val="000000" w:themeColor="text1"/>
          <w:sz w:val="24"/>
          <w:szCs w:val="24"/>
        </w:rPr>
        <w:t>年版）》（</w:t>
      </w:r>
      <w:r>
        <w:rPr>
          <w:color w:val="000000" w:themeColor="text1"/>
          <w:sz w:val="24"/>
          <w:szCs w:val="24"/>
        </w:rPr>
        <w:t>GB50016-2014</w:t>
      </w:r>
      <w:r>
        <w:rPr>
          <w:color w:val="000000" w:themeColor="text1"/>
          <w:sz w:val="24"/>
          <w:szCs w:val="24"/>
        </w:rPr>
        <w:t>）</w:t>
      </w:r>
    </w:p>
    <w:p w14:paraId="278EA9A1" w14:textId="77777777" w:rsidR="002E0859" w:rsidRDefault="00000000">
      <w:pPr>
        <w:pStyle w:val="ae"/>
        <w:numPr>
          <w:ilvl w:val="0"/>
          <w:numId w:val="7"/>
        </w:numPr>
        <w:topLinePunct w:val="0"/>
        <w:spacing w:line="360" w:lineRule="auto"/>
        <w:ind w:firstLine="480"/>
        <w:rPr>
          <w:color w:val="000000" w:themeColor="text1"/>
          <w:sz w:val="24"/>
          <w:szCs w:val="24"/>
        </w:rPr>
      </w:pPr>
      <w:bookmarkStart w:id="20" w:name="_Toc15633"/>
      <w:r>
        <w:rPr>
          <w:color w:val="000000" w:themeColor="text1"/>
          <w:sz w:val="24"/>
          <w:szCs w:val="24"/>
        </w:rPr>
        <w:t>《危险化学品重大危险源辨识》（</w:t>
      </w:r>
      <w:r>
        <w:rPr>
          <w:color w:val="000000" w:themeColor="text1"/>
          <w:sz w:val="24"/>
          <w:szCs w:val="24"/>
        </w:rPr>
        <w:t>GB18218-2018</w:t>
      </w:r>
      <w:r>
        <w:rPr>
          <w:color w:val="000000" w:themeColor="text1"/>
          <w:sz w:val="24"/>
          <w:szCs w:val="24"/>
        </w:rPr>
        <w:t>）</w:t>
      </w:r>
      <w:bookmarkEnd w:id="20"/>
    </w:p>
    <w:p w14:paraId="270E5630"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《安全防范工程技术标准》（</w:t>
      </w:r>
      <w:r>
        <w:rPr>
          <w:color w:val="000000" w:themeColor="text1"/>
          <w:sz w:val="24"/>
          <w:szCs w:val="24"/>
        </w:rPr>
        <w:t>GB50348-2018</w:t>
      </w:r>
      <w:r>
        <w:rPr>
          <w:color w:val="000000" w:themeColor="text1"/>
          <w:sz w:val="24"/>
          <w:szCs w:val="24"/>
        </w:rPr>
        <w:t>）</w:t>
      </w:r>
    </w:p>
    <w:p w14:paraId="6C0D3AF6"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《消防应急照明和疏散指示系统技术标准》（</w:t>
      </w:r>
      <w:r>
        <w:rPr>
          <w:color w:val="000000" w:themeColor="text1"/>
          <w:sz w:val="24"/>
          <w:szCs w:val="24"/>
        </w:rPr>
        <w:t>GB51309-2018</w:t>
      </w:r>
      <w:r>
        <w:rPr>
          <w:color w:val="000000" w:themeColor="text1"/>
          <w:sz w:val="24"/>
          <w:szCs w:val="24"/>
        </w:rPr>
        <w:t>）</w:t>
      </w:r>
    </w:p>
    <w:p w14:paraId="529BF32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《火灾自动报警系统施工及验收标准》（</w:t>
      </w:r>
      <w:r>
        <w:rPr>
          <w:color w:val="000000" w:themeColor="text1"/>
          <w:sz w:val="24"/>
          <w:szCs w:val="24"/>
        </w:rPr>
        <w:t>GB50166-2019</w:t>
      </w:r>
      <w:r>
        <w:rPr>
          <w:color w:val="000000" w:themeColor="text1"/>
          <w:sz w:val="24"/>
          <w:szCs w:val="24"/>
        </w:rPr>
        <w:t>）</w:t>
      </w:r>
    </w:p>
    <w:p w14:paraId="43CC7F94"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《个体防护装备配备规范第</w:t>
      </w:r>
      <w:r>
        <w:rPr>
          <w:color w:val="000000" w:themeColor="text1"/>
          <w:sz w:val="24"/>
          <w:szCs w:val="24"/>
        </w:rPr>
        <w:t>1</w:t>
      </w:r>
      <w:r>
        <w:rPr>
          <w:color w:val="000000" w:themeColor="text1"/>
          <w:sz w:val="24"/>
          <w:szCs w:val="24"/>
        </w:rPr>
        <w:t>部分：总则》（</w:t>
      </w:r>
      <w:r>
        <w:rPr>
          <w:color w:val="000000" w:themeColor="text1"/>
          <w:sz w:val="24"/>
          <w:szCs w:val="24"/>
        </w:rPr>
        <w:t>GB39800.1-2020</w:t>
      </w:r>
      <w:r>
        <w:rPr>
          <w:color w:val="000000" w:themeColor="text1"/>
          <w:sz w:val="24"/>
          <w:szCs w:val="24"/>
        </w:rPr>
        <w:t>）</w:t>
      </w:r>
    </w:p>
    <w:p w14:paraId="17472B22"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《个体防护装备配备规范第</w:t>
      </w:r>
      <w:r>
        <w:rPr>
          <w:color w:val="000000" w:themeColor="text1"/>
          <w:sz w:val="24"/>
          <w:szCs w:val="24"/>
        </w:rPr>
        <w:t>2</w:t>
      </w:r>
      <w:r>
        <w:rPr>
          <w:color w:val="000000" w:themeColor="text1"/>
          <w:sz w:val="24"/>
          <w:szCs w:val="24"/>
        </w:rPr>
        <w:t>部分：石油、化工、天然气》（</w:t>
      </w:r>
      <w:r>
        <w:rPr>
          <w:color w:val="000000" w:themeColor="text1"/>
          <w:sz w:val="24"/>
          <w:szCs w:val="24"/>
        </w:rPr>
        <w:t>GB39800.2-2020</w:t>
      </w:r>
      <w:r>
        <w:rPr>
          <w:color w:val="000000" w:themeColor="text1"/>
          <w:sz w:val="24"/>
          <w:szCs w:val="24"/>
        </w:rPr>
        <w:t>）</w:t>
      </w:r>
    </w:p>
    <w:p w14:paraId="204E6D14"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《陆上石油天然气开采安全规程》（</w:t>
      </w:r>
      <w:r>
        <w:rPr>
          <w:color w:val="000000" w:themeColor="text1"/>
          <w:sz w:val="24"/>
          <w:szCs w:val="24"/>
        </w:rPr>
        <w:t>GB42294-2022</w:t>
      </w:r>
      <w:r>
        <w:rPr>
          <w:color w:val="000000" w:themeColor="text1"/>
          <w:sz w:val="24"/>
          <w:szCs w:val="24"/>
        </w:rPr>
        <w:t>）</w:t>
      </w:r>
    </w:p>
    <w:p w14:paraId="7BBB54CE"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《建筑电气与智能化通用规范》（</w:t>
      </w:r>
      <w:r>
        <w:rPr>
          <w:color w:val="000000" w:themeColor="text1"/>
          <w:sz w:val="24"/>
          <w:szCs w:val="24"/>
        </w:rPr>
        <w:t>GB55024-2022</w:t>
      </w:r>
      <w:r>
        <w:rPr>
          <w:color w:val="000000" w:themeColor="text1"/>
          <w:sz w:val="24"/>
          <w:szCs w:val="24"/>
        </w:rPr>
        <w:t>）</w:t>
      </w:r>
    </w:p>
    <w:p w14:paraId="5CB15A0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《安全防范工程通用规范》（</w:t>
      </w:r>
      <w:r>
        <w:rPr>
          <w:color w:val="000000" w:themeColor="text1"/>
          <w:sz w:val="24"/>
          <w:szCs w:val="24"/>
        </w:rPr>
        <w:t>GB55029-2022</w:t>
      </w:r>
      <w:r>
        <w:rPr>
          <w:color w:val="000000" w:themeColor="text1"/>
          <w:sz w:val="24"/>
          <w:szCs w:val="24"/>
        </w:rPr>
        <w:t>）</w:t>
      </w:r>
    </w:p>
    <w:p w14:paraId="1AD857E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《消防设施通用规范》（</w:t>
      </w:r>
      <w:r>
        <w:rPr>
          <w:color w:val="000000" w:themeColor="text1"/>
          <w:sz w:val="24"/>
          <w:szCs w:val="24"/>
        </w:rPr>
        <w:t>GB55036-2022</w:t>
      </w:r>
      <w:r>
        <w:rPr>
          <w:color w:val="000000" w:themeColor="text1"/>
          <w:sz w:val="24"/>
          <w:szCs w:val="24"/>
        </w:rPr>
        <w:t>）</w:t>
      </w:r>
    </w:p>
    <w:p w14:paraId="78B0EEB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《建筑防火通用规范》（</w:t>
      </w:r>
      <w:r>
        <w:rPr>
          <w:color w:val="000000" w:themeColor="text1"/>
          <w:sz w:val="24"/>
          <w:szCs w:val="24"/>
        </w:rPr>
        <w:t>GB55037-2022</w:t>
      </w:r>
      <w:r>
        <w:rPr>
          <w:color w:val="000000" w:themeColor="text1"/>
          <w:sz w:val="24"/>
          <w:szCs w:val="24"/>
        </w:rPr>
        <w:t>）</w:t>
      </w:r>
    </w:p>
    <w:p w14:paraId="36C2CC5B"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《生产过程安全卫生要求总则》（</w:t>
      </w:r>
      <w:r>
        <w:rPr>
          <w:color w:val="000000" w:themeColor="text1"/>
          <w:sz w:val="24"/>
          <w:szCs w:val="24"/>
        </w:rPr>
        <w:t>GB/T12801-2008</w:t>
      </w:r>
      <w:r>
        <w:rPr>
          <w:color w:val="000000" w:themeColor="text1"/>
          <w:sz w:val="24"/>
          <w:szCs w:val="24"/>
        </w:rPr>
        <w:t>）</w:t>
      </w:r>
    </w:p>
    <w:p w14:paraId="6A268BD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《交流电气装置的接地设计规范》（</w:t>
      </w:r>
      <w:r>
        <w:rPr>
          <w:color w:val="000000" w:themeColor="text1"/>
          <w:sz w:val="24"/>
          <w:szCs w:val="24"/>
        </w:rPr>
        <w:t>GB/T50065-2011</w:t>
      </w:r>
      <w:r>
        <w:rPr>
          <w:color w:val="000000" w:themeColor="text1"/>
          <w:sz w:val="24"/>
          <w:szCs w:val="24"/>
        </w:rPr>
        <w:t>）</w:t>
      </w:r>
    </w:p>
    <w:p w14:paraId="63D057B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《埋地钢质管道交流干扰防护技术标准》（</w:t>
      </w:r>
      <w:r>
        <w:rPr>
          <w:color w:val="000000" w:themeColor="text1"/>
          <w:sz w:val="24"/>
          <w:szCs w:val="24"/>
        </w:rPr>
        <w:t>GB/T50698-2011</w:t>
      </w:r>
      <w:r>
        <w:rPr>
          <w:color w:val="000000" w:themeColor="text1"/>
          <w:sz w:val="24"/>
          <w:szCs w:val="24"/>
        </w:rPr>
        <w:t>）</w:t>
      </w:r>
    </w:p>
    <w:p w14:paraId="4AC26E7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《石油天然气工业井下设备井下安全阀》（</w:t>
      </w:r>
      <w:r>
        <w:rPr>
          <w:color w:val="000000" w:themeColor="text1"/>
          <w:sz w:val="24"/>
          <w:szCs w:val="24"/>
        </w:rPr>
        <w:t>GB/T28259-2012</w:t>
      </w:r>
      <w:r>
        <w:rPr>
          <w:color w:val="000000" w:themeColor="text1"/>
          <w:sz w:val="24"/>
          <w:szCs w:val="24"/>
        </w:rPr>
        <w:t>）</w:t>
      </w:r>
    </w:p>
    <w:p w14:paraId="201564D0"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《油气田及管道工程仪表控制系统设计规范》（</w:t>
      </w:r>
      <w:r>
        <w:rPr>
          <w:color w:val="000000" w:themeColor="text1"/>
          <w:sz w:val="24"/>
          <w:szCs w:val="24"/>
        </w:rPr>
        <w:t>GB/T50892-2013</w:t>
      </w:r>
      <w:r>
        <w:rPr>
          <w:color w:val="000000" w:themeColor="text1"/>
          <w:sz w:val="24"/>
          <w:szCs w:val="24"/>
        </w:rPr>
        <w:t>）</w:t>
      </w:r>
    </w:p>
    <w:p w14:paraId="6FC94A43"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《油气田及管道工程计算机控制系统设计规范》（</w:t>
      </w:r>
      <w:r>
        <w:rPr>
          <w:color w:val="000000" w:themeColor="text1"/>
          <w:sz w:val="24"/>
          <w:szCs w:val="24"/>
        </w:rPr>
        <w:t>GB/T50823-2013</w:t>
      </w:r>
      <w:r>
        <w:rPr>
          <w:color w:val="000000" w:themeColor="text1"/>
          <w:sz w:val="24"/>
          <w:szCs w:val="24"/>
        </w:rPr>
        <w:t>）</w:t>
      </w:r>
    </w:p>
    <w:p w14:paraId="1832F03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《石油天然气管道工程全自动超声波检测技术规范》（</w:t>
      </w:r>
      <w:r>
        <w:rPr>
          <w:color w:val="000000" w:themeColor="text1"/>
          <w:sz w:val="24"/>
          <w:szCs w:val="24"/>
        </w:rPr>
        <w:t>GB/T50818-2013</w:t>
      </w:r>
      <w:r>
        <w:rPr>
          <w:color w:val="000000" w:themeColor="text1"/>
          <w:sz w:val="24"/>
          <w:szCs w:val="24"/>
        </w:rPr>
        <w:t>）</w:t>
      </w:r>
    </w:p>
    <w:p w14:paraId="75363BD4"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《石油天然气工业管道输送系统管道阀门》（</w:t>
      </w:r>
      <w:r>
        <w:rPr>
          <w:color w:val="000000" w:themeColor="text1"/>
          <w:sz w:val="24"/>
          <w:szCs w:val="24"/>
        </w:rPr>
        <w:t>GB/T20173-2013</w:t>
      </w:r>
      <w:r>
        <w:rPr>
          <w:color w:val="000000" w:themeColor="text1"/>
          <w:sz w:val="24"/>
          <w:szCs w:val="24"/>
        </w:rPr>
        <w:t>）</w:t>
      </w:r>
    </w:p>
    <w:p w14:paraId="3CA229A7" w14:textId="77777777" w:rsidR="002E0859" w:rsidRDefault="00000000">
      <w:pPr>
        <w:numPr>
          <w:ilvl w:val="0"/>
          <w:numId w:val="7"/>
        </w:numPr>
        <w:topLinePunct w:val="0"/>
        <w:spacing w:line="360" w:lineRule="auto"/>
        <w:ind w:firstLine="480"/>
        <w:rPr>
          <w:color w:val="000000" w:themeColor="text1"/>
          <w:sz w:val="24"/>
          <w:szCs w:val="24"/>
        </w:rPr>
      </w:pPr>
      <w:r>
        <w:rPr>
          <w:color w:val="000000" w:themeColor="text1"/>
          <w:sz w:val="24"/>
          <w:szCs w:val="24"/>
        </w:rPr>
        <w:t>《钢质管道焊接及验收》（</w:t>
      </w:r>
      <w:r>
        <w:rPr>
          <w:color w:val="000000" w:themeColor="text1"/>
          <w:sz w:val="24"/>
          <w:szCs w:val="24"/>
        </w:rPr>
        <w:t>GB/T31032-20</w:t>
      </w:r>
      <w:r>
        <w:rPr>
          <w:rFonts w:hint="eastAsia"/>
          <w:color w:val="000000" w:themeColor="text1"/>
          <w:sz w:val="24"/>
          <w:szCs w:val="24"/>
        </w:rPr>
        <w:t>23</w:t>
      </w:r>
      <w:r>
        <w:rPr>
          <w:color w:val="000000" w:themeColor="text1"/>
          <w:sz w:val="24"/>
          <w:szCs w:val="24"/>
        </w:rPr>
        <w:t>）</w:t>
      </w:r>
    </w:p>
    <w:p w14:paraId="3424CC6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《石油天然气钻井井控技术规范》（</w:t>
      </w:r>
      <w:r>
        <w:rPr>
          <w:color w:val="000000" w:themeColor="text1"/>
          <w:sz w:val="24"/>
          <w:szCs w:val="24"/>
        </w:rPr>
        <w:t>GB/T31033-2014</w:t>
      </w:r>
      <w:r>
        <w:rPr>
          <w:color w:val="000000" w:themeColor="text1"/>
          <w:sz w:val="24"/>
          <w:szCs w:val="24"/>
        </w:rPr>
        <w:t>）</w:t>
      </w:r>
    </w:p>
    <w:p w14:paraId="02C25201"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《石油天然气工业钻井和采油设备钻井和修井井架、底座》（</w:t>
      </w:r>
      <w:r>
        <w:rPr>
          <w:color w:val="000000" w:themeColor="text1"/>
          <w:sz w:val="24"/>
          <w:szCs w:val="24"/>
        </w:rPr>
        <w:t>GB/T25428-2015</w:t>
      </w:r>
      <w:r>
        <w:rPr>
          <w:color w:val="000000" w:themeColor="text1"/>
          <w:sz w:val="24"/>
          <w:szCs w:val="24"/>
        </w:rPr>
        <w:t>）</w:t>
      </w:r>
    </w:p>
    <w:p w14:paraId="73D0A7E2"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《埋地钢质管道阴极保护技术规范》（</w:t>
      </w:r>
      <w:r>
        <w:rPr>
          <w:color w:val="000000" w:themeColor="text1"/>
          <w:sz w:val="24"/>
          <w:szCs w:val="24"/>
        </w:rPr>
        <w:t>GB/T21448-2017</w:t>
      </w:r>
      <w:r>
        <w:rPr>
          <w:color w:val="000000" w:themeColor="text1"/>
          <w:sz w:val="24"/>
          <w:szCs w:val="24"/>
        </w:rPr>
        <w:t>）</w:t>
      </w:r>
    </w:p>
    <w:p w14:paraId="26C579C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《油气输送管道线路工程抗震技术规范》（</w:t>
      </w:r>
      <w:r>
        <w:rPr>
          <w:color w:val="000000" w:themeColor="text1"/>
          <w:sz w:val="24"/>
          <w:szCs w:val="24"/>
        </w:rPr>
        <w:t>GB/T50470-2017</w:t>
      </w:r>
      <w:r>
        <w:rPr>
          <w:color w:val="000000" w:themeColor="text1"/>
          <w:sz w:val="24"/>
          <w:szCs w:val="24"/>
        </w:rPr>
        <w:t>）</w:t>
      </w:r>
    </w:p>
    <w:p w14:paraId="00DE58D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《石油天然气工业钻机和修井机》（</w:t>
      </w:r>
      <w:r>
        <w:rPr>
          <w:color w:val="000000" w:themeColor="text1"/>
          <w:sz w:val="24"/>
          <w:szCs w:val="24"/>
        </w:rPr>
        <w:t>GB/T23505-2017</w:t>
      </w:r>
      <w:r>
        <w:rPr>
          <w:color w:val="000000" w:themeColor="text1"/>
          <w:sz w:val="24"/>
          <w:szCs w:val="24"/>
        </w:rPr>
        <w:t>）</w:t>
      </w:r>
    </w:p>
    <w:p w14:paraId="6D03A9E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《输送流体用无缝钢管》（</w:t>
      </w:r>
      <w:r>
        <w:rPr>
          <w:color w:val="000000" w:themeColor="text1"/>
          <w:sz w:val="24"/>
          <w:szCs w:val="24"/>
        </w:rPr>
        <w:t>GB/T8163-2018</w:t>
      </w:r>
      <w:r>
        <w:rPr>
          <w:color w:val="000000" w:themeColor="text1"/>
          <w:sz w:val="24"/>
          <w:szCs w:val="24"/>
        </w:rPr>
        <w:t>）</w:t>
      </w:r>
    </w:p>
    <w:p w14:paraId="409A667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lastRenderedPageBreak/>
        <w:t>《钢质管道外腐蚀控制规范》（</w:t>
      </w:r>
      <w:r>
        <w:rPr>
          <w:color w:val="000000" w:themeColor="text1"/>
          <w:sz w:val="24"/>
          <w:szCs w:val="24"/>
        </w:rPr>
        <w:t>GB/T21447-2018</w:t>
      </w:r>
      <w:r>
        <w:rPr>
          <w:color w:val="000000" w:themeColor="text1"/>
          <w:sz w:val="24"/>
          <w:szCs w:val="24"/>
        </w:rPr>
        <w:t>）</w:t>
      </w:r>
    </w:p>
    <w:p w14:paraId="7E5A2E0F"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《油气管道运行规范》（</w:t>
      </w:r>
      <w:r>
        <w:rPr>
          <w:color w:val="000000" w:themeColor="text1"/>
          <w:sz w:val="24"/>
          <w:szCs w:val="24"/>
        </w:rPr>
        <w:t>GB/T35068-2018</w:t>
      </w:r>
      <w:r>
        <w:rPr>
          <w:color w:val="000000" w:themeColor="text1"/>
          <w:sz w:val="24"/>
          <w:szCs w:val="24"/>
        </w:rPr>
        <w:t>）</w:t>
      </w:r>
    </w:p>
    <w:p w14:paraId="64A5EA30"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《石油化工可燃气体和有毒气体检测报警设计标准》（</w:t>
      </w:r>
      <w:r>
        <w:rPr>
          <w:color w:val="000000" w:themeColor="text1"/>
          <w:sz w:val="24"/>
          <w:szCs w:val="24"/>
        </w:rPr>
        <w:t>GB/T50493-2019</w:t>
      </w:r>
      <w:r>
        <w:rPr>
          <w:color w:val="000000" w:themeColor="text1"/>
          <w:sz w:val="24"/>
          <w:szCs w:val="24"/>
        </w:rPr>
        <w:t>）</w:t>
      </w:r>
    </w:p>
    <w:p w14:paraId="4C160D47"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《生产经营单位生产安全事故应急预案编制导则》（</w:t>
      </w:r>
      <w:r>
        <w:rPr>
          <w:color w:val="000000" w:themeColor="text1"/>
          <w:sz w:val="24"/>
          <w:szCs w:val="24"/>
        </w:rPr>
        <w:t>GB/T29639-2020</w:t>
      </w:r>
      <w:r>
        <w:rPr>
          <w:color w:val="000000" w:themeColor="text1"/>
          <w:sz w:val="24"/>
          <w:szCs w:val="24"/>
        </w:rPr>
        <w:t>）</w:t>
      </w:r>
    </w:p>
    <w:p w14:paraId="05082E78"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《埋地钢质管道阴极保护参数测量方法》（</w:t>
      </w:r>
      <w:r>
        <w:rPr>
          <w:color w:val="000000" w:themeColor="text1"/>
          <w:sz w:val="24"/>
          <w:szCs w:val="24"/>
        </w:rPr>
        <w:t>GB/T21246-2020</w:t>
      </w:r>
      <w:r>
        <w:rPr>
          <w:color w:val="000000" w:themeColor="text1"/>
          <w:sz w:val="24"/>
          <w:szCs w:val="24"/>
        </w:rPr>
        <w:t>）</w:t>
      </w:r>
    </w:p>
    <w:p w14:paraId="25EB649F"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《钢质管道内腐蚀控制规范》（</w:t>
      </w:r>
      <w:r>
        <w:rPr>
          <w:color w:val="000000" w:themeColor="text1"/>
          <w:sz w:val="24"/>
          <w:szCs w:val="24"/>
        </w:rPr>
        <w:t>GB/T23258-2020</w:t>
      </w:r>
      <w:r>
        <w:rPr>
          <w:color w:val="000000" w:themeColor="text1"/>
          <w:sz w:val="24"/>
          <w:szCs w:val="24"/>
        </w:rPr>
        <w:t>）</w:t>
      </w:r>
    </w:p>
    <w:p w14:paraId="527FF5FC"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《爆炸性环境第</w:t>
      </w:r>
      <w:r>
        <w:rPr>
          <w:color w:val="000000" w:themeColor="text1"/>
          <w:sz w:val="24"/>
          <w:szCs w:val="24"/>
        </w:rPr>
        <w:t>1</w:t>
      </w:r>
      <w:r>
        <w:rPr>
          <w:color w:val="000000" w:themeColor="text1"/>
          <w:sz w:val="24"/>
          <w:szCs w:val="24"/>
        </w:rPr>
        <w:t>部分：设备通用要求》（</w:t>
      </w:r>
      <w:r>
        <w:rPr>
          <w:color w:val="000000" w:themeColor="text1"/>
          <w:sz w:val="24"/>
          <w:szCs w:val="24"/>
        </w:rPr>
        <w:t>GB/T3836.1-2021</w:t>
      </w:r>
      <w:r>
        <w:rPr>
          <w:color w:val="000000" w:themeColor="text1"/>
          <w:sz w:val="24"/>
          <w:szCs w:val="24"/>
        </w:rPr>
        <w:t>）</w:t>
      </w:r>
    </w:p>
    <w:p w14:paraId="120CB6A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《石油天然气钻采设备井下安全阀系统设计、安装、操作、试验和维护》（</w:t>
      </w:r>
      <w:r>
        <w:rPr>
          <w:color w:val="000000" w:themeColor="text1"/>
          <w:sz w:val="24"/>
          <w:szCs w:val="24"/>
        </w:rPr>
        <w:t>GB/T22342-2022</w:t>
      </w:r>
      <w:r>
        <w:rPr>
          <w:color w:val="000000" w:themeColor="text1"/>
          <w:sz w:val="24"/>
          <w:szCs w:val="24"/>
        </w:rPr>
        <w:t>）</w:t>
      </w:r>
    </w:p>
    <w:p w14:paraId="0CC863BD"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《石油天然气钻采设备井口装置和采油树》（</w:t>
      </w:r>
      <w:r>
        <w:rPr>
          <w:color w:val="000000" w:themeColor="text1"/>
          <w:sz w:val="24"/>
          <w:szCs w:val="24"/>
        </w:rPr>
        <w:t>GB/T22513-2023</w:t>
      </w:r>
      <w:r>
        <w:rPr>
          <w:color w:val="000000" w:themeColor="text1"/>
          <w:sz w:val="24"/>
          <w:szCs w:val="24"/>
        </w:rPr>
        <w:t>）</w:t>
      </w:r>
    </w:p>
    <w:p w14:paraId="7EA7042D"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《石油天然气工业管线输送系统用钢管》（</w:t>
      </w:r>
      <w:r>
        <w:rPr>
          <w:color w:val="000000" w:themeColor="text1"/>
          <w:sz w:val="24"/>
          <w:szCs w:val="24"/>
        </w:rPr>
        <w:t>GB/T9711-2023</w:t>
      </w:r>
      <w:r>
        <w:rPr>
          <w:color w:val="000000" w:themeColor="text1"/>
          <w:sz w:val="24"/>
          <w:szCs w:val="24"/>
        </w:rPr>
        <w:t>）</w:t>
      </w:r>
    </w:p>
    <w:p w14:paraId="68582D3A"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石油天然气工业管道输送系统（</w:t>
      </w:r>
      <w:r>
        <w:rPr>
          <w:color w:val="000000" w:themeColor="text1"/>
          <w:sz w:val="24"/>
          <w:szCs w:val="24"/>
        </w:rPr>
        <w:t>GB/T24259-2023</w:t>
      </w:r>
      <w:r>
        <w:rPr>
          <w:color w:val="000000" w:themeColor="text1"/>
          <w:sz w:val="24"/>
          <w:szCs w:val="24"/>
        </w:rPr>
        <w:t>）</w:t>
      </w:r>
    </w:p>
    <w:p w14:paraId="19CC0614"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《工作场所有害因素职业接触限值第</w:t>
      </w:r>
      <w:r>
        <w:rPr>
          <w:color w:val="000000" w:themeColor="text1"/>
          <w:sz w:val="24"/>
          <w:szCs w:val="24"/>
        </w:rPr>
        <w:t>2</w:t>
      </w:r>
      <w:r>
        <w:rPr>
          <w:color w:val="000000" w:themeColor="text1"/>
          <w:sz w:val="24"/>
          <w:szCs w:val="24"/>
        </w:rPr>
        <w:t>部分：物理因素》（</w:t>
      </w:r>
      <w:r>
        <w:rPr>
          <w:color w:val="000000" w:themeColor="text1"/>
          <w:sz w:val="24"/>
          <w:szCs w:val="24"/>
        </w:rPr>
        <w:t>GBZ2.2-2007</w:t>
      </w:r>
      <w:r>
        <w:rPr>
          <w:color w:val="000000" w:themeColor="text1"/>
          <w:sz w:val="24"/>
          <w:szCs w:val="24"/>
        </w:rPr>
        <w:t>）</w:t>
      </w:r>
    </w:p>
    <w:p w14:paraId="4311F858"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《工业企业设计卫生标准》（</w:t>
      </w:r>
      <w:r>
        <w:rPr>
          <w:color w:val="000000" w:themeColor="text1"/>
          <w:sz w:val="24"/>
          <w:szCs w:val="24"/>
        </w:rPr>
        <w:t>GBZ1-2010</w:t>
      </w:r>
      <w:r>
        <w:rPr>
          <w:color w:val="000000" w:themeColor="text1"/>
          <w:sz w:val="24"/>
          <w:szCs w:val="24"/>
        </w:rPr>
        <w:t>）</w:t>
      </w:r>
    </w:p>
    <w:p w14:paraId="237121F6"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《职业性接触毒物危害程度分级》（</w:t>
      </w:r>
      <w:r>
        <w:rPr>
          <w:color w:val="000000" w:themeColor="text1"/>
          <w:sz w:val="24"/>
          <w:szCs w:val="24"/>
        </w:rPr>
        <w:t>GBZ/T230-2010</w:t>
      </w:r>
      <w:r>
        <w:rPr>
          <w:color w:val="000000" w:themeColor="text1"/>
          <w:sz w:val="24"/>
          <w:szCs w:val="24"/>
        </w:rPr>
        <w:t>）</w:t>
      </w:r>
    </w:p>
    <w:p w14:paraId="4630939D" w14:textId="77777777" w:rsidR="002E0859" w:rsidRDefault="00000000">
      <w:pPr>
        <w:pStyle w:val="ae"/>
        <w:numPr>
          <w:ilvl w:val="0"/>
          <w:numId w:val="7"/>
        </w:numPr>
        <w:topLinePunct w:val="0"/>
        <w:spacing w:line="360" w:lineRule="auto"/>
        <w:ind w:firstLine="480"/>
        <w:rPr>
          <w:color w:val="000000" w:themeColor="text1"/>
          <w:sz w:val="24"/>
          <w:szCs w:val="24"/>
        </w:rPr>
      </w:pPr>
      <w:r>
        <w:rPr>
          <w:color w:val="000000" w:themeColor="text1"/>
          <w:sz w:val="24"/>
          <w:szCs w:val="24"/>
        </w:rPr>
        <w:t>《工作场所有害因素职业接触限值第</w:t>
      </w:r>
      <w:r>
        <w:rPr>
          <w:color w:val="000000" w:themeColor="text1"/>
          <w:sz w:val="24"/>
          <w:szCs w:val="24"/>
        </w:rPr>
        <w:t>1</w:t>
      </w:r>
      <w:r>
        <w:rPr>
          <w:color w:val="000000" w:themeColor="text1"/>
          <w:sz w:val="24"/>
          <w:szCs w:val="24"/>
        </w:rPr>
        <w:t>部分：化学有害因素》（</w:t>
      </w:r>
      <w:r>
        <w:rPr>
          <w:color w:val="000000" w:themeColor="text1"/>
          <w:sz w:val="24"/>
          <w:szCs w:val="24"/>
        </w:rPr>
        <w:t>GBZ2.1-2019</w:t>
      </w:r>
      <w:r>
        <w:rPr>
          <w:color w:val="000000" w:themeColor="text1"/>
          <w:sz w:val="24"/>
          <w:szCs w:val="24"/>
        </w:rPr>
        <w:t>）</w:t>
      </w:r>
    </w:p>
    <w:p w14:paraId="509BBF2F"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行业标准和地方标准</w:t>
      </w:r>
    </w:p>
    <w:p w14:paraId="02023D0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《石油天然气安全规程》（</w:t>
      </w:r>
      <w:r>
        <w:rPr>
          <w:color w:val="000000" w:themeColor="text1"/>
          <w:sz w:val="24"/>
          <w:szCs w:val="24"/>
        </w:rPr>
        <w:t>AQ2012-2007</w:t>
      </w:r>
      <w:r>
        <w:rPr>
          <w:color w:val="000000" w:themeColor="text1"/>
          <w:sz w:val="24"/>
          <w:szCs w:val="24"/>
        </w:rPr>
        <w:t>）</w:t>
      </w:r>
    </w:p>
    <w:p w14:paraId="2AECE06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《安全评价通则》（</w:t>
      </w:r>
      <w:r>
        <w:rPr>
          <w:color w:val="000000" w:themeColor="text1"/>
          <w:sz w:val="24"/>
          <w:szCs w:val="24"/>
        </w:rPr>
        <w:t>AQ8001-2007</w:t>
      </w:r>
      <w:r>
        <w:rPr>
          <w:color w:val="000000" w:themeColor="text1"/>
          <w:sz w:val="24"/>
          <w:szCs w:val="24"/>
        </w:rPr>
        <w:t>）</w:t>
      </w:r>
    </w:p>
    <w:p w14:paraId="5C6ACB75"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《危险场所电气防爆安全规范》（</w:t>
      </w:r>
      <w:r>
        <w:rPr>
          <w:color w:val="000000" w:themeColor="text1"/>
          <w:sz w:val="24"/>
          <w:szCs w:val="24"/>
        </w:rPr>
        <w:t>AQ3009-2007</w:t>
      </w:r>
      <w:r>
        <w:rPr>
          <w:color w:val="000000" w:themeColor="text1"/>
          <w:sz w:val="24"/>
          <w:szCs w:val="24"/>
        </w:rPr>
        <w:t>）</w:t>
      </w:r>
    </w:p>
    <w:p w14:paraId="080C1CC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《页岩气钻井井控安全技术规范》（</w:t>
      </w:r>
      <w:r>
        <w:rPr>
          <w:color w:val="000000" w:themeColor="text1"/>
          <w:sz w:val="24"/>
          <w:szCs w:val="24"/>
        </w:rPr>
        <w:t>AQ/T2076-2020</w:t>
      </w:r>
      <w:r>
        <w:rPr>
          <w:color w:val="000000" w:themeColor="text1"/>
          <w:sz w:val="24"/>
          <w:szCs w:val="24"/>
        </w:rPr>
        <w:t>）</w:t>
      </w:r>
    </w:p>
    <w:p w14:paraId="53B8A68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《页岩气井独立式带压作业机起下管柱作业安全技术规范》（</w:t>
      </w:r>
      <w:r>
        <w:rPr>
          <w:color w:val="000000" w:themeColor="text1"/>
          <w:sz w:val="24"/>
          <w:szCs w:val="24"/>
        </w:rPr>
        <w:t>AQ/T2077-2020</w:t>
      </w:r>
      <w:r>
        <w:rPr>
          <w:color w:val="000000" w:themeColor="text1"/>
          <w:sz w:val="24"/>
          <w:szCs w:val="24"/>
        </w:rPr>
        <w:t>）</w:t>
      </w:r>
    </w:p>
    <w:p w14:paraId="6DD977A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《生产安全事故应急演练基本规范》（</w:t>
      </w:r>
      <w:r>
        <w:rPr>
          <w:color w:val="000000" w:themeColor="text1"/>
          <w:sz w:val="24"/>
          <w:szCs w:val="24"/>
        </w:rPr>
        <w:t>AQ/T9007-2019</w:t>
      </w:r>
      <w:r>
        <w:rPr>
          <w:color w:val="000000" w:themeColor="text1"/>
          <w:sz w:val="24"/>
          <w:szCs w:val="24"/>
        </w:rPr>
        <w:t>）</w:t>
      </w:r>
    </w:p>
    <w:p w14:paraId="4ACF85F3"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《生产经营单位生产安全事故应急预案评估指南》（</w:t>
      </w:r>
      <w:r>
        <w:rPr>
          <w:color w:val="000000" w:themeColor="text1"/>
          <w:sz w:val="24"/>
          <w:szCs w:val="24"/>
        </w:rPr>
        <w:t>AQ/T9011-2019</w:t>
      </w:r>
      <w:r>
        <w:rPr>
          <w:color w:val="000000" w:themeColor="text1"/>
          <w:sz w:val="24"/>
          <w:szCs w:val="24"/>
        </w:rPr>
        <w:t>）</w:t>
      </w:r>
    </w:p>
    <w:p w14:paraId="16529E1C"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《电子巡查系统技术要求》（</w:t>
      </w:r>
      <w:r>
        <w:rPr>
          <w:color w:val="000000" w:themeColor="text1"/>
          <w:sz w:val="24"/>
          <w:szCs w:val="24"/>
        </w:rPr>
        <w:t>GA/T644-2006</w:t>
      </w:r>
      <w:r>
        <w:rPr>
          <w:color w:val="000000" w:themeColor="text1"/>
          <w:sz w:val="24"/>
          <w:szCs w:val="24"/>
        </w:rPr>
        <w:t>）</w:t>
      </w:r>
    </w:p>
    <w:p w14:paraId="7A88620C"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《石油天然气管道系统治安风险等级和安全防范要求》（</w:t>
      </w:r>
      <w:r>
        <w:rPr>
          <w:color w:val="000000" w:themeColor="text1"/>
          <w:sz w:val="24"/>
          <w:szCs w:val="24"/>
        </w:rPr>
        <w:t>GA1166-2014</w:t>
      </w:r>
      <w:r>
        <w:rPr>
          <w:color w:val="000000" w:themeColor="text1"/>
          <w:sz w:val="24"/>
          <w:szCs w:val="24"/>
        </w:rPr>
        <w:t>）</w:t>
      </w:r>
    </w:p>
    <w:p w14:paraId="5D266A4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《石油石化系统治安反恐防范要求第</w:t>
      </w:r>
      <w:r>
        <w:rPr>
          <w:color w:val="000000" w:themeColor="text1"/>
          <w:sz w:val="24"/>
          <w:szCs w:val="24"/>
        </w:rPr>
        <w:t>6</w:t>
      </w:r>
      <w:r>
        <w:rPr>
          <w:color w:val="000000" w:themeColor="text1"/>
          <w:sz w:val="24"/>
          <w:szCs w:val="24"/>
        </w:rPr>
        <w:t>部分：石油天然气管道企业》（</w:t>
      </w:r>
      <w:r>
        <w:rPr>
          <w:color w:val="000000" w:themeColor="text1"/>
          <w:sz w:val="24"/>
          <w:szCs w:val="24"/>
        </w:rPr>
        <w:t>GA1551.6-2021</w:t>
      </w:r>
      <w:r>
        <w:rPr>
          <w:color w:val="000000" w:themeColor="text1"/>
          <w:sz w:val="24"/>
          <w:szCs w:val="24"/>
        </w:rPr>
        <w:t>）</w:t>
      </w:r>
    </w:p>
    <w:p w14:paraId="25C92D98"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《页岩气气田集输工程设计规范》（</w:t>
      </w:r>
      <w:r>
        <w:rPr>
          <w:color w:val="000000" w:themeColor="text1"/>
          <w:sz w:val="24"/>
          <w:szCs w:val="24"/>
        </w:rPr>
        <w:t>NB/T14006-2020</w:t>
      </w:r>
      <w:r>
        <w:rPr>
          <w:color w:val="000000" w:themeColor="text1"/>
          <w:sz w:val="24"/>
          <w:szCs w:val="24"/>
        </w:rPr>
        <w:t>）</w:t>
      </w:r>
    </w:p>
    <w:p w14:paraId="31E6F25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《页岩气安全规程》（</w:t>
      </w:r>
      <w:r>
        <w:rPr>
          <w:color w:val="000000" w:themeColor="text1"/>
          <w:sz w:val="24"/>
          <w:szCs w:val="24"/>
        </w:rPr>
        <w:t>NB/T10399-2020</w:t>
      </w:r>
      <w:r>
        <w:rPr>
          <w:color w:val="000000" w:themeColor="text1"/>
          <w:sz w:val="24"/>
          <w:szCs w:val="24"/>
        </w:rPr>
        <w:t>）</w:t>
      </w:r>
    </w:p>
    <w:p w14:paraId="03EBD07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lastRenderedPageBreak/>
        <w:t>《套管柱试压规范》（</w:t>
      </w:r>
      <w:r>
        <w:rPr>
          <w:color w:val="000000" w:themeColor="text1"/>
          <w:sz w:val="24"/>
          <w:szCs w:val="24"/>
        </w:rPr>
        <w:t>SY/T5467-2007</w:t>
      </w:r>
      <w:r>
        <w:rPr>
          <w:color w:val="000000" w:themeColor="text1"/>
          <w:sz w:val="24"/>
          <w:szCs w:val="24"/>
        </w:rPr>
        <w:t>）</w:t>
      </w:r>
    </w:p>
    <w:p w14:paraId="08A85AEB"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《石油放射性测井辐射防护安全规程》（</w:t>
      </w:r>
      <w:r>
        <w:rPr>
          <w:color w:val="000000" w:themeColor="text1"/>
          <w:sz w:val="24"/>
          <w:szCs w:val="24"/>
        </w:rPr>
        <w:t>SY5131-2008</w:t>
      </w:r>
      <w:r>
        <w:rPr>
          <w:color w:val="000000" w:themeColor="text1"/>
          <w:sz w:val="24"/>
          <w:szCs w:val="24"/>
        </w:rPr>
        <w:t>）</w:t>
      </w:r>
    </w:p>
    <w:p w14:paraId="3DB4910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《油气井射孔用多级安全自控系统安全技术规程》（</w:t>
      </w:r>
      <w:r>
        <w:rPr>
          <w:color w:val="000000" w:themeColor="text1"/>
          <w:sz w:val="24"/>
          <w:szCs w:val="24"/>
        </w:rPr>
        <w:t>SY6350-2008</w:t>
      </w:r>
      <w:r>
        <w:rPr>
          <w:color w:val="000000" w:themeColor="text1"/>
          <w:sz w:val="24"/>
          <w:szCs w:val="24"/>
        </w:rPr>
        <w:t>）</w:t>
      </w:r>
    </w:p>
    <w:p w14:paraId="532BD6F0"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《天然气管道运行规范》（</w:t>
      </w:r>
      <w:r>
        <w:rPr>
          <w:color w:val="000000" w:themeColor="text1"/>
          <w:sz w:val="24"/>
          <w:szCs w:val="24"/>
        </w:rPr>
        <w:t>SY/T5922-2012</w:t>
      </w:r>
      <w:r>
        <w:rPr>
          <w:color w:val="000000" w:themeColor="text1"/>
          <w:sz w:val="24"/>
          <w:szCs w:val="24"/>
        </w:rPr>
        <w:t>）</w:t>
      </w:r>
    </w:p>
    <w:p w14:paraId="53E18D8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《石油工业用加热炉安全规程》（</w:t>
      </w:r>
      <w:r>
        <w:rPr>
          <w:color w:val="000000" w:themeColor="text1"/>
          <w:sz w:val="24"/>
          <w:szCs w:val="24"/>
        </w:rPr>
        <w:t>SY0031-2012</w:t>
      </w:r>
      <w:r>
        <w:rPr>
          <w:color w:val="000000" w:themeColor="text1"/>
          <w:sz w:val="24"/>
          <w:szCs w:val="24"/>
        </w:rPr>
        <w:t>）</w:t>
      </w:r>
    </w:p>
    <w:p w14:paraId="0EFF53C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《石油天然气站场阴极保护技术规范》（</w:t>
      </w:r>
      <w:r>
        <w:rPr>
          <w:color w:val="000000" w:themeColor="text1"/>
          <w:sz w:val="24"/>
          <w:szCs w:val="24"/>
        </w:rPr>
        <w:t>SY/T6964-2013</w:t>
      </w:r>
      <w:r>
        <w:rPr>
          <w:color w:val="000000" w:themeColor="text1"/>
          <w:sz w:val="24"/>
          <w:szCs w:val="24"/>
        </w:rPr>
        <w:t>）</w:t>
      </w:r>
    </w:p>
    <w:p w14:paraId="743EBE8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《钻前工程及井场布置技术要求》（</w:t>
      </w:r>
      <w:r>
        <w:rPr>
          <w:color w:val="000000" w:themeColor="text1"/>
          <w:sz w:val="24"/>
          <w:szCs w:val="24"/>
        </w:rPr>
        <w:t>SY/T5466-2013</w:t>
      </w:r>
      <w:r>
        <w:rPr>
          <w:color w:val="000000" w:themeColor="text1"/>
          <w:sz w:val="24"/>
          <w:szCs w:val="24"/>
        </w:rPr>
        <w:t>）</w:t>
      </w:r>
    </w:p>
    <w:p w14:paraId="26213AA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《油（气）田测井用放射源贮存库安全规范》（</w:t>
      </w:r>
      <w:r>
        <w:rPr>
          <w:color w:val="000000" w:themeColor="text1"/>
          <w:sz w:val="24"/>
          <w:szCs w:val="24"/>
        </w:rPr>
        <w:t>SY6322-2013</w:t>
      </w:r>
      <w:r>
        <w:rPr>
          <w:color w:val="000000" w:themeColor="text1"/>
          <w:sz w:val="24"/>
          <w:szCs w:val="24"/>
        </w:rPr>
        <w:t>）</w:t>
      </w:r>
    </w:p>
    <w:p w14:paraId="63D51108"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《丛式井平台布置及井眼防碰技术要求》（</w:t>
      </w:r>
      <w:r>
        <w:rPr>
          <w:color w:val="000000" w:themeColor="text1"/>
          <w:sz w:val="24"/>
          <w:szCs w:val="24"/>
        </w:rPr>
        <w:t>SY/T6396-2014</w:t>
      </w:r>
      <w:r>
        <w:rPr>
          <w:color w:val="000000" w:themeColor="text1"/>
          <w:sz w:val="24"/>
          <w:szCs w:val="24"/>
        </w:rPr>
        <w:t>）</w:t>
      </w:r>
    </w:p>
    <w:p w14:paraId="7FFB485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《油气井井喷着火抢险作法》（</w:t>
      </w:r>
      <w:r>
        <w:rPr>
          <w:color w:val="000000" w:themeColor="text1"/>
          <w:sz w:val="24"/>
          <w:szCs w:val="24"/>
        </w:rPr>
        <w:t>SY/T6203-2014</w:t>
      </w:r>
      <w:r>
        <w:rPr>
          <w:color w:val="000000" w:themeColor="text1"/>
          <w:sz w:val="24"/>
          <w:szCs w:val="24"/>
        </w:rPr>
        <w:t>）</w:t>
      </w:r>
    </w:p>
    <w:p w14:paraId="6613ACD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《石油天然气地面建设工程供暖通风与空气调节设计规范》（</w:t>
      </w:r>
      <w:r>
        <w:rPr>
          <w:color w:val="000000" w:themeColor="text1"/>
          <w:sz w:val="24"/>
          <w:szCs w:val="24"/>
        </w:rPr>
        <w:t>SY/T7021-2014</w:t>
      </w:r>
      <w:r>
        <w:rPr>
          <w:color w:val="000000" w:themeColor="text1"/>
          <w:sz w:val="24"/>
          <w:szCs w:val="24"/>
        </w:rPr>
        <w:t>）</w:t>
      </w:r>
    </w:p>
    <w:p w14:paraId="1BDA8F98"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《石油天然气站场管道及设备外防腐层技术规范》（</w:t>
      </w:r>
      <w:r>
        <w:rPr>
          <w:color w:val="000000" w:themeColor="text1"/>
          <w:sz w:val="24"/>
          <w:szCs w:val="24"/>
        </w:rPr>
        <w:t>SY/T7036-2016</w:t>
      </w:r>
      <w:r>
        <w:rPr>
          <w:color w:val="000000" w:themeColor="text1"/>
          <w:sz w:val="24"/>
          <w:szCs w:val="24"/>
        </w:rPr>
        <w:t>）</w:t>
      </w:r>
    </w:p>
    <w:p w14:paraId="2AC38BB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《油气架空管道防腐保温技术标准》（</w:t>
      </w:r>
      <w:r>
        <w:rPr>
          <w:color w:val="000000" w:themeColor="text1"/>
          <w:sz w:val="24"/>
          <w:szCs w:val="24"/>
        </w:rPr>
        <w:t>SY/T7347-2016</w:t>
      </w:r>
      <w:r>
        <w:rPr>
          <w:color w:val="000000" w:themeColor="text1"/>
          <w:sz w:val="24"/>
          <w:szCs w:val="24"/>
        </w:rPr>
        <w:t>）</w:t>
      </w:r>
    </w:p>
    <w:p w14:paraId="2AD4C37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《油气田工程安全仪表系统设计规范》（</w:t>
      </w:r>
      <w:r>
        <w:rPr>
          <w:color w:val="000000" w:themeColor="text1"/>
          <w:sz w:val="24"/>
          <w:szCs w:val="24"/>
        </w:rPr>
        <w:t>SY/T7351-2016</w:t>
      </w:r>
      <w:r>
        <w:rPr>
          <w:color w:val="000000" w:themeColor="text1"/>
          <w:sz w:val="24"/>
          <w:szCs w:val="24"/>
        </w:rPr>
        <w:t>）</w:t>
      </w:r>
    </w:p>
    <w:p w14:paraId="3F5BF5C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《石油天然气工程总图设计规范》（</w:t>
      </w:r>
      <w:r>
        <w:rPr>
          <w:color w:val="000000" w:themeColor="text1"/>
          <w:sz w:val="24"/>
          <w:szCs w:val="24"/>
        </w:rPr>
        <w:t>SY/T0048-2016</w:t>
      </w:r>
      <w:r>
        <w:rPr>
          <w:color w:val="000000" w:themeColor="text1"/>
          <w:sz w:val="24"/>
          <w:szCs w:val="24"/>
        </w:rPr>
        <w:t>）</w:t>
      </w:r>
    </w:p>
    <w:p w14:paraId="45F11163"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《石油天然气工程建筑设计规范》（</w:t>
      </w:r>
      <w:r>
        <w:rPr>
          <w:color w:val="000000" w:themeColor="text1"/>
          <w:sz w:val="24"/>
          <w:szCs w:val="24"/>
        </w:rPr>
        <w:t>SY/T0021-2016</w:t>
      </w:r>
      <w:r>
        <w:rPr>
          <w:color w:val="000000" w:themeColor="text1"/>
          <w:sz w:val="24"/>
          <w:szCs w:val="24"/>
        </w:rPr>
        <w:t>）</w:t>
      </w:r>
    </w:p>
    <w:p w14:paraId="4C34D5FC"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《石油天然气站场管道及设备外防腐层技术规范》（</w:t>
      </w:r>
      <w:r>
        <w:rPr>
          <w:color w:val="000000" w:themeColor="text1"/>
          <w:sz w:val="24"/>
          <w:szCs w:val="24"/>
        </w:rPr>
        <w:t>SY/T7036-2016</w:t>
      </w:r>
      <w:r>
        <w:rPr>
          <w:color w:val="000000" w:themeColor="text1"/>
          <w:sz w:val="24"/>
          <w:szCs w:val="24"/>
        </w:rPr>
        <w:t>）</w:t>
      </w:r>
    </w:p>
    <w:p w14:paraId="2202084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《油气输送管道监控与数据采集（</w:t>
      </w:r>
      <w:r>
        <w:rPr>
          <w:color w:val="000000" w:themeColor="text1"/>
          <w:sz w:val="24"/>
          <w:szCs w:val="24"/>
        </w:rPr>
        <w:t>SCADA</w:t>
      </w:r>
      <w:r>
        <w:rPr>
          <w:color w:val="000000" w:themeColor="text1"/>
          <w:sz w:val="24"/>
          <w:szCs w:val="24"/>
        </w:rPr>
        <w:t>）系统安全防护规范》（</w:t>
      </w:r>
      <w:r>
        <w:rPr>
          <w:color w:val="000000" w:themeColor="text1"/>
          <w:sz w:val="24"/>
          <w:szCs w:val="24"/>
        </w:rPr>
        <w:t>SY/T7037-2016</w:t>
      </w:r>
      <w:r>
        <w:rPr>
          <w:color w:val="000000" w:themeColor="text1"/>
          <w:sz w:val="24"/>
          <w:szCs w:val="24"/>
        </w:rPr>
        <w:t>）</w:t>
      </w:r>
    </w:p>
    <w:p w14:paraId="43045C91"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《输气管道系统完整性管理规范》（</w:t>
      </w:r>
      <w:r>
        <w:rPr>
          <w:color w:val="000000" w:themeColor="text1"/>
          <w:sz w:val="24"/>
          <w:szCs w:val="24"/>
        </w:rPr>
        <w:t>SY/T6621-2016</w:t>
      </w:r>
      <w:r>
        <w:rPr>
          <w:color w:val="000000" w:themeColor="text1"/>
          <w:sz w:val="24"/>
          <w:szCs w:val="24"/>
        </w:rPr>
        <w:t>）</w:t>
      </w:r>
    </w:p>
    <w:p w14:paraId="195FF92D"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《固井设计规范》（</w:t>
      </w:r>
      <w:r>
        <w:rPr>
          <w:color w:val="000000" w:themeColor="text1"/>
          <w:sz w:val="24"/>
          <w:szCs w:val="24"/>
        </w:rPr>
        <w:t>SY/T5480-2016</w:t>
      </w:r>
      <w:r>
        <w:rPr>
          <w:color w:val="000000" w:themeColor="text1"/>
          <w:sz w:val="24"/>
          <w:szCs w:val="24"/>
        </w:rPr>
        <w:t>）</w:t>
      </w:r>
    </w:p>
    <w:p w14:paraId="11E6E64D"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《防止静电、雷电和杂散电流引燃的措施》（</w:t>
      </w:r>
      <w:r>
        <w:rPr>
          <w:color w:val="000000" w:themeColor="text1"/>
          <w:sz w:val="24"/>
          <w:szCs w:val="24"/>
        </w:rPr>
        <w:t>SY/T6319-2016</w:t>
      </w:r>
      <w:r>
        <w:rPr>
          <w:color w:val="000000" w:themeColor="text1"/>
          <w:sz w:val="24"/>
          <w:szCs w:val="24"/>
        </w:rPr>
        <w:t>）</w:t>
      </w:r>
    </w:p>
    <w:p w14:paraId="621DDF3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《石油天然气工业钻井和采油设备节流和压井设备》（</w:t>
      </w:r>
      <w:r>
        <w:rPr>
          <w:color w:val="000000" w:themeColor="text1"/>
          <w:sz w:val="24"/>
          <w:szCs w:val="24"/>
        </w:rPr>
        <w:t>SY/T5323-2016</w:t>
      </w:r>
      <w:r>
        <w:rPr>
          <w:color w:val="000000" w:themeColor="text1"/>
          <w:sz w:val="24"/>
          <w:szCs w:val="24"/>
        </w:rPr>
        <w:t>）</w:t>
      </w:r>
    </w:p>
    <w:p w14:paraId="2F09AA4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《固井作业规程第</w:t>
      </w:r>
      <w:r>
        <w:rPr>
          <w:color w:val="000000" w:themeColor="text1"/>
          <w:sz w:val="24"/>
          <w:szCs w:val="24"/>
        </w:rPr>
        <w:t>1</w:t>
      </w:r>
      <w:r>
        <w:rPr>
          <w:color w:val="000000" w:themeColor="text1"/>
          <w:sz w:val="24"/>
          <w:szCs w:val="24"/>
        </w:rPr>
        <w:t>部分：常规固井》（</w:t>
      </w:r>
      <w:r>
        <w:rPr>
          <w:color w:val="000000" w:themeColor="text1"/>
          <w:sz w:val="24"/>
          <w:szCs w:val="24"/>
        </w:rPr>
        <w:t>SY/T5374.1-2016</w:t>
      </w:r>
      <w:r>
        <w:rPr>
          <w:color w:val="000000" w:themeColor="text1"/>
          <w:sz w:val="24"/>
          <w:szCs w:val="24"/>
        </w:rPr>
        <w:t>）</w:t>
      </w:r>
    </w:p>
    <w:p w14:paraId="20D7644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《井筒作业用民用爆炸物品安全规范》（</w:t>
      </w:r>
      <w:r>
        <w:rPr>
          <w:color w:val="000000" w:themeColor="text1"/>
          <w:sz w:val="24"/>
          <w:szCs w:val="24"/>
        </w:rPr>
        <w:t>SY5436-2016</w:t>
      </w:r>
      <w:r>
        <w:rPr>
          <w:color w:val="000000" w:themeColor="text1"/>
          <w:sz w:val="24"/>
          <w:szCs w:val="24"/>
        </w:rPr>
        <w:t>）</w:t>
      </w:r>
    </w:p>
    <w:p w14:paraId="022FC261"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《井身结构设计方法》（</w:t>
      </w:r>
      <w:r>
        <w:rPr>
          <w:color w:val="000000" w:themeColor="text1"/>
          <w:sz w:val="24"/>
          <w:szCs w:val="24"/>
        </w:rPr>
        <w:t>SY/T5431-2017</w:t>
      </w:r>
      <w:r>
        <w:rPr>
          <w:color w:val="000000" w:themeColor="text1"/>
          <w:sz w:val="24"/>
          <w:szCs w:val="24"/>
        </w:rPr>
        <w:t>）</w:t>
      </w:r>
    </w:p>
    <w:p w14:paraId="7D40C5F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《钻井完井交接验收规则》（</w:t>
      </w:r>
      <w:r>
        <w:rPr>
          <w:color w:val="000000" w:themeColor="text1"/>
          <w:sz w:val="24"/>
          <w:szCs w:val="24"/>
        </w:rPr>
        <w:t>SY/T5678-2017</w:t>
      </w:r>
      <w:r>
        <w:rPr>
          <w:color w:val="000000" w:themeColor="text1"/>
          <w:sz w:val="24"/>
          <w:szCs w:val="24"/>
        </w:rPr>
        <w:t>）</w:t>
      </w:r>
    </w:p>
    <w:p w14:paraId="38F8C1C6"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《油气田电业带电作业安全规程》（</w:t>
      </w:r>
      <w:r>
        <w:rPr>
          <w:color w:val="000000" w:themeColor="text1"/>
          <w:sz w:val="24"/>
          <w:szCs w:val="24"/>
        </w:rPr>
        <w:t>SY/T5856-2017</w:t>
      </w:r>
      <w:r>
        <w:rPr>
          <w:color w:val="000000" w:themeColor="text1"/>
          <w:sz w:val="24"/>
          <w:szCs w:val="24"/>
        </w:rPr>
        <w:t>）</w:t>
      </w:r>
    </w:p>
    <w:p w14:paraId="3A2E9655"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《油气田防静电接地设计规范》（</w:t>
      </w:r>
      <w:r>
        <w:rPr>
          <w:color w:val="000000" w:themeColor="text1"/>
          <w:sz w:val="24"/>
          <w:szCs w:val="24"/>
        </w:rPr>
        <w:t>SY/T0060-2017</w:t>
      </w:r>
      <w:r>
        <w:rPr>
          <w:color w:val="000000" w:themeColor="text1"/>
          <w:sz w:val="24"/>
          <w:szCs w:val="24"/>
        </w:rPr>
        <w:t>）</w:t>
      </w:r>
    </w:p>
    <w:p w14:paraId="284A06B5"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《钻井井身质量控制规范》（</w:t>
      </w:r>
      <w:r>
        <w:rPr>
          <w:color w:val="000000" w:themeColor="text1"/>
          <w:sz w:val="24"/>
          <w:szCs w:val="24"/>
        </w:rPr>
        <w:t>SY/T5088-2017</w:t>
      </w:r>
      <w:r>
        <w:rPr>
          <w:color w:val="000000" w:themeColor="text1"/>
          <w:sz w:val="24"/>
          <w:szCs w:val="24"/>
        </w:rPr>
        <w:t>）</w:t>
      </w:r>
    </w:p>
    <w:p w14:paraId="3AF020B3"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《油气管道线路标识设置技术规范》（</w:t>
      </w:r>
      <w:r>
        <w:rPr>
          <w:color w:val="000000" w:themeColor="text1"/>
          <w:sz w:val="24"/>
          <w:szCs w:val="24"/>
        </w:rPr>
        <w:t>SY/T6064-2017</w:t>
      </w:r>
      <w:r>
        <w:rPr>
          <w:color w:val="000000" w:themeColor="text1"/>
          <w:sz w:val="24"/>
          <w:szCs w:val="24"/>
        </w:rPr>
        <w:t>）</w:t>
      </w:r>
    </w:p>
    <w:p w14:paraId="29234FC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lastRenderedPageBreak/>
        <w:t>《石油天然气生产专用安全标志》（</w:t>
      </w:r>
      <w:r>
        <w:rPr>
          <w:color w:val="000000" w:themeColor="text1"/>
          <w:sz w:val="24"/>
          <w:szCs w:val="24"/>
        </w:rPr>
        <w:t>SY/T6355-2017</w:t>
      </w:r>
      <w:r>
        <w:rPr>
          <w:color w:val="000000" w:themeColor="text1"/>
          <w:sz w:val="24"/>
          <w:szCs w:val="24"/>
        </w:rPr>
        <w:t>）</w:t>
      </w:r>
    </w:p>
    <w:p w14:paraId="4AB8CD4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《石油天然气作业场所劳动防护用品配备规范》（</w:t>
      </w:r>
      <w:r>
        <w:rPr>
          <w:color w:val="000000" w:themeColor="text1"/>
          <w:sz w:val="24"/>
          <w:szCs w:val="24"/>
        </w:rPr>
        <w:t>SY/T6524-2017</w:t>
      </w:r>
      <w:r>
        <w:rPr>
          <w:color w:val="000000" w:themeColor="text1"/>
          <w:sz w:val="24"/>
          <w:szCs w:val="24"/>
        </w:rPr>
        <w:t>）</w:t>
      </w:r>
    </w:p>
    <w:p w14:paraId="2EA7EEE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《石油设施电气设备场所</w:t>
      </w:r>
      <w:r>
        <w:rPr>
          <w:color w:val="000000" w:themeColor="text1"/>
          <w:sz w:val="24"/>
          <w:szCs w:val="24"/>
        </w:rPr>
        <w:t>Ⅰ</w:t>
      </w:r>
      <w:r>
        <w:rPr>
          <w:color w:val="000000" w:themeColor="text1"/>
          <w:sz w:val="24"/>
          <w:szCs w:val="24"/>
        </w:rPr>
        <w:t>级</w:t>
      </w:r>
      <w:r>
        <w:rPr>
          <w:color w:val="000000" w:themeColor="text1"/>
          <w:sz w:val="24"/>
          <w:szCs w:val="24"/>
        </w:rPr>
        <w:t>0</w:t>
      </w:r>
      <w:r>
        <w:rPr>
          <w:color w:val="000000" w:themeColor="text1"/>
          <w:sz w:val="24"/>
          <w:szCs w:val="24"/>
        </w:rPr>
        <w:t>区、</w:t>
      </w:r>
      <w:r>
        <w:rPr>
          <w:color w:val="000000" w:themeColor="text1"/>
          <w:sz w:val="24"/>
          <w:szCs w:val="24"/>
        </w:rPr>
        <w:t>1</w:t>
      </w:r>
      <w:r>
        <w:rPr>
          <w:color w:val="000000" w:themeColor="text1"/>
          <w:sz w:val="24"/>
          <w:szCs w:val="24"/>
        </w:rPr>
        <w:t>区和</w:t>
      </w:r>
      <w:r>
        <w:rPr>
          <w:color w:val="000000" w:themeColor="text1"/>
          <w:sz w:val="24"/>
          <w:szCs w:val="24"/>
        </w:rPr>
        <w:t>2</w:t>
      </w:r>
      <w:r>
        <w:rPr>
          <w:color w:val="000000" w:themeColor="text1"/>
          <w:sz w:val="24"/>
          <w:szCs w:val="24"/>
        </w:rPr>
        <w:t>区的分类推荐作法》（</w:t>
      </w:r>
      <w:r>
        <w:rPr>
          <w:color w:val="000000" w:themeColor="text1"/>
          <w:sz w:val="24"/>
          <w:szCs w:val="24"/>
        </w:rPr>
        <w:t>SY/T6671-2017</w:t>
      </w:r>
      <w:r>
        <w:rPr>
          <w:color w:val="000000" w:themeColor="text1"/>
          <w:sz w:val="24"/>
          <w:szCs w:val="24"/>
        </w:rPr>
        <w:t>）</w:t>
      </w:r>
    </w:p>
    <w:p w14:paraId="7B8563D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《防静电安全技术规范》（</w:t>
      </w:r>
      <w:r>
        <w:rPr>
          <w:color w:val="000000" w:themeColor="text1"/>
          <w:sz w:val="24"/>
          <w:szCs w:val="24"/>
        </w:rPr>
        <w:t>SY/T7385-2017</w:t>
      </w:r>
      <w:r>
        <w:rPr>
          <w:color w:val="000000" w:themeColor="text1"/>
          <w:sz w:val="24"/>
          <w:szCs w:val="24"/>
        </w:rPr>
        <w:t>）</w:t>
      </w:r>
    </w:p>
    <w:p w14:paraId="47543155"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《本安型人体静电消除器安全规范》（</w:t>
      </w:r>
      <w:r>
        <w:rPr>
          <w:color w:val="000000" w:themeColor="text1"/>
          <w:sz w:val="24"/>
          <w:szCs w:val="24"/>
        </w:rPr>
        <w:t>SY/T7354-2017</w:t>
      </w:r>
      <w:r>
        <w:rPr>
          <w:color w:val="000000" w:themeColor="text1"/>
          <w:sz w:val="24"/>
          <w:szCs w:val="24"/>
        </w:rPr>
        <w:t>）</w:t>
      </w:r>
    </w:p>
    <w:p w14:paraId="03F55808"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《石油天然气作业场所劳动防护用品配备规范》（</w:t>
      </w:r>
      <w:r>
        <w:rPr>
          <w:color w:val="000000" w:themeColor="text1"/>
          <w:sz w:val="24"/>
          <w:szCs w:val="24"/>
        </w:rPr>
        <w:t>SY/T6524-2017</w:t>
      </w:r>
      <w:r>
        <w:rPr>
          <w:color w:val="000000" w:themeColor="text1"/>
          <w:sz w:val="24"/>
          <w:szCs w:val="24"/>
        </w:rPr>
        <w:t>）</w:t>
      </w:r>
    </w:p>
    <w:p w14:paraId="763EEFB0"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《油气输送管道并行敷设技术规范》（</w:t>
      </w:r>
      <w:r>
        <w:rPr>
          <w:color w:val="000000" w:themeColor="text1"/>
          <w:sz w:val="24"/>
          <w:szCs w:val="24"/>
        </w:rPr>
        <w:t>SY/T7365-2017</w:t>
      </w:r>
      <w:r>
        <w:rPr>
          <w:color w:val="000000" w:themeColor="text1"/>
          <w:sz w:val="24"/>
          <w:szCs w:val="24"/>
        </w:rPr>
        <w:t>）</w:t>
      </w:r>
    </w:p>
    <w:p w14:paraId="677E2966"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《油气输送管道工程水域开挖穿越设计规范》（</w:t>
      </w:r>
      <w:r>
        <w:rPr>
          <w:color w:val="000000" w:themeColor="text1"/>
          <w:sz w:val="24"/>
          <w:szCs w:val="24"/>
        </w:rPr>
        <w:t>SY/T7366-2017</w:t>
      </w:r>
      <w:r>
        <w:rPr>
          <w:color w:val="000000" w:themeColor="text1"/>
          <w:sz w:val="24"/>
          <w:szCs w:val="24"/>
        </w:rPr>
        <w:t>）</w:t>
      </w:r>
    </w:p>
    <w:p w14:paraId="6E070EA3"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《硫化氢环境天然气采集与处理安全规范》（</w:t>
      </w:r>
      <w:r>
        <w:rPr>
          <w:color w:val="000000" w:themeColor="text1"/>
          <w:sz w:val="24"/>
          <w:szCs w:val="24"/>
        </w:rPr>
        <w:t>SY/T6137-2017</w:t>
      </w:r>
      <w:r>
        <w:rPr>
          <w:color w:val="000000" w:themeColor="text1"/>
          <w:sz w:val="24"/>
          <w:szCs w:val="24"/>
        </w:rPr>
        <w:t>）</w:t>
      </w:r>
    </w:p>
    <w:p w14:paraId="1FC9623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《硫化氢环境井下作业场所作业安全规范》（</w:t>
      </w:r>
      <w:r>
        <w:rPr>
          <w:color w:val="000000" w:themeColor="text1"/>
          <w:sz w:val="24"/>
          <w:szCs w:val="24"/>
        </w:rPr>
        <w:t>SY/T6610-2017</w:t>
      </w:r>
      <w:r>
        <w:rPr>
          <w:color w:val="000000" w:themeColor="text1"/>
          <w:sz w:val="24"/>
          <w:szCs w:val="24"/>
        </w:rPr>
        <w:t>）</w:t>
      </w:r>
    </w:p>
    <w:p w14:paraId="0BCA0AD6"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《硫化氢环境人身防护规范》（</w:t>
      </w:r>
      <w:r>
        <w:rPr>
          <w:color w:val="000000" w:themeColor="text1"/>
          <w:sz w:val="24"/>
          <w:szCs w:val="24"/>
        </w:rPr>
        <w:t>SY/T6277-2017</w:t>
      </w:r>
      <w:r>
        <w:rPr>
          <w:color w:val="000000" w:themeColor="text1"/>
          <w:sz w:val="24"/>
          <w:szCs w:val="24"/>
        </w:rPr>
        <w:t>）</w:t>
      </w:r>
    </w:p>
    <w:p w14:paraId="610E7D5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《石油钻、修井用吊具安全技术检验规范》（</w:t>
      </w:r>
      <w:r>
        <w:rPr>
          <w:color w:val="000000" w:themeColor="text1"/>
          <w:sz w:val="24"/>
          <w:szCs w:val="24"/>
        </w:rPr>
        <w:t>SY/T6605-2018</w:t>
      </w:r>
      <w:r>
        <w:rPr>
          <w:color w:val="000000" w:themeColor="text1"/>
          <w:sz w:val="24"/>
          <w:szCs w:val="24"/>
        </w:rPr>
        <w:t>）</w:t>
      </w:r>
    </w:p>
    <w:p w14:paraId="03EA9AD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《石油工程建设施工安全规范》（</w:t>
      </w:r>
      <w:r>
        <w:rPr>
          <w:color w:val="000000" w:themeColor="text1"/>
          <w:sz w:val="24"/>
          <w:szCs w:val="24"/>
        </w:rPr>
        <w:t>SY/T6444-2018</w:t>
      </w:r>
      <w:r>
        <w:rPr>
          <w:color w:val="000000" w:themeColor="text1"/>
          <w:sz w:val="24"/>
          <w:szCs w:val="24"/>
        </w:rPr>
        <w:t>）</w:t>
      </w:r>
    </w:p>
    <w:p w14:paraId="5A43F596"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《石油测井作业安全规范》（</w:t>
      </w:r>
      <w:r>
        <w:rPr>
          <w:color w:val="000000" w:themeColor="text1"/>
          <w:sz w:val="24"/>
          <w:szCs w:val="24"/>
        </w:rPr>
        <w:t>SY/T5726-2018</w:t>
      </w:r>
      <w:r>
        <w:rPr>
          <w:color w:val="000000" w:themeColor="text1"/>
          <w:sz w:val="24"/>
          <w:szCs w:val="24"/>
        </w:rPr>
        <w:t>）</w:t>
      </w:r>
    </w:p>
    <w:p w14:paraId="7C316B8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《油气输送管道线路工程水工保护设计规范》（</w:t>
      </w:r>
      <w:r>
        <w:rPr>
          <w:color w:val="000000" w:themeColor="text1"/>
          <w:sz w:val="24"/>
          <w:szCs w:val="24"/>
        </w:rPr>
        <w:t>SY/T6793-2018</w:t>
      </w:r>
      <w:r>
        <w:rPr>
          <w:color w:val="000000" w:themeColor="text1"/>
          <w:sz w:val="24"/>
          <w:szCs w:val="24"/>
        </w:rPr>
        <w:t>）</w:t>
      </w:r>
    </w:p>
    <w:p w14:paraId="0EF64946"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《天然气地面设施抗硫化物应力开裂和应力腐蚀开裂金属材料技术规范》（</w:t>
      </w:r>
      <w:r>
        <w:rPr>
          <w:color w:val="000000" w:themeColor="text1"/>
          <w:sz w:val="24"/>
          <w:szCs w:val="24"/>
        </w:rPr>
        <w:t>SY/T0599-2018</w:t>
      </w:r>
      <w:r>
        <w:rPr>
          <w:color w:val="000000" w:themeColor="text1"/>
          <w:sz w:val="24"/>
          <w:szCs w:val="24"/>
        </w:rPr>
        <w:t>）</w:t>
      </w:r>
    </w:p>
    <w:p w14:paraId="1965BD6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《石油天然气行业建设项目（工程）安全预评价报告编写细则》（</w:t>
      </w:r>
      <w:r>
        <w:rPr>
          <w:color w:val="000000" w:themeColor="text1"/>
          <w:sz w:val="24"/>
          <w:szCs w:val="24"/>
        </w:rPr>
        <w:t>SY/T6607-2019</w:t>
      </w:r>
      <w:r>
        <w:rPr>
          <w:color w:val="000000" w:themeColor="text1"/>
          <w:sz w:val="24"/>
          <w:szCs w:val="24"/>
        </w:rPr>
        <w:t>）</w:t>
      </w:r>
    </w:p>
    <w:p w14:paraId="6F1FCA05"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《天然气井试井技术规范》（</w:t>
      </w:r>
      <w:r>
        <w:rPr>
          <w:color w:val="000000" w:themeColor="text1"/>
          <w:sz w:val="24"/>
          <w:szCs w:val="24"/>
        </w:rPr>
        <w:t>SY/T5440-2019</w:t>
      </w:r>
      <w:r>
        <w:rPr>
          <w:color w:val="000000" w:themeColor="text1"/>
          <w:sz w:val="24"/>
          <w:szCs w:val="24"/>
        </w:rPr>
        <w:t>）</w:t>
      </w:r>
    </w:p>
    <w:p w14:paraId="31960519"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《防喷器检验、修理和再制造》（</w:t>
      </w:r>
      <w:r>
        <w:rPr>
          <w:color w:val="000000" w:themeColor="text1"/>
          <w:sz w:val="24"/>
          <w:szCs w:val="24"/>
        </w:rPr>
        <w:t>SY/T6160-2019</w:t>
      </w:r>
      <w:r>
        <w:rPr>
          <w:color w:val="000000" w:themeColor="text1"/>
          <w:sz w:val="24"/>
          <w:szCs w:val="24"/>
        </w:rPr>
        <w:t>）</w:t>
      </w:r>
    </w:p>
    <w:p w14:paraId="634E5D7B"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《石油天然气钻井、开发、储运防火防爆安全生产技术规程》（</w:t>
      </w:r>
      <w:r>
        <w:rPr>
          <w:color w:val="000000" w:themeColor="text1"/>
          <w:sz w:val="24"/>
          <w:szCs w:val="24"/>
        </w:rPr>
        <w:t>SY/T5225-2019</w:t>
      </w:r>
      <w:r>
        <w:rPr>
          <w:color w:val="000000" w:themeColor="text1"/>
          <w:sz w:val="24"/>
          <w:szCs w:val="24"/>
        </w:rPr>
        <w:t>）</w:t>
      </w:r>
    </w:p>
    <w:p w14:paraId="506529E0"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《油气厂、站、库给水排水设计规范》（</w:t>
      </w:r>
      <w:r>
        <w:rPr>
          <w:color w:val="000000" w:themeColor="text1"/>
          <w:sz w:val="24"/>
          <w:szCs w:val="24"/>
        </w:rPr>
        <w:t>SY/T0089-2019</w:t>
      </w:r>
      <w:r>
        <w:rPr>
          <w:color w:val="000000" w:themeColor="text1"/>
          <w:sz w:val="24"/>
          <w:szCs w:val="24"/>
        </w:rPr>
        <w:t>）</w:t>
      </w:r>
    </w:p>
    <w:p w14:paraId="5404495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《油气输送管道同沟敷设光缆（硅芯管）设计及施工规范》（</w:t>
      </w:r>
      <w:r>
        <w:rPr>
          <w:color w:val="000000" w:themeColor="text1"/>
          <w:sz w:val="24"/>
          <w:szCs w:val="24"/>
        </w:rPr>
        <w:t>SY/T4108-2019</w:t>
      </w:r>
      <w:r>
        <w:rPr>
          <w:color w:val="000000" w:themeColor="text1"/>
          <w:sz w:val="24"/>
          <w:szCs w:val="24"/>
        </w:rPr>
        <w:t>）</w:t>
      </w:r>
    </w:p>
    <w:p w14:paraId="437DAB8D"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《石油与天然气井井控安全技术考核管理规则》（</w:t>
      </w:r>
      <w:r>
        <w:rPr>
          <w:color w:val="000000" w:themeColor="text1"/>
          <w:sz w:val="24"/>
          <w:szCs w:val="24"/>
        </w:rPr>
        <w:t>SY/T5742-2019</w:t>
      </w:r>
      <w:r>
        <w:rPr>
          <w:color w:val="000000" w:themeColor="text1"/>
          <w:sz w:val="24"/>
          <w:szCs w:val="24"/>
        </w:rPr>
        <w:t>）</w:t>
      </w:r>
    </w:p>
    <w:p w14:paraId="472B151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《钻井井控装置组合配套、安装调试与使用规范》（</w:t>
      </w:r>
      <w:r>
        <w:rPr>
          <w:color w:val="000000" w:themeColor="text1"/>
          <w:sz w:val="24"/>
          <w:szCs w:val="24"/>
        </w:rPr>
        <w:t>SY/T5964-2019</w:t>
      </w:r>
      <w:r>
        <w:rPr>
          <w:color w:val="000000" w:themeColor="text1"/>
          <w:sz w:val="24"/>
          <w:szCs w:val="24"/>
        </w:rPr>
        <w:t>）</w:t>
      </w:r>
    </w:p>
    <w:p w14:paraId="5AD5F205"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《陆上石油天然气录井作业安全规程》（</w:t>
      </w:r>
      <w:r>
        <w:rPr>
          <w:color w:val="000000" w:themeColor="text1"/>
          <w:sz w:val="24"/>
          <w:szCs w:val="24"/>
        </w:rPr>
        <w:t>SY/T6348-2019</w:t>
      </w:r>
      <w:r>
        <w:rPr>
          <w:color w:val="000000" w:themeColor="text1"/>
          <w:sz w:val="24"/>
          <w:szCs w:val="24"/>
        </w:rPr>
        <w:t>）</w:t>
      </w:r>
    </w:p>
    <w:p w14:paraId="5CB286A7"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《石油天然气管道安全规范》（</w:t>
      </w:r>
      <w:r>
        <w:rPr>
          <w:color w:val="000000" w:themeColor="text1"/>
          <w:sz w:val="24"/>
          <w:szCs w:val="24"/>
        </w:rPr>
        <w:t>SY/T6186-2020</w:t>
      </w:r>
      <w:r>
        <w:rPr>
          <w:color w:val="000000" w:themeColor="text1"/>
          <w:sz w:val="24"/>
          <w:szCs w:val="24"/>
        </w:rPr>
        <w:t>）</w:t>
      </w:r>
    </w:p>
    <w:p w14:paraId="47E49088"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《油气田变配电设计规范》（</w:t>
      </w:r>
      <w:r>
        <w:rPr>
          <w:color w:val="000000" w:themeColor="text1"/>
          <w:sz w:val="24"/>
          <w:szCs w:val="24"/>
        </w:rPr>
        <w:t>SY/T0033-2020</w:t>
      </w:r>
      <w:r>
        <w:rPr>
          <w:color w:val="000000" w:themeColor="text1"/>
          <w:sz w:val="24"/>
          <w:szCs w:val="24"/>
        </w:rPr>
        <w:t>）</w:t>
      </w:r>
    </w:p>
    <w:p w14:paraId="26897F69"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《钻井井场设备作业安全技术规程》（</w:t>
      </w:r>
      <w:r>
        <w:rPr>
          <w:color w:val="000000" w:themeColor="text1"/>
          <w:sz w:val="24"/>
          <w:szCs w:val="24"/>
        </w:rPr>
        <w:t>SY/T5974-2020</w:t>
      </w:r>
      <w:r>
        <w:rPr>
          <w:color w:val="000000" w:themeColor="text1"/>
          <w:sz w:val="24"/>
          <w:szCs w:val="24"/>
        </w:rPr>
        <w:t>）</w:t>
      </w:r>
    </w:p>
    <w:p w14:paraId="03E995F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lastRenderedPageBreak/>
        <w:t>《井下作业安全规程》（</w:t>
      </w:r>
      <w:r>
        <w:rPr>
          <w:color w:val="000000" w:themeColor="text1"/>
          <w:sz w:val="24"/>
          <w:szCs w:val="24"/>
        </w:rPr>
        <w:t>SY/T5727-2020</w:t>
      </w:r>
      <w:r>
        <w:rPr>
          <w:color w:val="000000" w:themeColor="text1"/>
          <w:sz w:val="24"/>
          <w:szCs w:val="24"/>
        </w:rPr>
        <w:t>）</w:t>
      </w:r>
    </w:p>
    <w:p w14:paraId="332C099D"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《油（气）田容器、管道和装卸设施接地装置安全规范》（</w:t>
      </w:r>
      <w:r>
        <w:rPr>
          <w:color w:val="000000" w:themeColor="text1"/>
          <w:sz w:val="24"/>
          <w:szCs w:val="24"/>
        </w:rPr>
        <w:t>SY/T5984-2020</w:t>
      </w:r>
      <w:r>
        <w:rPr>
          <w:color w:val="000000" w:themeColor="text1"/>
          <w:sz w:val="24"/>
          <w:szCs w:val="24"/>
        </w:rPr>
        <w:t>）</w:t>
      </w:r>
    </w:p>
    <w:p w14:paraId="3B79ABCB"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《油气田及管道工程雷电防护设计规范》（</w:t>
      </w:r>
      <w:r>
        <w:rPr>
          <w:color w:val="000000" w:themeColor="text1"/>
          <w:sz w:val="24"/>
          <w:szCs w:val="24"/>
        </w:rPr>
        <w:t>SY/T6885-2020</w:t>
      </w:r>
      <w:r>
        <w:rPr>
          <w:color w:val="000000" w:themeColor="text1"/>
          <w:sz w:val="24"/>
          <w:szCs w:val="24"/>
        </w:rPr>
        <w:t>）</w:t>
      </w:r>
    </w:p>
    <w:p w14:paraId="45C069D4"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《石油天然气工程管道和设备涂色规范》（</w:t>
      </w:r>
      <w:r>
        <w:rPr>
          <w:color w:val="000000" w:themeColor="text1"/>
          <w:sz w:val="24"/>
          <w:szCs w:val="24"/>
        </w:rPr>
        <w:t>SY/T0043-2020</w:t>
      </w:r>
      <w:r>
        <w:rPr>
          <w:color w:val="000000" w:themeColor="text1"/>
          <w:sz w:val="24"/>
          <w:szCs w:val="24"/>
        </w:rPr>
        <w:t>）</w:t>
      </w:r>
    </w:p>
    <w:p w14:paraId="01A8D71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《石油天然气管道安全规范》（</w:t>
      </w:r>
      <w:r>
        <w:rPr>
          <w:color w:val="000000" w:themeColor="text1"/>
          <w:sz w:val="24"/>
          <w:szCs w:val="24"/>
        </w:rPr>
        <w:t>SY/T6186-2020</w:t>
      </w:r>
      <w:r>
        <w:rPr>
          <w:color w:val="000000" w:themeColor="text1"/>
          <w:sz w:val="24"/>
          <w:szCs w:val="24"/>
        </w:rPr>
        <w:t>）</w:t>
      </w:r>
    </w:p>
    <w:p w14:paraId="455138FE"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《阴极保护管道的电绝缘标准》（</w:t>
      </w:r>
      <w:r>
        <w:rPr>
          <w:color w:val="000000" w:themeColor="text1"/>
          <w:sz w:val="24"/>
          <w:szCs w:val="24"/>
        </w:rPr>
        <w:t>SY/T0086-2020</w:t>
      </w:r>
      <w:r>
        <w:rPr>
          <w:color w:val="000000" w:themeColor="text1"/>
          <w:sz w:val="24"/>
          <w:szCs w:val="24"/>
        </w:rPr>
        <w:t>）</w:t>
      </w:r>
    </w:p>
    <w:p w14:paraId="580450B9"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《油气管道仪表及自动化系统运行技术规范》（</w:t>
      </w:r>
      <w:r>
        <w:rPr>
          <w:color w:val="000000" w:themeColor="text1"/>
          <w:sz w:val="24"/>
          <w:szCs w:val="24"/>
        </w:rPr>
        <w:t>SY/T6069-2020</w:t>
      </w:r>
      <w:r>
        <w:rPr>
          <w:color w:val="000000" w:themeColor="text1"/>
          <w:sz w:val="24"/>
          <w:szCs w:val="24"/>
        </w:rPr>
        <w:t>）</w:t>
      </w:r>
    </w:p>
    <w:p w14:paraId="3899B674"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《油气管道安全预警系统技术规范》（</w:t>
      </w:r>
      <w:r>
        <w:rPr>
          <w:color w:val="000000" w:themeColor="text1"/>
          <w:sz w:val="24"/>
          <w:szCs w:val="24"/>
        </w:rPr>
        <w:t>SY/T6827-2020</w:t>
      </w:r>
      <w:r>
        <w:rPr>
          <w:color w:val="000000" w:themeColor="text1"/>
          <w:sz w:val="24"/>
          <w:szCs w:val="24"/>
        </w:rPr>
        <w:t>）</w:t>
      </w:r>
    </w:p>
    <w:p w14:paraId="7BF95388"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《油气管道完整性管理等级评估规范》（</w:t>
      </w:r>
      <w:r>
        <w:rPr>
          <w:color w:val="000000" w:themeColor="text1"/>
          <w:sz w:val="24"/>
          <w:szCs w:val="24"/>
        </w:rPr>
        <w:t>SY/T7472-2020</w:t>
      </w:r>
      <w:r>
        <w:rPr>
          <w:color w:val="000000" w:themeColor="text1"/>
          <w:sz w:val="24"/>
          <w:szCs w:val="24"/>
        </w:rPr>
        <w:t>）</w:t>
      </w:r>
    </w:p>
    <w:p w14:paraId="27068EFB"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《石油天然气钢质管道无损检测》（</w:t>
      </w:r>
      <w:r>
        <w:rPr>
          <w:color w:val="000000" w:themeColor="text1"/>
          <w:sz w:val="24"/>
          <w:szCs w:val="24"/>
        </w:rPr>
        <w:t>SY/T4109-2020</w:t>
      </w:r>
      <w:r>
        <w:rPr>
          <w:color w:val="000000" w:themeColor="text1"/>
          <w:sz w:val="24"/>
          <w:szCs w:val="24"/>
        </w:rPr>
        <w:t>）</w:t>
      </w:r>
    </w:p>
    <w:p w14:paraId="41A7EF5A"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《油气输送管道工程竣工验收规范》（</w:t>
      </w:r>
      <w:r>
        <w:rPr>
          <w:color w:val="000000" w:themeColor="text1"/>
          <w:sz w:val="24"/>
          <w:szCs w:val="24"/>
        </w:rPr>
        <w:t>SY/T4124-2020</w:t>
      </w:r>
      <w:r>
        <w:rPr>
          <w:color w:val="000000" w:themeColor="text1"/>
          <w:sz w:val="24"/>
          <w:szCs w:val="24"/>
        </w:rPr>
        <w:t>）</w:t>
      </w:r>
    </w:p>
    <w:p w14:paraId="62962410"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《油气输送管道工程水平定向钻穿越设计规范》（</w:t>
      </w:r>
      <w:r>
        <w:rPr>
          <w:color w:val="000000" w:themeColor="text1"/>
          <w:sz w:val="24"/>
          <w:szCs w:val="24"/>
        </w:rPr>
        <w:t>SY/T6968-2021</w:t>
      </w:r>
      <w:r>
        <w:rPr>
          <w:color w:val="000000" w:themeColor="text1"/>
          <w:sz w:val="24"/>
          <w:szCs w:val="24"/>
        </w:rPr>
        <w:t>）</w:t>
      </w:r>
    </w:p>
    <w:p w14:paraId="34F267E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《常规射孔作业技术规范》（</w:t>
      </w:r>
      <w:r>
        <w:rPr>
          <w:color w:val="000000" w:themeColor="text1"/>
          <w:sz w:val="24"/>
          <w:szCs w:val="24"/>
        </w:rPr>
        <w:t>SY/T5325-2021</w:t>
      </w:r>
      <w:r>
        <w:rPr>
          <w:color w:val="000000" w:themeColor="text1"/>
          <w:sz w:val="24"/>
          <w:szCs w:val="24"/>
        </w:rPr>
        <w:t>）</w:t>
      </w:r>
    </w:p>
    <w:p w14:paraId="52881C6C"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《输气管道工程过滤分离设备规范》（</w:t>
      </w:r>
      <w:r>
        <w:rPr>
          <w:color w:val="000000" w:themeColor="text1"/>
          <w:sz w:val="24"/>
          <w:szCs w:val="24"/>
        </w:rPr>
        <w:t>SY/T6883-2021</w:t>
      </w:r>
      <w:r>
        <w:rPr>
          <w:color w:val="000000" w:themeColor="text1"/>
          <w:sz w:val="24"/>
          <w:szCs w:val="24"/>
        </w:rPr>
        <w:t>）</w:t>
      </w:r>
    </w:p>
    <w:p w14:paraId="4AB73479"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《油气田及管道工程计算机控制系统设计规范》（</w:t>
      </w:r>
      <w:r>
        <w:rPr>
          <w:color w:val="000000" w:themeColor="text1"/>
          <w:sz w:val="24"/>
          <w:szCs w:val="24"/>
        </w:rPr>
        <w:t>SY/T7628-2021</w:t>
      </w:r>
      <w:r>
        <w:rPr>
          <w:color w:val="000000" w:themeColor="text1"/>
          <w:sz w:val="24"/>
          <w:szCs w:val="24"/>
        </w:rPr>
        <w:t>）</w:t>
      </w:r>
    </w:p>
    <w:p w14:paraId="7164EC9B"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《非金属管道设计、施工及验收规范</w:t>
      </w:r>
      <w:r>
        <w:rPr>
          <w:color w:val="000000" w:themeColor="text1"/>
          <w:sz w:val="24"/>
          <w:szCs w:val="24"/>
        </w:rPr>
        <w:t xml:space="preserve"> </w:t>
      </w:r>
      <w:r>
        <w:rPr>
          <w:color w:val="000000" w:themeColor="text1"/>
          <w:sz w:val="24"/>
          <w:szCs w:val="24"/>
        </w:rPr>
        <w:t>第</w:t>
      </w:r>
      <w:r>
        <w:rPr>
          <w:color w:val="000000" w:themeColor="text1"/>
          <w:sz w:val="24"/>
          <w:szCs w:val="24"/>
        </w:rPr>
        <w:t>5</w:t>
      </w:r>
      <w:r>
        <w:rPr>
          <w:color w:val="000000" w:themeColor="text1"/>
          <w:sz w:val="24"/>
          <w:szCs w:val="24"/>
        </w:rPr>
        <w:t>部分：纤维增强热塑性塑料复合连续管》</w:t>
      </w:r>
      <w:r>
        <w:rPr>
          <w:rFonts w:hint="eastAsia"/>
          <w:color w:val="000000" w:themeColor="text1"/>
          <w:sz w:val="24"/>
          <w:szCs w:val="24"/>
        </w:rPr>
        <w:t>（</w:t>
      </w:r>
      <w:r>
        <w:rPr>
          <w:color w:val="000000" w:themeColor="text1"/>
          <w:sz w:val="24"/>
          <w:szCs w:val="24"/>
        </w:rPr>
        <w:t>SY/T6769.5-2016</w:t>
      </w:r>
      <w:r>
        <w:rPr>
          <w:rFonts w:hint="eastAsia"/>
          <w:color w:val="000000" w:themeColor="text1"/>
          <w:sz w:val="24"/>
          <w:szCs w:val="24"/>
        </w:rPr>
        <w:t>）</w:t>
      </w:r>
    </w:p>
    <w:p w14:paraId="47D5F0AB"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《石油天然气工程可燃气体和有毒气体检测报警系统安全规范》（</w:t>
      </w:r>
      <w:r>
        <w:rPr>
          <w:color w:val="000000" w:themeColor="text1"/>
          <w:sz w:val="24"/>
          <w:szCs w:val="24"/>
        </w:rPr>
        <w:t>SY/T6503-2022</w:t>
      </w:r>
      <w:r>
        <w:rPr>
          <w:color w:val="000000" w:themeColor="text1"/>
          <w:sz w:val="24"/>
          <w:szCs w:val="24"/>
        </w:rPr>
        <w:t>）</w:t>
      </w:r>
    </w:p>
    <w:p w14:paraId="757E9B6C"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《陆上油气田油气集输安全规程》（</w:t>
      </w:r>
      <w:r>
        <w:rPr>
          <w:color w:val="000000" w:themeColor="text1"/>
          <w:sz w:val="24"/>
          <w:szCs w:val="24"/>
        </w:rPr>
        <w:t>SY/T6320-2022</w:t>
      </w:r>
      <w:r>
        <w:rPr>
          <w:color w:val="000000" w:themeColor="text1"/>
          <w:sz w:val="24"/>
          <w:szCs w:val="24"/>
        </w:rPr>
        <w:t>）</w:t>
      </w:r>
    </w:p>
    <w:p w14:paraId="151D6D2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《输油气管道工程安全仪表系统设计规范》（</w:t>
      </w:r>
      <w:r>
        <w:rPr>
          <w:color w:val="000000" w:themeColor="text1"/>
          <w:sz w:val="24"/>
          <w:szCs w:val="24"/>
        </w:rPr>
        <w:t>SY/T6966-2023</w:t>
      </w:r>
      <w:r>
        <w:rPr>
          <w:color w:val="000000" w:themeColor="text1"/>
          <w:sz w:val="24"/>
          <w:szCs w:val="24"/>
        </w:rPr>
        <w:t>）</w:t>
      </w:r>
    </w:p>
    <w:p w14:paraId="24F05E3C"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《固井作业规程第</w:t>
      </w:r>
      <w:r>
        <w:rPr>
          <w:color w:val="000000" w:themeColor="text1"/>
          <w:sz w:val="24"/>
          <w:szCs w:val="24"/>
        </w:rPr>
        <w:t>2</w:t>
      </w:r>
      <w:r>
        <w:rPr>
          <w:color w:val="000000" w:themeColor="text1"/>
          <w:sz w:val="24"/>
          <w:szCs w:val="24"/>
        </w:rPr>
        <w:t>部分：特殊固井》（</w:t>
      </w:r>
      <w:r>
        <w:rPr>
          <w:color w:val="000000" w:themeColor="text1"/>
          <w:sz w:val="24"/>
          <w:szCs w:val="24"/>
        </w:rPr>
        <w:t>SY/T5374.2-2023</w:t>
      </w:r>
      <w:r>
        <w:rPr>
          <w:color w:val="000000" w:themeColor="text1"/>
          <w:sz w:val="24"/>
          <w:szCs w:val="24"/>
        </w:rPr>
        <w:t>）</w:t>
      </w:r>
    </w:p>
    <w:p w14:paraId="345BF61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《下套管作业规程》（</w:t>
      </w:r>
      <w:r>
        <w:rPr>
          <w:color w:val="000000" w:themeColor="text1"/>
          <w:sz w:val="24"/>
          <w:szCs w:val="24"/>
        </w:rPr>
        <w:t>SY/T5412-2023</w:t>
      </w:r>
      <w:r>
        <w:rPr>
          <w:color w:val="000000" w:themeColor="text1"/>
          <w:sz w:val="24"/>
          <w:szCs w:val="24"/>
        </w:rPr>
        <w:t>）</w:t>
      </w:r>
    </w:p>
    <w:p w14:paraId="46FBD4F3"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《压力管道安全技术监察规程</w:t>
      </w:r>
      <w:r>
        <w:rPr>
          <w:color w:val="000000" w:themeColor="text1"/>
          <w:sz w:val="24"/>
          <w:szCs w:val="24"/>
        </w:rPr>
        <w:t>—</w:t>
      </w:r>
      <w:r>
        <w:rPr>
          <w:color w:val="000000" w:themeColor="text1"/>
          <w:sz w:val="24"/>
          <w:szCs w:val="24"/>
        </w:rPr>
        <w:t>工业管道》（</w:t>
      </w:r>
      <w:r>
        <w:rPr>
          <w:color w:val="000000" w:themeColor="text1"/>
          <w:sz w:val="24"/>
          <w:szCs w:val="24"/>
        </w:rPr>
        <w:t>TSGD0001-2009</w:t>
      </w:r>
      <w:r>
        <w:rPr>
          <w:color w:val="000000" w:themeColor="text1"/>
          <w:sz w:val="24"/>
          <w:szCs w:val="24"/>
        </w:rPr>
        <w:t>）</w:t>
      </w:r>
    </w:p>
    <w:p w14:paraId="462541E6"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《固定式压力容器安全技术监察规程》（</w:t>
      </w:r>
      <w:r>
        <w:rPr>
          <w:color w:val="000000" w:themeColor="text1"/>
          <w:sz w:val="24"/>
          <w:szCs w:val="24"/>
        </w:rPr>
        <w:t>TSG21-2016</w:t>
      </w:r>
      <w:r>
        <w:rPr>
          <w:color w:val="000000" w:themeColor="text1"/>
          <w:sz w:val="24"/>
          <w:szCs w:val="24"/>
        </w:rPr>
        <w:t>）</w:t>
      </w:r>
    </w:p>
    <w:p w14:paraId="1E5DE34F"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《压力管道监督检验规则》（</w:t>
      </w:r>
      <w:r>
        <w:rPr>
          <w:color w:val="000000" w:themeColor="text1"/>
          <w:sz w:val="24"/>
          <w:szCs w:val="24"/>
        </w:rPr>
        <w:t>TSGD7006-2020</w:t>
      </w:r>
      <w:r>
        <w:rPr>
          <w:color w:val="000000" w:themeColor="text1"/>
          <w:sz w:val="24"/>
          <w:szCs w:val="24"/>
        </w:rPr>
        <w:t>）</w:t>
      </w:r>
    </w:p>
    <w:p w14:paraId="12E5FD82" w14:textId="77777777" w:rsidR="002E0859" w:rsidRDefault="00000000">
      <w:pPr>
        <w:pStyle w:val="ae"/>
        <w:numPr>
          <w:ilvl w:val="0"/>
          <w:numId w:val="8"/>
        </w:numPr>
        <w:topLinePunct w:val="0"/>
        <w:spacing w:line="360" w:lineRule="auto"/>
        <w:ind w:firstLine="480"/>
        <w:rPr>
          <w:color w:val="000000" w:themeColor="text1"/>
          <w:sz w:val="24"/>
          <w:szCs w:val="24"/>
        </w:rPr>
      </w:pPr>
      <w:r>
        <w:rPr>
          <w:color w:val="000000" w:themeColor="text1"/>
          <w:sz w:val="24"/>
          <w:szCs w:val="24"/>
        </w:rPr>
        <w:t>《通信线路工程设计规范》（</w:t>
      </w:r>
      <w:r>
        <w:rPr>
          <w:color w:val="000000" w:themeColor="text1"/>
          <w:sz w:val="24"/>
          <w:szCs w:val="24"/>
        </w:rPr>
        <w:t>YD5102-2010</w:t>
      </w:r>
      <w:r>
        <w:rPr>
          <w:color w:val="000000" w:themeColor="text1"/>
          <w:sz w:val="24"/>
          <w:szCs w:val="24"/>
        </w:rPr>
        <w:t>）</w:t>
      </w:r>
    </w:p>
    <w:p w14:paraId="1C3B135C"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color w:val="000000" w:themeColor="text1"/>
          <w:sz w:val="24"/>
          <w:szCs w:val="24"/>
        </w:rPr>
        <w:t>建设项目批复性文件及其它资料</w:t>
      </w:r>
    </w:p>
    <w:p w14:paraId="21626D91" w14:textId="77777777" w:rsidR="002E0859" w:rsidRDefault="00000000">
      <w:pPr>
        <w:numPr>
          <w:ilvl w:val="0"/>
          <w:numId w:val="9"/>
        </w:numPr>
        <w:spacing w:line="360" w:lineRule="auto"/>
        <w:ind w:firstLine="480"/>
        <w:rPr>
          <w:color w:val="000000" w:themeColor="text1"/>
          <w:sz w:val="24"/>
          <w:szCs w:val="24"/>
        </w:rPr>
      </w:pPr>
      <w:r>
        <w:rPr>
          <w:color w:val="000000" w:themeColor="text1"/>
          <w:sz w:val="24"/>
          <w:szCs w:val="24"/>
        </w:rPr>
        <w:t>《涪陵页岩气田江东区块焦页</w:t>
      </w:r>
      <w:r>
        <w:rPr>
          <w:color w:val="000000" w:themeColor="text1"/>
          <w:sz w:val="24"/>
          <w:szCs w:val="24"/>
        </w:rPr>
        <w:t>90</w:t>
      </w:r>
      <w:r>
        <w:rPr>
          <w:color w:val="000000" w:themeColor="text1"/>
          <w:sz w:val="24"/>
          <w:szCs w:val="24"/>
        </w:rPr>
        <w:t>号评价井组方案可行性研究报告》（中石化江汉石油工程设计有限公司，</w:t>
      </w:r>
      <w:r>
        <w:rPr>
          <w:rFonts w:hint="eastAsia"/>
          <w:color w:val="000000" w:themeColor="text1"/>
          <w:sz w:val="24"/>
          <w:szCs w:val="24"/>
        </w:rPr>
        <w:t>2023</w:t>
      </w:r>
      <w:r>
        <w:rPr>
          <w:color w:val="000000" w:themeColor="text1"/>
          <w:sz w:val="24"/>
          <w:szCs w:val="24"/>
        </w:rPr>
        <w:t>年</w:t>
      </w:r>
      <w:r>
        <w:rPr>
          <w:rFonts w:hint="eastAsia"/>
          <w:color w:val="000000" w:themeColor="text1"/>
          <w:sz w:val="24"/>
          <w:szCs w:val="24"/>
        </w:rPr>
        <w:t>12</w:t>
      </w:r>
      <w:r>
        <w:rPr>
          <w:color w:val="000000" w:themeColor="text1"/>
          <w:sz w:val="24"/>
          <w:szCs w:val="24"/>
        </w:rPr>
        <w:t>月编制）</w:t>
      </w:r>
    </w:p>
    <w:p w14:paraId="58120F8B" w14:textId="77777777" w:rsidR="002E0859" w:rsidRDefault="00000000">
      <w:pPr>
        <w:numPr>
          <w:ilvl w:val="0"/>
          <w:numId w:val="9"/>
        </w:numPr>
        <w:spacing w:line="360" w:lineRule="auto"/>
        <w:ind w:firstLine="480"/>
        <w:rPr>
          <w:color w:val="000000" w:themeColor="text1"/>
          <w:sz w:val="24"/>
          <w:szCs w:val="24"/>
        </w:rPr>
      </w:pPr>
      <w:r>
        <w:rPr>
          <w:color w:val="000000" w:themeColor="text1"/>
          <w:sz w:val="24"/>
          <w:szCs w:val="24"/>
        </w:rPr>
        <w:lastRenderedPageBreak/>
        <w:t>《涪陵页岩气田江东区块焦页</w:t>
      </w:r>
      <w:r>
        <w:rPr>
          <w:color w:val="000000" w:themeColor="text1"/>
          <w:sz w:val="24"/>
          <w:szCs w:val="24"/>
        </w:rPr>
        <w:t>90</w:t>
      </w:r>
      <w:r>
        <w:rPr>
          <w:color w:val="000000" w:themeColor="text1"/>
          <w:sz w:val="24"/>
          <w:szCs w:val="24"/>
        </w:rPr>
        <w:t>号评价井组方案可行性研究报告批复》（江油工单</w:t>
      </w:r>
      <w:r>
        <w:rPr>
          <w:color w:val="000000" w:themeColor="text1"/>
          <w:sz w:val="24"/>
          <w:szCs w:val="24"/>
        </w:rPr>
        <w:t>[2024]12</w:t>
      </w:r>
      <w:r>
        <w:rPr>
          <w:color w:val="000000" w:themeColor="text1"/>
          <w:sz w:val="24"/>
          <w:szCs w:val="24"/>
        </w:rPr>
        <w:t>号）</w:t>
      </w:r>
    </w:p>
    <w:p w14:paraId="47EB265B" w14:textId="77777777" w:rsidR="002E0859" w:rsidRDefault="00000000">
      <w:pPr>
        <w:numPr>
          <w:ilvl w:val="0"/>
          <w:numId w:val="9"/>
        </w:numPr>
        <w:spacing w:line="360" w:lineRule="auto"/>
        <w:ind w:firstLine="480"/>
        <w:rPr>
          <w:color w:val="000000" w:themeColor="text1"/>
          <w:sz w:val="24"/>
          <w:szCs w:val="24"/>
        </w:rPr>
      </w:pPr>
      <w:r>
        <w:rPr>
          <w:color w:val="000000" w:themeColor="text1"/>
          <w:sz w:val="24"/>
          <w:szCs w:val="24"/>
        </w:rPr>
        <w:t>现场踏勘、调查及收集的相关资料</w:t>
      </w:r>
    </w:p>
    <w:p w14:paraId="232B4940" w14:textId="77777777" w:rsidR="002E0859" w:rsidRDefault="00000000">
      <w:pPr>
        <w:numPr>
          <w:ilvl w:val="0"/>
          <w:numId w:val="9"/>
        </w:numPr>
        <w:spacing w:line="360" w:lineRule="auto"/>
        <w:ind w:firstLine="480"/>
        <w:rPr>
          <w:color w:val="000000" w:themeColor="text1"/>
          <w:sz w:val="24"/>
          <w:szCs w:val="24"/>
        </w:rPr>
      </w:pPr>
      <w:r>
        <w:rPr>
          <w:color w:val="000000" w:themeColor="text1"/>
          <w:sz w:val="24"/>
          <w:szCs w:val="24"/>
        </w:rPr>
        <w:t>安全预评价委托书</w:t>
      </w:r>
    </w:p>
    <w:p w14:paraId="4EA5EE12" w14:textId="77777777" w:rsidR="002E0859" w:rsidRDefault="00000000">
      <w:pPr>
        <w:pStyle w:val="2"/>
        <w:keepNext w:val="0"/>
        <w:keepLines w:val="0"/>
        <w:spacing w:before="120" w:after="120" w:line="360" w:lineRule="auto"/>
        <w:jc w:val="center"/>
        <w:rPr>
          <w:color w:val="000000" w:themeColor="text1"/>
        </w:rPr>
      </w:pPr>
      <w:bookmarkStart w:id="21" w:name="_Toc20740"/>
      <w:r>
        <w:rPr>
          <w:color w:val="000000" w:themeColor="text1"/>
        </w:rPr>
        <w:t>评价范围</w:t>
      </w:r>
      <w:bookmarkEnd w:id="10"/>
      <w:bookmarkEnd w:id="21"/>
    </w:p>
    <w:p w14:paraId="4EAB0FDD"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本安全评价报告评价对象和范围</w:t>
      </w:r>
      <w:r>
        <w:rPr>
          <w:rFonts w:ascii="Times New Roman" w:hAnsi="Times New Roman" w:cs="Times New Roman"/>
          <w:color w:val="000000" w:themeColor="text1"/>
          <w:sz w:val="24"/>
          <w:szCs w:val="24"/>
          <w:lang w:eastAsia="zh-CN"/>
        </w:rPr>
        <w:t>包括</w:t>
      </w:r>
      <w:r>
        <w:rPr>
          <w:rFonts w:ascii="Times New Roman" w:hAnsi="Times New Roman" w:cs="Times New Roman"/>
          <w:color w:val="000000" w:themeColor="text1"/>
          <w:sz w:val="24"/>
          <w:szCs w:val="24"/>
        </w:rPr>
        <w:t>：钻井工程、采气工程、</w:t>
      </w:r>
      <w:r>
        <w:rPr>
          <w:rFonts w:ascii="Times New Roman" w:hAnsi="Times New Roman" w:cs="Times New Roman"/>
          <w:color w:val="000000" w:themeColor="text1"/>
          <w:sz w:val="24"/>
          <w:szCs w:val="24"/>
          <w:lang w:eastAsia="zh-CN"/>
        </w:rPr>
        <w:t>集输</w:t>
      </w:r>
      <w:r>
        <w:rPr>
          <w:rFonts w:ascii="Times New Roman" w:hAnsi="Times New Roman" w:cs="Times New Roman"/>
          <w:color w:val="000000" w:themeColor="text1"/>
          <w:sz w:val="24"/>
          <w:szCs w:val="24"/>
        </w:rPr>
        <w:t>工程，</w:t>
      </w:r>
      <w:r>
        <w:rPr>
          <w:rFonts w:ascii="Times New Roman" w:hAnsi="Times New Roman" w:cs="Times New Roman"/>
          <w:color w:val="000000" w:themeColor="text1"/>
          <w:sz w:val="24"/>
          <w:szCs w:val="24"/>
          <w:lang w:eastAsia="zh-CN"/>
        </w:rPr>
        <w:t>以及与之配套的仪表及自动控制、供配电、给排水及消防、热工、防腐保温、采暖通风、通信、建筑与结构等辅助生产系统和公用工程。</w:t>
      </w:r>
      <w:r>
        <w:rPr>
          <w:rFonts w:ascii="Times New Roman" w:hAnsi="Times New Roman" w:cs="Times New Roman" w:hint="eastAsia"/>
          <w:color w:val="000000" w:themeColor="text1"/>
          <w:sz w:val="24"/>
          <w:szCs w:val="24"/>
          <w:lang w:eastAsia="zh-CN"/>
        </w:rPr>
        <w:t>主要包括</w:t>
      </w:r>
      <w:r>
        <w:rPr>
          <w:rFonts w:ascii="Times New Roman" w:hAnsi="Times New Roman" w:cs="Times New Roman"/>
          <w:color w:val="000000" w:themeColor="text1"/>
          <w:sz w:val="24"/>
          <w:szCs w:val="24"/>
          <w:lang w:eastAsia="zh-CN"/>
        </w:rPr>
        <w:t>：</w:t>
      </w:r>
    </w:p>
    <w:p w14:paraId="138C7DA2"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hint="eastAsia"/>
          <w:color w:val="000000" w:themeColor="text1"/>
          <w:sz w:val="24"/>
          <w:szCs w:val="24"/>
          <w:lang w:eastAsia="zh-CN"/>
        </w:rPr>
        <w:t>1</w:t>
      </w:r>
      <w:r>
        <w:rPr>
          <w:rFonts w:ascii="Times New Roman" w:hAnsi="Times New Roman" w:cs="Times New Roman" w:hint="eastAsia"/>
          <w:color w:val="000000" w:themeColor="text1"/>
          <w:sz w:val="24"/>
          <w:szCs w:val="24"/>
          <w:lang w:eastAsia="zh-CN"/>
        </w:rPr>
        <w:t>、钻井工程</w:t>
      </w:r>
    </w:p>
    <w:p w14:paraId="0FBC7C5B"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本井组扩建平台</w:t>
      </w:r>
      <w:r>
        <w:rPr>
          <w:rFonts w:ascii="Times New Roman" w:hAnsi="Times New Roman" w:cs="Times New Roman"/>
          <w:color w:val="000000" w:themeColor="text1"/>
          <w:sz w:val="24"/>
          <w:szCs w:val="24"/>
          <w:lang w:eastAsia="zh-CN"/>
        </w:rPr>
        <w:t>1</w:t>
      </w:r>
      <w:r>
        <w:rPr>
          <w:rFonts w:ascii="Times New Roman" w:hAnsi="Times New Roman" w:cs="Times New Roman"/>
          <w:color w:val="000000" w:themeColor="text1"/>
          <w:sz w:val="24"/>
          <w:szCs w:val="24"/>
          <w:lang w:eastAsia="zh-CN"/>
        </w:rPr>
        <w:t>座，</w:t>
      </w:r>
      <w:r>
        <w:rPr>
          <w:rFonts w:ascii="Times New Roman" w:hAnsi="Times New Roman" w:cs="Times New Roman" w:hint="eastAsia"/>
          <w:color w:val="000000" w:themeColor="text1"/>
          <w:sz w:val="24"/>
          <w:szCs w:val="24"/>
          <w:lang w:eastAsia="zh-CN"/>
        </w:rPr>
        <w:t>部署</w:t>
      </w:r>
      <w:r>
        <w:rPr>
          <w:rFonts w:ascii="Times New Roman" w:hAnsi="Times New Roman" w:cs="Times New Roman"/>
          <w:color w:val="000000" w:themeColor="text1"/>
          <w:sz w:val="24"/>
          <w:szCs w:val="24"/>
          <w:lang w:eastAsia="zh-CN"/>
        </w:rPr>
        <w:t>井网加密井</w:t>
      </w:r>
      <w:r>
        <w:rPr>
          <w:rFonts w:ascii="Times New Roman" w:hAnsi="Times New Roman" w:cs="Times New Roman"/>
          <w:color w:val="000000" w:themeColor="text1"/>
          <w:sz w:val="24"/>
          <w:szCs w:val="24"/>
          <w:lang w:eastAsia="zh-CN"/>
        </w:rPr>
        <w:t>1</w:t>
      </w:r>
      <w:r>
        <w:rPr>
          <w:rFonts w:ascii="Times New Roman" w:hAnsi="Times New Roman" w:cs="Times New Roman"/>
          <w:color w:val="000000" w:themeColor="text1"/>
          <w:sz w:val="24"/>
          <w:szCs w:val="24"/>
          <w:lang w:eastAsia="zh-CN"/>
        </w:rPr>
        <w:t>口</w:t>
      </w:r>
      <w:r>
        <w:rPr>
          <w:rFonts w:ascii="Times New Roman" w:hAnsi="Times New Roman" w:cs="Times New Roman" w:hint="eastAsia"/>
          <w:color w:val="000000" w:themeColor="text1"/>
          <w:sz w:val="24"/>
          <w:szCs w:val="24"/>
          <w:lang w:eastAsia="zh-CN"/>
        </w:rPr>
        <w:t>（</w:t>
      </w:r>
      <w:r>
        <w:rPr>
          <w:rFonts w:ascii="Times New Roman" w:hAnsi="Times New Roman" w:cs="Times New Roman"/>
          <w:color w:val="000000" w:themeColor="text1"/>
          <w:sz w:val="24"/>
          <w:szCs w:val="24"/>
          <w:lang w:eastAsia="zh-CN"/>
        </w:rPr>
        <w:t>焦页</w:t>
      </w:r>
      <w:r>
        <w:rPr>
          <w:rFonts w:ascii="Times New Roman" w:hAnsi="Times New Roman" w:cs="Times New Roman"/>
          <w:color w:val="000000" w:themeColor="text1"/>
          <w:sz w:val="24"/>
          <w:szCs w:val="24"/>
          <w:lang w:eastAsia="zh-CN"/>
        </w:rPr>
        <w:t>90-5HF</w:t>
      </w:r>
      <w:r>
        <w:rPr>
          <w:rFonts w:ascii="Times New Roman" w:hAnsi="Times New Roman" w:cs="Times New Roman"/>
          <w:color w:val="000000" w:themeColor="text1"/>
          <w:sz w:val="24"/>
          <w:szCs w:val="24"/>
          <w:lang w:eastAsia="zh-CN"/>
        </w:rPr>
        <w:t>井</w:t>
      </w:r>
      <w:r>
        <w:rPr>
          <w:rFonts w:ascii="Times New Roman" w:hAnsi="Times New Roman" w:cs="Times New Roman" w:hint="eastAsia"/>
          <w:color w:val="000000" w:themeColor="text1"/>
          <w:sz w:val="24"/>
          <w:szCs w:val="24"/>
          <w:lang w:eastAsia="zh-CN"/>
        </w:rPr>
        <w:t>）</w:t>
      </w:r>
      <w:r>
        <w:rPr>
          <w:rFonts w:ascii="Times New Roman" w:hAnsi="Times New Roman" w:cs="Times New Roman"/>
          <w:color w:val="000000" w:themeColor="text1"/>
          <w:sz w:val="24"/>
          <w:szCs w:val="24"/>
          <w:lang w:eastAsia="zh-CN"/>
        </w:rPr>
        <w:t>，中上部气层井</w:t>
      </w:r>
      <w:r>
        <w:rPr>
          <w:rFonts w:ascii="Times New Roman" w:hAnsi="Times New Roman" w:cs="Times New Roman"/>
          <w:color w:val="000000" w:themeColor="text1"/>
          <w:sz w:val="24"/>
          <w:szCs w:val="24"/>
          <w:lang w:eastAsia="zh-CN"/>
        </w:rPr>
        <w:t>1</w:t>
      </w:r>
      <w:r>
        <w:rPr>
          <w:rFonts w:ascii="Times New Roman" w:hAnsi="Times New Roman" w:cs="Times New Roman"/>
          <w:color w:val="000000" w:themeColor="text1"/>
          <w:sz w:val="24"/>
          <w:szCs w:val="24"/>
          <w:lang w:eastAsia="zh-CN"/>
        </w:rPr>
        <w:t>口</w:t>
      </w:r>
      <w:r>
        <w:rPr>
          <w:rFonts w:ascii="Times New Roman" w:hAnsi="Times New Roman" w:cs="Times New Roman" w:hint="eastAsia"/>
          <w:color w:val="000000" w:themeColor="text1"/>
          <w:sz w:val="24"/>
          <w:szCs w:val="24"/>
          <w:lang w:eastAsia="zh-CN"/>
        </w:rPr>
        <w:t>（</w:t>
      </w:r>
      <w:r>
        <w:rPr>
          <w:rFonts w:ascii="Times New Roman" w:hAnsi="Times New Roman" w:cs="Times New Roman"/>
          <w:color w:val="000000" w:themeColor="text1"/>
          <w:sz w:val="24"/>
          <w:szCs w:val="24"/>
          <w:lang w:eastAsia="zh-CN"/>
        </w:rPr>
        <w:t>焦页</w:t>
      </w:r>
      <w:r>
        <w:rPr>
          <w:rFonts w:ascii="Times New Roman" w:hAnsi="Times New Roman" w:cs="Times New Roman"/>
          <w:color w:val="000000" w:themeColor="text1"/>
          <w:sz w:val="24"/>
          <w:szCs w:val="24"/>
          <w:lang w:eastAsia="zh-CN"/>
        </w:rPr>
        <w:t>90-Z1HF</w:t>
      </w:r>
      <w:r>
        <w:rPr>
          <w:rFonts w:ascii="Times New Roman" w:hAnsi="Times New Roman" w:cs="Times New Roman"/>
          <w:color w:val="000000" w:themeColor="text1"/>
          <w:sz w:val="24"/>
          <w:szCs w:val="24"/>
          <w:lang w:eastAsia="zh-CN"/>
        </w:rPr>
        <w:t>井</w:t>
      </w:r>
      <w:r>
        <w:rPr>
          <w:rFonts w:ascii="Times New Roman" w:hAnsi="Times New Roman" w:cs="Times New Roman" w:hint="eastAsia"/>
          <w:color w:val="000000" w:themeColor="text1"/>
          <w:sz w:val="24"/>
          <w:szCs w:val="24"/>
          <w:lang w:eastAsia="zh-CN"/>
        </w:rPr>
        <w:t>），</w:t>
      </w:r>
      <w:r>
        <w:rPr>
          <w:color w:val="000000" w:themeColor="text1"/>
          <w:sz w:val="24"/>
          <w:szCs w:val="24"/>
        </w:rPr>
        <w:t>采用“瘦身</w:t>
      </w:r>
      <w:r>
        <w:rPr>
          <w:rFonts w:ascii="Times New Roman" w:hAnsi="Times New Roman" w:cs="Times New Roman"/>
          <w:color w:val="000000" w:themeColor="text1"/>
          <w:sz w:val="24"/>
          <w:szCs w:val="24"/>
        </w:rPr>
        <w:t>Ⅱ</w:t>
      </w:r>
      <w:r>
        <w:rPr>
          <w:color w:val="000000" w:themeColor="text1"/>
          <w:sz w:val="24"/>
          <w:szCs w:val="24"/>
        </w:rPr>
        <w:t>型”、“双导管+三开次”井身结构，选用</w:t>
      </w:r>
      <w:r>
        <w:rPr>
          <w:rFonts w:ascii="Times New Roman" w:hAnsi="Times New Roman" w:cs="Times New Roman"/>
          <w:color w:val="000000" w:themeColor="text1"/>
          <w:sz w:val="24"/>
          <w:szCs w:val="24"/>
        </w:rPr>
        <w:t>ZJ70</w:t>
      </w:r>
      <w:r>
        <w:rPr>
          <w:color w:val="000000" w:themeColor="text1"/>
          <w:sz w:val="24"/>
          <w:szCs w:val="24"/>
        </w:rPr>
        <w:t>钻机，总进尺</w:t>
      </w:r>
      <w:r>
        <w:rPr>
          <w:rFonts w:ascii="Times New Roman" w:hAnsi="Times New Roman" w:cs="Times New Roman"/>
          <w:color w:val="000000" w:themeColor="text1"/>
          <w:sz w:val="24"/>
          <w:szCs w:val="24"/>
        </w:rPr>
        <w:t>1.17</w:t>
      </w:r>
      <w:r>
        <w:rPr>
          <w:color w:val="000000" w:themeColor="text1"/>
          <w:sz w:val="24"/>
          <w:szCs w:val="24"/>
        </w:rPr>
        <w:t>万米</w:t>
      </w:r>
      <w:r>
        <w:rPr>
          <w:rFonts w:ascii="Times New Roman" w:hAnsi="Times New Roman" w:cs="Times New Roman"/>
          <w:color w:val="000000" w:themeColor="text1"/>
          <w:sz w:val="24"/>
          <w:szCs w:val="24"/>
          <w:lang w:eastAsia="zh-CN"/>
        </w:rPr>
        <w:t>。</w:t>
      </w:r>
    </w:p>
    <w:p w14:paraId="4CFB73FE" w14:textId="77777777" w:rsidR="002E0859" w:rsidRDefault="00000000">
      <w:pPr>
        <w:pStyle w:val="a8"/>
        <w:numPr>
          <w:ilvl w:val="0"/>
          <w:numId w:val="10"/>
        </w:numPr>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hint="eastAsia"/>
          <w:color w:val="000000" w:themeColor="text1"/>
          <w:sz w:val="24"/>
          <w:szCs w:val="24"/>
          <w:lang w:eastAsia="zh-CN"/>
        </w:rPr>
        <w:t>采气工程</w:t>
      </w:r>
    </w:p>
    <w:p w14:paraId="659DB54E"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rPr>
        <w:t>采用桥塞射孔联作分段压裂工艺，根据天然裂缝发育情况及井周储量动用程度，优化压裂工艺参数。平均单井压裂段数</w:t>
      </w:r>
      <w:r>
        <w:rPr>
          <w:rFonts w:ascii="Times New Roman" w:hAnsi="Times New Roman" w:cs="Times New Roman"/>
          <w:color w:val="000000" w:themeColor="text1"/>
          <w:sz w:val="24"/>
          <w:szCs w:val="24"/>
        </w:rPr>
        <w:t>30</w:t>
      </w:r>
      <w:r>
        <w:rPr>
          <w:rFonts w:ascii="Times New Roman" w:hAnsi="Times New Roman" w:cs="Times New Roman"/>
          <w:color w:val="000000" w:themeColor="text1"/>
          <w:sz w:val="24"/>
          <w:szCs w:val="24"/>
        </w:rPr>
        <w:t>段，采用一体化变粘减阻水体系，平均单井总液量</w:t>
      </w:r>
      <w:r>
        <w:rPr>
          <w:rFonts w:ascii="Times New Roman" w:hAnsi="Times New Roman" w:cs="Times New Roman"/>
          <w:color w:val="000000" w:themeColor="text1"/>
          <w:sz w:val="24"/>
          <w:szCs w:val="24"/>
        </w:rPr>
        <w:t>44325</w:t>
      </w:r>
      <w:r>
        <w:rPr>
          <w:rFonts w:ascii="Times New Roman" w:hAnsi="Times New Roman" w:cs="Times New Roman" w:hint="eastAsia"/>
          <w:color w:val="000000" w:themeColor="text1"/>
          <w:sz w:val="24"/>
          <w:szCs w:val="24"/>
          <w:lang w:eastAsia="zh-CN"/>
        </w:rPr>
        <w:t>m</w:t>
      </w:r>
      <w:r>
        <w:rPr>
          <w:rFonts w:ascii="Times New Roman" w:hAnsi="Times New Roman" w:cs="Times New Roman" w:hint="eastAsia"/>
          <w:color w:val="000000" w:themeColor="text1"/>
          <w:sz w:val="24"/>
          <w:szCs w:val="24"/>
          <w:lang w:eastAsia="zh-CN"/>
        </w:rPr>
        <w:t>³</w:t>
      </w:r>
      <w:r>
        <w:rPr>
          <w:rFonts w:ascii="Times New Roman" w:hAnsi="Times New Roman" w:cs="Times New Roman"/>
          <w:color w:val="000000" w:themeColor="text1"/>
          <w:sz w:val="24"/>
          <w:szCs w:val="24"/>
        </w:rPr>
        <w:t>、用液强度</w:t>
      </w:r>
      <w:r>
        <w:rPr>
          <w:rFonts w:ascii="Times New Roman" w:hAnsi="Times New Roman" w:cs="Times New Roman"/>
          <w:color w:val="000000" w:themeColor="text1"/>
          <w:sz w:val="24"/>
          <w:szCs w:val="24"/>
        </w:rPr>
        <w:t>22.5</w:t>
      </w:r>
      <w:r>
        <w:rPr>
          <w:rFonts w:ascii="Times New Roman" w:hAnsi="Times New Roman" w:cs="Times New Roman" w:hint="eastAsia"/>
          <w:color w:val="000000" w:themeColor="text1"/>
          <w:sz w:val="24"/>
          <w:szCs w:val="24"/>
          <w:lang w:eastAsia="zh-CN"/>
        </w:rPr>
        <w:t>m</w:t>
      </w:r>
      <w:r>
        <w:rPr>
          <w:rFonts w:ascii="Times New Roman" w:hAnsi="Times New Roman" w:cs="Times New Roman" w:hint="eastAsia"/>
          <w:color w:val="000000" w:themeColor="text1"/>
          <w:sz w:val="24"/>
          <w:szCs w:val="24"/>
          <w:lang w:eastAsia="zh-CN"/>
        </w:rPr>
        <w:t>³</w:t>
      </w:r>
      <w:r>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lang w:eastAsia="zh-CN"/>
        </w:rPr>
        <w:t>m</w:t>
      </w:r>
      <w:r>
        <w:rPr>
          <w:rFonts w:ascii="Times New Roman" w:hAnsi="Times New Roman" w:cs="Times New Roman"/>
          <w:color w:val="000000" w:themeColor="text1"/>
          <w:sz w:val="24"/>
          <w:szCs w:val="24"/>
        </w:rPr>
        <w:t>；选用</w:t>
      </w:r>
      <w:r>
        <w:rPr>
          <w:rFonts w:ascii="Times New Roman" w:hAnsi="Times New Roman" w:cs="Times New Roman"/>
          <w:color w:val="000000" w:themeColor="text1"/>
          <w:sz w:val="24"/>
          <w:szCs w:val="24"/>
        </w:rPr>
        <w:t>70/140</w:t>
      </w:r>
      <w:r>
        <w:rPr>
          <w:rFonts w:ascii="Times New Roman" w:hAnsi="Times New Roman" w:cs="Times New Roman"/>
          <w:color w:val="000000" w:themeColor="text1"/>
          <w:sz w:val="24"/>
          <w:szCs w:val="24"/>
        </w:rPr>
        <w:t>目石英砂</w:t>
      </w:r>
      <w:r>
        <w:rPr>
          <w:rFonts w:ascii="Times New Roman" w:hAnsi="Times New Roman" w:cs="Times New Roman"/>
          <w:color w:val="000000" w:themeColor="text1"/>
          <w:sz w:val="24"/>
          <w:szCs w:val="24"/>
        </w:rPr>
        <w:t>+40/70</w:t>
      </w:r>
      <w:r>
        <w:rPr>
          <w:rFonts w:ascii="Times New Roman" w:hAnsi="Times New Roman" w:cs="Times New Roman"/>
          <w:color w:val="000000" w:themeColor="text1"/>
          <w:sz w:val="24"/>
          <w:szCs w:val="24"/>
        </w:rPr>
        <w:t>目石英砂</w:t>
      </w:r>
      <w:r>
        <w:rPr>
          <w:rFonts w:ascii="Times New Roman" w:hAnsi="Times New Roman" w:cs="Times New Roman"/>
          <w:color w:val="000000" w:themeColor="text1"/>
          <w:sz w:val="24"/>
          <w:szCs w:val="24"/>
        </w:rPr>
        <w:t>+30/50</w:t>
      </w:r>
      <w:r>
        <w:rPr>
          <w:rFonts w:ascii="Times New Roman" w:hAnsi="Times New Roman" w:cs="Times New Roman"/>
          <w:color w:val="000000" w:themeColor="text1"/>
          <w:sz w:val="24"/>
          <w:szCs w:val="24"/>
        </w:rPr>
        <w:t>目覆膜砂支撑剂组合，采用</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多簇密切</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暂堵转向</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主体工艺，结合井网部署、应力环境、曲率发育的特征，围绕压裂规模、分段分簇、暂堵工艺等方面开展针对性优化。</w:t>
      </w:r>
    </w:p>
    <w:p w14:paraId="6E416FF6"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hint="eastAsia"/>
          <w:color w:val="000000" w:themeColor="text1"/>
          <w:sz w:val="24"/>
          <w:szCs w:val="24"/>
          <w:lang w:eastAsia="zh-CN"/>
        </w:rPr>
        <w:t>采气井口材料级别选用</w:t>
      </w:r>
      <w:r>
        <w:rPr>
          <w:rFonts w:ascii="Times New Roman" w:hAnsi="Times New Roman" w:cs="Times New Roman" w:hint="eastAsia"/>
          <w:color w:val="000000" w:themeColor="text1"/>
          <w:sz w:val="24"/>
          <w:szCs w:val="24"/>
          <w:lang w:eastAsia="zh-CN"/>
        </w:rPr>
        <w:t>EE</w:t>
      </w:r>
      <w:r>
        <w:rPr>
          <w:rFonts w:ascii="Times New Roman" w:hAnsi="Times New Roman" w:cs="Times New Roman" w:hint="eastAsia"/>
          <w:color w:val="000000" w:themeColor="text1"/>
          <w:sz w:val="24"/>
          <w:szCs w:val="24"/>
          <w:lang w:eastAsia="zh-CN"/>
        </w:rPr>
        <w:t>级，井口装置压力等级选用</w:t>
      </w:r>
      <w:r>
        <w:rPr>
          <w:rFonts w:ascii="Times New Roman" w:hAnsi="Times New Roman" w:cs="Times New Roman" w:hint="eastAsia"/>
          <w:color w:val="000000" w:themeColor="text1"/>
          <w:sz w:val="24"/>
          <w:szCs w:val="24"/>
          <w:lang w:eastAsia="zh-CN"/>
        </w:rPr>
        <w:t>70Mp</w:t>
      </w:r>
      <w:r>
        <w:rPr>
          <w:rFonts w:ascii="Times New Roman" w:hAnsi="Times New Roman" w:cs="Times New Roman" w:hint="eastAsia"/>
          <w:color w:val="000000" w:themeColor="text1"/>
          <w:sz w:val="24"/>
          <w:szCs w:val="24"/>
          <w:lang w:eastAsia="zh-CN"/>
        </w:rPr>
        <w:t>。生产管柱采用</w:t>
      </w:r>
      <w:r>
        <w:rPr>
          <w:rFonts w:ascii="Times New Roman" w:hAnsi="Times New Roman" w:cs="Times New Roman" w:hint="eastAsia"/>
          <w:color w:val="000000" w:themeColor="text1"/>
          <w:sz w:val="24"/>
          <w:szCs w:val="24"/>
          <w:lang w:eastAsia="zh-CN"/>
        </w:rPr>
        <w:t>23/8</w:t>
      </w:r>
      <w:r>
        <w:rPr>
          <w:rFonts w:ascii="Times New Roman" w:hAnsi="Times New Roman" w:cs="Times New Roman" w:hint="eastAsia"/>
          <w:color w:val="000000" w:themeColor="text1"/>
          <w:sz w:val="24"/>
          <w:szCs w:val="24"/>
          <w:lang w:eastAsia="zh-CN"/>
        </w:rPr>
        <w:t>英寸油管</w:t>
      </w:r>
      <w:r>
        <w:rPr>
          <w:rFonts w:ascii="Times New Roman" w:hAnsi="Times New Roman" w:cs="Times New Roman" w:hint="eastAsia"/>
          <w:color w:val="000000" w:themeColor="text1"/>
          <w:sz w:val="24"/>
          <w:szCs w:val="24"/>
          <w:lang w:eastAsia="zh-CN"/>
        </w:rPr>
        <w:t>+</w:t>
      </w:r>
      <w:r>
        <w:rPr>
          <w:rFonts w:ascii="Times New Roman" w:hAnsi="Times New Roman" w:cs="Times New Roman" w:hint="eastAsia"/>
          <w:color w:val="000000" w:themeColor="text1"/>
          <w:sz w:val="24"/>
          <w:szCs w:val="24"/>
          <w:lang w:eastAsia="zh-CN"/>
        </w:rPr>
        <w:t>多级气举阀。</w:t>
      </w:r>
    </w:p>
    <w:p w14:paraId="5F712F85" w14:textId="77777777" w:rsidR="002E0859" w:rsidRDefault="00000000">
      <w:pPr>
        <w:pStyle w:val="a8"/>
        <w:numPr>
          <w:ilvl w:val="0"/>
          <w:numId w:val="10"/>
        </w:numPr>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hint="eastAsia"/>
          <w:color w:val="000000" w:themeColor="text1"/>
          <w:sz w:val="24"/>
          <w:szCs w:val="24"/>
          <w:lang w:eastAsia="zh-CN"/>
        </w:rPr>
        <w:t>地面工程</w:t>
      </w:r>
    </w:p>
    <w:p w14:paraId="1438E499"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本次江东区块焦页</w:t>
      </w:r>
      <w:r>
        <w:rPr>
          <w:rFonts w:ascii="Times New Roman" w:hAnsi="Times New Roman" w:cs="Times New Roman"/>
          <w:color w:val="000000" w:themeColor="text1"/>
          <w:sz w:val="24"/>
          <w:szCs w:val="24"/>
          <w:lang w:eastAsia="zh-CN"/>
        </w:rPr>
        <w:t>90</w:t>
      </w:r>
      <w:r>
        <w:rPr>
          <w:rFonts w:ascii="Times New Roman" w:hAnsi="Times New Roman" w:cs="Times New Roman"/>
          <w:color w:val="000000" w:themeColor="text1"/>
          <w:sz w:val="24"/>
          <w:szCs w:val="24"/>
          <w:lang w:eastAsia="zh-CN"/>
        </w:rPr>
        <w:t>号评价井组项目共扩建</w:t>
      </w:r>
      <w:r>
        <w:rPr>
          <w:rFonts w:ascii="Times New Roman" w:hAnsi="Times New Roman" w:cs="Times New Roman"/>
          <w:color w:val="000000" w:themeColor="text1"/>
          <w:sz w:val="24"/>
          <w:szCs w:val="24"/>
          <w:lang w:eastAsia="zh-CN"/>
        </w:rPr>
        <w:t>1</w:t>
      </w:r>
      <w:r>
        <w:rPr>
          <w:rFonts w:ascii="Times New Roman" w:hAnsi="Times New Roman" w:cs="Times New Roman"/>
          <w:color w:val="000000" w:themeColor="text1"/>
          <w:sz w:val="24"/>
          <w:szCs w:val="24"/>
          <w:lang w:eastAsia="zh-CN"/>
        </w:rPr>
        <w:t>个平台，新增焦页</w:t>
      </w:r>
      <w:r>
        <w:rPr>
          <w:rFonts w:ascii="Times New Roman" w:hAnsi="Times New Roman" w:cs="Times New Roman"/>
          <w:color w:val="000000" w:themeColor="text1"/>
          <w:sz w:val="24"/>
          <w:szCs w:val="24"/>
          <w:lang w:eastAsia="zh-CN"/>
        </w:rPr>
        <w:t>90-Z1HF</w:t>
      </w:r>
      <w:r>
        <w:rPr>
          <w:rFonts w:ascii="Times New Roman" w:hAnsi="Times New Roman" w:cs="Times New Roman"/>
          <w:color w:val="000000" w:themeColor="text1"/>
          <w:sz w:val="24"/>
          <w:szCs w:val="24"/>
          <w:lang w:eastAsia="zh-CN"/>
        </w:rPr>
        <w:t>、</w:t>
      </w:r>
      <w:r>
        <w:rPr>
          <w:rFonts w:ascii="Times New Roman" w:hAnsi="Times New Roman" w:cs="Times New Roman"/>
          <w:color w:val="000000" w:themeColor="text1"/>
          <w:sz w:val="24"/>
          <w:szCs w:val="24"/>
          <w:lang w:eastAsia="zh-CN"/>
        </w:rPr>
        <w:t>90-5HF</w:t>
      </w:r>
      <w:r>
        <w:rPr>
          <w:rFonts w:ascii="Times New Roman" w:hAnsi="Times New Roman" w:cs="Times New Roman"/>
          <w:color w:val="000000" w:themeColor="text1"/>
          <w:sz w:val="24"/>
          <w:szCs w:val="24"/>
          <w:lang w:eastAsia="zh-CN"/>
        </w:rPr>
        <w:t>井</w:t>
      </w:r>
      <w:r>
        <w:rPr>
          <w:rFonts w:ascii="Times New Roman" w:hAnsi="Times New Roman" w:cs="Times New Roman"/>
          <w:color w:val="000000" w:themeColor="text1"/>
          <w:sz w:val="24"/>
          <w:szCs w:val="24"/>
          <w:lang w:eastAsia="zh-CN"/>
        </w:rPr>
        <w:t>2</w:t>
      </w:r>
      <w:r>
        <w:rPr>
          <w:rFonts w:ascii="Times New Roman" w:hAnsi="Times New Roman" w:cs="Times New Roman"/>
          <w:color w:val="000000" w:themeColor="text1"/>
          <w:sz w:val="24"/>
          <w:szCs w:val="24"/>
          <w:lang w:eastAsia="zh-CN"/>
        </w:rPr>
        <w:t>口。建设方案主要依托焦石坝乌江北建成的集气站、集气管线、供电线路等主体工程实施，具体建设内容如下。</w:t>
      </w:r>
    </w:p>
    <w:p w14:paraId="65A68EE8"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新建产能</w:t>
      </w:r>
      <w:r>
        <w:rPr>
          <w:rFonts w:ascii="Times New Roman" w:hAnsi="Times New Roman" w:cs="Times New Roman"/>
          <w:color w:val="000000" w:themeColor="text1"/>
          <w:sz w:val="24"/>
          <w:szCs w:val="24"/>
          <w:lang w:eastAsia="zh-CN"/>
        </w:rPr>
        <w:t>0.25×</w:t>
      </w:r>
      <w:r>
        <w:rPr>
          <w:rFonts w:ascii="Times New Roman" w:hAnsi="Times New Roman" w:cs="Times New Roman" w:hint="eastAsia"/>
          <w:color w:val="000000" w:themeColor="text1"/>
          <w:sz w:val="24"/>
          <w:szCs w:val="24"/>
          <w:lang w:eastAsia="zh-CN"/>
        </w:rPr>
        <w:t>10</w:t>
      </w:r>
      <w:r>
        <w:rPr>
          <w:rFonts w:ascii="Times New Roman" w:hAnsi="Times New Roman" w:cs="Times New Roman" w:hint="eastAsia"/>
          <w:color w:val="000000" w:themeColor="text1"/>
          <w:sz w:val="24"/>
          <w:szCs w:val="24"/>
          <w:vertAlign w:val="superscript"/>
          <w:lang w:eastAsia="zh-CN"/>
        </w:rPr>
        <w:t>8</w:t>
      </w:r>
      <w:r>
        <w:rPr>
          <w:rFonts w:ascii="Times New Roman" w:hAnsi="Times New Roman" w:cs="Times New Roman" w:hint="eastAsia"/>
          <w:color w:val="000000" w:themeColor="text1"/>
          <w:sz w:val="24"/>
          <w:szCs w:val="24"/>
          <w:lang w:eastAsia="zh-CN"/>
        </w:rPr>
        <w:t>m</w:t>
      </w:r>
      <w:r>
        <w:rPr>
          <w:rFonts w:ascii="Times New Roman" w:hAnsi="Times New Roman" w:cs="Times New Roman" w:hint="eastAsia"/>
          <w:color w:val="000000" w:themeColor="text1"/>
          <w:sz w:val="24"/>
          <w:szCs w:val="24"/>
          <w:lang w:eastAsia="zh-CN"/>
        </w:rPr>
        <w:t>³</w:t>
      </w:r>
      <w:r>
        <w:rPr>
          <w:rFonts w:ascii="Times New Roman" w:hAnsi="Times New Roman" w:cs="Times New Roman"/>
          <w:color w:val="000000" w:themeColor="text1"/>
          <w:sz w:val="24"/>
          <w:szCs w:val="24"/>
          <w:lang w:eastAsia="zh-CN"/>
        </w:rPr>
        <w:t>/</w:t>
      </w:r>
      <w:r>
        <w:rPr>
          <w:rFonts w:ascii="Times New Roman" w:hAnsi="Times New Roman" w:cs="Times New Roman" w:hint="eastAsia"/>
          <w:color w:val="000000" w:themeColor="text1"/>
          <w:sz w:val="24"/>
          <w:szCs w:val="24"/>
          <w:lang w:eastAsia="zh-CN"/>
        </w:rPr>
        <w:t>a</w:t>
      </w:r>
      <w:r>
        <w:rPr>
          <w:rFonts w:ascii="Times New Roman" w:hAnsi="Times New Roman" w:cs="Times New Roman"/>
          <w:color w:val="000000" w:themeColor="text1"/>
          <w:sz w:val="24"/>
          <w:szCs w:val="24"/>
          <w:lang w:eastAsia="zh-CN"/>
        </w:rPr>
        <w:t>，作为焦石坝一期产量递减的补充，气田现有集气能力和脱水能力满足焦页</w:t>
      </w:r>
      <w:r>
        <w:rPr>
          <w:rFonts w:ascii="Times New Roman" w:hAnsi="Times New Roman" w:cs="Times New Roman"/>
          <w:color w:val="000000" w:themeColor="text1"/>
          <w:sz w:val="24"/>
          <w:szCs w:val="24"/>
          <w:lang w:eastAsia="zh-CN"/>
        </w:rPr>
        <w:t>90</w:t>
      </w:r>
      <w:r>
        <w:rPr>
          <w:rFonts w:ascii="Times New Roman" w:hAnsi="Times New Roman" w:cs="Times New Roman"/>
          <w:color w:val="000000" w:themeColor="text1"/>
          <w:sz w:val="24"/>
          <w:szCs w:val="24"/>
          <w:lang w:eastAsia="zh-CN"/>
        </w:rPr>
        <w:t>号井组开发调整项目新增气量要求，产气经白涛脱水站处理后交接涪陵输配站和涪陵增压站外输。</w:t>
      </w:r>
    </w:p>
    <w:p w14:paraId="41C54581"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集气依托已建集气站，需扩建焦页</w:t>
      </w:r>
      <w:r>
        <w:rPr>
          <w:rFonts w:ascii="Times New Roman" w:hAnsi="Times New Roman" w:cs="Times New Roman"/>
          <w:color w:val="000000" w:themeColor="text1"/>
          <w:sz w:val="24"/>
          <w:szCs w:val="24"/>
          <w:lang w:eastAsia="zh-CN"/>
        </w:rPr>
        <w:t>90</w:t>
      </w:r>
      <w:r>
        <w:rPr>
          <w:rFonts w:ascii="Times New Roman" w:hAnsi="Times New Roman" w:cs="Times New Roman"/>
          <w:color w:val="000000" w:themeColor="text1"/>
          <w:sz w:val="24"/>
          <w:szCs w:val="24"/>
          <w:lang w:eastAsia="zh-CN"/>
        </w:rPr>
        <w:t>号平台，由于一期老井已陆续开展增压，为了充分利用新井初期压力，新井与老井集气流程分开，形成各自独立集气系统。焦页</w:t>
      </w:r>
      <w:r>
        <w:rPr>
          <w:rFonts w:ascii="Times New Roman" w:hAnsi="Times New Roman" w:cs="Times New Roman"/>
          <w:color w:val="000000" w:themeColor="text1"/>
          <w:sz w:val="24"/>
          <w:szCs w:val="24"/>
          <w:lang w:eastAsia="zh-CN"/>
        </w:rPr>
        <w:lastRenderedPageBreak/>
        <w:t>90</w:t>
      </w:r>
      <w:r>
        <w:rPr>
          <w:rFonts w:ascii="Times New Roman" w:hAnsi="Times New Roman" w:cs="Times New Roman"/>
          <w:color w:val="000000" w:themeColor="text1"/>
          <w:sz w:val="24"/>
          <w:szCs w:val="24"/>
          <w:lang w:eastAsia="zh-CN"/>
        </w:rPr>
        <w:t>号平台扩建</w:t>
      </w:r>
      <w:r>
        <w:rPr>
          <w:rFonts w:ascii="Times New Roman" w:hAnsi="Times New Roman" w:cs="Times New Roman"/>
          <w:color w:val="000000" w:themeColor="text1"/>
          <w:sz w:val="24"/>
          <w:szCs w:val="24"/>
          <w:lang w:eastAsia="zh-CN"/>
        </w:rPr>
        <w:t>2</w:t>
      </w:r>
      <w:r>
        <w:rPr>
          <w:rFonts w:ascii="Times New Roman" w:hAnsi="Times New Roman" w:cs="Times New Roman"/>
          <w:color w:val="000000" w:themeColor="text1"/>
          <w:sz w:val="24"/>
          <w:szCs w:val="24"/>
          <w:lang w:eastAsia="zh-CN"/>
        </w:rPr>
        <w:t>口井，新增</w:t>
      </w:r>
      <w:r>
        <w:rPr>
          <w:rFonts w:ascii="Times New Roman" w:hAnsi="Times New Roman" w:cs="Times New Roman"/>
          <w:color w:val="000000" w:themeColor="text1"/>
          <w:sz w:val="24"/>
          <w:szCs w:val="24"/>
          <w:lang w:eastAsia="zh-CN"/>
        </w:rPr>
        <w:t>2</w:t>
      </w:r>
      <w:r>
        <w:rPr>
          <w:rFonts w:ascii="Times New Roman" w:hAnsi="Times New Roman" w:cs="Times New Roman"/>
          <w:color w:val="000000" w:themeColor="text1"/>
          <w:sz w:val="24"/>
          <w:szCs w:val="24"/>
          <w:lang w:eastAsia="zh-CN"/>
        </w:rPr>
        <w:t>具两相流量计、</w:t>
      </w:r>
      <w:r>
        <w:rPr>
          <w:rFonts w:ascii="Times New Roman" w:hAnsi="Times New Roman" w:cs="Times New Roman"/>
          <w:color w:val="000000" w:themeColor="text1"/>
          <w:sz w:val="24"/>
          <w:szCs w:val="24"/>
          <w:lang w:eastAsia="zh-CN"/>
        </w:rPr>
        <w:t>1</w:t>
      </w:r>
      <w:r>
        <w:rPr>
          <w:rFonts w:ascii="Times New Roman" w:hAnsi="Times New Roman" w:cs="Times New Roman"/>
          <w:color w:val="000000" w:themeColor="text1"/>
          <w:sz w:val="24"/>
          <w:szCs w:val="24"/>
          <w:lang w:eastAsia="zh-CN"/>
        </w:rPr>
        <w:t>座</w:t>
      </w:r>
      <w:r>
        <w:rPr>
          <w:rFonts w:ascii="Times New Roman" w:hAnsi="Times New Roman" w:cs="Times New Roman"/>
          <w:color w:val="000000" w:themeColor="text1"/>
          <w:sz w:val="24"/>
          <w:szCs w:val="24"/>
          <w:lang w:eastAsia="zh-CN"/>
        </w:rPr>
        <w:t>5</w:t>
      </w:r>
      <w:r>
        <w:rPr>
          <w:rFonts w:ascii="Times New Roman" w:hAnsi="Times New Roman" w:cs="Times New Roman"/>
          <w:color w:val="000000" w:themeColor="text1"/>
          <w:sz w:val="24"/>
          <w:szCs w:val="24"/>
          <w:lang w:eastAsia="zh-CN"/>
        </w:rPr>
        <w:t>井式智能计量泵撬，并配套</w:t>
      </w:r>
      <w:r>
        <w:rPr>
          <w:rFonts w:ascii="Times New Roman" w:hAnsi="Times New Roman" w:cs="Times New Roman"/>
          <w:color w:val="000000" w:themeColor="text1"/>
          <w:sz w:val="24"/>
          <w:szCs w:val="24"/>
          <w:lang w:eastAsia="zh-CN"/>
        </w:rPr>
        <w:t>5</w:t>
      </w:r>
      <w:r>
        <w:rPr>
          <w:rFonts w:ascii="Times New Roman" w:hAnsi="Times New Roman" w:cs="Times New Roman"/>
          <w:color w:val="000000" w:themeColor="text1"/>
          <w:sz w:val="24"/>
          <w:szCs w:val="24"/>
          <w:lang w:eastAsia="zh-CN"/>
        </w:rPr>
        <w:t>口井气举管线，</w:t>
      </w:r>
      <w:r>
        <w:rPr>
          <w:rFonts w:ascii="Times New Roman" w:hAnsi="Times New Roman" w:cs="Times New Roman"/>
          <w:color w:val="000000" w:themeColor="text1"/>
          <w:sz w:val="24"/>
          <w:szCs w:val="24"/>
          <w:lang w:eastAsia="zh-CN"/>
        </w:rPr>
        <w:t>89</w:t>
      </w:r>
      <w:r>
        <w:rPr>
          <w:rFonts w:ascii="Times New Roman" w:hAnsi="Times New Roman" w:cs="Times New Roman"/>
          <w:color w:val="000000" w:themeColor="text1"/>
          <w:sz w:val="24"/>
          <w:szCs w:val="24"/>
          <w:lang w:eastAsia="zh-CN"/>
        </w:rPr>
        <w:t>号集气站搬迁利旧</w:t>
      </w:r>
      <w:r>
        <w:rPr>
          <w:rFonts w:ascii="Times New Roman" w:hAnsi="Times New Roman" w:cs="Times New Roman"/>
          <w:color w:val="000000" w:themeColor="text1"/>
          <w:sz w:val="24"/>
          <w:szCs w:val="24"/>
          <w:lang w:eastAsia="zh-CN"/>
        </w:rPr>
        <w:t>1</w:t>
      </w:r>
      <w:r>
        <w:rPr>
          <w:rFonts w:ascii="Times New Roman" w:hAnsi="Times New Roman" w:cs="Times New Roman"/>
          <w:color w:val="000000" w:themeColor="text1"/>
          <w:sz w:val="24"/>
          <w:szCs w:val="24"/>
          <w:lang w:eastAsia="zh-CN"/>
        </w:rPr>
        <w:t>台水套加热炉。</w:t>
      </w:r>
    </w:p>
    <w:p w14:paraId="48083CEE"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采出水由管线输至暂存池暂存，平台采出水罐车拉运。</w:t>
      </w:r>
    </w:p>
    <w:p w14:paraId="7F1652D8"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扩建平台（集气站）属于五级站场，平台生产设备和辅助生产设施移动式灭火器随搬迁利旧，消防棚新建。</w:t>
      </w:r>
    </w:p>
    <w:p w14:paraId="16752740"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90</w:t>
      </w:r>
      <w:r>
        <w:rPr>
          <w:rFonts w:ascii="Times New Roman" w:hAnsi="Times New Roman" w:cs="Times New Roman"/>
          <w:color w:val="000000" w:themeColor="text1"/>
          <w:sz w:val="24"/>
          <w:szCs w:val="24"/>
          <w:lang w:eastAsia="zh-CN"/>
        </w:rPr>
        <w:t>号扩平台钻井及生产电源依托</w:t>
      </w:r>
      <w:r>
        <w:rPr>
          <w:rFonts w:ascii="Times New Roman" w:hAnsi="Times New Roman" w:cs="Times New Roman"/>
          <w:color w:val="000000" w:themeColor="text1"/>
          <w:sz w:val="24"/>
          <w:szCs w:val="24"/>
          <w:lang w:eastAsia="zh-CN"/>
        </w:rPr>
        <w:t>35kV</w:t>
      </w:r>
      <w:r>
        <w:rPr>
          <w:rFonts w:ascii="Times New Roman" w:hAnsi="Times New Roman" w:cs="Times New Roman"/>
          <w:color w:val="000000" w:themeColor="text1"/>
          <w:sz w:val="24"/>
          <w:szCs w:val="24"/>
          <w:lang w:eastAsia="zh-CN"/>
        </w:rPr>
        <w:t>中原线供电，需新建</w:t>
      </w:r>
      <w:r>
        <w:rPr>
          <w:rFonts w:ascii="Times New Roman" w:hAnsi="Times New Roman" w:cs="Times New Roman"/>
          <w:color w:val="000000" w:themeColor="text1"/>
          <w:sz w:val="24"/>
          <w:szCs w:val="24"/>
          <w:lang w:eastAsia="zh-CN"/>
        </w:rPr>
        <w:t>35kV</w:t>
      </w:r>
      <w:r>
        <w:rPr>
          <w:rFonts w:ascii="Times New Roman" w:hAnsi="Times New Roman" w:cs="Times New Roman"/>
          <w:color w:val="000000" w:themeColor="text1"/>
          <w:sz w:val="24"/>
          <w:szCs w:val="24"/>
          <w:lang w:eastAsia="zh-CN"/>
        </w:rPr>
        <w:t>线路</w:t>
      </w:r>
      <w:r>
        <w:rPr>
          <w:rFonts w:ascii="Times New Roman" w:hAnsi="Times New Roman" w:cs="Times New Roman"/>
          <w:color w:val="000000" w:themeColor="text1"/>
          <w:sz w:val="24"/>
          <w:szCs w:val="24"/>
          <w:lang w:eastAsia="zh-CN"/>
        </w:rPr>
        <w:t>0.6</w:t>
      </w:r>
      <w:r>
        <w:rPr>
          <w:rFonts w:ascii="Times New Roman" w:hAnsi="Times New Roman" w:cs="Times New Roman"/>
          <w:color w:val="000000" w:themeColor="text1"/>
          <w:sz w:val="24"/>
          <w:szCs w:val="24"/>
          <w:lang w:eastAsia="zh-CN"/>
        </w:rPr>
        <w:t>千米。新建平台（集气站）增加生产供电、照明电缆及防雷接地设施。</w:t>
      </w:r>
    </w:p>
    <w:p w14:paraId="276F829D"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扩容扩建采气平台及集气站控制系统，新增井口及设备信号就近接入已建控制系统。</w:t>
      </w:r>
    </w:p>
    <w:p w14:paraId="7BF29BFF"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通信依托新建集气站工业电视监控系统，无站外通信光缆，视频监控系统数据存储在本地。</w:t>
      </w:r>
    </w:p>
    <w:p w14:paraId="2557731C" w14:textId="77777777" w:rsidR="002E0859" w:rsidRDefault="00000000">
      <w:pPr>
        <w:pStyle w:val="a8"/>
        <w:numPr>
          <w:ilvl w:val="0"/>
          <w:numId w:val="11"/>
        </w:numPr>
        <w:spacing w:line="360" w:lineRule="auto"/>
        <w:ind w:left="0"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道路依托现有江东区块已建道路，维修地方破损道路</w:t>
      </w:r>
      <w:r>
        <w:rPr>
          <w:rFonts w:ascii="Times New Roman" w:hAnsi="Times New Roman" w:cs="Times New Roman"/>
          <w:color w:val="000000" w:themeColor="text1"/>
          <w:sz w:val="24"/>
          <w:szCs w:val="24"/>
          <w:lang w:eastAsia="zh-CN"/>
        </w:rPr>
        <w:t>210</w:t>
      </w:r>
      <w:r>
        <w:rPr>
          <w:rFonts w:ascii="Times New Roman" w:hAnsi="Times New Roman" w:cs="Times New Roman"/>
          <w:color w:val="000000" w:themeColor="text1"/>
          <w:sz w:val="24"/>
          <w:szCs w:val="24"/>
          <w:lang w:eastAsia="zh-CN"/>
        </w:rPr>
        <w:t>米。</w:t>
      </w:r>
    </w:p>
    <w:p w14:paraId="26E7BB30"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凡涉及本工程项目的环保问题、职业卫生评价等，则应执行国家有关规定和相关标准，不在本评价范围。</w:t>
      </w:r>
    </w:p>
    <w:p w14:paraId="2304D4E4" w14:textId="77777777" w:rsidR="002E0859" w:rsidRDefault="00000000">
      <w:pPr>
        <w:pStyle w:val="2"/>
        <w:keepNext w:val="0"/>
        <w:keepLines w:val="0"/>
        <w:spacing w:before="120" w:after="120" w:line="360" w:lineRule="auto"/>
        <w:jc w:val="center"/>
        <w:rPr>
          <w:color w:val="000000" w:themeColor="text1"/>
        </w:rPr>
      </w:pPr>
      <w:bookmarkStart w:id="22" w:name="_Toc16188"/>
      <w:r>
        <w:rPr>
          <w:color w:val="000000" w:themeColor="text1"/>
        </w:rPr>
        <w:t>评价</w:t>
      </w:r>
      <w:r>
        <w:rPr>
          <w:rFonts w:hint="eastAsia"/>
          <w:color w:val="000000" w:themeColor="text1"/>
        </w:rPr>
        <w:t>程序</w:t>
      </w:r>
      <w:bookmarkEnd w:id="22"/>
    </w:p>
    <w:p w14:paraId="0B67E800"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安全预评价工作程序大体可分为三个阶段：第一阶段为准备阶段，主要收集有关资料，详细了解建设项目的基本情况，对工程进行初步分析和危险、有害因素识别，选择评价方法；第二阶段为实施评价阶段，运用适当的评价方法进行评价，提出相应的安全对策措施；第三阶段为安全预评价报告书的编制阶段，主要是汇总前两个阶段所得到的各种资料数据，总结评价成果，通过综合分析，得出安全预评价结论，提出建议，最终完成安全预评价报告书的编制。</w:t>
      </w:r>
    </w:p>
    <w:p w14:paraId="2C3C122E" w14:textId="77777777" w:rsidR="002E0859" w:rsidRDefault="00000000">
      <w:pPr>
        <w:pStyle w:val="a8"/>
        <w:spacing w:line="360" w:lineRule="auto"/>
        <w:ind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安全预评价程序见</w:t>
      </w:r>
      <w:r>
        <w:rPr>
          <w:rFonts w:ascii="Times New Roman" w:hAnsi="Times New Roman" w:cs="Times New Roman" w:hint="eastAsia"/>
          <w:color w:val="000000" w:themeColor="text1"/>
          <w:sz w:val="24"/>
          <w:szCs w:val="24"/>
          <w:lang w:eastAsia="zh-CN"/>
        </w:rPr>
        <w:t>图</w:t>
      </w:r>
      <w:r>
        <w:rPr>
          <w:rFonts w:ascii="Times New Roman" w:hAnsi="Times New Roman" w:cs="Times New Roman" w:hint="eastAsia"/>
          <w:color w:val="000000" w:themeColor="text1"/>
          <w:sz w:val="24"/>
          <w:szCs w:val="24"/>
          <w:lang w:eastAsia="zh-CN"/>
        </w:rPr>
        <w:t>1.4-1</w:t>
      </w:r>
      <w:r>
        <w:rPr>
          <w:rFonts w:ascii="Times New Roman" w:hAnsi="Times New Roman" w:cs="Times New Roman" w:hint="eastAsia"/>
          <w:color w:val="000000" w:themeColor="text1"/>
          <w:sz w:val="24"/>
          <w:szCs w:val="24"/>
          <w:lang w:eastAsia="zh-CN"/>
        </w:rPr>
        <w:t>。</w:t>
      </w:r>
    </w:p>
    <w:p w14:paraId="179241CF" w14:textId="77777777" w:rsidR="002E0859" w:rsidRDefault="00000000">
      <w:pPr>
        <w:spacing w:line="360" w:lineRule="auto"/>
        <w:ind w:firstLineChars="0" w:firstLine="0"/>
        <w:jc w:val="center"/>
        <w:rPr>
          <w:color w:val="000000" w:themeColor="text1"/>
          <w:kern w:val="0"/>
          <w:sz w:val="24"/>
          <w:szCs w:val="24"/>
        </w:rPr>
      </w:pPr>
      <w:r>
        <w:rPr>
          <w:noProof/>
          <w:color w:val="000000" w:themeColor="text1"/>
          <w:kern w:val="0"/>
          <w:sz w:val="24"/>
          <w:szCs w:val="24"/>
        </w:rPr>
        <w:lastRenderedPageBreak/>
        <w:drawing>
          <wp:inline distT="0" distB="0" distL="114300" distR="114300" wp14:anchorId="7BABCFD5" wp14:editId="09512687">
            <wp:extent cx="3514725" cy="5162550"/>
            <wp:effectExtent l="0" t="0" r="5715" b="3810"/>
            <wp:docPr id="3" name="图片 3" descr="C:/Users/lenovo/Desktop/QQ图片20240125104005.pngQQ图片20240125104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Desktop/QQ图片20240125104005.pngQQ图片20240125104005"/>
                    <pic:cNvPicPr>
                      <a:picLocks noChangeAspect="1"/>
                    </pic:cNvPicPr>
                  </pic:nvPicPr>
                  <pic:blipFill>
                    <a:blip r:embed="rId17"/>
                    <a:srcRect/>
                    <a:stretch>
                      <a:fillRect/>
                    </a:stretch>
                  </pic:blipFill>
                  <pic:spPr>
                    <a:xfrm>
                      <a:off x="0" y="0"/>
                      <a:ext cx="3514725" cy="5162550"/>
                    </a:xfrm>
                    <a:prstGeom prst="rect">
                      <a:avLst/>
                    </a:prstGeom>
                  </pic:spPr>
                </pic:pic>
              </a:graphicData>
            </a:graphic>
          </wp:inline>
        </w:drawing>
      </w:r>
    </w:p>
    <w:p w14:paraId="60F36688" w14:textId="77777777" w:rsidR="002E0859" w:rsidRDefault="00000000">
      <w:pPr>
        <w:pStyle w:val="a6"/>
        <w:topLinePunct w:val="0"/>
        <w:ind w:firstLine="420"/>
        <w:rPr>
          <w:color w:val="000000" w:themeColor="text1"/>
          <w:szCs w:val="21"/>
        </w:rPr>
      </w:pPr>
      <w:r>
        <w:rPr>
          <w:rFonts w:hint="eastAsia"/>
          <w:color w:val="000000" w:themeColor="text1"/>
          <w:szCs w:val="21"/>
        </w:rPr>
        <w:t>图</w:t>
      </w:r>
      <w:r>
        <w:rPr>
          <w:color w:val="000000" w:themeColor="text1"/>
          <w:szCs w:val="21"/>
        </w:rPr>
        <w:fldChar w:fldCharType="begin"/>
      </w:r>
      <w:r>
        <w:rPr>
          <w:color w:val="000000" w:themeColor="text1"/>
          <w:szCs w:val="21"/>
        </w:rPr>
        <w:instrText xml:space="preserve"> </w:instrText>
      </w:r>
      <w:r>
        <w:rPr>
          <w:rFonts w:hint="eastAsia"/>
          <w:color w:val="000000" w:themeColor="text1"/>
          <w:szCs w:val="21"/>
        </w:rPr>
        <w:instrText>STYLEREF 2 \s</w:instrText>
      </w:r>
      <w:r>
        <w:rPr>
          <w:color w:val="000000" w:themeColor="text1"/>
          <w:szCs w:val="21"/>
        </w:rPr>
        <w:instrText xml:space="preserve"> </w:instrText>
      </w:r>
      <w:r>
        <w:rPr>
          <w:color w:val="000000" w:themeColor="text1"/>
          <w:szCs w:val="21"/>
        </w:rPr>
        <w:fldChar w:fldCharType="separate"/>
      </w:r>
      <w:r>
        <w:rPr>
          <w:color w:val="000000" w:themeColor="text1"/>
          <w:szCs w:val="21"/>
        </w:rPr>
        <w:t>1.4</w:t>
      </w:r>
      <w:r>
        <w:rPr>
          <w:color w:val="000000" w:themeColor="text1"/>
          <w:szCs w:val="21"/>
        </w:rPr>
        <w:fldChar w:fldCharType="end"/>
      </w:r>
      <w:r>
        <w:rPr>
          <w:color w:val="000000" w:themeColor="text1"/>
          <w:szCs w:val="21"/>
        </w:rPr>
        <w:noBreakHyphen/>
      </w:r>
      <w:r>
        <w:rPr>
          <w:color w:val="000000" w:themeColor="text1"/>
          <w:szCs w:val="21"/>
        </w:rPr>
        <w:fldChar w:fldCharType="begin"/>
      </w:r>
      <w:r>
        <w:rPr>
          <w:color w:val="000000" w:themeColor="text1"/>
          <w:szCs w:val="21"/>
        </w:rPr>
        <w:instrText xml:space="preserve"> </w:instrText>
      </w:r>
      <w:r>
        <w:rPr>
          <w:rFonts w:hint="eastAsia"/>
          <w:color w:val="000000" w:themeColor="text1"/>
          <w:szCs w:val="21"/>
        </w:rPr>
        <w:instrText xml:space="preserve">SEQ </w:instrText>
      </w:r>
      <w:r>
        <w:rPr>
          <w:rFonts w:hint="eastAsia"/>
          <w:color w:val="000000" w:themeColor="text1"/>
          <w:szCs w:val="21"/>
        </w:rPr>
        <w:instrText>图</w:instrText>
      </w:r>
      <w:r>
        <w:rPr>
          <w:rFonts w:hint="eastAsia"/>
          <w:color w:val="000000" w:themeColor="text1"/>
          <w:szCs w:val="21"/>
        </w:rPr>
        <w:instrText xml:space="preserve"> \* ARABIC \s 2</w:instrText>
      </w:r>
      <w:r>
        <w:rPr>
          <w:color w:val="000000" w:themeColor="text1"/>
          <w:szCs w:val="21"/>
        </w:rPr>
        <w:instrText xml:space="preserve"> </w:instrText>
      </w:r>
      <w:r>
        <w:rPr>
          <w:color w:val="000000" w:themeColor="text1"/>
          <w:szCs w:val="21"/>
        </w:rPr>
        <w:fldChar w:fldCharType="separate"/>
      </w:r>
      <w:r>
        <w:rPr>
          <w:color w:val="000000" w:themeColor="text1"/>
          <w:szCs w:val="21"/>
        </w:rPr>
        <w:t>1</w:t>
      </w:r>
      <w:r>
        <w:rPr>
          <w:color w:val="000000" w:themeColor="text1"/>
          <w:szCs w:val="21"/>
        </w:rPr>
        <w:fldChar w:fldCharType="end"/>
      </w:r>
      <w:r>
        <w:rPr>
          <w:rFonts w:hint="eastAsia"/>
          <w:color w:val="000000" w:themeColor="text1"/>
          <w:szCs w:val="21"/>
        </w:rPr>
        <w:t xml:space="preserve"> </w:t>
      </w:r>
      <w:r>
        <w:rPr>
          <w:rFonts w:hint="eastAsia"/>
          <w:color w:val="000000" w:themeColor="text1"/>
          <w:szCs w:val="21"/>
        </w:rPr>
        <w:t>安全预评价程序框图</w:t>
      </w:r>
    </w:p>
    <w:p w14:paraId="74B1626B" w14:textId="77777777" w:rsidR="002E0859" w:rsidRDefault="00000000">
      <w:pPr>
        <w:ind w:firstLine="480"/>
        <w:rPr>
          <w:color w:val="000000" w:themeColor="text1"/>
          <w:kern w:val="0"/>
          <w:sz w:val="24"/>
          <w:szCs w:val="24"/>
        </w:rPr>
      </w:pPr>
      <w:r>
        <w:rPr>
          <w:color w:val="000000" w:themeColor="text1"/>
          <w:kern w:val="0"/>
          <w:sz w:val="24"/>
          <w:szCs w:val="24"/>
        </w:rPr>
        <w:br w:type="page"/>
      </w:r>
    </w:p>
    <w:p w14:paraId="54199C1B" w14:textId="77777777" w:rsidR="002E0859" w:rsidRDefault="00000000">
      <w:pPr>
        <w:pStyle w:val="1"/>
        <w:keepNext w:val="0"/>
        <w:keepLines w:val="0"/>
        <w:spacing w:before="240" w:after="240" w:line="360" w:lineRule="auto"/>
        <w:rPr>
          <w:color w:val="000000" w:themeColor="text1"/>
        </w:rPr>
      </w:pPr>
      <w:bookmarkStart w:id="23" w:name="_Toc8416"/>
      <w:r>
        <w:rPr>
          <w:rFonts w:hint="eastAsia"/>
          <w:color w:val="000000" w:themeColor="text1"/>
        </w:rPr>
        <w:lastRenderedPageBreak/>
        <w:t>建设项目概况</w:t>
      </w:r>
      <w:bookmarkEnd w:id="23"/>
    </w:p>
    <w:p w14:paraId="75868DC0" w14:textId="77777777" w:rsidR="002E0859" w:rsidRDefault="00000000">
      <w:pPr>
        <w:pStyle w:val="2"/>
        <w:keepNext w:val="0"/>
        <w:keepLines w:val="0"/>
        <w:spacing w:before="120" w:after="120" w:line="360" w:lineRule="auto"/>
        <w:jc w:val="center"/>
        <w:rPr>
          <w:color w:val="000000" w:themeColor="text1"/>
        </w:rPr>
      </w:pPr>
      <w:bookmarkStart w:id="24" w:name="_Toc1981"/>
      <w:r>
        <w:rPr>
          <w:rFonts w:hint="eastAsia"/>
          <w:color w:val="000000" w:themeColor="text1"/>
        </w:rPr>
        <w:t>建设项目基本情况</w:t>
      </w:r>
      <w:bookmarkEnd w:id="24"/>
    </w:p>
    <w:p w14:paraId="45F8E5B4"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项目概况</w:t>
      </w:r>
    </w:p>
    <w:p w14:paraId="7890F40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6BEF390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建设单位基本情况</w:t>
      </w:r>
    </w:p>
    <w:p w14:paraId="536C15F7" w14:textId="77777777" w:rsidR="002E0859" w:rsidRDefault="00000000">
      <w:pPr>
        <w:pStyle w:val="a0"/>
        <w:spacing w:line="360" w:lineRule="auto"/>
        <w:ind w:firstLine="480"/>
        <w:rPr>
          <w:color w:val="000000" w:themeColor="text1"/>
          <w:sz w:val="24"/>
          <w:szCs w:val="24"/>
        </w:rPr>
      </w:pPr>
      <w:r>
        <w:rPr>
          <w:color w:val="000000" w:themeColor="text1"/>
          <w:sz w:val="24"/>
          <w:szCs w:val="24"/>
        </w:rPr>
        <w:t>中石化重庆涪陵页岩气勘探开发有限公司（以下简称涪陵</w:t>
      </w:r>
      <w:r>
        <w:rPr>
          <w:rFonts w:hint="eastAsia"/>
          <w:color w:val="000000" w:themeColor="text1"/>
          <w:sz w:val="24"/>
          <w:szCs w:val="24"/>
        </w:rPr>
        <w:t>页岩气公司</w:t>
      </w:r>
      <w:r>
        <w:rPr>
          <w:color w:val="000000" w:themeColor="text1"/>
          <w:sz w:val="24"/>
          <w:szCs w:val="24"/>
        </w:rPr>
        <w:t>）由</w:t>
      </w:r>
      <w:r>
        <w:rPr>
          <w:rFonts w:hint="eastAsia"/>
          <w:color w:val="000000" w:themeColor="text1"/>
          <w:sz w:val="24"/>
          <w:szCs w:val="24"/>
        </w:rPr>
        <w:t>中国石油化工股份有限公司</w:t>
      </w:r>
      <w:r>
        <w:rPr>
          <w:color w:val="000000" w:themeColor="text1"/>
          <w:sz w:val="24"/>
          <w:szCs w:val="24"/>
        </w:rPr>
        <w:t>、重庆市涪陵国有资产投资经营集团有限公司</w:t>
      </w:r>
      <w:r>
        <w:rPr>
          <w:rFonts w:hint="eastAsia"/>
          <w:color w:val="000000" w:themeColor="text1"/>
          <w:sz w:val="24"/>
          <w:szCs w:val="24"/>
        </w:rPr>
        <w:t>（以下简称涪陵国投集团）</w:t>
      </w:r>
      <w:r>
        <w:rPr>
          <w:color w:val="000000" w:themeColor="text1"/>
          <w:sz w:val="24"/>
          <w:szCs w:val="24"/>
        </w:rPr>
        <w:t>按照</w:t>
      </w:r>
      <w:r>
        <w:rPr>
          <w:color w:val="000000" w:themeColor="text1"/>
          <w:sz w:val="24"/>
          <w:szCs w:val="24"/>
        </w:rPr>
        <w:t>99</w:t>
      </w:r>
      <w:r>
        <w:rPr>
          <w:color w:val="000000" w:themeColor="text1"/>
          <w:sz w:val="24"/>
          <w:szCs w:val="24"/>
        </w:rPr>
        <w:t>：</w:t>
      </w:r>
      <w:r>
        <w:rPr>
          <w:color w:val="000000" w:themeColor="text1"/>
          <w:sz w:val="24"/>
          <w:szCs w:val="24"/>
        </w:rPr>
        <w:t>1</w:t>
      </w:r>
      <w:r>
        <w:rPr>
          <w:color w:val="000000" w:themeColor="text1"/>
          <w:sz w:val="24"/>
          <w:szCs w:val="24"/>
        </w:rPr>
        <w:t>的股比合资成立，涪陵国投集团不委派董事、监事和高级管理人员，不参与日常生产经营管理。</w:t>
      </w:r>
    </w:p>
    <w:p w14:paraId="74937CC5" w14:textId="77777777" w:rsidR="002E0859" w:rsidRDefault="00000000">
      <w:pPr>
        <w:pStyle w:val="a0"/>
        <w:spacing w:line="360" w:lineRule="auto"/>
        <w:ind w:firstLine="480"/>
        <w:rPr>
          <w:color w:val="000000" w:themeColor="text1"/>
          <w:sz w:val="24"/>
          <w:szCs w:val="24"/>
        </w:rPr>
      </w:pPr>
      <w:r>
        <w:rPr>
          <w:color w:val="000000" w:themeColor="text1"/>
          <w:sz w:val="24"/>
          <w:szCs w:val="24"/>
        </w:rPr>
        <w:t>涪陵页岩气公司</w:t>
      </w:r>
      <w:r>
        <w:rPr>
          <w:rFonts w:hint="eastAsia"/>
          <w:color w:val="000000" w:themeColor="text1"/>
          <w:sz w:val="24"/>
          <w:szCs w:val="24"/>
        </w:rPr>
        <w:t>于</w:t>
      </w:r>
      <w:r>
        <w:rPr>
          <w:color w:val="000000" w:themeColor="text1"/>
          <w:sz w:val="24"/>
          <w:szCs w:val="24"/>
        </w:rPr>
        <w:t>2014</w:t>
      </w:r>
      <w:r>
        <w:rPr>
          <w:color w:val="000000" w:themeColor="text1"/>
          <w:sz w:val="24"/>
          <w:szCs w:val="24"/>
        </w:rPr>
        <w:t>年</w:t>
      </w:r>
      <w:r>
        <w:rPr>
          <w:color w:val="000000" w:themeColor="text1"/>
          <w:sz w:val="24"/>
          <w:szCs w:val="24"/>
        </w:rPr>
        <w:t>6</w:t>
      </w:r>
      <w:r>
        <w:rPr>
          <w:color w:val="000000" w:themeColor="text1"/>
          <w:sz w:val="24"/>
          <w:szCs w:val="24"/>
        </w:rPr>
        <w:t>月</w:t>
      </w:r>
      <w:r>
        <w:rPr>
          <w:color w:val="000000" w:themeColor="text1"/>
          <w:sz w:val="24"/>
          <w:szCs w:val="24"/>
        </w:rPr>
        <w:t>30</w:t>
      </w:r>
      <w:r>
        <w:rPr>
          <w:color w:val="000000" w:themeColor="text1"/>
          <w:sz w:val="24"/>
          <w:szCs w:val="24"/>
        </w:rPr>
        <w:t>日完成工商登记注册</w:t>
      </w:r>
      <w:r>
        <w:rPr>
          <w:rFonts w:hint="eastAsia"/>
          <w:color w:val="000000" w:themeColor="text1"/>
          <w:sz w:val="24"/>
          <w:szCs w:val="24"/>
        </w:rPr>
        <w:t>，注册资金：</w:t>
      </w:r>
      <w:r>
        <w:rPr>
          <w:rFonts w:hint="eastAsia"/>
          <w:color w:val="000000" w:themeColor="text1"/>
          <w:sz w:val="24"/>
          <w:szCs w:val="24"/>
        </w:rPr>
        <w:t>10000</w:t>
      </w:r>
      <w:r>
        <w:rPr>
          <w:rFonts w:hint="eastAsia"/>
          <w:color w:val="000000" w:themeColor="text1"/>
          <w:sz w:val="24"/>
          <w:szCs w:val="24"/>
        </w:rPr>
        <w:t>万元，注册地址为重庆市涪陵区新城区鹤凤大道</w:t>
      </w:r>
      <w:r>
        <w:rPr>
          <w:rFonts w:hint="eastAsia"/>
          <w:color w:val="000000" w:themeColor="text1"/>
          <w:sz w:val="24"/>
          <w:szCs w:val="24"/>
        </w:rPr>
        <w:t>6</w:t>
      </w:r>
      <w:r>
        <w:rPr>
          <w:rFonts w:hint="eastAsia"/>
          <w:color w:val="000000" w:themeColor="text1"/>
          <w:sz w:val="24"/>
          <w:szCs w:val="24"/>
        </w:rPr>
        <w:t>号。经营范围：许可项目：陆地石油和天然气开采，矿产资源勘查，住宿服务（依法须经批准的项目，经相关部门批准后方可开展经营活动，具体经营项目以相关部门批准文件或许可证件为准）一般项目：石油天然气技术服务，技术服务、技术开发、技术咨询、技术交流、技术转让、技术推广，非居住房地产租赁，住房租赁，工程技术服务（规划管理、勘察、设计、监理除外），非金属矿及制品销售，非食用盐销售（除依法须经批准的项目外，凭营业执照依法自主开展经营活动）。</w:t>
      </w:r>
    </w:p>
    <w:p w14:paraId="59267BD0" w14:textId="77777777" w:rsidR="002E0859" w:rsidRDefault="00000000">
      <w:pPr>
        <w:pStyle w:val="a0"/>
        <w:overflowPunct w:val="0"/>
        <w:spacing w:line="360" w:lineRule="auto"/>
        <w:ind w:firstLine="480"/>
        <w:rPr>
          <w:color w:val="000000" w:themeColor="text1"/>
          <w:sz w:val="24"/>
          <w:szCs w:val="24"/>
        </w:rPr>
      </w:pPr>
      <w:r>
        <w:rPr>
          <w:color w:val="000000" w:themeColor="text1"/>
          <w:sz w:val="24"/>
          <w:szCs w:val="24"/>
        </w:rPr>
        <w:t>涪陵页岩气公司负责开发建设的涪陵页岩气田分布于重庆市涪陵、南川、武隆、忠县、梁平、丰都等区县境内，区块探矿权面积</w:t>
      </w:r>
      <w:r>
        <w:rPr>
          <w:color w:val="000000" w:themeColor="text1"/>
          <w:sz w:val="24"/>
          <w:szCs w:val="24"/>
        </w:rPr>
        <w:t>5986.53</w:t>
      </w:r>
      <w:r>
        <w:rPr>
          <w:rFonts w:hint="eastAsia"/>
          <w:color w:val="000000" w:themeColor="text1"/>
          <w:sz w:val="24"/>
          <w:szCs w:val="24"/>
        </w:rPr>
        <w:t>km</w:t>
      </w:r>
      <w:r>
        <w:rPr>
          <w:rFonts w:hint="eastAsia"/>
          <w:color w:val="000000" w:themeColor="text1"/>
          <w:sz w:val="24"/>
          <w:szCs w:val="24"/>
          <w:vertAlign w:val="superscript"/>
        </w:rPr>
        <w:t>2</w:t>
      </w:r>
      <w:r>
        <w:rPr>
          <w:color w:val="000000" w:themeColor="text1"/>
          <w:sz w:val="24"/>
          <w:szCs w:val="24"/>
        </w:rPr>
        <w:t>，采矿权面积</w:t>
      </w:r>
      <w:r>
        <w:rPr>
          <w:color w:val="000000" w:themeColor="text1"/>
          <w:sz w:val="24"/>
          <w:szCs w:val="24"/>
        </w:rPr>
        <w:t>907.46</w:t>
      </w:r>
      <w:r>
        <w:rPr>
          <w:rFonts w:hint="eastAsia"/>
          <w:color w:val="000000" w:themeColor="text1"/>
          <w:sz w:val="24"/>
          <w:szCs w:val="24"/>
        </w:rPr>
        <w:t>km</w:t>
      </w:r>
      <w:r>
        <w:rPr>
          <w:rFonts w:hint="eastAsia"/>
          <w:color w:val="000000" w:themeColor="text1"/>
          <w:sz w:val="24"/>
          <w:szCs w:val="24"/>
          <w:vertAlign w:val="superscript"/>
        </w:rPr>
        <w:t>2</w:t>
      </w:r>
      <w:r>
        <w:rPr>
          <w:color w:val="000000" w:themeColor="text1"/>
          <w:sz w:val="24"/>
          <w:szCs w:val="24"/>
        </w:rPr>
        <w:t>；</w:t>
      </w:r>
      <w:r>
        <w:rPr>
          <w:color w:val="000000" w:themeColor="text1"/>
          <w:sz w:val="24"/>
          <w:szCs w:val="24"/>
        </w:rPr>
        <w:t>2014</w:t>
      </w:r>
      <w:r>
        <w:rPr>
          <w:color w:val="000000" w:themeColor="text1"/>
          <w:sz w:val="24"/>
          <w:szCs w:val="24"/>
        </w:rPr>
        <w:t>年至</w:t>
      </w:r>
      <w:r>
        <w:rPr>
          <w:color w:val="000000" w:themeColor="text1"/>
          <w:sz w:val="24"/>
          <w:szCs w:val="24"/>
        </w:rPr>
        <w:t>2021</w:t>
      </w:r>
      <w:r>
        <w:rPr>
          <w:color w:val="000000" w:themeColor="text1"/>
          <w:sz w:val="24"/>
          <w:szCs w:val="24"/>
        </w:rPr>
        <w:t>年，涪陵页岩气田累计探明含气面积</w:t>
      </w:r>
      <w:r>
        <w:rPr>
          <w:color w:val="000000" w:themeColor="text1"/>
          <w:sz w:val="24"/>
          <w:szCs w:val="24"/>
        </w:rPr>
        <w:t>696.58</w:t>
      </w:r>
      <w:r>
        <w:rPr>
          <w:rFonts w:hint="eastAsia"/>
          <w:color w:val="000000" w:themeColor="text1"/>
          <w:sz w:val="24"/>
          <w:szCs w:val="24"/>
        </w:rPr>
        <w:t>km</w:t>
      </w:r>
      <w:r>
        <w:rPr>
          <w:rFonts w:hint="eastAsia"/>
          <w:color w:val="000000" w:themeColor="text1"/>
          <w:sz w:val="24"/>
          <w:szCs w:val="24"/>
          <w:vertAlign w:val="superscript"/>
        </w:rPr>
        <w:t>2</w:t>
      </w:r>
      <w:r>
        <w:rPr>
          <w:color w:val="000000" w:themeColor="text1"/>
          <w:sz w:val="24"/>
          <w:szCs w:val="24"/>
        </w:rPr>
        <w:t>，累计探明储量</w:t>
      </w:r>
      <w:r>
        <w:rPr>
          <w:color w:val="000000" w:themeColor="text1"/>
          <w:sz w:val="24"/>
          <w:szCs w:val="24"/>
        </w:rPr>
        <w:t>6985.6</w:t>
      </w:r>
      <w:r>
        <w:rPr>
          <w:rFonts w:ascii="Arial" w:hAnsi="Arial" w:cs="Arial"/>
          <w:color w:val="000000" w:themeColor="text1"/>
          <w:sz w:val="24"/>
          <w:szCs w:val="24"/>
        </w:rPr>
        <w:t>×</w:t>
      </w:r>
      <w:r>
        <w:rPr>
          <w:rFonts w:hint="eastAsia"/>
          <w:color w:val="000000" w:themeColor="text1"/>
          <w:sz w:val="24"/>
          <w:szCs w:val="24"/>
        </w:rPr>
        <w:t>10</w:t>
      </w:r>
      <w:r>
        <w:rPr>
          <w:rFonts w:hint="eastAsia"/>
          <w:color w:val="000000" w:themeColor="text1"/>
          <w:sz w:val="24"/>
          <w:szCs w:val="24"/>
          <w:vertAlign w:val="superscript"/>
        </w:rPr>
        <w:t>8</w:t>
      </w:r>
      <w:r>
        <w:rPr>
          <w:rFonts w:hint="eastAsia"/>
          <w:color w:val="000000" w:themeColor="text1"/>
          <w:sz w:val="24"/>
          <w:szCs w:val="24"/>
        </w:rPr>
        <w:t>m</w:t>
      </w:r>
      <w:r>
        <w:rPr>
          <w:rFonts w:hint="eastAsia"/>
          <w:color w:val="000000" w:themeColor="text1"/>
          <w:sz w:val="24"/>
          <w:szCs w:val="24"/>
        </w:rPr>
        <w:t>³</w:t>
      </w:r>
      <w:r>
        <w:rPr>
          <w:color w:val="000000" w:themeColor="text1"/>
          <w:sz w:val="24"/>
          <w:szCs w:val="24"/>
        </w:rPr>
        <w:t>。现有焦石坝、江东、平桥、白马</w:t>
      </w:r>
      <w:r>
        <w:rPr>
          <w:color w:val="000000" w:themeColor="text1"/>
          <w:sz w:val="24"/>
          <w:szCs w:val="24"/>
        </w:rPr>
        <w:t>4</w:t>
      </w:r>
      <w:r>
        <w:rPr>
          <w:color w:val="000000" w:themeColor="text1"/>
          <w:sz w:val="24"/>
          <w:szCs w:val="24"/>
        </w:rPr>
        <w:t>个产建区，白涛、凤来、复兴</w:t>
      </w:r>
      <w:r>
        <w:rPr>
          <w:color w:val="000000" w:themeColor="text1"/>
          <w:sz w:val="24"/>
          <w:szCs w:val="24"/>
        </w:rPr>
        <w:t>3</w:t>
      </w:r>
      <w:r>
        <w:rPr>
          <w:color w:val="000000" w:themeColor="text1"/>
          <w:sz w:val="24"/>
          <w:szCs w:val="24"/>
        </w:rPr>
        <w:t>个评价区。</w:t>
      </w:r>
      <w:r>
        <w:rPr>
          <w:color w:val="000000" w:themeColor="text1"/>
          <w:sz w:val="24"/>
          <w:szCs w:val="24"/>
        </w:rPr>
        <w:t>2013</w:t>
      </w:r>
      <w:r>
        <w:rPr>
          <w:color w:val="000000" w:themeColor="text1"/>
          <w:sz w:val="24"/>
          <w:szCs w:val="24"/>
        </w:rPr>
        <w:t>年</w:t>
      </w:r>
      <w:r>
        <w:rPr>
          <w:color w:val="000000" w:themeColor="text1"/>
          <w:sz w:val="24"/>
          <w:szCs w:val="24"/>
        </w:rPr>
        <w:t>1</w:t>
      </w:r>
      <w:r>
        <w:rPr>
          <w:color w:val="000000" w:themeColor="text1"/>
          <w:sz w:val="24"/>
          <w:szCs w:val="24"/>
        </w:rPr>
        <w:t>月</w:t>
      </w:r>
      <w:r>
        <w:rPr>
          <w:color w:val="000000" w:themeColor="text1"/>
          <w:sz w:val="24"/>
          <w:szCs w:val="24"/>
        </w:rPr>
        <w:t>9</w:t>
      </w:r>
      <w:r>
        <w:rPr>
          <w:color w:val="000000" w:themeColor="text1"/>
          <w:sz w:val="24"/>
          <w:szCs w:val="24"/>
        </w:rPr>
        <w:t>日，部署在涪陵</w:t>
      </w:r>
      <w:r>
        <w:rPr>
          <w:rFonts w:hint="eastAsia"/>
          <w:color w:val="000000" w:themeColor="text1"/>
          <w:sz w:val="24"/>
          <w:szCs w:val="24"/>
        </w:rPr>
        <w:t>江东区块</w:t>
      </w:r>
      <w:r>
        <w:rPr>
          <w:color w:val="000000" w:themeColor="text1"/>
          <w:sz w:val="24"/>
          <w:szCs w:val="24"/>
        </w:rPr>
        <w:t>的焦页</w:t>
      </w:r>
      <w:r>
        <w:rPr>
          <w:color w:val="000000" w:themeColor="text1"/>
          <w:sz w:val="24"/>
          <w:szCs w:val="24"/>
        </w:rPr>
        <w:t>1HF</w:t>
      </w:r>
      <w:r>
        <w:rPr>
          <w:color w:val="000000" w:themeColor="text1"/>
          <w:sz w:val="24"/>
          <w:szCs w:val="24"/>
        </w:rPr>
        <w:t>井投入试采，成为中国第一口投入商业开发的页岩气井，标志着气田正式进入商业开采。</w:t>
      </w:r>
      <w:r>
        <w:rPr>
          <w:color w:val="000000" w:themeColor="text1"/>
          <w:sz w:val="24"/>
          <w:szCs w:val="24"/>
        </w:rPr>
        <w:t>2013</w:t>
      </w:r>
      <w:r>
        <w:rPr>
          <w:color w:val="000000" w:themeColor="text1"/>
          <w:sz w:val="24"/>
          <w:szCs w:val="24"/>
        </w:rPr>
        <w:t>年</w:t>
      </w:r>
      <w:r>
        <w:rPr>
          <w:color w:val="000000" w:themeColor="text1"/>
          <w:sz w:val="24"/>
          <w:szCs w:val="24"/>
        </w:rPr>
        <w:t>9</w:t>
      </w:r>
      <w:r>
        <w:rPr>
          <w:color w:val="000000" w:themeColor="text1"/>
          <w:sz w:val="24"/>
          <w:szCs w:val="24"/>
        </w:rPr>
        <w:t>月</w:t>
      </w:r>
      <w:r>
        <w:rPr>
          <w:color w:val="000000" w:themeColor="text1"/>
          <w:sz w:val="24"/>
          <w:szCs w:val="24"/>
        </w:rPr>
        <w:t>3</w:t>
      </w:r>
      <w:r>
        <w:rPr>
          <w:color w:val="000000" w:themeColor="text1"/>
          <w:sz w:val="24"/>
          <w:szCs w:val="24"/>
        </w:rPr>
        <w:t>日，国家能源局批准设立</w:t>
      </w:r>
      <w:r>
        <w:rPr>
          <w:color w:val="000000" w:themeColor="text1"/>
          <w:sz w:val="24"/>
          <w:szCs w:val="24"/>
        </w:rPr>
        <w:t>“</w:t>
      </w:r>
      <w:r>
        <w:rPr>
          <w:color w:val="000000" w:themeColor="text1"/>
          <w:sz w:val="24"/>
          <w:szCs w:val="24"/>
        </w:rPr>
        <w:t>重庆涪陵国家级页岩气示范区</w:t>
      </w:r>
      <w:r>
        <w:rPr>
          <w:color w:val="000000" w:themeColor="text1"/>
          <w:sz w:val="24"/>
          <w:szCs w:val="24"/>
        </w:rPr>
        <w:t>”</w:t>
      </w:r>
      <w:r>
        <w:rPr>
          <w:color w:val="000000" w:themeColor="text1"/>
          <w:sz w:val="24"/>
          <w:szCs w:val="24"/>
        </w:rPr>
        <w:t>。</w:t>
      </w:r>
      <w:r>
        <w:rPr>
          <w:color w:val="000000" w:themeColor="text1"/>
          <w:sz w:val="24"/>
          <w:szCs w:val="24"/>
        </w:rPr>
        <w:t>2014</w:t>
      </w:r>
      <w:r>
        <w:rPr>
          <w:color w:val="000000" w:themeColor="text1"/>
          <w:sz w:val="24"/>
          <w:szCs w:val="24"/>
        </w:rPr>
        <w:t>年</w:t>
      </w:r>
      <w:r>
        <w:rPr>
          <w:color w:val="000000" w:themeColor="text1"/>
          <w:sz w:val="24"/>
          <w:szCs w:val="24"/>
        </w:rPr>
        <w:t>4</w:t>
      </w:r>
      <w:r>
        <w:rPr>
          <w:color w:val="000000" w:themeColor="text1"/>
          <w:sz w:val="24"/>
          <w:szCs w:val="24"/>
        </w:rPr>
        <w:t>月</w:t>
      </w:r>
      <w:r>
        <w:rPr>
          <w:color w:val="000000" w:themeColor="text1"/>
          <w:sz w:val="24"/>
          <w:szCs w:val="24"/>
        </w:rPr>
        <w:t>21</w:t>
      </w:r>
      <w:r>
        <w:rPr>
          <w:color w:val="000000" w:themeColor="text1"/>
          <w:sz w:val="24"/>
          <w:szCs w:val="24"/>
        </w:rPr>
        <w:t>日，国土资源部宣布设立</w:t>
      </w:r>
      <w:r>
        <w:rPr>
          <w:color w:val="000000" w:themeColor="text1"/>
          <w:sz w:val="24"/>
          <w:szCs w:val="24"/>
        </w:rPr>
        <w:t>“</w:t>
      </w:r>
      <w:r>
        <w:rPr>
          <w:color w:val="000000" w:themeColor="text1"/>
          <w:sz w:val="24"/>
          <w:szCs w:val="24"/>
        </w:rPr>
        <w:t>重庆涪陵页岩气勘查开发示范基地</w:t>
      </w:r>
      <w:r>
        <w:rPr>
          <w:color w:val="000000" w:themeColor="text1"/>
          <w:sz w:val="24"/>
          <w:szCs w:val="24"/>
        </w:rPr>
        <w:t>”</w:t>
      </w:r>
      <w:r>
        <w:rPr>
          <w:color w:val="000000" w:themeColor="text1"/>
          <w:sz w:val="24"/>
          <w:szCs w:val="24"/>
        </w:rPr>
        <w:t>。</w:t>
      </w:r>
      <w:r>
        <w:rPr>
          <w:color w:val="000000" w:themeColor="text1"/>
          <w:sz w:val="24"/>
          <w:szCs w:val="24"/>
        </w:rPr>
        <w:t>2015</w:t>
      </w:r>
      <w:r>
        <w:rPr>
          <w:color w:val="000000" w:themeColor="text1"/>
          <w:sz w:val="24"/>
          <w:szCs w:val="24"/>
        </w:rPr>
        <w:t>年</w:t>
      </w:r>
      <w:r>
        <w:rPr>
          <w:color w:val="000000" w:themeColor="text1"/>
          <w:sz w:val="24"/>
          <w:szCs w:val="24"/>
        </w:rPr>
        <w:t>12</w:t>
      </w:r>
      <w:r>
        <w:rPr>
          <w:color w:val="000000" w:themeColor="text1"/>
          <w:sz w:val="24"/>
          <w:szCs w:val="24"/>
        </w:rPr>
        <w:t>月，气田圆满建成一期</w:t>
      </w:r>
      <w:r>
        <w:rPr>
          <w:color w:val="000000" w:themeColor="text1"/>
          <w:sz w:val="24"/>
          <w:szCs w:val="24"/>
        </w:rPr>
        <w:t>50</w:t>
      </w:r>
      <w:r>
        <w:rPr>
          <w:color w:val="000000" w:themeColor="text1"/>
          <w:sz w:val="24"/>
          <w:szCs w:val="24"/>
        </w:rPr>
        <w:t>亿</w:t>
      </w:r>
      <w:r>
        <w:rPr>
          <w:rFonts w:hint="eastAsia"/>
          <w:color w:val="000000" w:themeColor="text1"/>
          <w:sz w:val="24"/>
          <w:szCs w:val="24"/>
        </w:rPr>
        <w:t>m</w:t>
      </w:r>
      <w:r>
        <w:rPr>
          <w:rFonts w:hint="eastAsia"/>
          <w:color w:val="000000" w:themeColor="text1"/>
          <w:sz w:val="24"/>
          <w:szCs w:val="24"/>
          <w:vertAlign w:val="superscript"/>
        </w:rPr>
        <w:t>3</w:t>
      </w:r>
      <w:r>
        <w:rPr>
          <w:color w:val="000000" w:themeColor="text1"/>
          <w:sz w:val="24"/>
          <w:szCs w:val="24"/>
        </w:rPr>
        <w:t>生产能力。</w:t>
      </w:r>
      <w:r>
        <w:rPr>
          <w:color w:val="000000" w:themeColor="text1"/>
          <w:sz w:val="24"/>
          <w:szCs w:val="24"/>
        </w:rPr>
        <w:t>2017</w:t>
      </w:r>
      <w:r>
        <w:rPr>
          <w:color w:val="000000" w:themeColor="text1"/>
          <w:sz w:val="24"/>
          <w:szCs w:val="24"/>
        </w:rPr>
        <w:t>年底，如期建成百亿</w:t>
      </w:r>
      <w:r>
        <w:rPr>
          <w:color w:val="000000" w:themeColor="text1"/>
          <w:sz w:val="24"/>
          <w:szCs w:val="24"/>
        </w:rPr>
        <w:t>m</w:t>
      </w:r>
      <w:r>
        <w:rPr>
          <w:color w:val="000000" w:themeColor="text1"/>
          <w:sz w:val="24"/>
          <w:szCs w:val="24"/>
          <w:vertAlign w:val="superscript"/>
        </w:rPr>
        <w:t>3</w:t>
      </w:r>
      <w:r>
        <w:rPr>
          <w:rFonts w:hint="eastAsia"/>
          <w:color w:val="000000" w:themeColor="text1"/>
          <w:sz w:val="24"/>
          <w:szCs w:val="24"/>
        </w:rPr>
        <w:t>/a</w:t>
      </w:r>
      <w:r>
        <w:rPr>
          <w:color w:val="000000" w:themeColor="text1"/>
          <w:sz w:val="24"/>
          <w:szCs w:val="24"/>
        </w:rPr>
        <w:t>产能。</w:t>
      </w:r>
      <w:r>
        <w:rPr>
          <w:color w:val="000000" w:themeColor="text1"/>
          <w:sz w:val="24"/>
          <w:szCs w:val="24"/>
        </w:rPr>
        <w:t>2018</w:t>
      </w:r>
      <w:r>
        <w:rPr>
          <w:color w:val="000000" w:themeColor="text1"/>
          <w:sz w:val="24"/>
          <w:szCs w:val="24"/>
        </w:rPr>
        <w:t>年</w:t>
      </w:r>
      <w:r>
        <w:rPr>
          <w:color w:val="000000" w:themeColor="text1"/>
          <w:sz w:val="24"/>
          <w:szCs w:val="24"/>
        </w:rPr>
        <w:t>4</w:t>
      </w:r>
      <w:r>
        <w:rPr>
          <w:color w:val="000000" w:themeColor="text1"/>
          <w:sz w:val="24"/>
          <w:szCs w:val="24"/>
        </w:rPr>
        <w:t>月</w:t>
      </w:r>
      <w:r>
        <w:rPr>
          <w:color w:val="000000" w:themeColor="text1"/>
          <w:sz w:val="24"/>
          <w:szCs w:val="24"/>
        </w:rPr>
        <w:t>18</w:t>
      </w:r>
      <w:r>
        <w:rPr>
          <w:color w:val="000000" w:themeColor="text1"/>
          <w:sz w:val="24"/>
          <w:szCs w:val="24"/>
        </w:rPr>
        <w:t>日，被集团公司、重庆市政府共同授予</w:t>
      </w:r>
      <w:r>
        <w:rPr>
          <w:color w:val="000000" w:themeColor="text1"/>
          <w:sz w:val="24"/>
          <w:szCs w:val="24"/>
        </w:rPr>
        <w:t>“</w:t>
      </w:r>
      <w:r>
        <w:rPr>
          <w:color w:val="000000" w:themeColor="text1"/>
          <w:sz w:val="24"/>
          <w:szCs w:val="24"/>
        </w:rPr>
        <w:t>百亿方产能基地</w:t>
      </w:r>
      <w:r>
        <w:rPr>
          <w:color w:val="000000" w:themeColor="text1"/>
          <w:sz w:val="24"/>
          <w:szCs w:val="24"/>
        </w:rPr>
        <w:t>”</w:t>
      </w:r>
      <w:r>
        <w:rPr>
          <w:color w:val="000000" w:themeColor="text1"/>
          <w:sz w:val="24"/>
          <w:szCs w:val="24"/>
        </w:rPr>
        <w:t>称号。</w:t>
      </w:r>
      <w:r>
        <w:rPr>
          <w:color w:val="000000" w:themeColor="text1"/>
          <w:sz w:val="24"/>
          <w:szCs w:val="24"/>
        </w:rPr>
        <w:t>2018</w:t>
      </w:r>
      <w:r>
        <w:rPr>
          <w:color w:val="000000" w:themeColor="text1"/>
          <w:sz w:val="24"/>
          <w:szCs w:val="24"/>
        </w:rPr>
        <w:t>年</w:t>
      </w:r>
      <w:r>
        <w:rPr>
          <w:color w:val="000000" w:themeColor="text1"/>
          <w:sz w:val="24"/>
          <w:szCs w:val="24"/>
        </w:rPr>
        <w:t>10</w:t>
      </w:r>
      <w:r>
        <w:rPr>
          <w:color w:val="000000" w:themeColor="text1"/>
          <w:sz w:val="24"/>
          <w:szCs w:val="24"/>
        </w:rPr>
        <w:t>月</w:t>
      </w:r>
      <w:r>
        <w:rPr>
          <w:color w:val="000000" w:themeColor="text1"/>
          <w:sz w:val="24"/>
          <w:szCs w:val="24"/>
        </w:rPr>
        <w:t>6</w:t>
      </w:r>
      <w:r>
        <w:rPr>
          <w:color w:val="000000" w:themeColor="text1"/>
          <w:sz w:val="24"/>
          <w:szCs w:val="24"/>
        </w:rPr>
        <w:t>日，累计产气突破</w:t>
      </w:r>
      <w:r>
        <w:rPr>
          <w:color w:val="000000" w:themeColor="text1"/>
          <w:sz w:val="24"/>
          <w:szCs w:val="24"/>
        </w:rPr>
        <w:t>200</w:t>
      </w:r>
      <w:r>
        <w:rPr>
          <w:color w:val="000000" w:themeColor="text1"/>
          <w:sz w:val="24"/>
          <w:szCs w:val="24"/>
        </w:rPr>
        <w:t>亿</w:t>
      </w:r>
      <w:r>
        <w:rPr>
          <w:rFonts w:hint="eastAsia"/>
          <w:color w:val="000000" w:themeColor="text1"/>
          <w:sz w:val="24"/>
          <w:szCs w:val="24"/>
        </w:rPr>
        <w:t>m</w:t>
      </w:r>
      <w:r>
        <w:rPr>
          <w:rFonts w:hint="eastAsia"/>
          <w:color w:val="000000" w:themeColor="text1"/>
          <w:sz w:val="24"/>
          <w:szCs w:val="24"/>
          <w:vertAlign w:val="superscript"/>
        </w:rPr>
        <w:t>3</w:t>
      </w:r>
      <w:r>
        <w:rPr>
          <w:color w:val="000000" w:themeColor="text1"/>
          <w:sz w:val="24"/>
          <w:szCs w:val="24"/>
        </w:rPr>
        <w:t>。</w:t>
      </w:r>
      <w:r>
        <w:rPr>
          <w:color w:val="000000" w:themeColor="text1"/>
          <w:sz w:val="24"/>
          <w:szCs w:val="24"/>
        </w:rPr>
        <w:t>2020</w:t>
      </w:r>
      <w:r>
        <w:rPr>
          <w:color w:val="000000" w:themeColor="text1"/>
          <w:sz w:val="24"/>
          <w:szCs w:val="24"/>
        </w:rPr>
        <w:t>年</w:t>
      </w:r>
      <w:r>
        <w:rPr>
          <w:color w:val="000000" w:themeColor="text1"/>
          <w:sz w:val="24"/>
          <w:szCs w:val="24"/>
        </w:rPr>
        <w:t>5</w:t>
      </w:r>
      <w:r>
        <w:rPr>
          <w:color w:val="000000" w:themeColor="text1"/>
          <w:sz w:val="24"/>
          <w:szCs w:val="24"/>
        </w:rPr>
        <w:t>月</w:t>
      </w:r>
      <w:r>
        <w:rPr>
          <w:color w:val="000000" w:themeColor="text1"/>
          <w:sz w:val="24"/>
          <w:szCs w:val="24"/>
        </w:rPr>
        <w:t>11</w:t>
      </w:r>
      <w:r>
        <w:rPr>
          <w:color w:val="000000" w:themeColor="text1"/>
          <w:sz w:val="24"/>
          <w:szCs w:val="24"/>
        </w:rPr>
        <w:t>日，累计产气突破</w:t>
      </w:r>
      <w:r>
        <w:rPr>
          <w:color w:val="000000" w:themeColor="text1"/>
          <w:sz w:val="24"/>
          <w:szCs w:val="24"/>
        </w:rPr>
        <w:t>300</w:t>
      </w:r>
      <w:r>
        <w:rPr>
          <w:color w:val="000000" w:themeColor="text1"/>
          <w:sz w:val="24"/>
          <w:szCs w:val="24"/>
        </w:rPr>
        <w:t>亿</w:t>
      </w:r>
      <w:r>
        <w:rPr>
          <w:rFonts w:hint="eastAsia"/>
          <w:color w:val="000000" w:themeColor="text1"/>
          <w:sz w:val="24"/>
          <w:szCs w:val="24"/>
        </w:rPr>
        <w:t>m</w:t>
      </w:r>
      <w:r>
        <w:rPr>
          <w:rFonts w:hint="eastAsia"/>
          <w:color w:val="000000" w:themeColor="text1"/>
          <w:sz w:val="24"/>
          <w:szCs w:val="24"/>
          <w:vertAlign w:val="superscript"/>
        </w:rPr>
        <w:t>3</w:t>
      </w:r>
      <w:r>
        <w:rPr>
          <w:color w:val="000000" w:themeColor="text1"/>
          <w:sz w:val="24"/>
          <w:szCs w:val="24"/>
        </w:rPr>
        <w:t>。</w:t>
      </w:r>
      <w:r>
        <w:rPr>
          <w:color w:val="000000" w:themeColor="text1"/>
          <w:sz w:val="24"/>
          <w:szCs w:val="24"/>
        </w:rPr>
        <w:t>2021</w:t>
      </w:r>
      <w:r>
        <w:rPr>
          <w:color w:val="000000" w:themeColor="text1"/>
          <w:sz w:val="24"/>
          <w:szCs w:val="24"/>
        </w:rPr>
        <w:t>年</w:t>
      </w:r>
      <w:r>
        <w:rPr>
          <w:color w:val="000000" w:themeColor="text1"/>
          <w:sz w:val="24"/>
          <w:szCs w:val="24"/>
        </w:rPr>
        <w:t>10</w:t>
      </w:r>
      <w:r>
        <w:rPr>
          <w:color w:val="000000" w:themeColor="text1"/>
          <w:sz w:val="24"/>
          <w:szCs w:val="24"/>
        </w:rPr>
        <w:t>月</w:t>
      </w:r>
      <w:r>
        <w:rPr>
          <w:color w:val="000000" w:themeColor="text1"/>
          <w:sz w:val="24"/>
          <w:szCs w:val="24"/>
        </w:rPr>
        <w:t>8</w:t>
      </w:r>
      <w:r>
        <w:rPr>
          <w:color w:val="000000" w:themeColor="text1"/>
          <w:sz w:val="24"/>
          <w:szCs w:val="24"/>
        </w:rPr>
        <w:t>日，累计产气突破</w:t>
      </w:r>
      <w:r>
        <w:rPr>
          <w:color w:val="000000" w:themeColor="text1"/>
          <w:sz w:val="24"/>
          <w:szCs w:val="24"/>
        </w:rPr>
        <w:t>400</w:t>
      </w:r>
      <w:r>
        <w:rPr>
          <w:color w:val="000000" w:themeColor="text1"/>
          <w:sz w:val="24"/>
          <w:szCs w:val="24"/>
        </w:rPr>
        <w:t>亿</w:t>
      </w:r>
      <w:r>
        <w:rPr>
          <w:rFonts w:hint="eastAsia"/>
          <w:color w:val="000000" w:themeColor="text1"/>
          <w:sz w:val="24"/>
          <w:szCs w:val="24"/>
        </w:rPr>
        <w:t>m</w:t>
      </w:r>
      <w:r>
        <w:rPr>
          <w:rFonts w:hint="eastAsia"/>
          <w:color w:val="000000" w:themeColor="text1"/>
          <w:sz w:val="24"/>
          <w:szCs w:val="24"/>
          <w:vertAlign w:val="superscript"/>
        </w:rPr>
        <w:t>3</w:t>
      </w:r>
      <w:r>
        <w:rPr>
          <w:color w:val="000000" w:themeColor="text1"/>
          <w:sz w:val="24"/>
          <w:szCs w:val="24"/>
        </w:rPr>
        <w:t>。</w:t>
      </w:r>
    </w:p>
    <w:p w14:paraId="3468CA48"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气田先后被授予</w:t>
      </w:r>
      <w:r>
        <w:rPr>
          <w:color w:val="000000" w:themeColor="text1"/>
          <w:sz w:val="24"/>
          <w:szCs w:val="24"/>
        </w:rPr>
        <w:t>“</w:t>
      </w:r>
      <w:r>
        <w:rPr>
          <w:color w:val="000000" w:themeColor="text1"/>
          <w:sz w:val="24"/>
          <w:szCs w:val="24"/>
        </w:rPr>
        <w:t>国家级页岩气示范区</w:t>
      </w:r>
      <w:r>
        <w:rPr>
          <w:color w:val="000000" w:themeColor="text1"/>
          <w:sz w:val="24"/>
          <w:szCs w:val="24"/>
        </w:rPr>
        <w:t>”“</w:t>
      </w:r>
      <w:r>
        <w:rPr>
          <w:color w:val="000000" w:themeColor="text1"/>
          <w:sz w:val="24"/>
          <w:szCs w:val="24"/>
        </w:rPr>
        <w:t>页岩气勘查开发示范基地</w:t>
      </w:r>
      <w:r>
        <w:rPr>
          <w:color w:val="000000" w:themeColor="text1"/>
          <w:sz w:val="24"/>
          <w:szCs w:val="24"/>
        </w:rPr>
        <w:t>”“</w:t>
      </w:r>
      <w:r>
        <w:rPr>
          <w:color w:val="000000" w:themeColor="text1"/>
          <w:sz w:val="24"/>
          <w:szCs w:val="24"/>
        </w:rPr>
        <w:t>百亿方产能基地</w:t>
      </w:r>
      <w:r>
        <w:rPr>
          <w:color w:val="000000" w:themeColor="text1"/>
          <w:sz w:val="24"/>
          <w:szCs w:val="24"/>
        </w:rPr>
        <w:t>”</w:t>
      </w:r>
      <w:r>
        <w:rPr>
          <w:color w:val="000000" w:themeColor="text1"/>
          <w:sz w:val="24"/>
          <w:szCs w:val="24"/>
        </w:rPr>
        <w:t>等称号，入选新中国成立</w:t>
      </w:r>
      <w:r>
        <w:rPr>
          <w:color w:val="000000" w:themeColor="text1"/>
          <w:sz w:val="24"/>
          <w:szCs w:val="24"/>
        </w:rPr>
        <w:t>70</w:t>
      </w:r>
      <w:r>
        <w:rPr>
          <w:color w:val="000000" w:themeColor="text1"/>
          <w:sz w:val="24"/>
          <w:szCs w:val="24"/>
        </w:rPr>
        <w:t>周年百项经典工程，连续</w:t>
      </w:r>
      <w:r>
        <w:rPr>
          <w:color w:val="000000" w:themeColor="text1"/>
          <w:sz w:val="24"/>
          <w:szCs w:val="24"/>
        </w:rPr>
        <w:t>10</w:t>
      </w:r>
      <w:r>
        <w:rPr>
          <w:color w:val="000000" w:themeColor="text1"/>
          <w:sz w:val="24"/>
          <w:szCs w:val="24"/>
        </w:rPr>
        <w:t>年无井喷失控事故、无工业火灾事故、无环境污染事故、无上报安全环保责任事故。</w:t>
      </w:r>
      <w:r>
        <w:rPr>
          <w:rFonts w:hint="eastAsia"/>
          <w:color w:val="000000" w:themeColor="text1"/>
          <w:sz w:val="24"/>
          <w:szCs w:val="24"/>
        </w:rPr>
        <w:t>江东区块</w:t>
      </w:r>
      <w:r>
        <w:rPr>
          <w:color w:val="000000" w:themeColor="text1"/>
          <w:sz w:val="24"/>
          <w:szCs w:val="24"/>
        </w:rPr>
        <w:t>一期产建工程先后获评国家优质投资项目特别奖、国家优质工程金奖。涪陵页岩气公司先后荣获全国企业信用评价</w:t>
      </w:r>
      <w:r>
        <w:rPr>
          <w:color w:val="000000" w:themeColor="text1"/>
          <w:sz w:val="24"/>
          <w:szCs w:val="24"/>
        </w:rPr>
        <w:t>AAA</w:t>
      </w:r>
      <w:r>
        <w:rPr>
          <w:color w:val="000000" w:themeColor="text1"/>
          <w:sz w:val="24"/>
          <w:szCs w:val="24"/>
        </w:rPr>
        <w:t>级信用企业、全国质量管理活动优秀企业、国家非煤矿山安全生产标准化二级企业、石油和化工行业绿色工厂、重庆市五一劳动奖状、重庆企业</w:t>
      </w:r>
      <w:r>
        <w:rPr>
          <w:color w:val="000000" w:themeColor="text1"/>
          <w:sz w:val="24"/>
          <w:szCs w:val="24"/>
        </w:rPr>
        <w:t>100</w:t>
      </w:r>
      <w:r>
        <w:rPr>
          <w:color w:val="000000" w:themeColor="text1"/>
          <w:sz w:val="24"/>
          <w:szCs w:val="24"/>
        </w:rPr>
        <w:t>强、重庆市环保诚信企业，获评国家高新技术企业、全国</w:t>
      </w:r>
      <w:r>
        <w:rPr>
          <w:color w:val="000000" w:themeColor="text1"/>
          <w:sz w:val="24"/>
          <w:szCs w:val="24"/>
        </w:rPr>
        <w:t>“</w:t>
      </w:r>
      <w:r>
        <w:rPr>
          <w:color w:val="000000" w:themeColor="text1"/>
          <w:sz w:val="24"/>
          <w:szCs w:val="24"/>
        </w:rPr>
        <w:t>安康杯</w:t>
      </w:r>
      <w:r>
        <w:rPr>
          <w:color w:val="000000" w:themeColor="text1"/>
          <w:sz w:val="24"/>
          <w:szCs w:val="24"/>
        </w:rPr>
        <w:t>”</w:t>
      </w:r>
      <w:r>
        <w:rPr>
          <w:color w:val="000000" w:themeColor="text1"/>
          <w:sz w:val="24"/>
          <w:szCs w:val="24"/>
        </w:rPr>
        <w:t>竞赛优胜单位，获得中国石化红旗采气厂、中国石化先进集体等荣誉称号。《涪陵大型海相页岩气田高效勘探开发》荣获国家科技进步一等奖，</w:t>
      </w:r>
      <w:r>
        <w:rPr>
          <w:color w:val="000000" w:themeColor="text1"/>
          <w:sz w:val="24"/>
          <w:szCs w:val="24"/>
        </w:rPr>
        <w:t>“</w:t>
      </w:r>
      <w:r>
        <w:rPr>
          <w:color w:val="000000" w:themeColor="text1"/>
          <w:sz w:val="24"/>
          <w:szCs w:val="24"/>
        </w:rPr>
        <w:t>井工厂</w:t>
      </w:r>
      <w:r>
        <w:rPr>
          <w:color w:val="000000" w:themeColor="text1"/>
          <w:sz w:val="24"/>
          <w:szCs w:val="24"/>
        </w:rPr>
        <w:t>”</w:t>
      </w:r>
      <w:r>
        <w:rPr>
          <w:color w:val="000000" w:themeColor="text1"/>
          <w:sz w:val="24"/>
          <w:szCs w:val="24"/>
        </w:rPr>
        <w:t>生产组织模式入选国家《矿产资源节约与综合利用先进适用技术推广目录》。</w:t>
      </w:r>
    </w:p>
    <w:p w14:paraId="3324FF54"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生产管理单位基本情况</w:t>
      </w:r>
    </w:p>
    <w:p w14:paraId="2D6404D2" w14:textId="77777777" w:rsidR="002E0859" w:rsidRDefault="00000000">
      <w:pPr>
        <w:pStyle w:val="a0"/>
        <w:spacing w:line="360" w:lineRule="auto"/>
        <w:ind w:firstLine="480"/>
        <w:rPr>
          <w:color w:val="000000" w:themeColor="text1"/>
          <w:sz w:val="24"/>
          <w:szCs w:val="24"/>
        </w:rPr>
      </w:pPr>
      <w:bookmarkStart w:id="25" w:name="_Toc15798"/>
      <w:r>
        <w:rPr>
          <w:rFonts w:hint="eastAsia"/>
          <w:color w:val="000000" w:themeColor="text1"/>
          <w:sz w:val="24"/>
          <w:szCs w:val="24"/>
        </w:rPr>
        <w:t>涉及企业机密，不予公开。</w:t>
      </w:r>
    </w:p>
    <w:p w14:paraId="7119B4D1" w14:textId="77777777" w:rsidR="002E0859" w:rsidRDefault="00000000">
      <w:pPr>
        <w:pStyle w:val="2"/>
        <w:keepNext w:val="0"/>
        <w:keepLines w:val="0"/>
        <w:spacing w:before="120" w:after="120" w:line="360" w:lineRule="auto"/>
        <w:jc w:val="center"/>
        <w:rPr>
          <w:color w:val="000000" w:themeColor="text1"/>
        </w:rPr>
      </w:pPr>
      <w:r>
        <w:rPr>
          <w:rFonts w:hint="eastAsia"/>
          <w:color w:val="000000" w:themeColor="text1"/>
        </w:rPr>
        <w:t>自然和社会环境概况</w:t>
      </w:r>
      <w:bookmarkEnd w:id="25"/>
    </w:p>
    <w:p w14:paraId="023AAF8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地理位置</w:t>
      </w:r>
    </w:p>
    <w:p w14:paraId="206CED1E" w14:textId="77777777" w:rsidR="002E0859" w:rsidRDefault="00000000">
      <w:pPr>
        <w:pStyle w:val="a0"/>
        <w:spacing w:line="360" w:lineRule="auto"/>
        <w:ind w:firstLine="480"/>
        <w:rPr>
          <w:color w:val="000000" w:themeColor="text1"/>
          <w:sz w:val="24"/>
          <w:szCs w:val="24"/>
        </w:rPr>
      </w:pPr>
      <w:r>
        <w:rPr>
          <w:color w:val="000000" w:themeColor="text1"/>
          <w:sz w:val="24"/>
          <w:szCs w:val="24"/>
        </w:rPr>
        <w:t>涪陵地区页岩气田</w:t>
      </w:r>
      <w:r>
        <w:rPr>
          <w:rFonts w:hint="eastAsia"/>
          <w:color w:val="000000" w:themeColor="text1"/>
          <w:sz w:val="24"/>
          <w:szCs w:val="24"/>
        </w:rPr>
        <w:t>江东区块</w:t>
      </w:r>
      <w:r>
        <w:rPr>
          <w:color w:val="000000" w:themeColor="text1"/>
          <w:sz w:val="24"/>
          <w:szCs w:val="24"/>
        </w:rPr>
        <w:t>位于川东南涪陵区块南部，行政区划隶属于重庆市涪陵区焦石坝镇，地处涪陵区东部，属经济较发达区。</w:t>
      </w:r>
    </w:p>
    <w:p w14:paraId="0DD16348" w14:textId="170ACCDA" w:rsidR="002E0859" w:rsidRDefault="002E0859">
      <w:pPr>
        <w:pStyle w:val="a0"/>
        <w:spacing w:line="360" w:lineRule="auto"/>
        <w:ind w:firstLineChars="0" w:firstLine="0"/>
        <w:rPr>
          <w:color w:val="000000" w:themeColor="text1"/>
          <w:sz w:val="24"/>
          <w:szCs w:val="24"/>
        </w:rPr>
      </w:pPr>
    </w:p>
    <w:p w14:paraId="34DA814C" w14:textId="77777777" w:rsidR="002E0859" w:rsidRDefault="00000000">
      <w:pPr>
        <w:pStyle w:val="a6"/>
        <w:topLinePunct w:val="0"/>
        <w:ind w:firstLine="420"/>
        <w:rPr>
          <w:color w:val="000000" w:themeColor="text1"/>
          <w:szCs w:val="21"/>
        </w:rPr>
      </w:pPr>
      <w:r>
        <w:rPr>
          <w:rFonts w:hint="eastAsia"/>
          <w:color w:val="000000" w:themeColor="text1"/>
          <w:szCs w:val="21"/>
        </w:rPr>
        <w:t>图</w:t>
      </w:r>
      <w:r>
        <w:rPr>
          <w:rFonts w:hint="eastAsia"/>
          <w:color w:val="000000" w:themeColor="text1"/>
          <w:szCs w:val="21"/>
        </w:rPr>
        <w:t>2.2</w:t>
      </w:r>
      <w:r>
        <w:rPr>
          <w:color w:val="000000" w:themeColor="text1"/>
          <w:szCs w:val="21"/>
        </w:rPr>
        <w:noBreakHyphen/>
      </w:r>
      <w:r>
        <w:rPr>
          <w:color w:val="000000" w:themeColor="text1"/>
          <w:szCs w:val="21"/>
        </w:rPr>
        <w:fldChar w:fldCharType="begin"/>
      </w:r>
      <w:r>
        <w:rPr>
          <w:color w:val="000000" w:themeColor="text1"/>
          <w:szCs w:val="21"/>
        </w:rPr>
        <w:instrText xml:space="preserve"> </w:instrText>
      </w:r>
      <w:r>
        <w:rPr>
          <w:rFonts w:hint="eastAsia"/>
          <w:color w:val="000000" w:themeColor="text1"/>
          <w:szCs w:val="21"/>
        </w:rPr>
        <w:instrText xml:space="preserve">SEQ </w:instrText>
      </w:r>
      <w:r>
        <w:rPr>
          <w:rFonts w:hint="eastAsia"/>
          <w:color w:val="000000" w:themeColor="text1"/>
          <w:szCs w:val="21"/>
        </w:rPr>
        <w:instrText>图</w:instrText>
      </w:r>
      <w:r>
        <w:rPr>
          <w:rFonts w:hint="eastAsia"/>
          <w:color w:val="000000" w:themeColor="text1"/>
          <w:szCs w:val="21"/>
        </w:rPr>
        <w:instrText xml:space="preserve"> \* ARABIC \s 2</w:instrText>
      </w:r>
      <w:r>
        <w:rPr>
          <w:color w:val="000000" w:themeColor="text1"/>
          <w:szCs w:val="21"/>
        </w:rPr>
        <w:instrText xml:space="preserve"> </w:instrText>
      </w:r>
      <w:r>
        <w:rPr>
          <w:color w:val="000000" w:themeColor="text1"/>
          <w:szCs w:val="21"/>
        </w:rPr>
        <w:fldChar w:fldCharType="separate"/>
      </w:r>
      <w:r>
        <w:rPr>
          <w:color w:val="000000" w:themeColor="text1"/>
          <w:szCs w:val="21"/>
        </w:rPr>
        <w:t>1</w:t>
      </w:r>
      <w:r>
        <w:rPr>
          <w:color w:val="000000" w:themeColor="text1"/>
          <w:szCs w:val="21"/>
        </w:rPr>
        <w:fldChar w:fldCharType="end"/>
      </w:r>
      <w:r>
        <w:rPr>
          <w:rFonts w:hint="eastAsia"/>
          <w:color w:val="000000" w:themeColor="text1"/>
          <w:szCs w:val="21"/>
        </w:rPr>
        <w:t xml:space="preserve"> </w:t>
      </w:r>
      <w:r>
        <w:rPr>
          <w:rFonts w:hint="eastAsia"/>
          <w:color w:val="000000" w:themeColor="text1"/>
          <w:szCs w:val="21"/>
        </w:rPr>
        <w:t>本项目区域位置图</w:t>
      </w:r>
    </w:p>
    <w:p w14:paraId="3D9F06AB"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自然环境</w:t>
      </w:r>
    </w:p>
    <w:p w14:paraId="18CFA198"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气象条件</w:t>
      </w:r>
    </w:p>
    <w:p w14:paraId="70770507" w14:textId="77777777" w:rsidR="002E0859" w:rsidRDefault="00000000">
      <w:pPr>
        <w:pStyle w:val="a0"/>
        <w:spacing w:line="360" w:lineRule="auto"/>
        <w:ind w:firstLine="480"/>
        <w:rPr>
          <w:color w:val="000000" w:themeColor="text1"/>
          <w:sz w:val="24"/>
          <w:szCs w:val="24"/>
        </w:rPr>
      </w:pPr>
      <w:r>
        <w:rPr>
          <w:color w:val="000000" w:themeColor="text1"/>
          <w:sz w:val="24"/>
          <w:szCs w:val="24"/>
        </w:rPr>
        <w:t>涪陵地区属亚热带季风性湿润气候，常年平均气温</w:t>
      </w:r>
      <w:r>
        <w:rPr>
          <w:color w:val="000000" w:themeColor="text1"/>
          <w:sz w:val="24"/>
          <w:szCs w:val="24"/>
        </w:rPr>
        <w:t>15~17℃</w:t>
      </w:r>
      <w:r>
        <w:rPr>
          <w:color w:val="000000" w:themeColor="text1"/>
          <w:sz w:val="24"/>
          <w:szCs w:val="24"/>
        </w:rPr>
        <w:t>。其总的特点是：四季分明，热量充足，季风影响突出；地势由西北向东南升高，气温递降，降水递增，立体气候明显。四季特点：春早，常有</w:t>
      </w:r>
      <w:r>
        <w:rPr>
          <w:color w:val="000000" w:themeColor="text1"/>
          <w:sz w:val="24"/>
          <w:szCs w:val="24"/>
        </w:rPr>
        <w:t>“</w:t>
      </w:r>
      <w:r>
        <w:rPr>
          <w:color w:val="000000" w:themeColor="text1"/>
          <w:sz w:val="24"/>
          <w:szCs w:val="24"/>
        </w:rPr>
        <w:t>倒春寒</w:t>
      </w:r>
      <w:r>
        <w:rPr>
          <w:color w:val="000000" w:themeColor="text1"/>
          <w:sz w:val="24"/>
          <w:szCs w:val="24"/>
        </w:rPr>
        <w:t>”</w:t>
      </w:r>
      <w:r>
        <w:rPr>
          <w:color w:val="000000" w:themeColor="text1"/>
          <w:sz w:val="24"/>
          <w:szCs w:val="24"/>
        </w:rPr>
        <w:t>和局部的风雹灾害；夏长，炎热，旱涝交错，伏旱频繁；秋短，凉爽而多绵雨；冬迟，无严寒，雨雪少，常有冬干。</w:t>
      </w:r>
    </w:p>
    <w:p w14:paraId="2108E251" w14:textId="77777777" w:rsidR="002E0859" w:rsidRDefault="00000000">
      <w:pPr>
        <w:pStyle w:val="a0"/>
        <w:spacing w:line="360" w:lineRule="auto"/>
        <w:ind w:firstLine="480"/>
        <w:rPr>
          <w:color w:val="000000" w:themeColor="text1"/>
          <w:sz w:val="24"/>
          <w:szCs w:val="24"/>
        </w:rPr>
      </w:pPr>
      <w:r>
        <w:rPr>
          <w:color w:val="000000" w:themeColor="text1"/>
          <w:sz w:val="24"/>
          <w:szCs w:val="24"/>
        </w:rPr>
        <w:t>涪陵地区降水丰沛，年降水量</w:t>
      </w:r>
      <w:r>
        <w:rPr>
          <w:color w:val="000000" w:themeColor="text1"/>
          <w:sz w:val="24"/>
          <w:szCs w:val="24"/>
        </w:rPr>
        <w:t>1100</w:t>
      </w:r>
      <w:r>
        <w:rPr>
          <w:color w:val="000000" w:themeColor="text1"/>
          <w:sz w:val="24"/>
          <w:szCs w:val="24"/>
        </w:rPr>
        <w:t>至</w:t>
      </w:r>
      <w:r>
        <w:rPr>
          <w:color w:val="000000" w:themeColor="text1"/>
          <w:sz w:val="24"/>
          <w:szCs w:val="24"/>
        </w:rPr>
        <w:t>1200mm</w:t>
      </w:r>
      <w:r>
        <w:rPr>
          <w:color w:val="000000" w:themeColor="text1"/>
          <w:sz w:val="24"/>
          <w:szCs w:val="24"/>
        </w:rPr>
        <w:t>，年雨日</w:t>
      </w:r>
      <w:r>
        <w:rPr>
          <w:color w:val="000000" w:themeColor="text1"/>
          <w:sz w:val="24"/>
          <w:szCs w:val="24"/>
        </w:rPr>
        <w:t>170</w:t>
      </w:r>
      <w:r>
        <w:rPr>
          <w:color w:val="000000" w:themeColor="text1"/>
          <w:sz w:val="24"/>
          <w:szCs w:val="24"/>
        </w:rPr>
        <w:t>至</w:t>
      </w:r>
      <w:r>
        <w:rPr>
          <w:color w:val="000000" w:themeColor="text1"/>
          <w:sz w:val="24"/>
          <w:szCs w:val="24"/>
        </w:rPr>
        <w:t>190</w:t>
      </w:r>
      <w:r>
        <w:rPr>
          <w:rFonts w:hint="eastAsia"/>
          <w:color w:val="000000" w:themeColor="text1"/>
          <w:sz w:val="24"/>
          <w:szCs w:val="24"/>
        </w:rPr>
        <w:t>d</w:t>
      </w:r>
      <w:r>
        <w:rPr>
          <w:color w:val="000000" w:themeColor="text1"/>
          <w:sz w:val="24"/>
          <w:szCs w:val="24"/>
        </w:rPr>
        <w:t>左右。四季降雨量分配，夏秋两季最多，占全年的</w:t>
      </w:r>
      <w:r>
        <w:rPr>
          <w:color w:val="000000" w:themeColor="text1"/>
          <w:sz w:val="24"/>
          <w:szCs w:val="24"/>
        </w:rPr>
        <w:t>66%</w:t>
      </w:r>
      <w:r>
        <w:rPr>
          <w:color w:val="000000" w:themeColor="text1"/>
          <w:sz w:val="24"/>
          <w:szCs w:val="24"/>
        </w:rPr>
        <w:t>；冬春次之，占</w:t>
      </w:r>
      <w:r>
        <w:rPr>
          <w:color w:val="000000" w:themeColor="text1"/>
          <w:sz w:val="24"/>
          <w:szCs w:val="24"/>
        </w:rPr>
        <w:t>34%</w:t>
      </w:r>
      <w:r>
        <w:rPr>
          <w:color w:val="000000" w:themeColor="text1"/>
          <w:sz w:val="24"/>
          <w:szCs w:val="24"/>
        </w:rPr>
        <w:t>。无霜期</w:t>
      </w:r>
      <w:r>
        <w:rPr>
          <w:color w:val="000000" w:themeColor="text1"/>
          <w:sz w:val="24"/>
          <w:szCs w:val="24"/>
        </w:rPr>
        <w:t>317</w:t>
      </w:r>
      <w:r>
        <w:rPr>
          <w:rFonts w:hint="eastAsia"/>
          <w:color w:val="000000" w:themeColor="text1"/>
          <w:sz w:val="24"/>
          <w:szCs w:val="24"/>
        </w:rPr>
        <w:t>d</w:t>
      </w:r>
      <w:r>
        <w:rPr>
          <w:color w:val="000000" w:themeColor="text1"/>
          <w:sz w:val="24"/>
          <w:szCs w:val="24"/>
        </w:rPr>
        <w:t>，日照</w:t>
      </w:r>
      <w:r>
        <w:rPr>
          <w:color w:val="000000" w:themeColor="text1"/>
          <w:sz w:val="24"/>
          <w:szCs w:val="24"/>
        </w:rPr>
        <w:t>1248</w:t>
      </w:r>
      <w:r>
        <w:rPr>
          <w:rFonts w:hint="eastAsia"/>
          <w:color w:val="000000" w:themeColor="text1"/>
          <w:sz w:val="24"/>
          <w:szCs w:val="24"/>
        </w:rPr>
        <w:t>h</w:t>
      </w:r>
      <w:r>
        <w:rPr>
          <w:color w:val="000000" w:themeColor="text1"/>
          <w:sz w:val="24"/>
          <w:szCs w:val="24"/>
        </w:rPr>
        <w:t>。</w:t>
      </w:r>
    </w:p>
    <w:p w14:paraId="6CDF122B"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累年平均气温</w:t>
      </w:r>
      <w:r>
        <w:rPr>
          <w:color w:val="000000" w:themeColor="text1"/>
          <w:sz w:val="24"/>
          <w:szCs w:val="24"/>
        </w:rPr>
        <w:t>18.5℃</w:t>
      </w:r>
    </w:p>
    <w:p w14:paraId="44C8E62B" w14:textId="77777777" w:rsidR="002E0859" w:rsidRDefault="00000000">
      <w:pPr>
        <w:pStyle w:val="a0"/>
        <w:spacing w:line="360" w:lineRule="auto"/>
        <w:ind w:firstLine="480"/>
        <w:rPr>
          <w:color w:val="000000" w:themeColor="text1"/>
          <w:sz w:val="24"/>
          <w:szCs w:val="24"/>
        </w:rPr>
      </w:pPr>
      <w:r>
        <w:rPr>
          <w:color w:val="000000" w:themeColor="text1"/>
          <w:sz w:val="24"/>
          <w:szCs w:val="24"/>
        </w:rPr>
        <w:t>年极端最高温度</w:t>
      </w:r>
      <w:r>
        <w:rPr>
          <w:color w:val="000000" w:themeColor="text1"/>
          <w:sz w:val="24"/>
          <w:szCs w:val="24"/>
        </w:rPr>
        <w:t>43.0℃</w:t>
      </w:r>
    </w:p>
    <w:p w14:paraId="6A32E4D9"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年极端最低温度</w:t>
      </w:r>
      <w:r>
        <w:rPr>
          <w:color w:val="000000" w:themeColor="text1"/>
          <w:sz w:val="24"/>
          <w:szCs w:val="24"/>
        </w:rPr>
        <w:t>-2.7℃</w:t>
      </w:r>
    </w:p>
    <w:p w14:paraId="3D8241E2"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累年平均风速</w:t>
      </w:r>
      <w:r>
        <w:rPr>
          <w:color w:val="000000" w:themeColor="text1"/>
          <w:sz w:val="24"/>
          <w:szCs w:val="24"/>
        </w:rPr>
        <w:t>1.4m/s</w:t>
      </w:r>
      <w:r>
        <w:rPr>
          <w:color w:val="000000" w:themeColor="text1"/>
          <w:sz w:val="24"/>
          <w:szCs w:val="24"/>
        </w:rPr>
        <w:t>～</w:t>
      </w:r>
      <w:r>
        <w:rPr>
          <w:color w:val="000000" w:themeColor="text1"/>
          <w:sz w:val="24"/>
          <w:szCs w:val="24"/>
        </w:rPr>
        <w:t>1.7m/s</w:t>
      </w:r>
    </w:p>
    <w:p w14:paraId="492647E7" w14:textId="77777777" w:rsidR="002E0859" w:rsidRDefault="00000000">
      <w:pPr>
        <w:pStyle w:val="a0"/>
        <w:spacing w:line="360" w:lineRule="auto"/>
        <w:ind w:firstLine="480"/>
        <w:rPr>
          <w:color w:val="000000" w:themeColor="text1"/>
          <w:sz w:val="24"/>
          <w:szCs w:val="24"/>
        </w:rPr>
      </w:pPr>
      <w:r>
        <w:rPr>
          <w:color w:val="000000" w:themeColor="text1"/>
          <w:sz w:val="24"/>
          <w:szCs w:val="24"/>
        </w:rPr>
        <w:t>年最大风速</w:t>
      </w:r>
      <w:r>
        <w:rPr>
          <w:color w:val="000000" w:themeColor="text1"/>
          <w:sz w:val="24"/>
          <w:szCs w:val="24"/>
        </w:rPr>
        <w:t>24m/s</w:t>
      </w:r>
    </w:p>
    <w:p w14:paraId="5CA149B9" w14:textId="77777777" w:rsidR="002E0859" w:rsidRDefault="00000000">
      <w:pPr>
        <w:pStyle w:val="a0"/>
        <w:spacing w:line="360" w:lineRule="auto"/>
        <w:ind w:firstLine="480"/>
        <w:rPr>
          <w:color w:val="000000" w:themeColor="text1"/>
          <w:sz w:val="24"/>
          <w:szCs w:val="24"/>
        </w:rPr>
      </w:pPr>
      <w:r>
        <w:rPr>
          <w:color w:val="000000" w:themeColor="text1"/>
          <w:sz w:val="24"/>
          <w:szCs w:val="24"/>
        </w:rPr>
        <w:t>年主导风向</w:t>
      </w:r>
      <w:r>
        <w:rPr>
          <w:color w:val="000000" w:themeColor="text1"/>
          <w:sz w:val="24"/>
          <w:szCs w:val="24"/>
        </w:rPr>
        <w:t>WSW(</w:t>
      </w:r>
      <w:r>
        <w:rPr>
          <w:color w:val="000000" w:themeColor="text1"/>
          <w:sz w:val="24"/>
          <w:szCs w:val="24"/>
        </w:rPr>
        <w:t>西南西</w:t>
      </w:r>
      <w:r>
        <w:rPr>
          <w:color w:val="000000" w:themeColor="text1"/>
          <w:sz w:val="24"/>
          <w:szCs w:val="24"/>
        </w:rPr>
        <w:t>)</w:t>
      </w:r>
    </w:p>
    <w:p w14:paraId="3296321F" w14:textId="77777777" w:rsidR="002E0859" w:rsidRDefault="00000000">
      <w:pPr>
        <w:pStyle w:val="a0"/>
        <w:spacing w:line="360" w:lineRule="auto"/>
        <w:ind w:firstLine="480"/>
        <w:rPr>
          <w:color w:val="000000" w:themeColor="text1"/>
          <w:sz w:val="24"/>
          <w:szCs w:val="24"/>
        </w:rPr>
      </w:pPr>
      <w:r>
        <w:rPr>
          <w:color w:val="000000" w:themeColor="text1"/>
          <w:sz w:val="24"/>
          <w:szCs w:val="24"/>
        </w:rPr>
        <w:t>年夏季主导风向</w:t>
      </w:r>
      <w:r>
        <w:rPr>
          <w:color w:val="000000" w:themeColor="text1"/>
          <w:sz w:val="24"/>
          <w:szCs w:val="24"/>
        </w:rPr>
        <w:t>WS(</w:t>
      </w:r>
      <w:r>
        <w:rPr>
          <w:color w:val="000000" w:themeColor="text1"/>
          <w:sz w:val="24"/>
          <w:szCs w:val="24"/>
        </w:rPr>
        <w:t>西南</w:t>
      </w:r>
      <w:r>
        <w:rPr>
          <w:color w:val="000000" w:themeColor="text1"/>
          <w:sz w:val="24"/>
          <w:szCs w:val="24"/>
        </w:rPr>
        <w:t>)</w:t>
      </w:r>
    </w:p>
    <w:p w14:paraId="470DA907" w14:textId="77777777" w:rsidR="002E0859" w:rsidRDefault="00000000">
      <w:pPr>
        <w:pStyle w:val="a0"/>
        <w:spacing w:line="360" w:lineRule="auto"/>
        <w:ind w:firstLine="480"/>
        <w:rPr>
          <w:color w:val="000000" w:themeColor="text1"/>
          <w:sz w:val="24"/>
          <w:szCs w:val="24"/>
        </w:rPr>
      </w:pPr>
      <w:r>
        <w:rPr>
          <w:color w:val="000000" w:themeColor="text1"/>
          <w:sz w:val="24"/>
          <w:szCs w:val="24"/>
        </w:rPr>
        <w:t>年平均湿度</w:t>
      </w:r>
      <w:r>
        <w:rPr>
          <w:color w:val="000000" w:themeColor="text1"/>
          <w:sz w:val="24"/>
          <w:szCs w:val="24"/>
        </w:rPr>
        <w:t>66</w:t>
      </w:r>
      <w:r>
        <w:rPr>
          <w:color w:val="000000" w:themeColor="text1"/>
          <w:sz w:val="24"/>
          <w:szCs w:val="24"/>
        </w:rPr>
        <w:t>％左右</w:t>
      </w:r>
    </w:p>
    <w:p w14:paraId="721A3C3E"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累年平均气压</w:t>
      </w:r>
      <w:r>
        <w:rPr>
          <w:color w:val="000000" w:themeColor="text1"/>
          <w:sz w:val="24"/>
          <w:szCs w:val="24"/>
        </w:rPr>
        <w:t>734.6mmHg</w:t>
      </w:r>
    </w:p>
    <w:p w14:paraId="73861A65"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累年平均降雨量</w:t>
      </w:r>
      <w:r>
        <w:rPr>
          <w:color w:val="000000" w:themeColor="text1"/>
          <w:sz w:val="24"/>
          <w:szCs w:val="24"/>
        </w:rPr>
        <w:t>1056.9mm</w:t>
      </w:r>
    </w:p>
    <w:p w14:paraId="7AAF88E7" w14:textId="77777777" w:rsidR="002E0859" w:rsidRDefault="00000000">
      <w:pPr>
        <w:pStyle w:val="a0"/>
        <w:spacing w:line="360" w:lineRule="auto"/>
        <w:ind w:firstLine="480"/>
        <w:rPr>
          <w:color w:val="000000" w:themeColor="text1"/>
          <w:sz w:val="24"/>
          <w:szCs w:val="24"/>
        </w:rPr>
      </w:pPr>
      <w:r>
        <w:rPr>
          <w:color w:val="000000" w:themeColor="text1"/>
          <w:sz w:val="24"/>
          <w:szCs w:val="24"/>
        </w:rPr>
        <w:t>年最高降雨量</w:t>
      </w:r>
      <w:r>
        <w:rPr>
          <w:color w:val="000000" w:themeColor="text1"/>
          <w:sz w:val="24"/>
          <w:szCs w:val="24"/>
        </w:rPr>
        <w:t>1522.0mm</w:t>
      </w:r>
    </w:p>
    <w:p w14:paraId="3B23FBA2"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累年平均雷电日数</w:t>
      </w:r>
      <w:r>
        <w:rPr>
          <w:color w:val="000000" w:themeColor="text1"/>
          <w:sz w:val="24"/>
          <w:szCs w:val="24"/>
        </w:rPr>
        <w:t>53d</w:t>
      </w:r>
    </w:p>
    <w:p w14:paraId="6E79371D"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累年平均晴天日数</w:t>
      </w:r>
      <w:r>
        <w:rPr>
          <w:color w:val="000000" w:themeColor="text1"/>
          <w:sz w:val="24"/>
          <w:szCs w:val="24"/>
        </w:rPr>
        <w:t>50d</w:t>
      </w:r>
      <w:r>
        <w:rPr>
          <w:color w:val="000000" w:themeColor="text1"/>
          <w:sz w:val="24"/>
          <w:szCs w:val="24"/>
        </w:rPr>
        <w:t>～</w:t>
      </w:r>
      <w:r>
        <w:rPr>
          <w:color w:val="000000" w:themeColor="text1"/>
          <w:sz w:val="24"/>
          <w:szCs w:val="24"/>
        </w:rPr>
        <w:t>150d</w:t>
      </w:r>
    </w:p>
    <w:p w14:paraId="3B443564" w14:textId="77777777" w:rsidR="002E0859" w:rsidRDefault="00000000">
      <w:pPr>
        <w:pStyle w:val="a0"/>
        <w:spacing w:line="360" w:lineRule="auto"/>
        <w:ind w:firstLine="480"/>
        <w:rPr>
          <w:color w:val="000000" w:themeColor="text1"/>
          <w:sz w:val="24"/>
          <w:szCs w:val="24"/>
        </w:rPr>
      </w:pPr>
      <w:r>
        <w:rPr>
          <w:color w:val="000000" w:themeColor="text1"/>
          <w:sz w:val="24"/>
          <w:szCs w:val="24"/>
        </w:rPr>
        <w:t>累年平均雾天日数</w:t>
      </w:r>
      <w:r>
        <w:rPr>
          <w:color w:val="000000" w:themeColor="text1"/>
          <w:sz w:val="24"/>
          <w:szCs w:val="24"/>
        </w:rPr>
        <w:t>10d</w:t>
      </w:r>
      <w:r>
        <w:rPr>
          <w:color w:val="000000" w:themeColor="text1"/>
          <w:sz w:val="24"/>
          <w:szCs w:val="24"/>
        </w:rPr>
        <w:t>～</w:t>
      </w:r>
      <w:r>
        <w:rPr>
          <w:color w:val="000000" w:themeColor="text1"/>
          <w:sz w:val="24"/>
          <w:szCs w:val="24"/>
        </w:rPr>
        <w:t>140d</w:t>
      </w:r>
    </w:p>
    <w:p w14:paraId="42C11FDC"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水文</w:t>
      </w:r>
    </w:p>
    <w:p w14:paraId="05F00F4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涪陵地区降水丰沛，年降水量</w:t>
      </w:r>
      <w:r>
        <w:rPr>
          <w:rFonts w:hint="eastAsia"/>
          <w:color w:val="000000" w:themeColor="text1"/>
          <w:sz w:val="24"/>
          <w:szCs w:val="24"/>
        </w:rPr>
        <w:t>1100</w:t>
      </w:r>
      <w:r>
        <w:rPr>
          <w:rFonts w:hint="eastAsia"/>
          <w:color w:val="000000" w:themeColor="text1"/>
          <w:sz w:val="24"/>
          <w:szCs w:val="24"/>
        </w:rPr>
        <w:t>至</w:t>
      </w:r>
      <w:r>
        <w:rPr>
          <w:rFonts w:hint="eastAsia"/>
          <w:color w:val="000000" w:themeColor="text1"/>
          <w:sz w:val="24"/>
          <w:szCs w:val="24"/>
        </w:rPr>
        <w:t>1200mm</w:t>
      </w:r>
      <w:r>
        <w:rPr>
          <w:rFonts w:hint="eastAsia"/>
          <w:color w:val="000000" w:themeColor="text1"/>
          <w:sz w:val="24"/>
          <w:szCs w:val="24"/>
        </w:rPr>
        <w:t>，年雨日</w:t>
      </w:r>
      <w:r>
        <w:rPr>
          <w:rFonts w:hint="eastAsia"/>
          <w:color w:val="000000" w:themeColor="text1"/>
          <w:sz w:val="24"/>
          <w:szCs w:val="24"/>
        </w:rPr>
        <w:t>170</w:t>
      </w:r>
      <w:r>
        <w:rPr>
          <w:rFonts w:hint="eastAsia"/>
          <w:color w:val="000000" w:themeColor="text1"/>
          <w:sz w:val="24"/>
          <w:szCs w:val="24"/>
        </w:rPr>
        <w:t>至</w:t>
      </w:r>
      <w:r>
        <w:rPr>
          <w:rFonts w:hint="eastAsia"/>
          <w:color w:val="000000" w:themeColor="text1"/>
          <w:sz w:val="24"/>
          <w:szCs w:val="24"/>
        </w:rPr>
        <w:t>190</w:t>
      </w:r>
      <w:r>
        <w:rPr>
          <w:rFonts w:hint="eastAsia"/>
          <w:color w:val="000000" w:themeColor="text1"/>
          <w:sz w:val="24"/>
          <w:szCs w:val="24"/>
        </w:rPr>
        <w:t>天左右。四季降雨量分配，夏秋两季最多，占全年的</w:t>
      </w:r>
      <w:r>
        <w:rPr>
          <w:rFonts w:hint="eastAsia"/>
          <w:color w:val="000000" w:themeColor="text1"/>
          <w:sz w:val="24"/>
          <w:szCs w:val="24"/>
        </w:rPr>
        <w:t>66%</w:t>
      </w:r>
      <w:r>
        <w:rPr>
          <w:rFonts w:hint="eastAsia"/>
          <w:color w:val="000000" w:themeColor="text1"/>
          <w:sz w:val="24"/>
          <w:szCs w:val="24"/>
        </w:rPr>
        <w:t>；冬春次之，占</w:t>
      </w:r>
      <w:r>
        <w:rPr>
          <w:rFonts w:hint="eastAsia"/>
          <w:color w:val="000000" w:themeColor="text1"/>
          <w:sz w:val="24"/>
          <w:szCs w:val="24"/>
        </w:rPr>
        <w:t>34%</w:t>
      </w:r>
      <w:r>
        <w:rPr>
          <w:rFonts w:hint="eastAsia"/>
          <w:color w:val="000000" w:themeColor="text1"/>
          <w:sz w:val="24"/>
          <w:szCs w:val="24"/>
        </w:rPr>
        <w:t>。无霜期</w:t>
      </w:r>
      <w:r>
        <w:rPr>
          <w:rFonts w:hint="eastAsia"/>
          <w:color w:val="000000" w:themeColor="text1"/>
          <w:sz w:val="24"/>
          <w:szCs w:val="24"/>
        </w:rPr>
        <w:t>317</w:t>
      </w:r>
      <w:r>
        <w:rPr>
          <w:rFonts w:hint="eastAsia"/>
          <w:color w:val="000000" w:themeColor="text1"/>
          <w:sz w:val="24"/>
          <w:szCs w:val="24"/>
        </w:rPr>
        <w:t>天，日照</w:t>
      </w:r>
      <w:r>
        <w:rPr>
          <w:rFonts w:hint="eastAsia"/>
          <w:color w:val="000000" w:themeColor="text1"/>
          <w:sz w:val="24"/>
          <w:szCs w:val="24"/>
        </w:rPr>
        <w:t>1248</w:t>
      </w:r>
      <w:r>
        <w:rPr>
          <w:rFonts w:hint="eastAsia"/>
          <w:color w:val="000000" w:themeColor="text1"/>
          <w:sz w:val="24"/>
          <w:szCs w:val="24"/>
        </w:rPr>
        <w:t>小时。</w:t>
      </w:r>
    </w:p>
    <w:p w14:paraId="658777F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涪陵地区境内的溪河总归长江水系。长江自西向东横贯涪陵市境北部，略成“</w:t>
      </w:r>
      <w:r>
        <w:rPr>
          <w:rFonts w:hint="eastAsia"/>
          <w:color w:val="000000" w:themeColor="text1"/>
          <w:sz w:val="24"/>
          <w:szCs w:val="24"/>
        </w:rPr>
        <w:t>W</w:t>
      </w:r>
      <w:r>
        <w:rPr>
          <w:rFonts w:hint="eastAsia"/>
          <w:color w:val="000000" w:themeColor="text1"/>
          <w:sz w:val="24"/>
          <w:szCs w:val="24"/>
        </w:rPr>
        <w:t>”形，乌江由南向北于涪陵城东汇入长江，略成“</w:t>
      </w:r>
      <w:r>
        <w:rPr>
          <w:rFonts w:hint="eastAsia"/>
          <w:color w:val="000000" w:themeColor="text1"/>
          <w:sz w:val="24"/>
          <w:szCs w:val="24"/>
        </w:rPr>
        <w:t>S</w:t>
      </w:r>
      <w:r>
        <w:rPr>
          <w:rFonts w:hint="eastAsia"/>
          <w:color w:val="000000" w:themeColor="text1"/>
          <w:sz w:val="24"/>
          <w:szCs w:val="24"/>
        </w:rPr>
        <w:t>”形，两江支流众多。按河道汇流关系分：直接汇入长江的一级支流有</w:t>
      </w:r>
      <w:r>
        <w:rPr>
          <w:rFonts w:hint="eastAsia"/>
          <w:color w:val="000000" w:themeColor="text1"/>
          <w:sz w:val="24"/>
          <w:szCs w:val="24"/>
        </w:rPr>
        <w:t>35</w:t>
      </w:r>
      <w:r>
        <w:rPr>
          <w:rFonts w:hint="eastAsia"/>
          <w:color w:val="000000" w:themeColor="text1"/>
          <w:sz w:val="24"/>
          <w:szCs w:val="24"/>
        </w:rPr>
        <w:t>条（含乌江），直接汇入乌江的一级支流有</w:t>
      </w:r>
      <w:r>
        <w:rPr>
          <w:rFonts w:hint="eastAsia"/>
          <w:color w:val="000000" w:themeColor="text1"/>
          <w:sz w:val="24"/>
          <w:szCs w:val="24"/>
        </w:rPr>
        <w:t>10</w:t>
      </w:r>
      <w:r>
        <w:rPr>
          <w:rFonts w:hint="eastAsia"/>
          <w:color w:val="000000" w:themeColor="text1"/>
          <w:sz w:val="24"/>
          <w:szCs w:val="24"/>
        </w:rPr>
        <w:t>条。其中流域面积大于</w:t>
      </w:r>
      <w:r>
        <w:rPr>
          <w:rFonts w:hint="eastAsia"/>
          <w:color w:val="000000" w:themeColor="text1"/>
          <w:sz w:val="24"/>
          <w:szCs w:val="24"/>
        </w:rPr>
        <w:t>100km</w:t>
      </w:r>
      <w:r>
        <w:rPr>
          <w:rFonts w:hint="eastAsia"/>
          <w:color w:val="000000" w:themeColor="text1"/>
          <w:sz w:val="24"/>
          <w:szCs w:val="24"/>
          <w:vertAlign w:val="superscript"/>
        </w:rPr>
        <w:t>2</w:t>
      </w:r>
      <w:r>
        <w:rPr>
          <w:rFonts w:hint="eastAsia"/>
          <w:color w:val="000000" w:themeColor="text1"/>
          <w:sz w:val="24"/>
          <w:szCs w:val="24"/>
        </w:rPr>
        <w:t>的河流有乌江、梨香溪、小溪、渠溪河等</w:t>
      </w:r>
      <w:r>
        <w:rPr>
          <w:rFonts w:hint="eastAsia"/>
          <w:color w:val="000000" w:themeColor="text1"/>
          <w:sz w:val="24"/>
          <w:szCs w:val="24"/>
        </w:rPr>
        <w:t>12</w:t>
      </w:r>
      <w:r>
        <w:rPr>
          <w:rFonts w:hint="eastAsia"/>
          <w:color w:val="000000" w:themeColor="text1"/>
          <w:sz w:val="24"/>
          <w:szCs w:val="24"/>
        </w:rPr>
        <w:t>条。境内河流大多为雨源补给型，径流因季风降水而比较丰富，多夏洪秋汛，暴涨暴落，水位变幅大。</w:t>
      </w:r>
    </w:p>
    <w:p w14:paraId="19119EF7"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地形地貌</w:t>
      </w:r>
    </w:p>
    <w:p w14:paraId="540C1C9B" w14:textId="77777777" w:rsidR="002E0859" w:rsidRDefault="00000000">
      <w:pPr>
        <w:pStyle w:val="a0"/>
        <w:spacing w:line="360" w:lineRule="auto"/>
        <w:ind w:firstLine="480"/>
        <w:rPr>
          <w:color w:val="000000" w:themeColor="text1"/>
        </w:rPr>
      </w:pPr>
      <w:r>
        <w:rPr>
          <w:rFonts w:hint="eastAsia"/>
          <w:color w:val="000000" w:themeColor="text1"/>
          <w:sz w:val="24"/>
          <w:szCs w:val="24"/>
        </w:rPr>
        <w:t>涪陵地区地处四川盆地和盆缘山地过渡地带，境内地势以低山丘陵为主，横跨长江南北、纵贯乌江东西两岸。地势大致东南高而西北低，西北</w:t>
      </w:r>
      <w:r>
        <w:rPr>
          <w:rFonts w:hint="eastAsia"/>
          <w:color w:val="000000" w:themeColor="text1"/>
          <w:sz w:val="24"/>
          <w:szCs w:val="24"/>
        </w:rPr>
        <w:t>-</w:t>
      </w:r>
      <w:r>
        <w:rPr>
          <w:rFonts w:hint="eastAsia"/>
          <w:color w:val="000000" w:themeColor="text1"/>
          <w:sz w:val="24"/>
          <w:szCs w:val="24"/>
        </w:rPr>
        <w:t>东南断面呈向中部长江河谷倾斜的对称马鞍状。涪陵地区海拔最高</w:t>
      </w:r>
      <w:r>
        <w:rPr>
          <w:rFonts w:hint="eastAsia"/>
          <w:color w:val="000000" w:themeColor="text1"/>
          <w:sz w:val="24"/>
          <w:szCs w:val="24"/>
        </w:rPr>
        <w:t>1977m</w:t>
      </w:r>
      <w:r>
        <w:rPr>
          <w:rFonts w:hint="eastAsia"/>
          <w:color w:val="000000" w:themeColor="text1"/>
          <w:sz w:val="24"/>
          <w:szCs w:val="24"/>
        </w:rPr>
        <w:t>，最低</w:t>
      </w:r>
      <w:r>
        <w:rPr>
          <w:rFonts w:hint="eastAsia"/>
          <w:color w:val="000000" w:themeColor="text1"/>
          <w:sz w:val="24"/>
          <w:szCs w:val="24"/>
        </w:rPr>
        <w:t>138m</w:t>
      </w:r>
      <w:r>
        <w:rPr>
          <w:rFonts w:hint="eastAsia"/>
          <w:color w:val="000000" w:themeColor="text1"/>
          <w:sz w:val="24"/>
          <w:szCs w:val="24"/>
        </w:rPr>
        <w:t>，多在</w:t>
      </w:r>
      <w:r>
        <w:rPr>
          <w:rFonts w:hint="eastAsia"/>
          <w:color w:val="000000" w:themeColor="text1"/>
          <w:sz w:val="24"/>
          <w:szCs w:val="24"/>
        </w:rPr>
        <w:t>200</w:t>
      </w:r>
      <w:r>
        <w:rPr>
          <w:rFonts w:hint="eastAsia"/>
          <w:color w:val="000000" w:themeColor="text1"/>
          <w:sz w:val="24"/>
          <w:szCs w:val="24"/>
        </w:rPr>
        <w:t>～</w:t>
      </w:r>
      <w:r>
        <w:rPr>
          <w:rFonts w:hint="eastAsia"/>
          <w:color w:val="000000" w:themeColor="text1"/>
          <w:sz w:val="24"/>
          <w:szCs w:val="24"/>
        </w:rPr>
        <w:t>800m</w:t>
      </w:r>
      <w:r>
        <w:rPr>
          <w:rFonts w:hint="eastAsia"/>
          <w:color w:val="000000" w:themeColor="text1"/>
          <w:sz w:val="24"/>
          <w:szCs w:val="24"/>
        </w:rPr>
        <w:t>之间；焦石坝地区东部为铜矿山脉，山脉南北走向，山脊呈“一山一槽二岭”形态，出露最老岩层为二叠系灰岩，山顶峰丛发育，主要山峰有：大顶山（海拔</w:t>
      </w:r>
      <w:r>
        <w:rPr>
          <w:rFonts w:hint="eastAsia"/>
          <w:color w:val="000000" w:themeColor="text1"/>
          <w:sz w:val="24"/>
          <w:szCs w:val="24"/>
        </w:rPr>
        <w:t>1372m</w:t>
      </w:r>
      <w:r>
        <w:rPr>
          <w:rFonts w:hint="eastAsia"/>
          <w:color w:val="000000" w:themeColor="text1"/>
          <w:sz w:val="24"/>
          <w:szCs w:val="24"/>
        </w:rPr>
        <w:t>）、鸡石尖（</w:t>
      </w:r>
      <w:r>
        <w:rPr>
          <w:rFonts w:hint="eastAsia"/>
          <w:color w:val="000000" w:themeColor="text1"/>
          <w:sz w:val="24"/>
          <w:szCs w:val="24"/>
        </w:rPr>
        <w:t>1319m</w:t>
      </w:r>
      <w:r>
        <w:rPr>
          <w:rFonts w:hint="eastAsia"/>
          <w:color w:val="000000" w:themeColor="text1"/>
          <w:sz w:val="24"/>
          <w:szCs w:val="24"/>
        </w:rPr>
        <w:t>）、大耳山（</w:t>
      </w:r>
      <w:r>
        <w:rPr>
          <w:rFonts w:hint="eastAsia"/>
          <w:color w:val="000000" w:themeColor="text1"/>
          <w:sz w:val="24"/>
          <w:szCs w:val="24"/>
        </w:rPr>
        <w:t>1224m</w:t>
      </w:r>
      <w:r>
        <w:rPr>
          <w:rFonts w:hint="eastAsia"/>
          <w:color w:val="000000" w:themeColor="text1"/>
          <w:sz w:val="24"/>
          <w:szCs w:val="24"/>
        </w:rPr>
        <w:t>）等；工区总体为丘陵山地，具有北东高、南西低特点，海拔最高</w:t>
      </w:r>
      <w:r>
        <w:rPr>
          <w:rFonts w:hint="eastAsia"/>
          <w:color w:val="000000" w:themeColor="text1"/>
          <w:sz w:val="24"/>
          <w:szCs w:val="24"/>
        </w:rPr>
        <w:t>851m</w:t>
      </w:r>
      <w:r>
        <w:rPr>
          <w:rFonts w:hint="eastAsia"/>
          <w:color w:val="000000" w:themeColor="text1"/>
          <w:sz w:val="24"/>
          <w:szCs w:val="24"/>
        </w:rPr>
        <w:t>，最低</w:t>
      </w:r>
      <w:r>
        <w:rPr>
          <w:rFonts w:hint="eastAsia"/>
          <w:color w:val="000000" w:themeColor="text1"/>
          <w:sz w:val="24"/>
          <w:szCs w:val="24"/>
        </w:rPr>
        <w:t>200m</w:t>
      </w:r>
      <w:r>
        <w:rPr>
          <w:rFonts w:hint="eastAsia"/>
          <w:color w:val="000000" w:themeColor="text1"/>
          <w:sz w:val="24"/>
          <w:szCs w:val="24"/>
        </w:rPr>
        <w:t>，多在</w:t>
      </w:r>
      <w:r>
        <w:rPr>
          <w:rFonts w:hint="eastAsia"/>
          <w:color w:val="000000" w:themeColor="text1"/>
          <w:sz w:val="24"/>
          <w:szCs w:val="24"/>
        </w:rPr>
        <w:t>400</w:t>
      </w:r>
      <w:r>
        <w:rPr>
          <w:rFonts w:hint="eastAsia"/>
          <w:color w:val="000000" w:themeColor="text1"/>
          <w:sz w:val="24"/>
          <w:szCs w:val="24"/>
        </w:rPr>
        <w:t>～</w:t>
      </w:r>
      <w:r>
        <w:rPr>
          <w:rFonts w:hint="eastAsia"/>
          <w:color w:val="000000" w:themeColor="text1"/>
          <w:sz w:val="24"/>
          <w:szCs w:val="24"/>
        </w:rPr>
        <w:t>700m</w:t>
      </w:r>
      <w:r>
        <w:rPr>
          <w:rFonts w:hint="eastAsia"/>
          <w:color w:val="000000" w:themeColor="text1"/>
          <w:sz w:val="24"/>
          <w:szCs w:val="24"/>
        </w:rPr>
        <w:t>之间。</w:t>
      </w:r>
    </w:p>
    <w:p w14:paraId="6FB24CF5"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地质条件</w:t>
      </w:r>
    </w:p>
    <w:p w14:paraId="263F4D5D" w14:textId="77777777" w:rsidR="002E0859" w:rsidRDefault="00000000">
      <w:pPr>
        <w:widowControl/>
        <w:spacing w:line="360" w:lineRule="auto"/>
        <w:ind w:firstLine="480"/>
        <w:rPr>
          <w:color w:val="000000" w:themeColor="text1"/>
          <w:sz w:val="24"/>
          <w:szCs w:val="24"/>
        </w:rPr>
      </w:pPr>
      <w:r>
        <w:rPr>
          <w:rFonts w:hint="eastAsia"/>
          <w:color w:val="000000" w:themeColor="text1"/>
          <w:sz w:val="24"/>
          <w:szCs w:val="24"/>
        </w:rPr>
        <w:lastRenderedPageBreak/>
        <w:t>区境地质构造的基本格局形成于燕山运动的第二、三期。在喜马拉雅运动（即新构造运动）时期，地层再次受到挤压，呈间歇性上升，形成现有的地质构造形态，即川黔南北构造带向北延伸楔入川东褶皱带之中，于区境形成明显的复合构造。属川东褶皱带的地质构造主要分布于长江以北地区，包括明月峡背斜、狮子滩一沙河褶曲组、拔山寺向斜、箐口场一黄草峡背斜、珍溪向斜、大池千井背斜、丰都一忠县向斜、方斗山背斜等。其构造线方向多在北东</w:t>
      </w:r>
      <w:r>
        <w:rPr>
          <w:rFonts w:hint="eastAsia"/>
          <w:color w:val="000000" w:themeColor="text1"/>
          <w:sz w:val="24"/>
          <w:szCs w:val="24"/>
        </w:rPr>
        <w:t>15</w:t>
      </w:r>
      <w:r>
        <w:rPr>
          <w:rFonts w:hint="eastAsia"/>
          <w:color w:val="000000" w:themeColor="text1"/>
          <w:sz w:val="24"/>
          <w:szCs w:val="24"/>
        </w:rPr>
        <w:t>°至</w:t>
      </w:r>
      <w:r>
        <w:rPr>
          <w:rFonts w:hint="eastAsia"/>
          <w:color w:val="000000" w:themeColor="text1"/>
          <w:sz w:val="24"/>
          <w:szCs w:val="24"/>
        </w:rPr>
        <w:t>45</w:t>
      </w:r>
      <w:r>
        <w:rPr>
          <w:rFonts w:hint="eastAsia"/>
          <w:color w:val="000000" w:themeColor="text1"/>
          <w:sz w:val="24"/>
          <w:szCs w:val="24"/>
        </w:rPr>
        <w:t>°之间，呈雁行排列，背斜紧束，向斜宽缓，即呈隔档式褶皱。断裂一般分布于靠背斜轴部，主要有黄草峡、太平寨等逆断层。属川黔南北构造带的地质构造主要分布于长江以南（北纬</w:t>
      </w:r>
      <w:r>
        <w:rPr>
          <w:rFonts w:hint="eastAsia"/>
          <w:color w:val="000000" w:themeColor="text1"/>
          <w:sz w:val="24"/>
          <w:szCs w:val="24"/>
        </w:rPr>
        <w:t>29</w:t>
      </w:r>
      <w:r>
        <w:rPr>
          <w:rFonts w:hint="eastAsia"/>
          <w:color w:val="000000" w:themeColor="text1"/>
          <w:sz w:val="24"/>
          <w:szCs w:val="24"/>
        </w:rPr>
        <w:t>°</w:t>
      </w:r>
      <w:r>
        <w:rPr>
          <w:rFonts w:hint="eastAsia"/>
          <w:color w:val="000000" w:themeColor="text1"/>
          <w:sz w:val="24"/>
          <w:szCs w:val="24"/>
        </w:rPr>
        <w:t>50"</w:t>
      </w:r>
      <w:r>
        <w:rPr>
          <w:rFonts w:hint="eastAsia"/>
          <w:color w:val="000000" w:themeColor="text1"/>
          <w:sz w:val="24"/>
          <w:szCs w:val="24"/>
        </w:rPr>
        <w:t>以南）地区，含两个方向的褶皱，一是南北向褶皱，包括石溪向斜、四合场背斜、堡子场向斜、梓里场一勾家场背斜、土地垭向斜、大耳山背斜等，构造形态多为短轴状，两翼倾角差异较大，一般西翼陡而东翼缓。二是北东向褶皱，包括太和场背斜、凤凰寨向斜、弹子山背斜、金子山向斜、桐麻湾背斜及老场一悦来褶曲组等，多为短轴状构造，轴向多为北东</w:t>
      </w:r>
      <w:r>
        <w:rPr>
          <w:rFonts w:hint="eastAsia"/>
          <w:color w:val="000000" w:themeColor="text1"/>
          <w:sz w:val="24"/>
          <w:szCs w:val="24"/>
        </w:rPr>
        <w:t>25</w:t>
      </w:r>
      <w:r>
        <w:rPr>
          <w:rFonts w:hint="eastAsia"/>
          <w:color w:val="000000" w:themeColor="text1"/>
          <w:sz w:val="24"/>
          <w:szCs w:val="24"/>
        </w:rPr>
        <w:t>°至</w:t>
      </w:r>
      <w:r>
        <w:rPr>
          <w:rFonts w:hint="eastAsia"/>
          <w:color w:val="000000" w:themeColor="text1"/>
          <w:sz w:val="24"/>
          <w:szCs w:val="24"/>
        </w:rPr>
        <w:t>40</w:t>
      </w:r>
      <w:r>
        <w:rPr>
          <w:rFonts w:hint="eastAsia"/>
          <w:color w:val="000000" w:themeColor="text1"/>
          <w:sz w:val="24"/>
          <w:szCs w:val="24"/>
        </w:rPr>
        <w:t>°，一般北西翼陡，南东翼缓。断层分布情况大致与南北向褶皱相同，断层多沿背斜轴部分布，主要有口石逆断层、焦石坝逆断层等。</w:t>
      </w:r>
    </w:p>
    <w:p w14:paraId="6587B416"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地震烈度</w:t>
      </w:r>
    </w:p>
    <w:p w14:paraId="22149EE3" w14:textId="77777777" w:rsidR="002E0859" w:rsidRDefault="00000000">
      <w:pPr>
        <w:widowControl/>
        <w:spacing w:line="360" w:lineRule="auto"/>
        <w:ind w:firstLine="480"/>
        <w:jc w:val="left"/>
        <w:rPr>
          <w:color w:val="000000" w:themeColor="text1"/>
          <w:sz w:val="24"/>
          <w:szCs w:val="24"/>
        </w:rPr>
      </w:pPr>
      <w:r>
        <w:rPr>
          <w:rFonts w:hint="eastAsia"/>
          <w:color w:val="000000" w:themeColor="text1"/>
          <w:sz w:val="24"/>
          <w:szCs w:val="24"/>
        </w:rPr>
        <w:t>场地抗震设防烈度为</w:t>
      </w:r>
      <w:r>
        <w:rPr>
          <w:rFonts w:hint="eastAsia"/>
          <w:color w:val="000000" w:themeColor="text1"/>
          <w:sz w:val="24"/>
          <w:szCs w:val="24"/>
        </w:rPr>
        <w:t>6</w:t>
      </w:r>
      <w:r>
        <w:rPr>
          <w:rFonts w:hint="eastAsia"/>
          <w:color w:val="000000" w:themeColor="text1"/>
          <w:sz w:val="24"/>
          <w:szCs w:val="24"/>
        </w:rPr>
        <w:t>度，设计地震分组为第一组，设计基本地震加速度为</w:t>
      </w:r>
      <w:r>
        <w:rPr>
          <w:rFonts w:hint="eastAsia"/>
          <w:color w:val="000000" w:themeColor="text1"/>
          <w:sz w:val="24"/>
          <w:szCs w:val="24"/>
        </w:rPr>
        <w:t>0.05g</w:t>
      </w:r>
      <w:r>
        <w:rPr>
          <w:rFonts w:hint="eastAsia"/>
          <w:color w:val="000000" w:themeColor="text1"/>
          <w:sz w:val="24"/>
          <w:szCs w:val="24"/>
        </w:rPr>
        <w:t>。场地土类型属中硬土，场地类别为Ⅰ类，属于可进行建设的一般场地。</w:t>
      </w:r>
    </w:p>
    <w:p w14:paraId="0C203DB7" w14:textId="77777777" w:rsidR="002E0859" w:rsidRDefault="00000000">
      <w:pPr>
        <w:pStyle w:val="3"/>
        <w:keepNext w:val="0"/>
        <w:keepLines w:val="0"/>
        <w:spacing w:line="360" w:lineRule="auto"/>
        <w:ind w:left="0"/>
        <w:rPr>
          <w:color w:val="000000" w:themeColor="text1"/>
          <w:sz w:val="24"/>
          <w:szCs w:val="24"/>
        </w:rPr>
      </w:pPr>
      <w:r>
        <w:rPr>
          <w:rFonts w:hint="eastAsia"/>
          <w:color w:val="000000" w:themeColor="text1"/>
          <w:sz w:val="24"/>
          <w:szCs w:val="24"/>
        </w:rPr>
        <w:t>社会环境</w:t>
      </w:r>
    </w:p>
    <w:p w14:paraId="4BEC4163" w14:textId="77777777" w:rsidR="002E0859" w:rsidRDefault="00000000">
      <w:pPr>
        <w:widowControl/>
        <w:spacing w:line="360" w:lineRule="auto"/>
        <w:ind w:firstLine="480"/>
        <w:jc w:val="left"/>
        <w:rPr>
          <w:color w:val="000000" w:themeColor="text1"/>
          <w:sz w:val="24"/>
          <w:szCs w:val="24"/>
        </w:rPr>
      </w:pPr>
      <w:r>
        <w:rPr>
          <w:rFonts w:hint="eastAsia"/>
          <w:color w:val="000000" w:themeColor="text1"/>
          <w:sz w:val="24"/>
          <w:szCs w:val="24"/>
        </w:rPr>
        <w:t>涪陵地区交通较为方便，公路通车里程达到</w:t>
      </w:r>
      <w:r>
        <w:rPr>
          <w:rFonts w:hint="eastAsia"/>
          <w:color w:val="000000" w:themeColor="text1"/>
          <w:sz w:val="24"/>
          <w:szCs w:val="24"/>
        </w:rPr>
        <w:t>4346km</w:t>
      </w:r>
      <w:r>
        <w:rPr>
          <w:rFonts w:hint="eastAsia"/>
          <w:color w:val="000000" w:themeColor="text1"/>
          <w:sz w:val="24"/>
          <w:szCs w:val="24"/>
        </w:rPr>
        <w:t>，其中高速公路</w:t>
      </w:r>
      <w:r>
        <w:rPr>
          <w:rFonts w:hint="eastAsia"/>
          <w:color w:val="000000" w:themeColor="text1"/>
          <w:sz w:val="24"/>
          <w:szCs w:val="24"/>
        </w:rPr>
        <w:t>21km</w:t>
      </w:r>
      <w:r>
        <w:rPr>
          <w:rFonts w:hint="eastAsia"/>
          <w:color w:val="000000" w:themeColor="text1"/>
          <w:sz w:val="24"/>
          <w:szCs w:val="24"/>
        </w:rPr>
        <w:t>，涪陵城区可通过国道、省道及铁路等西至重庆、成都，东达万州、宜昌、武汉及上海，距江北国际机场约</w:t>
      </w:r>
      <w:r>
        <w:rPr>
          <w:rFonts w:hint="eastAsia"/>
          <w:color w:val="000000" w:themeColor="text1"/>
          <w:sz w:val="24"/>
          <w:szCs w:val="24"/>
        </w:rPr>
        <w:t>80km</w:t>
      </w:r>
      <w:r>
        <w:rPr>
          <w:rFonts w:hint="eastAsia"/>
          <w:color w:val="000000" w:themeColor="text1"/>
          <w:sz w:val="24"/>
          <w:szCs w:val="24"/>
        </w:rPr>
        <w:t>，交通运输条件便利；涪陵地处乌江与长江汇合处，历来是川东南水上交通枢纽和乌江流域最大的物资集散地，区内港口</w:t>
      </w:r>
      <w:r>
        <w:rPr>
          <w:rFonts w:hint="eastAsia"/>
          <w:color w:val="000000" w:themeColor="text1"/>
          <w:sz w:val="24"/>
          <w:szCs w:val="24"/>
        </w:rPr>
        <w:t>23</w:t>
      </w:r>
      <w:r>
        <w:rPr>
          <w:rFonts w:hint="eastAsia"/>
          <w:color w:val="000000" w:themeColor="text1"/>
          <w:sz w:val="24"/>
          <w:szCs w:val="24"/>
        </w:rPr>
        <w:t>个，同时大型新建集装箱码头已投入使用，水运条件便利。区内各城镇间均有公路通连，全区行政村公路通达率达</w:t>
      </w:r>
      <w:r>
        <w:rPr>
          <w:rFonts w:hint="eastAsia"/>
          <w:color w:val="000000" w:themeColor="text1"/>
          <w:sz w:val="24"/>
          <w:szCs w:val="24"/>
        </w:rPr>
        <w:t>100</w:t>
      </w:r>
      <w:r>
        <w:rPr>
          <w:rFonts w:hint="eastAsia"/>
          <w:color w:val="000000" w:themeColor="text1"/>
          <w:sz w:val="24"/>
          <w:szCs w:val="24"/>
        </w:rPr>
        <w:t>％。</w:t>
      </w:r>
    </w:p>
    <w:p w14:paraId="41955DB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周边环境</w:t>
      </w:r>
    </w:p>
    <w:p w14:paraId="1A39EF48" w14:textId="77777777" w:rsidR="002E0859" w:rsidRDefault="00000000">
      <w:pPr>
        <w:pStyle w:val="4"/>
        <w:keepNext w:val="0"/>
        <w:keepLines w:val="0"/>
        <w:spacing w:line="360" w:lineRule="auto"/>
        <w:rPr>
          <w:rFonts w:ascii="宋体" w:hAnsi="宋体" w:cs="宋体"/>
          <w:snapToGrid w:val="0"/>
          <w:color w:val="000000" w:themeColor="text1"/>
          <w:kern w:val="0"/>
          <w:lang w:eastAsia="en-US"/>
        </w:rPr>
      </w:pPr>
      <w:r>
        <w:rPr>
          <w:rFonts w:hint="eastAsia"/>
          <w:color w:val="000000" w:themeColor="text1"/>
          <w:sz w:val="24"/>
          <w:szCs w:val="24"/>
        </w:rPr>
        <w:t>焦页</w:t>
      </w:r>
      <w:r>
        <w:rPr>
          <w:rFonts w:hint="eastAsia"/>
          <w:color w:val="000000" w:themeColor="text1"/>
          <w:sz w:val="24"/>
          <w:szCs w:val="24"/>
        </w:rPr>
        <w:t>90</w:t>
      </w:r>
      <w:r>
        <w:rPr>
          <w:rFonts w:hint="eastAsia"/>
          <w:color w:val="000000" w:themeColor="text1"/>
          <w:sz w:val="24"/>
          <w:szCs w:val="24"/>
        </w:rPr>
        <w:t>号</w:t>
      </w:r>
      <w:r>
        <w:rPr>
          <w:rFonts w:hint="eastAsia"/>
          <w:color w:val="000000" w:themeColor="text1"/>
          <w:sz w:val="24"/>
          <w:szCs w:val="24"/>
          <w:lang w:eastAsia="en-US"/>
        </w:rPr>
        <w:t>平台</w:t>
      </w:r>
    </w:p>
    <w:p w14:paraId="3B9D6BE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1417973" w14:textId="77777777" w:rsidR="002E0859" w:rsidRDefault="00000000">
      <w:pPr>
        <w:pStyle w:val="4"/>
        <w:keepNext w:val="0"/>
        <w:keepLines w:val="0"/>
        <w:spacing w:line="360" w:lineRule="auto"/>
        <w:rPr>
          <w:color w:val="000000" w:themeColor="text1"/>
          <w:sz w:val="24"/>
          <w:szCs w:val="24"/>
          <w:lang w:eastAsia="en-US"/>
        </w:rPr>
      </w:pPr>
      <w:r>
        <w:rPr>
          <w:rFonts w:hint="eastAsia"/>
          <w:color w:val="000000" w:themeColor="text1"/>
          <w:sz w:val="24"/>
          <w:szCs w:val="24"/>
        </w:rPr>
        <w:t>89</w:t>
      </w:r>
      <w:r>
        <w:rPr>
          <w:rFonts w:hint="eastAsia"/>
          <w:color w:val="000000" w:themeColor="text1"/>
          <w:sz w:val="24"/>
          <w:szCs w:val="24"/>
        </w:rPr>
        <w:t>号集气站</w:t>
      </w:r>
    </w:p>
    <w:p w14:paraId="67DD064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5466893"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lastRenderedPageBreak/>
        <w:t>集输管道周边</w:t>
      </w:r>
    </w:p>
    <w:p w14:paraId="19268B46" w14:textId="77777777" w:rsidR="002E0859" w:rsidRDefault="00000000">
      <w:pPr>
        <w:pStyle w:val="a0"/>
        <w:spacing w:line="360" w:lineRule="auto"/>
        <w:ind w:firstLine="480"/>
        <w:rPr>
          <w:color w:val="000000" w:themeColor="text1"/>
          <w:sz w:val="24"/>
          <w:szCs w:val="24"/>
        </w:rPr>
      </w:pPr>
      <w:bookmarkStart w:id="26" w:name="_Toc29260"/>
      <w:r>
        <w:rPr>
          <w:rFonts w:hint="eastAsia"/>
          <w:color w:val="000000" w:themeColor="text1"/>
          <w:sz w:val="24"/>
          <w:szCs w:val="24"/>
        </w:rPr>
        <w:t>涉及企业机密，不予公开。</w:t>
      </w:r>
    </w:p>
    <w:p w14:paraId="76B9B4EC" w14:textId="77777777" w:rsidR="002E0859" w:rsidRDefault="002E0859">
      <w:pPr>
        <w:pStyle w:val="a0"/>
        <w:spacing w:line="360" w:lineRule="auto"/>
        <w:ind w:firstLine="480"/>
        <w:rPr>
          <w:color w:val="000000" w:themeColor="text1"/>
          <w:sz w:val="24"/>
          <w:szCs w:val="24"/>
        </w:rPr>
      </w:pPr>
    </w:p>
    <w:p w14:paraId="4D5EC04A" w14:textId="77777777" w:rsidR="002E0859" w:rsidRDefault="002E0859">
      <w:pPr>
        <w:pStyle w:val="a0"/>
        <w:spacing w:line="360" w:lineRule="auto"/>
        <w:ind w:firstLine="480"/>
        <w:rPr>
          <w:color w:val="000000" w:themeColor="text1"/>
          <w:sz w:val="24"/>
          <w:szCs w:val="24"/>
        </w:rPr>
      </w:pPr>
    </w:p>
    <w:p w14:paraId="4703A8C8" w14:textId="77777777" w:rsidR="002E0859" w:rsidRDefault="00000000">
      <w:pPr>
        <w:pStyle w:val="2"/>
        <w:keepNext w:val="0"/>
        <w:keepLines w:val="0"/>
        <w:spacing w:before="120" w:after="120" w:line="360" w:lineRule="auto"/>
        <w:jc w:val="center"/>
        <w:rPr>
          <w:color w:val="000000" w:themeColor="text1"/>
        </w:rPr>
      </w:pPr>
      <w:r>
        <w:rPr>
          <w:rFonts w:hint="eastAsia"/>
          <w:color w:val="000000" w:themeColor="text1"/>
        </w:rPr>
        <w:t>开发方案及气藏概况</w:t>
      </w:r>
      <w:bookmarkEnd w:id="26"/>
    </w:p>
    <w:p w14:paraId="726EC896"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开发方案</w:t>
      </w:r>
    </w:p>
    <w:p w14:paraId="1F120AB8"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1、</w:t>
      </w:r>
      <w:r>
        <w:rPr>
          <w:color w:val="000000" w:themeColor="text1"/>
          <w:spacing w:val="-1"/>
          <w:sz w:val="24"/>
          <w:szCs w:val="24"/>
        </w:rPr>
        <w:t>开发技术政策</w:t>
      </w:r>
    </w:p>
    <w:p w14:paraId="123201CC"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根据开发调整井的实施效果，并结合江东现有井网，优化部署参数。</w:t>
      </w:r>
    </w:p>
    <w:p w14:paraId="237BB77E"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水平井方位：与老井方位一致，与最小水平主应力夹角小于40°；水平段长度：2000</w:t>
      </w:r>
      <w:r>
        <w:rPr>
          <w:rFonts w:eastAsia="Times New Roman"/>
          <w:color w:val="000000" w:themeColor="text1"/>
          <w:sz w:val="24"/>
          <w:szCs w:val="24"/>
        </w:rPr>
        <w:t>~</w:t>
      </w:r>
      <w:r>
        <w:rPr>
          <w:rFonts w:eastAsia="Times New Roman" w:hint="eastAsia"/>
          <w:color w:val="000000" w:themeColor="text1"/>
          <w:sz w:val="24"/>
          <w:szCs w:val="24"/>
        </w:rPr>
        <w:t>3000m为主，结合老井及地面平台适当调整；平台参数：单向布井，利用老平台布井；水平井井距：加密井与老井平面距离200</w:t>
      </w:r>
      <w:r>
        <w:rPr>
          <w:rFonts w:eastAsia="Times New Roman"/>
          <w:color w:val="000000" w:themeColor="text1"/>
          <w:sz w:val="24"/>
          <w:szCs w:val="24"/>
        </w:rPr>
        <w:t>~</w:t>
      </w:r>
      <w:r>
        <w:rPr>
          <w:rFonts w:eastAsia="Times New Roman" w:hint="eastAsia"/>
          <w:color w:val="000000" w:themeColor="text1"/>
          <w:sz w:val="24"/>
          <w:szCs w:val="24"/>
        </w:rPr>
        <w:t>300m；中上部气层井位于加密井与老井中间，距离老井平面距离150m。</w:t>
      </w:r>
    </w:p>
    <w:p w14:paraId="5C3B2215"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2、</w:t>
      </w:r>
      <w:r>
        <w:rPr>
          <w:color w:val="000000" w:themeColor="text1"/>
          <w:spacing w:val="-2"/>
          <w:sz w:val="24"/>
          <w:szCs w:val="24"/>
        </w:rPr>
        <w:t>部署目的</w:t>
      </w:r>
    </w:p>
    <w:p w14:paraId="63975A24"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按照“分区评价、滚动建产”的原则，建议在地质综合评价Ⅰ2类、埋深3500-3800m的江北3区，优先在老井可采储量高的90号井区部署1个立体开发评价井组，共2口评价井（下部加密井焦页90-5HF、中部气层井焦页90-Z1HF），评价江东区块埋深3500</w:t>
      </w:r>
      <w:r>
        <w:rPr>
          <w:rFonts w:eastAsia="Times New Roman"/>
          <w:color w:val="000000" w:themeColor="text1"/>
          <w:sz w:val="24"/>
          <w:szCs w:val="24"/>
        </w:rPr>
        <w:t>~</w:t>
      </w:r>
      <w:r>
        <w:rPr>
          <w:rFonts w:eastAsia="Times New Roman" w:hint="eastAsia"/>
          <w:color w:val="000000" w:themeColor="text1"/>
          <w:sz w:val="24"/>
          <w:szCs w:val="24"/>
        </w:rPr>
        <w:t>3800m区立体开发可行性和工程工艺适用性，为全面推进深埋区多层立体开发调整提供依据。</w:t>
      </w:r>
    </w:p>
    <w:p w14:paraId="406A011A"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3、</w:t>
      </w:r>
      <w:r>
        <w:rPr>
          <w:color w:val="000000" w:themeColor="text1"/>
          <w:spacing w:val="-2"/>
          <w:sz w:val="24"/>
          <w:szCs w:val="24"/>
        </w:rPr>
        <w:t>部署区域</w:t>
      </w:r>
    </w:p>
    <w:p w14:paraId="3DB91D1C"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焦页90号井区现有下部气层开发井4口，平均试气段长1329m，平均测试产量25.2</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4</w:t>
      </w:r>
      <w:r>
        <w:rPr>
          <w:rFonts w:eastAsia="Times New Roman" w:hint="eastAsia"/>
          <w:color w:val="000000" w:themeColor="text1"/>
          <w:sz w:val="24"/>
          <w:szCs w:val="24"/>
        </w:rPr>
        <w:t>m³/d，目前生产压力1.58MPa，日产气2.88</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4</w:t>
      </w:r>
      <w:r>
        <w:rPr>
          <w:rFonts w:eastAsia="Times New Roman" w:hint="eastAsia"/>
          <w:color w:val="000000" w:themeColor="text1"/>
          <w:sz w:val="24"/>
          <w:szCs w:val="24"/>
        </w:rPr>
        <w:t>m³/d，累计产气3.04</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m³，预测技术可采储量5.01</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m³，目前采出程度8.7%，预测采收率14.3%。</w:t>
      </w:r>
    </w:p>
    <w:p w14:paraId="019E8CC6" w14:textId="14618790" w:rsidR="002E0859" w:rsidRDefault="002E0859">
      <w:pPr>
        <w:pStyle w:val="a0"/>
        <w:spacing w:line="360" w:lineRule="auto"/>
        <w:ind w:firstLineChars="0" w:firstLine="0"/>
        <w:jc w:val="center"/>
        <w:rPr>
          <w:rFonts w:eastAsia="Times New Roman"/>
          <w:color w:val="000000" w:themeColor="text1"/>
          <w:sz w:val="24"/>
          <w:szCs w:val="24"/>
        </w:rPr>
      </w:pPr>
    </w:p>
    <w:p w14:paraId="3A8B33FD" w14:textId="77777777" w:rsidR="002E0859" w:rsidRDefault="00000000">
      <w:pPr>
        <w:pStyle w:val="a6"/>
        <w:topLinePunct w:val="0"/>
        <w:ind w:firstLine="420"/>
        <w:rPr>
          <w:color w:val="000000" w:themeColor="text1"/>
          <w:szCs w:val="21"/>
        </w:rPr>
      </w:pPr>
      <w:r>
        <w:rPr>
          <w:rFonts w:hint="eastAsia"/>
          <w:color w:val="000000" w:themeColor="text1"/>
          <w:szCs w:val="21"/>
        </w:rPr>
        <w:t>图</w:t>
      </w:r>
      <w:r>
        <w:rPr>
          <w:rFonts w:hint="eastAsia"/>
          <w:color w:val="000000" w:themeColor="text1"/>
          <w:szCs w:val="21"/>
        </w:rPr>
        <w:t xml:space="preserve">2.3-1 </w:t>
      </w:r>
      <w:r>
        <w:rPr>
          <w:rFonts w:hint="eastAsia"/>
          <w:color w:val="000000" w:themeColor="text1"/>
          <w:szCs w:val="21"/>
        </w:rPr>
        <w:t>焦页</w:t>
      </w:r>
      <w:r>
        <w:rPr>
          <w:rFonts w:hint="eastAsia"/>
          <w:color w:val="000000" w:themeColor="text1"/>
          <w:szCs w:val="21"/>
        </w:rPr>
        <w:t>90</w:t>
      </w:r>
      <w:r>
        <w:rPr>
          <w:rFonts w:hint="eastAsia"/>
          <w:color w:val="000000" w:themeColor="text1"/>
          <w:szCs w:val="21"/>
        </w:rPr>
        <w:t>号评价井组部署图</w:t>
      </w:r>
    </w:p>
    <w:p w14:paraId="09564343" w14:textId="77777777" w:rsidR="002E0859" w:rsidRDefault="00000000">
      <w:pPr>
        <w:pStyle w:val="a6"/>
        <w:topLinePunct w:val="0"/>
        <w:spacing w:line="240" w:lineRule="auto"/>
        <w:ind w:firstLine="420"/>
        <w:rPr>
          <w:color w:val="000000" w:themeColor="text1"/>
          <w:szCs w:val="21"/>
        </w:rPr>
      </w:pPr>
      <w:r>
        <w:rPr>
          <w:rFonts w:hint="eastAsia"/>
          <w:color w:val="000000" w:themeColor="text1"/>
          <w:szCs w:val="21"/>
        </w:rPr>
        <w:t>表</w:t>
      </w:r>
      <w:r>
        <w:rPr>
          <w:rFonts w:hint="eastAsia"/>
          <w:color w:val="000000" w:themeColor="text1"/>
          <w:szCs w:val="21"/>
        </w:rPr>
        <w:t xml:space="preserve">2.3-1 </w:t>
      </w:r>
      <w:r>
        <w:rPr>
          <w:rFonts w:hint="eastAsia"/>
          <w:color w:val="000000" w:themeColor="text1"/>
          <w:szCs w:val="21"/>
        </w:rPr>
        <w:t>焦页</w:t>
      </w:r>
      <w:r>
        <w:rPr>
          <w:rFonts w:hint="eastAsia"/>
          <w:color w:val="000000" w:themeColor="text1"/>
          <w:szCs w:val="21"/>
        </w:rPr>
        <w:t>90</w:t>
      </w:r>
      <w:r>
        <w:rPr>
          <w:rFonts w:hint="eastAsia"/>
          <w:color w:val="000000" w:themeColor="text1"/>
          <w:szCs w:val="21"/>
        </w:rPr>
        <w:t>号井区开发状况统计</w:t>
      </w:r>
    </w:p>
    <w:tbl>
      <w:tblPr>
        <w:tblStyle w:val="TableNormal"/>
        <w:tblW w:w="9121" w:type="dxa"/>
        <w:tblInd w:w="1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563"/>
        <w:gridCol w:w="1140"/>
        <w:gridCol w:w="314"/>
        <w:gridCol w:w="516"/>
        <w:gridCol w:w="736"/>
        <w:gridCol w:w="1107"/>
        <w:gridCol w:w="904"/>
        <w:gridCol w:w="685"/>
        <w:gridCol w:w="382"/>
        <w:gridCol w:w="1292"/>
        <w:gridCol w:w="592"/>
        <w:gridCol w:w="906"/>
      </w:tblGrid>
      <w:tr w:rsidR="002E0859" w14:paraId="7C774F4F" w14:textId="77777777">
        <w:trPr>
          <w:trHeight w:val="23"/>
        </w:trPr>
        <w:tc>
          <w:tcPr>
            <w:tcW w:w="0" w:type="auto"/>
            <w:vMerge w:val="restart"/>
            <w:tcBorders>
              <w:tl2br w:val="nil"/>
              <w:tr2bl w:val="nil"/>
            </w:tcBorders>
            <w:vAlign w:val="center"/>
          </w:tcPr>
          <w:p w14:paraId="4D5F11D1"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面积km²</w:t>
            </w:r>
          </w:p>
        </w:tc>
        <w:tc>
          <w:tcPr>
            <w:tcW w:w="1116" w:type="dxa"/>
            <w:vMerge w:val="restart"/>
            <w:tcBorders>
              <w:tl2br w:val="nil"/>
              <w:tr2bl w:val="nil"/>
            </w:tcBorders>
            <w:vAlign w:val="center"/>
          </w:tcPr>
          <w:p w14:paraId="533B6CC5"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①-⑨小层储量10</w:t>
            </w:r>
            <w:r>
              <w:rPr>
                <w:rFonts w:ascii="Times New Roman" w:eastAsia="Times New Roman" w:hAnsi="Times New Roman" w:cs="Times New Roman" w:hint="eastAsia"/>
                <w:color w:val="000000" w:themeColor="text1"/>
                <w:sz w:val="21"/>
                <w:szCs w:val="21"/>
                <w:vertAlign w:val="superscript"/>
                <w:lang w:eastAsia="zh-CN"/>
              </w:rPr>
              <w:t>8</w:t>
            </w:r>
            <w:r>
              <w:rPr>
                <w:rFonts w:ascii="Times New Roman" w:eastAsia="Times New Roman" w:hAnsi="Times New Roman" w:cs="Times New Roman" w:hint="eastAsia"/>
                <w:color w:val="000000" w:themeColor="text1"/>
                <w:sz w:val="21"/>
                <w:szCs w:val="21"/>
                <w:lang w:eastAsia="zh-CN"/>
              </w:rPr>
              <w:t>m</w:t>
            </w:r>
            <w:r>
              <w:rPr>
                <w:rFonts w:ascii="Times New Roman" w:eastAsia="Times New Roman" w:hAnsi="Times New Roman" w:cs="Times New Roman" w:hint="eastAsia"/>
                <w:color w:val="000000" w:themeColor="text1"/>
                <w:sz w:val="21"/>
                <w:szCs w:val="21"/>
                <w:vertAlign w:val="superscript"/>
                <w:lang w:eastAsia="zh-CN"/>
              </w:rPr>
              <w:t>3</w:t>
            </w:r>
          </w:p>
        </w:tc>
        <w:tc>
          <w:tcPr>
            <w:tcW w:w="311" w:type="dxa"/>
            <w:vMerge w:val="restart"/>
            <w:tcBorders>
              <w:tl2br w:val="nil"/>
              <w:tr2bl w:val="nil"/>
            </w:tcBorders>
            <w:vAlign w:val="center"/>
          </w:tcPr>
          <w:p w14:paraId="29C8A659"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序号</w:t>
            </w:r>
          </w:p>
        </w:tc>
        <w:tc>
          <w:tcPr>
            <w:tcW w:w="861" w:type="dxa"/>
            <w:vMerge w:val="restart"/>
            <w:tcBorders>
              <w:tl2br w:val="nil"/>
              <w:tr2bl w:val="nil"/>
            </w:tcBorders>
            <w:vAlign w:val="center"/>
          </w:tcPr>
          <w:p w14:paraId="11A26393"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井号</w:t>
            </w:r>
          </w:p>
        </w:tc>
        <w:tc>
          <w:tcPr>
            <w:tcW w:w="634" w:type="dxa"/>
            <w:vMerge w:val="restart"/>
            <w:tcBorders>
              <w:tl2br w:val="nil"/>
              <w:tr2bl w:val="nil"/>
            </w:tcBorders>
            <w:vAlign w:val="center"/>
          </w:tcPr>
          <w:p w14:paraId="1DD2BD92"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试气段长m</w:t>
            </w:r>
          </w:p>
        </w:tc>
        <w:tc>
          <w:tcPr>
            <w:tcW w:w="0" w:type="auto"/>
            <w:vMerge w:val="restart"/>
            <w:tcBorders>
              <w:tl2br w:val="nil"/>
              <w:tr2bl w:val="nil"/>
            </w:tcBorders>
            <w:vAlign w:val="center"/>
          </w:tcPr>
          <w:p w14:paraId="38BF423C"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测试产量10</w:t>
            </w:r>
            <w:r>
              <w:rPr>
                <w:rFonts w:ascii="Times New Roman" w:eastAsia="Times New Roman" w:hAnsi="Times New Roman" w:cs="Times New Roman" w:hint="eastAsia"/>
                <w:color w:val="000000" w:themeColor="text1"/>
                <w:sz w:val="21"/>
                <w:szCs w:val="21"/>
                <w:vertAlign w:val="superscript"/>
                <w:lang w:eastAsia="zh-CN"/>
              </w:rPr>
              <w:t>4</w:t>
            </w:r>
            <w:r>
              <w:rPr>
                <w:rFonts w:ascii="Times New Roman" w:eastAsia="Times New Roman" w:hAnsi="Times New Roman" w:cs="Times New Roman" w:hint="eastAsia"/>
                <w:color w:val="000000" w:themeColor="text1"/>
                <w:sz w:val="21"/>
                <w:szCs w:val="21"/>
                <w:lang w:eastAsia="zh-CN"/>
              </w:rPr>
              <w:t>m</w:t>
            </w:r>
            <w:r>
              <w:rPr>
                <w:rFonts w:ascii="Times New Roman" w:eastAsia="Times New Roman" w:hAnsi="Times New Roman" w:cs="Times New Roman" w:hint="eastAsia"/>
                <w:color w:val="000000" w:themeColor="text1"/>
                <w:sz w:val="21"/>
                <w:szCs w:val="21"/>
                <w:vertAlign w:val="superscript"/>
                <w:lang w:eastAsia="zh-CN"/>
              </w:rPr>
              <w:t>3</w:t>
            </w:r>
            <w:r>
              <w:rPr>
                <w:rFonts w:ascii="Times New Roman" w:eastAsia="Times New Roman" w:hAnsi="Times New Roman" w:cs="Times New Roman" w:hint="eastAsia"/>
                <w:color w:val="000000" w:themeColor="text1"/>
                <w:sz w:val="21"/>
                <w:szCs w:val="21"/>
                <w:lang w:eastAsia="zh-CN"/>
              </w:rPr>
              <w:t>/d</w:t>
            </w:r>
          </w:p>
        </w:tc>
        <w:tc>
          <w:tcPr>
            <w:tcW w:w="0" w:type="auto"/>
            <w:gridSpan w:val="3"/>
            <w:tcBorders>
              <w:tl2br w:val="nil"/>
              <w:tr2bl w:val="nil"/>
            </w:tcBorders>
            <w:vAlign w:val="center"/>
          </w:tcPr>
          <w:p w14:paraId="1C5CDA7B"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生产现状</w:t>
            </w:r>
          </w:p>
        </w:tc>
        <w:tc>
          <w:tcPr>
            <w:tcW w:w="1133" w:type="dxa"/>
            <w:vMerge w:val="restart"/>
            <w:tcBorders>
              <w:tl2br w:val="nil"/>
              <w:tr2bl w:val="nil"/>
            </w:tcBorders>
            <w:vAlign w:val="center"/>
          </w:tcPr>
          <w:p w14:paraId="31365CA1"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预测可采储量10</w:t>
            </w:r>
            <w:r>
              <w:rPr>
                <w:rFonts w:ascii="Times New Roman" w:eastAsia="Times New Roman" w:hAnsi="Times New Roman" w:cs="Times New Roman" w:hint="eastAsia"/>
                <w:color w:val="000000" w:themeColor="text1"/>
                <w:sz w:val="21"/>
                <w:szCs w:val="21"/>
                <w:vertAlign w:val="superscript"/>
                <w:lang w:eastAsia="zh-CN"/>
              </w:rPr>
              <w:t>8</w:t>
            </w:r>
            <w:r>
              <w:rPr>
                <w:rFonts w:ascii="Times New Roman" w:eastAsia="Times New Roman" w:hAnsi="Times New Roman" w:cs="Times New Roman" w:hint="eastAsia"/>
                <w:color w:val="000000" w:themeColor="text1"/>
                <w:sz w:val="21"/>
                <w:szCs w:val="21"/>
                <w:lang w:eastAsia="zh-CN"/>
              </w:rPr>
              <w:t>m</w:t>
            </w:r>
            <w:r>
              <w:rPr>
                <w:rFonts w:ascii="Times New Roman" w:eastAsia="Times New Roman" w:hAnsi="Times New Roman" w:cs="Times New Roman" w:hint="eastAsia"/>
                <w:color w:val="000000" w:themeColor="text1"/>
                <w:sz w:val="21"/>
                <w:szCs w:val="21"/>
                <w:vertAlign w:val="superscript"/>
                <w:lang w:eastAsia="zh-CN"/>
              </w:rPr>
              <w:t>3</w:t>
            </w:r>
          </w:p>
        </w:tc>
        <w:tc>
          <w:tcPr>
            <w:tcW w:w="619" w:type="dxa"/>
            <w:vMerge w:val="restart"/>
            <w:tcBorders>
              <w:tl2br w:val="nil"/>
              <w:tr2bl w:val="nil"/>
            </w:tcBorders>
            <w:vAlign w:val="center"/>
          </w:tcPr>
          <w:p w14:paraId="0D8C4BF5"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采程度%</w:t>
            </w:r>
          </w:p>
        </w:tc>
        <w:tc>
          <w:tcPr>
            <w:tcW w:w="0" w:type="auto"/>
            <w:vMerge w:val="restart"/>
            <w:tcBorders>
              <w:tl2br w:val="nil"/>
              <w:tr2bl w:val="nil"/>
            </w:tcBorders>
            <w:vAlign w:val="center"/>
          </w:tcPr>
          <w:p w14:paraId="5A4AA3B5"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预测采收率%</w:t>
            </w:r>
          </w:p>
        </w:tc>
      </w:tr>
      <w:tr w:rsidR="002E0859" w14:paraId="292721E5" w14:textId="77777777">
        <w:trPr>
          <w:trHeight w:val="23"/>
        </w:trPr>
        <w:tc>
          <w:tcPr>
            <w:tcW w:w="0" w:type="auto"/>
            <w:vMerge/>
            <w:tcBorders>
              <w:tl2br w:val="nil"/>
              <w:tr2bl w:val="nil"/>
            </w:tcBorders>
            <w:vAlign w:val="center"/>
          </w:tcPr>
          <w:p w14:paraId="082A93DF" w14:textId="77777777" w:rsidR="002E0859" w:rsidRDefault="002E0859">
            <w:pPr>
              <w:spacing w:line="240" w:lineRule="auto"/>
              <w:ind w:firstLineChars="0" w:firstLine="0"/>
              <w:jc w:val="center"/>
              <w:rPr>
                <w:rFonts w:eastAsia="Times New Roman"/>
                <w:color w:val="000000" w:themeColor="text1"/>
                <w:sz w:val="21"/>
                <w:szCs w:val="21"/>
              </w:rPr>
            </w:pPr>
          </w:p>
        </w:tc>
        <w:tc>
          <w:tcPr>
            <w:tcW w:w="1116" w:type="dxa"/>
            <w:vMerge/>
            <w:tcBorders>
              <w:tl2br w:val="nil"/>
              <w:tr2bl w:val="nil"/>
            </w:tcBorders>
            <w:vAlign w:val="center"/>
          </w:tcPr>
          <w:p w14:paraId="64778363" w14:textId="77777777" w:rsidR="002E0859" w:rsidRDefault="002E0859">
            <w:pPr>
              <w:spacing w:line="240" w:lineRule="auto"/>
              <w:ind w:firstLineChars="0" w:firstLine="0"/>
              <w:jc w:val="center"/>
              <w:rPr>
                <w:rFonts w:eastAsia="Times New Roman"/>
                <w:color w:val="000000" w:themeColor="text1"/>
                <w:sz w:val="21"/>
                <w:szCs w:val="21"/>
              </w:rPr>
            </w:pPr>
          </w:p>
        </w:tc>
        <w:tc>
          <w:tcPr>
            <w:tcW w:w="311" w:type="dxa"/>
            <w:vMerge/>
            <w:tcBorders>
              <w:tl2br w:val="nil"/>
              <w:tr2bl w:val="nil"/>
            </w:tcBorders>
            <w:vAlign w:val="center"/>
          </w:tcPr>
          <w:p w14:paraId="57F861B4" w14:textId="77777777" w:rsidR="002E0859" w:rsidRDefault="002E0859">
            <w:pPr>
              <w:spacing w:line="240" w:lineRule="auto"/>
              <w:ind w:firstLineChars="0" w:firstLine="0"/>
              <w:jc w:val="center"/>
              <w:rPr>
                <w:rFonts w:eastAsia="Times New Roman"/>
                <w:color w:val="000000" w:themeColor="text1"/>
                <w:sz w:val="21"/>
                <w:szCs w:val="21"/>
              </w:rPr>
            </w:pPr>
          </w:p>
        </w:tc>
        <w:tc>
          <w:tcPr>
            <w:tcW w:w="861" w:type="dxa"/>
            <w:vMerge/>
            <w:tcBorders>
              <w:tl2br w:val="nil"/>
              <w:tr2bl w:val="nil"/>
            </w:tcBorders>
            <w:vAlign w:val="center"/>
          </w:tcPr>
          <w:p w14:paraId="6EC91014" w14:textId="77777777" w:rsidR="002E0859" w:rsidRDefault="002E0859">
            <w:pPr>
              <w:spacing w:line="240" w:lineRule="auto"/>
              <w:ind w:firstLineChars="0" w:firstLine="0"/>
              <w:jc w:val="center"/>
              <w:rPr>
                <w:rFonts w:eastAsia="Times New Roman"/>
                <w:color w:val="000000" w:themeColor="text1"/>
                <w:sz w:val="21"/>
                <w:szCs w:val="21"/>
              </w:rPr>
            </w:pPr>
          </w:p>
        </w:tc>
        <w:tc>
          <w:tcPr>
            <w:tcW w:w="634" w:type="dxa"/>
            <w:vMerge/>
            <w:tcBorders>
              <w:tl2br w:val="nil"/>
              <w:tr2bl w:val="nil"/>
            </w:tcBorders>
            <w:vAlign w:val="center"/>
          </w:tcPr>
          <w:p w14:paraId="327AB95E"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2926066B"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tcBorders>
              <w:tl2br w:val="nil"/>
              <w:tr2bl w:val="nil"/>
            </w:tcBorders>
            <w:vAlign w:val="center"/>
          </w:tcPr>
          <w:p w14:paraId="32D10459"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生产压力MPa</w:t>
            </w:r>
          </w:p>
        </w:tc>
        <w:tc>
          <w:tcPr>
            <w:tcW w:w="0" w:type="auto"/>
            <w:tcBorders>
              <w:tl2br w:val="nil"/>
              <w:tr2bl w:val="nil"/>
            </w:tcBorders>
            <w:vAlign w:val="center"/>
          </w:tcPr>
          <w:p w14:paraId="17A09D21"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产量10</w:t>
            </w:r>
            <w:r>
              <w:rPr>
                <w:rFonts w:ascii="Times New Roman" w:eastAsia="Times New Roman" w:hAnsi="Times New Roman" w:cs="Times New Roman" w:hint="eastAsia"/>
                <w:color w:val="000000" w:themeColor="text1"/>
                <w:sz w:val="21"/>
                <w:szCs w:val="21"/>
                <w:vertAlign w:val="superscript"/>
                <w:lang w:eastAsia="zh-CN"/>
              </w:rPr>
              <w:t>4</w:t>
            </w:r>
            <w:r>
              <w:rPr>
                <w:rFonts w:ascii="Times New Roman" w:eastAsia="Times New Roman" w:hAnsi="Times New Roman" w:cs="Times New Roman" w:hint="eastAsia"/>
                <w:color w:val="000000" w:themeColor="text1"/>
                <w:sz w:val="21"/>
                <w:szCs w:val="21"/>
                <w:lang w:eastAsia="zh-CN"/>
              </w:rPr>
              <w:t>m</w:t>
            </w:r>
            <w:r>
              <w:rPr>
                <w:rFonts w:ascii="Times New Roman" w:eastAsia="Times New Roman" w:hAnsi="Times New Roman" w:cs="Times New Roman" w:hint="eastAsia"/>
                <w:color w:val="000000" w:themeColor="text1"/>
                <w:sz w:val="21"/>
                <w:szCs w:val="21"/>
                <w:vertAlign w:val="superscript"/>
                <w:lang w:eastAsia="zh-CN"/>
              </w:rPr>
              <w:t>3</w:t>
            </w:r>
          </w:p>
        </w:tc>
        <w:tc>
          <w:tcPr>
            <w:tcW w:w="0" w:type="auto"/>
            <w:tcBorders>
              <w:tl2br w:val="nil"/>
              <w:tr2bl w:val="nil"/>
            </w:tcBorders>
            <w:vAlign w:val="center"/>
          </w:tcPr>
          <w:p w14:paraId="07B8C9D1"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累产</w:t>
            </w:r>
          </w:p>
          <w:p w14:paraId="57230DB3" w14:textId="77777777" w:rsidR="002E0859" w:rsidRDefault="00000000">
            <w:pPr>
              <w:spacing w:line="240" w:lineRule="auto"/>
              <w:ind w:firstLineChars="0" w:firstLine="0"/>
              <w:rPr>
                <w:rFonts w:eastAsia="Times New Roman"/>
                <w:color w:val="000000" w:themeColor="text1"/>
                <w:sz w:val="21"/>
                <w:szCs w:val="21"/>
              </w:rPr>
            </w:pPr>
            <w:r>
              <w:rPr>
                <w:rFonts w:eastAsia="Times New Roman" w:hint="eastAsia"/>
                <w:color w:val="000000" w:themeColor="text1"/>
                <w:sz w:val="21"/>
                <w:szCs w:val="21"/>
              </w:rPr>
              <w:t>10</w:t>
            </w:r>
            <w:r>
              <w:rPr>
                <w:rFonts w:eastAsia="Times New Roman" w:hint="eastAsia"/>
                <w:color w:val="000000" w:themeColor="text1"/>
                <w:sz w:val="21"/>
                <w:szCs w:val="21"/>
                <w:vertAlign w:val="superscript"/>
              </w:rPr>
              <w:t>4</w:t>
            </w:r>
            <w:r>
              <w:rPr>
                <w:rFonts w:eastAsia="Times New Roman" w:hint="eastAsia"/>
                <w:color w:val="000000" w:themeColor="text1"/>
                <w:sz w:val="21"/>
                <w:szCs w:val="21"/>
              </w:rPr>
              <w:t>m</w:t>
            </w:r>
            <w:r>
              <w:rPr>
                <w:rFonts w:eastAsia="Times New Roman" w:hint="eastAsia"/>
                <w:color w:val="000000" w:themeColor="text1"/>
                <w:sz w:val="21"/>
                <w:szCs w:val="21"/>
                <w:vertAlign w:val="superscript"/>
              </w:rPr>
              <w:t>3</w:t>
            </w:r>
          </w:p>
        </w:tc>
        <w:tc>
          <w:tcPr>
            <w:tcW w:w="1133" w:type="dxa"/>
            <w:vMerge/>
            <w:tcBorders>
              <w:tl2br w:val="nil"/>
              <w:tr2bl w:val="nil"/>
            </w:tcBorders>
            <w:vAlign w:val="center"/>
          </w:tcPr>
          <w:p w14:paraId="76D15D65" w14:textId="77777777" w:rsidR="002E0859" w:rsidRDefault="002E0859">
            <w:pPr>
              <w:spacing w:line="240" w:lineRule="auto"/>
              <w:ind w:firstLineChars="0" w:firstLine="0"/>
              <w:jc w:val="center"/>
              <w:rPr>
                <w:rFonts w:eastAsia="Times New Roman"/>
                <w:color w:val="000000" w:themeColor="text1"/>
                <w:sz w:val="21"/>
                <w:szCs w:val="21"/>
              </w:rPr>
            </w:pPr>
          </w:p>
        </w:tc>
        <w:tc>
          <w:tcPr>
            <w:tcW w:w="619" w:type="dxa"/>
            <w:vMerge/>
            <w:tcBorders>
              <w:tl2br w:val="nil"/>
              <w:tr2bl w:val="nil"/>
            </w:tcBorders>
            <w:vAlign w:val="center"/>
          </w:tcPr>
          <w:p w14:paraId="58F8F5EF"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61FFB09B"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2BD5A1F5" w14:textId="77777777">
        <w:trPr>
          <w:trHeight w:val="23"/>
        </w:trPr>
        <w:tc>
          <w:tcPr>
            <w:tcW w:w="0" w:type="auto"/>
            <w:vMerge w:val="restart"/>
            <w:tcBorders>
              <w:tl2br w:val="nil"/>
              <w:tr2bl w:val="nil"/>
            </w:tcBorders>
            <w:vAlign w:val="center"/>
          </w:tcPr>
          <w:p w14:paraId="5D4C242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2.17</w:t>
            </w:r>
          </w:p>
        </w:tc>
        <w:tc>
          <w:tcPr>
            <w:tcW w:w="1116" w:type="dxa"/>
            <w:vMerge w:val="restart"/>
            <w:tcBorders>
              <w:tl2br w:val="nil"/>
              <w:tr2bl w:val="nil"/>
            </w:tcBorders>
            <w:vAlign w:val="center"/>
          </w:tcPr>
          <w:p w14:paraId="4D13134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22.8</w:t>
            </w:r>
          </w:p>
        </w:tc>
        <w:tc>
          <w:tcPr>
            <w:tcW w:w="311" w:type="dxa"/>
            <w:tcBorders>
              <w:tl2br w:val="nil"/>
              <w:tr2bl w:val="nil"/>
            </w:tcBorders>
            <w:vAlign w:val="center"/>
          </w:tcPr>
          <w:p w14:paraId="6FD860D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w:t>
            </w:r>
          </w:p>
        </w:tc>
        <w:tc>
          <w:tcPr>
            <w:tcW w:w="861" w:type="dxa"/>
            <w:tcBorders>
              <w:tl2br w:val="nil"/>
              <w:tr2bl w:val="nil"/>
            </w:tcBorders>
            <w:vAlign w:val="center"/>
          </w:tcPr>
          <w:p w14:paraId="5B07F936"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焦页87-5HF</w:t>
            </w:r>
          </w:p>
        </w:tc>
        <w:tc>
          <w:tcPr>
            <w:tcW w:w="634" w:type="dxa"/>
            <w:tcBorders>
              <w:tl2br w:val="nil"/>
              <w:tr2bl w:val="nil"/>
            </w:tcBorders>
            <w:vAlign w:val="center"/>
          </w:tcPr>
          <w:p w14:paraId="5BF0760A"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1299</w:t>
            </w:r>
          </w:p>
        </w:tc>
        <w:tc>
          <w:tcPr>
            <w:tcW w:w="0" w:type="auto"/>
            <w:tcBorders>
              <w:tl2br w:val="nil"/>
              <w:tr2bl w:val="nil"/>
            </w:tcBorders>
            <w:vAlign w:val="center"/>
          </w:tcPr>
          <w:p w14:paraId="32ED4D4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41.3</w:t>
            </w:r>
          </w:p>
        </w:tc>
        <w:tc>
          <w:tcPr>
            <w:tcW w:w="0" w:type="auto"/>
            <w:tcBorders>
              <w:tl2br w:val="nil"/>
              <w:tr2bl w:val="nil"/>
            </w:tcBorders>
            <w:vAlign w:val="center"/>
          </w:tcPr>
          <w:p w14:paraId="54BA68F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1.3</w:t>
            </w:r>
          </w:p>
        </w:tc>
        <w:tc>
          <w:tcPr>
            <w:tcW w:w="0" w:type="auto"/>
            <w:tcBorders>
              <w:tl2br w:val="nil"/>
              <w:tr2bl w:val="nil"/>
            </w:tcBorders>
            <w:vAlign w:val="center"/>
          </w:tcPr>
          <w:p w14:paraId="0E5ACE10"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2.90</w:t>
            </w:r>
          </w:p>
        </w:tc>
        <w:tc>
          <w:tcPr>
            <w:tcW w:w="0" w:type="auto"/>
            <w:tcBorders>
              <w:tl2br w:val="nil"/>
              <w:tr2bl w:val="nil"/>
            </w:tcBorders>
            <w:vAlign w:val="center"/>
          </w:tcPr>
          <w:p w14:paraId="4CA003F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0.75</w:t>
            </w:r>
          </w:p>
        </w:tc>
        <w:tc>
          <w:tcPr>
            <w:tcW w:w="1133" w:type="dxa"/>
            <w:tcBorders>
              <w:tl2br w:val="nil"/>
              <w:tr2bl w:val="nil"/>
            </w:tcBorders>
            <w:vAlign w:val="center"/>
          </w:tcPr>
          <w:p w14:paraId="31C517D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1.23</w:t>
            </w:r>
          </w:p>
        </w:tc>
        <w:tc>
          <w:tcPr>
            <w:tcW w:w="619" w:type="dxa"/>
            <w:vMerge w:val="restart"/>
            <w:tcBorders>
              <w:tl2br w:val="nil"/>
              <w:tr2bl w:val="nil"/>
            </w:tcBorders>
            <w:vAlign w:val="center"/>
          </w:tcPr>
          <w:p w14:paraId="713139CC"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8.7</w:t>
            </w:r>
          </w:p>
        </w:tc>
        <w:tc>
          <w:tcPr>
            <w:tcW w:w="0" w:type="auto"/>
            <w:vMerge w:val="restart"/>
            <w:tcBorders>
              <w:tl2br w:val="nil"/>
              <w:tr2bl w:val="nil"/>
            </w:tcBorders>
            <w:vAlign w:val="center"/>
          </w:tcPr>
          <w:p w14:paraId="08833003"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14.3</w:t>
            </w:r>
          </w:p>
        </w:tc>
      </w:tr>
      <w:tr w:rsidR="002E0859" w14:paraId="3E2DCE08" w14:textId="77777777">
        <w:trPr>
          <w:trHeight w:val="23"/>
        </w:trPr>
        <w:tc>
          <w:tcPr>
            <w:tcW w:w="0" w:type="auto"/>
            <w:vMerge/>
            <w:tcBorders>
              <w:tl2br w:val="nil"/>
              <w:tr2bl w:val="nil"/>
            </w:tcBorders>
            <w:vAlign w:val="center"/>
          </w:tcPr>
          <w:p w14:paraId="3DB2F6B1" w14:textId="77777777" w:rsidR="002E0859" w:rsidRDefault="002E0859">
            <w:pPr>
              <w:spacing w:line="240" w:lineRule="auto"/>
              <w:ind w:firstLineChars="0" w:firstLine="0"/>
              <w:jc w:val="center"/>
              <w:rPr>
                <w:rFonts w:eastAsia="Times New Roman"/>
                <w:color w:val="000000" w:themeColor="text1"/>
                <w:sz w:val="21"/>
                <w:szCs w:val="21"/>
              </w:rPr>
            </w:pPr>
          </w:p>
        </w:tc>
        <w:tc>
          <w:tcPr>
            <w:tcW w:w="1116" w:type="dxa"/>
            <w:vMerge/>
            <w:tcBorders>
              <w:tl2br w:val="nil"/>
              <w:tr2bl w:val="nil"/>
            </w:tcBorders>
            <w:vAlign w:val="center"/>
          </w:tcPr>
          <w:p w14:paraId="15AEB11B" w14:textId="77777777" w:rsidR="002E0859" w:rsidRDefault="002E0859">
            <w:pPr>
              <w:spacing w:line="240" w:lineRule="auto"/>
              <w:ind w:firstLineChars="0" w:firstLine="0"/>
              <w:jc w:val="center"/>
              <w:rPr>
                <w:rFonts w:eastAsia="Times New Roman"/>
                <w:color w:val="000000" w:themeColor="text1"/>
                <w:sz w:val="21"/>
                <w:szCs w:val="21"/>
              </w:rPr>
            </w:pPr>
          </w:p>
        </w:tc>
        <w:tc>
          <w:tcPr>
            <w:tcW w:w="311" w:type="dxa"/>
            <w:tcBorders>
              <w:tl2br w:val="nil"/>
              <w:tr2bl w:val="nil"/>
            </w:tcBorders>
            <w:vAlign w:val="center"/>
          </w:tcPr>
          <w:p w14:paraId="69CD1340"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w:t>
            </w:r>
          </w:p>
        </w:tc>
        <w:tc>
          <w:tcPr>
            <w:tcW w:w="861" w:type="dxa"/>
            <w:tcBorders>
              <w:tl2br w:val="nil"/>
              <w:tr2bl w:val="nil"/>
            </w:tcBorders>
            <w:vAlign w:val="center"/>
          </w:tcPr>
          <w:p w14:paraId="7B687229"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焦页87-6HF</w:t>
            </w:r>
          </w:p>
        </w:tc>
        <w:tc>
          <w:tcPr>
            <w:tcW w:w="634" w:type="dxa"/>
            <w:tcBorders>
              <w:tl2br w:val="nil"/>
              <w:tr2bl w:val="nil"/>
            </w:tcBorders>
            <w:vAlign w:val="center"/>
          </w:tcPr>
          <w:p w14:paraId="70F08F05"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1455</w:t>
            </w:r>
          </w:p>
        </w:tc>
        <w:tc>
          <w:tcPr>
            <w:tcW w:w="0" w:type="auto"/>
            <w:tcBorders>
              <w:tl2br w:val="nil"/>
              <w:tr2bl w:val="nil"/>
            </w:tcBorders>
            <w:vAlign w:val="center"/>
          </w:tcPr>
          <w:p w14:paraId="57ABA40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28.3</w:t>
            </w:r>
          </w:p>
        </w:tc>
        <w:tc>
          <w:tcPr>
            <w:tcW w:w="0" w:type="auto"/>
            <w:tcBorders>
              <w:tl2br w:val="nil"/>
              <w:tr2bl w:val="nil"/>
            </w:tcBorders>
            <w:vAlign w:val="center"/>
          </w:tcPr>
          <w:p w14:paraId="6EC0B26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1.3</w:t>
            </w:r>
          </w:p>
        </w:tc>
        <w:tc>
          <w:tcPr>
            <w:tcW w:w="0" w:type="auto"/>
            <w:tcBorders>
              <w:tl2br w:val="nil"/>
              <w:tr2bl w:val="nil"/>
            </w:tcBorders>
            <w:vAlign w:val="center"/>
          </w:tcPr>
          <w:p w14:paraId="7189F289"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3.49</w:t>
            </w:r>
          </w:p>
        </w:tc>
        <w:tc>
          <w:tcPr>
            <w:tcW w:w="0" w:type="auto"/>
            <w:tcBorders>
              <w:tl2br w:val="nil"/>
              <w:tr2bl w:val="nil"/>
            </w:tcBorders>
            <w:vAlign w:val="center"/>
          </w:tcPr>
          <w:p w14:paraId="542A642F"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0.65</w:t>
            </w:r>
          </w:p>
        </w:tc>
        <w:tc>
          <w:tcPr>
            <w:tcW w:w="1133" w:type="dxa"/>
            <w:tcBorders>
              <w:tl2br w:val="nil"/>
              <w:tr2bl w:val="nil"/>
            </w:tcBorders>
            <w:vAlign w:val="center"/>
          </w:tcPr>
          <w:p w14:paraId="795246FF"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1.30</w:t>
            </w:r>
          </w:p>
        </w:tc>
        <w:tc>
          <w:tcPr>
            <w:tcW w:w="619" w:type="dxa"/>
            <w:vMerge/>
            <w:tcBorders>
              <w:tl2br w:val="nil"/>
              <w:tr2bl w:val="nil"/>
            </w:tcBorders>
            <w:vAlign w:val="center"/>
          </w:tcPr>
          <w:p w14:paraId="647AA25D"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4FB3C232"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03D2625B" w14:textId="77777777">
        <w:trPr>
          <w:trHeight w:val="23"/>
        </w:trPr>
        <w:tc>
          <w:tcPr>
            <w:tcW w:w="0" w:type="auto"/>
            <w:vMerge/>
            <w:tcBorders>
              <w:tl2br w:val="nil"/>
              <w:tr2bl w:val="nil"/>
            </w:tcBorders>
            <w:vAlign w:val="center"/>
          </w:tcPr>
          <w:p w14:paraId="7E45E8E3" w14:textId="77777777" w:rsidR="002E0859" w:rsidRDefault="002E0859">
            <w:pPr>
              <w:spacing w:line="240" w:lineRule="auto"/>
              <w:ind w:firstLineChars="0" w:firstLine="0"/>
              <w:jc w:val="center"/>
              <w:rPr>
                <w:rFonts w:eastAsia="Times New Roman"/>
                <w:color w:val="000000" w:themeColor="text1"/>
                <w:sz w:val="21"/>
                <w:szCs w:val="21"/>
              </w:rPr>
            </w:pPr>
          </w:p>
        </w:tc>
        <w:tc>
          <w:tcPr>
            <w:tcW w:w="1116" w:type="dxa"/>
            <w:vMerge/>
            <w:tcBorders>
              <w:tl2br w:val="nil"/>
              <w:tr2bl w:val="nil"/>
            </w:tcBorders>
            <w:vAlign w:val="center"/>
          </w:tcPr>
          <w:p w14:paraId="5B044074" w14:textId="77777777" w:rsidR="002E0859" w:rsidRDefault="002E0859">
            <w:pPr>
              <w:spacing w:line="240" w:lineRule="auto"/>
              <w:ind w:firstLineChars="0" w:firstLine="0"/>
              <w:jc w:val="center"/>
              <w:rPr>
                <w:rFonts w:eastAsia="Times New Roman"/>
                <w:color w:val="000000" w:themeColor="text1"/>
                <w:sz w:val="21"/>
                <w:szCs w:val="21"/>
              </w:rPr>
            </w:pPr>
          </w:p>
        </w:tc>
        <w:tc>
          <w:tcPr>
            <w:tcW w:w="311" w:type="dxa"/>
            <w:tcBorders>
              <w:tl2br w:val="nil"/>
              <w:tr2bl w:val="nil"/>
            </w:tcBorders>
            <w:vAlign w:val="center"/>
          </w:tcPr>
          <w:p w14:paraId="4D2982DF"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3</w:t>
            </w:r>
          </w:p>
        </w:tc>
        <w:tc>
          <w:tcPr>
            <w:tcW w:w="861" w:type="dxa"/>
            <w:tcBorders>
              <w:tl2br w:val="nil"/>
              <w:tr2bl w:val="nil"/>
            </w:tcBorders>
            <w:vAlign w:val="center"/>
          </w:tcPr>
          <w:p w14:paraId="4C8E91F5"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焦页89-3HF</w:t>
            </w:r>
          </w:p>
        </w:tc>
        <w:tc>
          <w:tcPr>
            <w:tcW w:w="634" w:type="dxa"/>
            <w:tcBorders>
              <w:tl2br w:val="nil"/>
              <w:tr2bl w:val="nil"/>
            </w:tcBorders>
            <w:vAlign w:val="center"/>
          </w:tcPr>
          <w:p w14:paraId="148241E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1240</w:t>
            </w:r>
          </w:p>
        </w:tc>
        <w:tc>
          <w:tcPr>
            <w:tcW w:w="0" w:type="auto"/>
            <w:tcBorders>
              <w:tl2br w:val="nil"/>
              <w:tr2bl w:val="nil"/>
            </w:tcBorders>
            <w:vAlign w:val="center"/>
          </w:tcPr>
          <w:p w14:paraId="6426922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20.9</w:t>
            </w:r>
          </w:p>
        </w:tc>
        <w:tc>
          <w:tcPr>
            <w:tcW w:w="0" w:type="auto"/>
            <w:tcBorders>
              <w:tl2br w:val="nil"/>
              <w:tr2bl w:val="nil"/>
            </w:tcBorders>
            <w:vAlign w:val="center"/>
          </w:tcPr>
          <w:p w14:paraId="36C1E990"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1.8</w:t>
            </w:r>
          </w:p>
        </w:tc>
        <w:tc>
          <w:tcPr>
            <w:tcW w:w="0" w:type="auto"/>
            <w:tcBorders>
              <w:tl2br w:val="nil"/>
              <w:tr2bl w:val="nil"/>
            </w:tcBorders>
            <w:vAlign w:val="center"/>
          </w:tcPr>
          <w:p w14:paraId="482A1BC5"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2.68</w:t>
            </w:r>
          </w:p>
        </w:tc>
        <w:tc>
          <w:tcPr>
            <w:tcW w:w="0" w:type="auto"/>
            <w:tcBorders>
              <w:tl2br w:val="nil"/>
              <w:tr2bl w:val="nil"/>
            </w:tcBorders>
            <w:vAlign w:val="center"/>
          </w:tcPr>
          <w:p w14:paraId="127821F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0.88</w:t>
            </w:r>
          </w:p>
        </w:tc>
        <w:tc>
          <w:tcPr>
            <w:tcW w:w="1133" w:type="dxa"/>
            <w:tcBorders>
              <w:tl2br w:val="nil"/>
              <w:tr2bl w:val="nil"/>
            </w:tcBorders>
            <w:vAlign w:val="center"/>
          </w:tcPr>
          <w:p w14:paraId="25BBF2EC"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1.31</w:t>
            </w:r>
          </w:p>
        </w:tc>
        <w:tc>
          <w:tcPr>
            <w:tcW w:w="619" w:type="dxa"/>
            <w:vMerge/>
            <w:tcBorders>
              <w:tl2br w:val="nil"/>
              <w:tr2bl w:val="nil"/>
            </w:tcBorders>
            <w:vAlign w:val="center"/>
          </w:tcPr>
          <w:p w14:paraId="36631AAE"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130361FA"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25AD152F" w14:textId="77777777">
        <w:trPr>
          <w:trHeight w:val="23"/>
        </w:trPr>
        <w:tc>
          <w:tcPr>
            <w:tcW w:w="0" w:type="auto"/>
            <w:vMerge/>
            <w:tcBorders>
              <w:tl2br w:val="nil"/>
              <w:tr2bl w:val="nil"/>
            </w:tcBorders>
            <w:vAlign w:val="center"/>
          </w:tcPr>
          <w:p w14:paraId="3913E8D1" w14:textId="77777777" w:rsidR="002E0859" w:rsidRDefault="002E0859">
            <w:pPr>
              <w:spacing w:line="240" w:lineRule="auto"/>
              <w:ind w:firstLineChars="0" w:firstLine="0"/>
              <w:jc w:val="center"/>
              <w:rPr>
                <w:rFonts w:eastAsia="Times New Roman"/>
                <w:color w:val="000000" w:themeColor="text1"/>
                <w:sz w:val="21"/>
                <w:szCs w:val="21"/>
              </w:rPr>
            </w:pPr>
          </w:p>
        </w:tc>
        <w:tc>
          <w:tcPr>
            <w:tcW w:w="1116" w:type="dxa"/>
            <w:vMerge/>
            <w:tcBorders>
              <w:tl2br w:val="nil"/>
              <w:tr2bl w:val="nil"/>
            </w:tcBorders>
            <w:vAlign w:val="center"/>
          </w:tcPr>
          <w:p w14:paraId="4BD776C3" w14:textId="77777777" w:rsidR="002E0859" w:rsidRDefault="002E0859">
            <w:pPr>
              <w:spacing w:line="240" w:lineRule="auto"/>
              <w:ind w:firstLineChars="0" w:firstLine="0"/>
              <w:jc w:val="center"/>
              <w:rPr>
                <w:rFonts w:eastAsia="Times New Roman"/>
                <w:color w:val="000000" w:themeColor="text1"/>
                <w:sz w:val="21"/>
                <w:szCs w:val="21"/>
              </w:rPr>
            </w:pPr>
          </w:p>
        </w:tc>
        <w:tc>
          <w:tcPr>
            <w:tcW w:w="311" w:type="dxa"/>
            <w:tcBorders>
              <w:tl2br w:val="nil"/>
              <w:tr2bl w:val="nil"/>
            </w:tcBorders>
            <w:vAlign w:val="center"/>
          </w:tcPr>
          <w:p w14:paraId="23F3F2B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4</w:t>
            </w:r>
          </w:p>
        </w:tc>
        <w:tc>
          <w:tcPr>
            <w:tcW w:w="861" w:type="dxa"/>
            <w:tcBorders>
              <w:tl2br w:val="nil"/>
              <w:tr2bl w:val="nil"/>
            </w:tcBorders>
            <w:vAlign w:val="center"/>
          </w:tcPr>
          <w:p w14:paraId="60B2B164"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焦页90-3HF</w:t>
            </w:r>
          </w:p>
        </w:tc>
        <w:tc>
          <w:tcPr>
            <w:tcW w:w="634" w:type="dxa"/>
            <w:tcBorders>
              <w:tl2br w:val="nil"/>
              <w:tr2bl w:val="nil"/>
            </w:tcBorders>
            <w:vAlign w:val="center"/>
          </w:tcPr>
          <w:p w14:paraId="424C268A"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1320</w:t>
            </w:r>
          </w:p>
        </w:tc>
        <w:tc>
          <w:tcPr>
            <w:tcW w:w="0" w:type="auto"/>
            <w:tcBorders>
              <w:tl2br w:val="nil"/>
              <w:tr2bl w:val="nil"/>
            </w:tcBorders>
            <w:vAlign w:val="center"/>
          </w:tcPr>
          <w:p w14:paraId="7E6F547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10.3</w:t>
            </w:r>
          </w:p>
        </w:tc>
        <w:tc>
          <w:tcPr>
            <w:tcW w:w="0" w:type="auto"/>
            <w:tcBorders>
              <w:tl2br w:val="nil"/>
              <w:tr2bl w:val="nil"/>
            </w:tcBorders>
            <w:vAlign w:val="center"/>
          </w:tcPr>
          <w:p w14:paraId="100885B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w:t>
            </w:r>
          </w:p>
        </w:tc>
        <w:tc>
          <w:tcPr>
            <w:tcW w:w="0" w:type="auto"/>
            <w:tcBorders>
              <w:tl2br w:val="nil"/>
              <w:tr2bl w:val="nil"/>
            </w:tcBorders>
            <w:vAlign w:val="center"/>
          </w:tcPr>
          <w:p w14:paraId="31FE9CB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2.46</w:t>
            </w:r>
          </w:p>
        </w:tc>
        <w:tc>
          <w:tcPr>
            <w:tcW w:w="0" w:type="auto"/>
            <w:tcBorders>
              <w:tl2br w:val="nil"/>
              <w:tr2bl w:val="nil"/>
            </w:tcBorders>
            <w:vAlign w:val="center"/>
          </w:tcPr>
          <w:p w14:paraId="0FCEED2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0.76</w:t>
            </w:r>
          </w:p>
        </w:tc>
        <w:tc>
          <w:tcPr>
            <w:tcW w:w="1133" w:type="dxa"/>
            <w:tcBorders>
              <w:tl2br w:val="nil"/>
              <w:tr2bl w:val="nil"/>
            </w:tcBorders>
            <w:vAlign w:val="center"/>
          </w:tcPr>
          <w:p w14:paraId="106CAE63"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1.17</w:t>
            </w:r>
          </w:p>
        </w:tc>
        <w:tc>
          <w:tcPr>
            <w:tcW w:w="619" w:type="dxa"/>
            <w:vMerge/>
            <w:tcBorders>
              <w:tl2br w:val="nil"/>
              <w:tr2bl w:val="nil"/>
            </w:tcBorders>
            <w:vAlign w:val="center"/>
          </w:tcPr>
          <w:p w14:paraId="346ACECD"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008C6937"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7A9E5794" w14:textId="77777777">
        <w:trPr>
          <w:trHeight w:val="23"/>
        </w:trPr>
        <w:tc>
          <w:tcPr>
            <w:tcW w:w="2864" w:type="dxa"/>
            <w:gridSpan w:val="4"/>
            <w:tcBorders>
              <w:tl2br w:val="nil"/>
              <w:tr2bl w:val="nil"/>
            </w:tcBorders>
            <w:vAlign w:val="center"/>
          </w:tcPr>
          <w:p w14:paraId="7C127A5F"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平均</w:t>
            </w:r>
          </w:p>
        </w:tc>
        <w:tc>
          <w:tcPr>
            <w:tcW w:w="634" w:type="dxa"/>
            <w:tcBorders>
              <w:tl2br w:val="nil"/>
              <w:tr2bl w:val="nil"/>
            </w:tcBorders>
            <w:vAlign w:val="center"/>
          </w:tcPr>
          <w:p w14:paraId="6BED931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1329</w:t>
            </w:r>
          </w:p>
        </w:tc>
        <w:tc>
          <w:tcPr>
            <w:tcW w:w="0" w:type="auto"/>
            <w:tcBorders>
              <w:tl2br w:val="nil"/>
              <w:tr2bl w:val="nil"/>
            </w:tcBorders>
            <w:vAlign w:val="center"/>
          </w:tcPr>
          <w:p w14:paraId="1430FCA1"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25.2</w:t>
            </w:r>
          </w:p>
        </w:tc>
        <w:tc>
          <w:tcPr>
            <w:tcW w:w="0" w:type="auto"/>
            <w:tcBorders>
              <w:tl2br w:val="nil"/>
              <w:tr2bl w:val="nil"/>
            </w:tcBorders>
            <w:vAlign w:val="center"/>
          </w:tcPr>
          <w:p w14:paraId="3658582C"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1.58</w:t>
            </w:r>
          </w:p>
        </w:tc>
        <w:tc>
          <w:tcPr>
            <w:tcW w:w="0" w:type="auto"/>
            <w:tcBorders>
              <w:tl2br w:val="nil"/>
              <w:tr2bl w:val="nil"/>
            </w:tcBorders>
            <w:vAlign w:val="center"/>
          </w:tcPr>
          <w:p w14:paraId="763B65D9"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2.88</w:t>
            </w:r>
          </w:p>
        </w:tc>
        <w:tc>
          <w:tcPr>
            <w:tcW w:w="0" w:type="auto"/>
            <w:tcBorders>
              <w:tl2br w:val="nil"/>
              <w:tr2bl w:val="nil"/>
            </w:tcBorders>
            <w:vAlign w:val="center"/>
          </w:tcPr>
          <w:p w14:paraId="5FBF3C2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0.76</w:t>
            </w:r>
          </w:p>
        </w:tc>
        <w:tc>
          <w:tcPr>
            <w:tcW w:w="1133" w:type="dxa"/>
            <w:tcBorders>
              <w:tl2br w:val="nil"/>
              <w:tr2bl w:val="nil"/>
            </w:tcBorders>
            <w:vAlign w:val="center"/>
          </w:tcPr>
          <w:p w14:paraId="46747E69"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1.25</w:t>
            </w:r>
          </w:p>
        </w:tc>
        <w:tc>
          <w:tcPr>
            <w:tcW w:w="619" w:type="dxa"/>
            <w:vMerge/>
            <w:tcBorders>
              <w:tl2br w:val="nil"/>
              <w:tr2bl w:val="nil"/>
            </w:tcBorders>
            <w:vAlign w:val="center"/>
          </w:tcPr>
          <w:p w14:paraId="7E2269D8"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09436C4C"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6046C8B1" w14:textId="77777777">
        <w:trPr>
          <w:trHeight w:val="23"/>
        </w:trPr>
        <w:tc>
          <w:tcPr>
            <w:tcW w:w="2864" w:type="dxa"/>
            <w:gridSpan w:val="4"/>
            <w:tcBorders>
              <w:tl2br w:val="nil"/>
              <w:tr2bl w:val="nil"/>
            </w:tcBorders>
            <w:vAlign w:val="center"/>
          </w:tcPr>
          <w:p w14:paraId="2792BCE8" w14:textId="77777777" w:rsidR="002E0859" w:rsidRDefault="00000000">
            <w:pPr>
              <w:pStyle w:val="TableText"/>
              <w:spacing w:line="240" w:lineRule="auto"/>
              <w:ind w:firstLineChars="0" w:firstLine="0"/>
              <w:jc w:val="center"/>
              <w:rPr>
                <w:rFonts w:ascii="Times New Roman" w:eastAsia="Times New Roman" w:hAnsi="Times New Roman" w:cs="Times New Roman"/>
                <w:color w:val="000000" w:themeColor="text1"/>
                <w:sz w:val="21"/>
                <w:szCs w:val="21"/>
                <w:lang w:eastAsia="zh-CN"/>
              </w:rPr>
            </w:pPr>
            <w:r>
              <w:rPr>
                <w:rFonts w:ascii="Times New Roman" w:eastAsia="Times New Roman" w:hAnsi="Times New Roman" w:cs="Times New Roman" w:hint="eastAsia"/>
                <w:color w:val="000000" w:themeColor="text1"/>
                <w:sz w:val="21"/>
                <w:szCs w:val="21"/>
                <w:lang w:eastAsia="zh-CN"/>
              </w:rPr>
              <w:t>合计</w:t>
            </w:r>
          </w:p>
        </w:tc>
        <w:tc>
          <w:tcPr>
            <w:tcW w:w="634" w:type="dxa"/>
            <w:tcBorders>
              <w:tl2br w:val="nil"/>
              <w:tr2bl w:val="nil"/>
            </w:tcBorders>
            <w:vAlign w:val="center"/>
          </w:tcPr>
          <w:p w14:paraId="4365D8BD"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tcBorders>
              <w:tl2br w:val="nil"/>
              <w:tr2bl w:val="nil"/>
            </w:tcBorders>
            <w:vAlign w:val="center"/>
          </w:tcPr>
          <w:p w14:paraId="353896F0"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tcBorders>
              <w:tl2br w:val="nil"/>
              <w:tr2bl w:val="nil"/>
            </w:tcBorders>
            <w:vAlign w:val="center"/>
          </w:tcPr>
          <w:p w14:paraId="57034B94"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tcBorders>
              <w:tl2br w:val="nil"/>
              <w:tr2bl w:val="nil"/>
            </w:tcBorders>
            <w:vAlign w:val="center"/>
          </w:tcPr>
          <w:p w14:paraId="3477572A"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tcBorders>
              <w:tl2br w:val="nil"/>
              <w:tr2bl w:val="nil"/>
            </w:tcBorders>
            <w:vAlign w:val="center"/>
          </w:tcPr>
          <w:p w14:paraId="6157BD6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3.04</w:t>
            </w:r>
          </w:p>
        </w:tc>
        <w:tc>
          <w:tcPr>
            <w:tcW w:w="1133" w:type="dxa"/>
            <w:tcBorders>
              <w:tl2br w:val="nil"/>
              <w:tr2bl w:val="nil"/>
            </w:tcBorders>
            <w:vAlign w:val="center"/>
          </w:tcPr>
          <w:p w14:paraId="7E09D56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5.01</w:t>
            </w:r>
          </w:p>
        </w:tc>
        <w:tc>
          <w:tcPr>
            <w:tcW w:w="619" w:type="dxa"/>
            <w:vMerge/>
            <w:tcBorders>
              <w:tl2br w:val="nil"/>
              <w:tr2bl w:val="nil"/>
            </w:tcBorders>
            <w:vAlign w:val="center"/>
          </w:tcPr>
          <w:p w14:paraId="5A4CF170" w14:textId="77777777" w:rsidR="002E0859" w:rsidRDefault="002E0859">
            <w:pPr>
              <w:spacing w:line="240" w:lineRule="auto"/>
              <w:ind w:firstLineChars="0" w:firstLine="0"/>
              <w:jc w:val="center"/>
              <w:rPr>
                <w:rFonts w:eastAsia="Times New Roman"/>
                <w:color w:val="000000" w:themeColor="text1"/>
                <w:sz w:val="21"/>
                <w:szCs w:val="21"/>
              </w:rPr>
            </w:pPr>
          </w:p>
        </w:tc>
        <w:tc>
          <w:tcPr>
            <w:tcW w:w="0" w:type="auto"/>
            <w:vMerge/>
            <w:tcBorders>
              <w:tl2br w:val="nil"/>
              <w:tr2bl w:val="nil"/>
            </w:tcBorders>
            <w:vAlign w:val="center"/>
          </w:tcPr>
          <w:p w14:paraId="54D73CDD" w14:textId="77777777" w:rsidR="002E0859" w:rsidRDefault="002E0859">
            <w:pPr>
              <w:spacing w:line="240" w:lineRule="auto"/>
              <w:ind w:firstLineChars="0" w:firstLine="0"/>
              <w:jc w:val="center"/>
              <w:rPr>
                <w:rFonts w:eastAsia="Times New Roman"/>
                <w:color w:val="000000" w:themeColor="text1"/>
                <w:sz w:val="21"/>
                <w:szCs w:val="21"/>
              </w:rPr>
            </w:pPr>
          </w:p>
        </w:tc>
      </w:tr>
    </w:tbl>
    <w:p w14:paraId="168E2969" w14:textId="77777777" w:rsidR="002E0859" w:rsidRDefault="00000000">
      <w:pPr>
        <w:pStyle w:val="a0"/>
        <w:spacing w:beforeLines="50" w:before="120" w:line="360" w:lineRule="auto"/>
        <w:ind w:firstLine="480"/>
        <w:rPr>
          <w:rFonts w:eastAsia="Times New Roman"/>
          <w:color w:val="000000" w:themeColor="text1"/>
          <w:sz w:val="24"/>
          <w:szCs w:val="24"/>
        </w:rPr>
      </w:pPr>
      <w:r>
        <w:rPr>
          <w:rFonts w:eastAsia="Times New Roman" w:hint="eastAsia"/>
          <w:color w:val="000000" w:themeColor="text1"/>
          <w:sz w:val="24"/>
          <w:szCs w:val="24"/>
        </w:rPr>
        <w:t>4、部署方案</w:t>
      </w:r>
    </w:p>
    <w:p w14:paraId="66D76554"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部署1个评价井组，扩建平台1座，井网加密井1口，中上部气层井1口，2口井平均水平段长1970米。</w:t>
      </w:r>
    </w:p>
    <w:p w14:paraId="70572C97"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hint="eastAsia"/>
          <w:color w:val="000000" w:themeColor="text1"/>
          <w:sz w:val="21"/>
          <w:szCs w:val="21"/>
        </w:rPr>
        <w:t>表</w:t>
      </w:r>
      <w:r>
        <w:rPr>
          <w:rFonts w:eastAsia="黑体" w:hint="eastAsia"/>
          <w:color w:val="000000" w:themeColor="text1"/>
          <w:sz w:val="21"/>
          <w:szCs w:val="21"/>
        </w:rPr>
        <w:t xml:space="preserve">2.3-2 </w:t>
      </w:r>
      <w:r>
        <w:rPr>
          <w:rFonts w:eastAsia="黑体" w:hint="eastAsia"/>
          <w:color w:val="000000" w:themeColor="text1"/>
          <w:sz w:val="21"/>
          <w:szCs w:val="21"/>
        </w:rPr>
        <w:t>井位部署信息表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120"/>
        <w:gridCol w:w="1586"/>
        <w:gridCol w:w="1480"/>
        <w:gridCol w:w="2308"/>
        <w:gridCol w:w="1656"/>
      </w:tblGrid>
      <w:tr w:rsidR="002E0859" w14:paraId="65DED14D" w14:textId="77777777">
        <w:trPr>
          <w:trHeight w:val="427"/>
        </w:trPr>
        <w:tc>
          <w:tcPr>
            <w:tcW w:w="1062" w:type="pct"/>
            <w:tcBorders>
              <w:tl2br w:val="nil"/>
              <w:tr2bl w:val="nil"/>
            </w:tcBorders>
            <w:vAlign w:val="center"/>
          </w:tcPr>
          <w:p w14:paraId="5B569E55"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井组</w:t>
            </w:r>
          </w:p>
        </w:tc>
        <w:tc>
          <w:tcPr>
            <w:tcW w:w="908" w:type="pct"/>
            <w:tcBorders>
              <w:tl2br w:val="nil"/>
              <w:tr2bl w:val="nil"/>
            </w:tcBorders>
            <w:vAlign w:val="center"/>
          </w:tcPr>
          <w:p w14:paraId="2504F7E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平台</w:t>
            </w:r>
          </w:p>
        </w:tc>
        <w:tc>
          <w:tcPr>
            <w:tcW w:w="781" w:type="pct"/>
            <w:tcBorders>
              <w:tl2br w:val="nil"/>
              <w:tr2bl w:val="nil"/>
            </w:tcBorders>
            <w:vAlign w:val="center"/>
          </w:tcPr>
          <w:p w14:paraId="4AA7F8CB"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部署井数（口）</w:t>
            </w:r>
          </w:p>
        </w:tc>
        <w:tc>
          <w:tcPr>
            <w:tcW w:w="1301" w:type="pct"/>
            <w:tcBorders>
              <w:tl2br w:val="nil"/>
              <w:tr2bl w:val="nil"/>
            </w:tcBorders>
            <w:vAlign w:val="center"/>
          </w:tcPr>
          <w:p w14:paraId="2900585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井号</w:t>
            </w:r>
          </w:p>
        </w:tc>
        <w:tc>
          <w:tcPr>
            <w:tcW w:w="946" w:type="pct"/>
            <w:tcBorders>
              <w:tl2br w:val="nil"/>
              <w:tr2bl w:val="nil"/>
            </w:tcBorders>
            <w:vAlign w:val="center"/>
          </w:tcPr>
          <w:p w14:paraId="0D49DE3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水平段长（米）</w:t>
            </w:r>
          </w:p>
        </w:tc>
      </w:tr>
      <w:tr w:rsidR="002E0859" w14:paraId="0FFE39DC" w14:textId="77777777">
        <w:trPr>
          <w:trHeight w:val="326"/>
        </w:trPr>
        <w:tc>
          <w:tcPr>
            <w:tcW w:w="1062" w:type="pct"/>
            <w:vMerge w:val="restart"/>
            <w:tcBorders>
              <w:tl2br w:val="nil"/>
              <w:tr2bl w:val="nil"/>
            </w:tcBorders>
            <w:vAlign w:val="center"/>
          </w:tcPr>
          <w:p w14:paraId="3010515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焦页90号立体评价井组</w:t>
            </w:r>
          </w:p>
        </w:tc>
        <w:tc>
          <w:tcPr>
            <w:tcW w:w="908" w:type="pct"/>
            <w:vMerge w:val="restart"/>
            <w:tcBorders>
              <w:tl2br w:val="nil"/>
              <w:tr2bl w:val="nil"/>
            </w:tcBorders>
            <w:vAlign w:val="center"/>
          </w:tcPr>
          <w:p w14:paraId="7D0D2C53"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90号扩</w:t>
            </w:r>
          </w:p>
        </w:tc>
        <w:tc>
          <w:tcPr>
            <w:tcW w:w="781" w:type="pct"/>
            <w:vMerge w:val="restart"/>
            <w:tcBorders>
              <w:tl2br w:val="nil"/>
              <w:tr2bl w:val="nil"/>
            </w:tcBorders>
            <w:vAlign w:val="center"/>
          </w:tcPr>
          <w:p w14:paraId="7D6A756B"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w:t>
            </w:r>
          </w:p>
        </w:tc>
        <w:tc>
          <w:tcPr>
            <w:tcW w:w="1301" w:type="pct"/>
            <w:tcBorders>
              <w:tl2br w:val="nil"/>
              <w:tr2bl w:val="nil"/>
            </w:tcBorders>
            <w:vAlign w:val="center"/>
          </w:tcPr>
          <w:p w14:paraId="7827811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焦页90-5HF</w:t>
            </w:r>
          </w:p>
        </w:tc>
        <w:tc>
          <w:tcPr>
            <w:tcW w:w="946" w:type="pct"/>
            <w:tcBorders>
              <w:tl2br w:val="nil"/>
              <w:tr2bl w:val="nil"/>
            </w:tcBorders>
            <w:vAlign w:val="center"/>
          </w:tcPr>
          <w:p w14:paraId="1E8FDC2C"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r>
      <w:tr w:rsidR="002E0859" w14:paraId="039C57B7" w14:textId="77777777">
        <w:trPr>
          <w:trHeight w:val="327"/>
        </w:trPr>
        <w:tc>
          <w:tcPr>
            <w:tcW w:w="1062" w:type="pct"/>
            <w:vMerge/>
            <w:tcBorders>
              <w:tl2br w:val="nil"/>
              <w:tr2bl w:val="nil"/>
            </w:tcBorders>
            <w:vAlign w:val="center"/>
          </w:tcPr>
          <w:p w14:paraId="26FE7767" w14:textId="77777777" w:rsidR="002E0859" w:rsidRDefault="002E0859">
            <w:pPr>
              <w:spacing w:line="240" w:lineRule="auto"/>
              <w:ind w:firstLineChars="0" w:firstLine="0"/>
              <w:jc w:val="center"/>
              <w:rPr>
                <w:rFonts w:eastAsia="Times New Roman"/>
                <w:color w:val="000000" w:themeColor="text1"/>
                <w:sz w:val="21"/>
                <w:szCs w:val="21"/>
              </w:rPr>
            </w:pPr>
          </w:p>
        </w:tc>
        <w:tc>
          <w:tcPr>
            <w:tcW w:w="908" w:type="pct"/>
            <w:vMerge/>
            <w:tcBorders>
              <w:tl2br w:val="nil"/>
              <w:tr2bl w:val="nil"/>
            </w:tcBorders>
            <w:vAlign w:val="center"/>
          </w:tcPr>
          <w:p w14:paraId="0B377307" w14:textId="77777777" w:rsidR="002E0859" w:rsidRDefault="002E0859">
            <w:pPr>
              <w:spacing w:line="240" w:lineRule="auto"/>
              <w:ind w:firstLineChars="0" w:firstLine="0"/>
              <w:jc w:val="center"/>
              <w:rPr>
                <w:rFonts w:eastAsia="Times New Roman"/>
                <w:color w:val="000000" w:themeColor="text1"/>
                <w:sz w:val="21"/>
                <w:szCs w:val="21"/>
              </w:rPr>
            </w:pPr>
          </w:p>
        </w:tc>
        <w:tc>
          <w:tcPr>
            <w:tcW w:w="781" w:type="pct"/>
            <w:vMerge/>
            <w:tcBorders>
              <w:tl2br w:val="nil"/>
              <w:tr2bl w:val="nil"/>
            </w:tcBorders>
            <w:vAlign w:val="center"/>
          </w:tcPr>
          <w:p w14:paraId="69448764" w14:textId="77777777" w:rsidR="002E0859" w:rsidRDefault="002E0859">
            <w:pPr>
              <w:spacing w:line="240" w:lineRule="auto"/>
              <w:ind w:firstLineChars="0" w:firstLine="0"/>
              <w:jc w:val="center"/>
              <w:rPr>
                <w:rFonts w:eastAsia="Times New Roman"/>
                <w:color w:val="000000" w:themeColor="text1"/>
                <w:sz w:val="21"/>
                <w:szCs w:val="21"/>
              </w:rPr>
            </w:pPr>
          </w:p>
        </w:tc>
        <w:tc>
          <w:tcPr>
            <w:tcW w:w="1301" w:type="pct"/>
            <w:tcBorders>
              <w:tl2br w:val="nil"/>
              <w:tr2bl w:val="nil"/>
            </w:tcBorders>
            <w:vAlign w:val="center"/>
          </w:tcPr>
          <w:p w14:paraId="050AFBD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焦页90-Z1HF</w:t>
            </w:r>
          </w:p>
        </w:tc>
        <w:tc>
          <w:tcPr>
            <w:tcW w:w="946" w:type="pct"/>
            <w:tcBorders>
              <w:tl2br w:val="nil"/>
              <w:tr2bl w:val="nil"/>
            </w:tcBorders>
            <w:vAlign w:val="center"/>
          </w:tcPr>
          <w:p w14:paraId="116C524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r>
      <w:tr w:rsidR="002E0859" w14:paraId="69082C6E" w14:textId="77777777">
        <w:trPr>
          <w:trHeight w:val="332"/>
        </w:trPr>
        <w:tc>
          <w:tcPr>
            <w:tcW w:w="1062" w:type="pct"/>
            <w:vMerge/>
            <w:tcBorders>
              <w:tl2br w:val="nil"/>
              <w:tr2bl w:val="nil"/>
            </w:tcBorders>
            <w:vAlign w:val="center"/>
          </w:tcPr>
          <w:p w14:paraId="1FDDC1A1" w14:textId="77777777" w:rsidR="002E0859" w:rsidRDefault="002E0859">
            <w:pPr>
              <w:spacing w:line="240" w:lineRule="auto"/>
              <w:ind w:firstLineChars="0" w:firstLine="0"/>
              <w:jc w:val="center"/>
              <w:rPr>
                <w:rFonts w:eastAsia="Times New Roman"/>
                <w:color w:val="000000" w:themeColor="text1"/>
                <w:sz w:val="21"/>
                <w:szCs w:val="21"/>
              </w:rPr>
            </w:pPr>
          </w:p>
        </w:tc>
        <w:tc>
          <w:tcPr>
            <w:tcW w:w="2991" w:type="pct"/>
            <w:gridSpan w:val="3"/>
            <w:tcBorders>
              <w:tl2br w:val="nil"/>
              <w:tr2bl w:val="nil"/>
            </w:tcBorders>
            <w:vAlign w:val="center"/>
          </w:tcPr>
          <w:p w14:paraId="1959EF2B"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平均</w:t>
            </w:r>
          </w:p>
        </w:tc>
        <w:tc>
          <w:tcPr>
            <w:tcW w:w="946" w:type="pct"/>
            <w:tcBorders>
              <w:tl2br w:val="nil"/>
              <w:tr2bl w:val="nil"/>
            </w:tcBorders>
            <w:vAlign w:val="center"/>
          </w:tcPr>
          <w:p w14:paraId="2A39088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r>
    </w:tbl>
    <w:p w14:paraId="799D638E" w14:textId="77777777" w:rsidR="002E0859" w:rsidRDefault="00000000">
      <w:pPr>
        <w:pStyle w:val="a0"/>
        <w:spacing w:beforeLines="50" w:before="120" w:line="360" w:lineRule="auto"/>
        <w:ind w:firstLine="480"/>
        <w:rPr>
          <w:rFonts w:eastAsia="Times New Roman"/>
          <w:color w:val="000000" w:themeColor="text1"/>
          <w:sz w:val="24"/>
          <w:szCs w:val="24"/>
        </w:rPr>
      </w:pPr>
      <w:r>
        <w:rPr>
          <w:rFonts w:eastAsia="Times New Roman" w:hint="eastAsia"/>
          <w:color w:val="000000" w:themeColor="text1"/>
          <w:sz w:val="24"/>
          <w:szCs w:val="24"/>
        </w:rPr>
        <w:t>5、产能与指标预测</w:t>
      </w:r>
    </w:p>
    <w:p w14:paraId="2601387F"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综合类比法、数值模拟法2种方法，两口评价井单井EUR分别为0.97、0.71</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m³，可提高采收率7.4%，井组最终采收率可达到21.7%。</w:t>
      </w:r>
    </w:p>
    <w:p w14:paraId="17E127FF"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hint="eastAsia"/>
          <w:color w:val="000000" w:themeColor="text1"/>
          <w:sz w:val="21"/>
          <w:szCs w:val="21"/>
        </w:rPr>
        <w:t>表</w:t>
      </w:r>
      <w:r>
        <w:rPr>
          <w:rFonts w:eastAsia="黑体" w:hint="eastAsia"/>
          <w:color w:val="000000" w:themeColor="text1"/>
          <w:sz w:val="21"/>
          <w:szCs w:val="21"/>
        </w:rPr>
        <w:t xml:space="preserve">2.3-3 </w:t>
      </w:r>
      <w:r>
        <w:rPr>
          <w:rFonts w:eastAsia="黑体" w:hint="eastAsia"/>
          <w:color w:val="000000" w:themeColor="text1"/>
          <w:sz w:val="21"/>
          <w:szCs w:val="21"/>
        </w:rPr>
        <w:t>可采储量预测表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101"/>
        <w:gridCol w:w="898"/>
        <w:gridCol w:w="1672"/>
        <w:gridCol w:w="1369"/>
        <w:gridCol w:w="1707"/>
        <w:gridCol w:w="1199"/>
        <w:gridCol w:w="1204"/>
      </w:tblGrid>
      <w:tr w:rsidR="002E0859" w14:paraId="735AAC96" w14:textId="77777777">
        <w:trPr>
          <w:trHeight w:val="23"/>
        </w:trPr>
        <w:tc>
          <w:tcPr>
            <w:tcW w:w="601" w:type="pct"/>
            <w:vMerge w:val="restart"/>
            <w:tcBorders>
              <w:tl2br w:val="nil"/>
              <w:tr2bl w:val="nil"/>
            </w:tcBorders>
            <w:vAlign w:val="center"/>
          </w:tcPr>
          <w:p w14:paraId="33C81C8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平台</w:t>
            </w:r>
          </w:p>
        </w:tc>
        <w:tc>
          <w:tcPr>
            <w:tcW w:w="490" w:type="pct"/>
            <w:vMerge w:val="restart"/>
            <w:tcBorders>
              <w:tl2br w:val="nil"/>
              <w:tr2bl w:val="nil"/>
            </w:tcBorders>
            <w:vAlign w:val="center"/>
          </w:tcPr>
          <w:p w14:paraId="1EFB5E6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序号</w:t>
            </w:r>
          </w:p>
        </w:tc>
        <w:tc>
          <w:tcPr>
            <w:tcW w:w="913" w:type="pct"/>
            <w:vMerge w:val="restart"/>
            <w:tcBorders>
              <w:tl2br w:val="nil"/>
              <w:tr2bl w:val="nil"/>
            </w:tcBorders>
            <w:vAlign w:val="center"/>
          </w:tcPr>
          <w:p w14:paraId="2C617CD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井号</w:t>
            </w:r>
          </w:p>
        </w:tc>
        <w:tc>
          <w:tcPr>
            <w:tcW w:w="748" w:type="pct"/>
            <w:vMerge w:val="restart"/>
            <w:tcBorders>
              <w:tl2br w:val="nil"/>
              <w:tr2bl w:val="nil"/>
            </w:tcBorders>
            <w:vAlign w:val="center"/>
          </w:tcPr>
          <w:p w14:paraId="32FE513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水平段长</w:t>
            </w:r>
          </w:p>
        </w:tc>
        <w:tc>
          <w:tcPr>
            <w:tcW w:w="2246" w:type="pct"/>
            <w:gridSpan w:val="3"/>
            <w:tcBorders>
              <w:tl2br w:val="nil"/>
              <w:tr2bl w:val="nil"/>
            </w:tcBorders>
            <w:vAlign w:val="center"/>
          </w:tcPr>
          <w:p w14:paraId="617F7FE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可采储量（亿方）</w:t>
            </w:r>
          </w:p>
        </w:tc>
      </w:tr>
      <w:tr w:rsidR="002E0859" w14:paraId="26CFAF4C" w14:textId="77777777">
        <w:trPr>
          <w:trHeight w:val="23"/>
        </w:trPr>
        <w:tc>
          <w:tcPr>
            <w:tcW w:w="601" w:type="pct"/>
            <w:vMerge/>
            <w:tcBorders>
              <w:tl2br w:val="nil"/>
              <w:tr2bl w:val="nil"/>
            </w:tcBorders>
            <w:vAlign w:val="center"/>
          </w:tcPr>
          <w:p w14:paraId="789BF75E" w14:textId="77777777" w:rsidR="002E0859" w:rsidRDefault="002E0859">
            <w:pPr>
              <w:spacing w:line="240" w:lineRule="auto"/>
              <w:ind w:firstLineChars="0" w:firstLine="0"/>
              <w:jc w:val="center"/>
              <w:rPr>
                <w:rFonts w:eastAsia="Times New Roman"/>
                <w:color w:val="000000" w:themeColor="text1"/>
                <w:sz w:val="21"/>
                <w:szCs w:val="21"/>
              </w:rPr>
            </w:pPr>
          </w:p>
        </w:tc>
        <w:tc>
          <w:tcPr>
            <w:tcW w:w="490" w:type="pct"/>
            <w:vMerge/>
            <w:tcBorders>
              <w:tl2br w:val="nil"/>
              <w:tr2bl w:val="nil"/>
            </w:tcBorders>
            <w:vAlign w:val="center"/>
          </w:tcPr>
          <w:p w14:paraId="126DBB2D" w14:textId="77777777" w:rsidR="002E0859" w:rsidRDefault="002E0859">
            <w:pPr>
              <w:spacing w:line="240" w:lineRule="auto"/>
              <w:ind w:firstLineChars="0" w:firstLine="0"/>
              <w:jc w:val="center"/>
              <w:rPr>
                <w:rFonts w:eastAsia="Times New Roman"/>
                <w:color w:val="000000" w:themeColor="text1"/>
                <w:sz w:val="21"/>
                <w:szCs w:val="21"/>
              </w:rPr>
            </w:pPr>
          </w:p>
        </w:tc>
        <w:tc>
          <w:tcPr>
            <w:tcW w:w="913" w:type="pct"/>
            <w:vMerge/>
            <w:tcBorders>
              <w:tl2br w:val="nil"/>
              <w:tr2bl w:val="nil"/>
            </w:tcBorders>
            <w:vAlign w:val="center"/>
          </w:tcPr>
          <w:p w14:paraId="16B261BA" w14:textId="77777777" w:rsidR="002E0859" w:rsidRDefault="002E0859">
            <w:pPr>
              <w:spacing w:line="240" w:lineRule="auto"/>
              <w:ind w:firstLineChars="0" w:firstLine="0"/>
              <w:jc w:val="center"/>
              <w:rPr>
                <w:rFonts w:eastAsia="Times New Roman"/>
                <w:color w:val="000000" w:themeColor="text1"/>
                <w:sz w:val="21"/>
                <w:szCs w:val="21"/>
              </w:rPr>
            </w:pPr>
          </w:p>
        </w:tc>
        <w:tc>
          <w:tcPr>
            <w:tcW w:w="748" w:type="pct"/>
            <w:vMerge/>
            <w:tcBorders>
              <w:tl2br w:val="nil"/>
              <w:tr2bl w:val="nil"/>
            </w:tcBorders>
            <w:vAlign w:val="center"/>
          </w:tcPr>
          <w:p w14:paraId="545BCEC5" w14:textId="77777777" w:rsidR="002E0859" w:rsidRDefault="002E0859">
            <w:pPr>
              <w:spacing w:line="240" w:lineRule="auto"/>
              <w:ind w:firstLineChars="0" w:firstLine="0"/>
              <w:jc w:val="center"/>
              <w:rPr>
                <w:rFonts w:eastAsia="Times New Roman"/>
                <w:color w:val="000000" w:themeColor="text1"/>
                <w:sz w:val="21"/>
                <w:szCs w:val="21"/>
              </w:rPr>
            </w:pPr>
          </w:p>
        </w:tc>
        <w:tc>
          <w:tcPr>
            <w:tcW w:w="933" w:type="pct"/>
            <w:tcBorders>
              <w:tl2br w:val="nil"/>
              <w:tr2bl w:val="nil"/>
            </w:tcBorders>
            <w:vAlign w:val="center"/>
          </w:tcPr>
          <w:p w14:paraId="6118503A"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数值模拟法</w:t>
            </w:r>
          </w:p>
        </w:tc>
        <w:tc>
          <w:tcPr>
            <w:tcW w:w="655" w:type="pct"/>
            <w:tcBorders>
              <w:tl2br w:val="nil"/>
              <w:tr2bl w:val="nil"/>
            </w:tcBorders>
            <w:vAlign w:val="center"/>
          </w:tcPr>
          <w:p w14:paraId="7CCABA2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类比法</w:t>
            </w:r>
          </w:p>
        </w:tc>
        <w:tc>
          <w:tcPr>
            <w:tcW w:w="657" w:type="pct"/>
            <w:tcBorders>
              <w:tl2br w:val="nil"/>
              <w:tr2bl w:val="nil"/>
            </w:tcBorders>
            <w:vAlign w:val="center"/>
          </w:tcPr>
          <w:p w14:paraId="0854586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平均值</w:t>
            </w:r>
          </w:p>
        </w:tc>
      </w:tr>
      <w:tr w:rsidR="002E0859" w14:paraId="5923C0A2" w14:textId="77777777">
        <w:trPr>
          <w:trHeight w:val="23"/>
        </w:trPr>
        <w:tc>
          <w:tcPr>
            <w:tcW w:w="601" w:type="pct"/>
            <w:vMerge w:val="restart"/>
            <w:tcBorders>
              <w:tl2br w:val="nil"/>
              <w:tr2bl w:val="nil"/>
            </w:tcBorders>
            <w:vAlign w:val="center"/>
          </w:tcPr>
          <w:p w14:paraId="0884CE9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90号扩</w:t>
            </w:r>
          </w:p>
        </w:tc>
        <w:tc>
          <w:tcPr>
            <w:tcW w:w="490" w:type="pct"/>
            <w:tcBorders>
              <w:tl2br w:val="nil"/>
              <w:tr2bl w:val="nil"/>
            </w:tcBorders>
            <w:vAlign w:val="center"/>
          </w:tcPr>
          <w:p w14:paraId="69F5C0A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w:t>
            </w:r>
          </w:p>
        </w:tc>
        <w:tc>
          <w:tcPr>
            <w:tcW w:w="913" w:type="pct"/>
            <w:tcBorders>
              <w:tl2br w:val="nil"/>
              <w:tr2bl w:val="nil"/>
            </w:tcBorders>
            <w:vAlign w:val="center"/>
          </w:tcPr>
          <w:p w14:paraId="13EDC6E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焦页90-5HF</w:t>
            </w:r>
          </w:p>
        </w:tc>
        <w:tc>
          <w:tcPr>
            <w:tcW w:w="748" w:type="pct"/>
            <w:tcBorders>
              <w:tl2br w:val="nil"/>
              <w:tr2bl w:val="nil"/>
            </w:tcBorders>
            <w:vAlign w:val="center"/>
          </w:tcPr>
          <w:p w14:paraId="23F450C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c>
          <w:tcPr>
            <w:tcW w:w="933" w:type="pct"/>
            <w:tcBorders>
              <w:tl2br w:val="nil"/>
              <w:tr2bl w:val="nil"/>
            </w:tcBorders>
            <w:vAlign w:val="center"/>
          </w:tcPr>
          <w:p w14:paraId="6ECBB95B"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1.05</w:t>
            </w:r>
          </w:p>
        </w:tc>
        <w:tc>
          <w:tcPr>
            <w:tcW w:w="655" w:type="pct"/>
            <w:tcBorders>
              <w:tl2br w:val="nil"/>
              <w:tr2bl w:val="nil"/>
            </w:tcBorders>
            <w:vAlign w:val="center"/>
          </w:tcPr>
          <w:p w14:paraId="1892DAD0"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0.89</w:t>
            </w:r>
          </w:p>
        </w:tc>
        <w:tc>
          <w:tcPr>
            <w:tcW w:w="657" w:type="pct"/>
            <w:tcBorders>
              <w:tl2br w:val="nil"/>
              <w:tr2bl w:val="nil"/>
            </w:tcBorders>
            <w:vAlign w:val="center"/>
          </w:tcPr>
          <w:p w14:paraId="54E10FB0"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0.97</w:t>
            </w:r>
          </w:p>
        </w:tc>
      </w:tr>
      <w:tr w:rsidR="002E0859" w14:paraId="79A0F5BD" w14:textId="77777777">
        <w:trPr>
          <w:trHeight w:val="23"/>
        </w:trPr>
        <w:tc>
          <w:tcPr>
            <w:tcW w:w="601" w:type="pct"/>
            <w:vMerge/>
            <w:tcBorders>
              <w:tl2br w:val="nil"/>
              <w:tr2bl w:val="nil"/>
            </w:tcBorders>
            <w:vAlign w:val="center"/>
          </w:tcPr>
          <w:p w14:paraId="4BA1DDB1" w14:textId="77777777" w:rsidR="002E0859" w:rsidRDefault="002E0859">
            <w:pPr>
              <w:spacing w:line="240" w:lineRule="auto"/>
              <w:ind w:firstLineChars="0" w:firstLine="0"/>
              <w:jc w:val="center"/>
              <w:rPr>
                <w:rFonts w:eastAsia="Times New Roman"/>
                <w:color w:val="000000" w:themeColor="text1"/>
                <w:sz w:val="21"/>
                <w:szCs w:val="21"/>
              </w:rPr>
            </w:pPr>
          </w:p>
        </w:tc>
        <w:tc>
          <w:tcPr>
            <w:tcW w:w="490" w:type="pct"/>
            <w:tcBorders>
              <w:tl2br w:val="nil"/>
              <w:tr2bl w:val="nil"/>
            </w:tcBorders>
            <w:vAlign w:val="center"/>
          </w:tcPr>
          <w:p w14:paraId="1BC2BD2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w:t>
            </w:r>
          </w:p>
        </w:tc>
        <w:tc>
          <w:tcPr>
            <w:tcW w:w="913" w:type="pct"/>
            <w:tcBorders>
              <w:tl2br w:val="nil"/>
              <w:tr2bl w:val="nil"/>
            </w:tcBorders>
            <w:vAlign w:val="center"/>
          </w:tcPr>
          <w:p w14:paraId="18DF1939"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焦页90-Z1HF</w:t>
            </w:r>
          </w:p>
        </w:tc>
        <w:tc>
          <w:tcPr>
            <w:tcW w:w="748" w:type="pct"/>
            <w:tcBorders>
              <w:tl2br w:val="nil"/>
              <w:tr2bl w:val="nil"/>
            </w:tcBorders>
            <w:vAlign w:val="center"/>
          </w:tcPr>
          <w:p w14:paraId="41D75EF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c>
          <w:tcPr>
            <w:tcW w:w="933" w:type="pct"/>
            <w:tcBorders>
              <w:tl2br w:val="nil"/>
              <w:tr2bl w:val="nil"/>
            </w:tcBorders>
            <w:vAlign w:val="center"/>
          </w:tcPr>
          <w:p w14:paraId="7E624F70"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0.76</w:t>
            </w:r>
          </w:p>
        </w:tc>
        <w:tc>
          <w:tcPr>
            <w:tcW w:w="655" w:type="pct"/>
            <w:tcBorders>
              <w:tl2br w:val="nil"/>
              <w:tr2bl w:val="nil"/>
            </w:tcBorders>
            <w:vAlign w:val="center"/>
          </w:tcPr>
          <w:p w14:paraId="1C8E809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0.66</w:t>
            </w:r>
          </w:p>
        </w:tc>
        <w:tc>
          <w:tcPr>
            <w:tcW w:w="657" w:type="pct"/>
            <w:tcBorders>
              <w:tl2br w:val="nil"/>
              <w:tr2bl w:val="nil"/>
            </w:tcBorders>
            <w:vAlign w:val="center"/>
          </w:tcPr>
          <w:p w14:paraId="21E8C381"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0.71</w:t>
            </w:r>
          </w:p>
        </w:tc>
      </w:tr>
    </w:tbl>
    <w:p w14:paraId="2F00579C" w14:textId="77777777" w:rsidR="002E0859" w:rsidRDefault="00000000">
      <w:pPr>
        <w:pStyle w:val="a0"/>
        <w:spacing w:beforeLines="50" w:before="120" w:line="360" w:lineRule="auto"/>
        <w:ind w:firstLine="480"/>
        <w:rPr>
          <w:rFonts w:eastAsia="Times New Roman"/>
          <w:color w:val="000000" w:themeColor="text1"/>
          <w:sz w:val="24"/>
          <w:szCs w:val="24"/>
        </w:rPr>
      </w:pPr>
      <w:r>
        <w:rPr>
          <w:rFonts w:eastAsia="Times New Roman" w:hint="eastAsia"/>
          <w:color w:val="000000" w:themeColor="text1"/>
          <w:sz w:val="24"/>
          <w:szCs w:val="24"/>
        </w:rPr>
        <w:t>1口井网加密部署井水平段长度1970m，单井日产能力4.36</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4</w:t>
      </w:r>
      <w:r>
        <w:rPr>
          <w:rFonts w:eastAsia="Times New Roman" w:hint="eastAsia"/>
          <w:color w:val="000000" w:themeColor="text1"/>
          <w:sz w:val="24"/>
          <w:szCs w:val="24"/>
        </w:rPr>
        <w:t>m³（按前3年平均年产气折算），预测单井可采储量0.97</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m³，15年累积产气0.88</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m³；1口中上部气层部署井水平段长度1970m，单井日产能力3.37</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4</w:t>
      </w:r>
      <w:r>
        <w:rPr>
          <w:rFonts w:eastAsia="Times New Roman" w:hint="eastAsia"/>
          <w:color w:val="000000" w:themeColor="text1"/>
          <w:sz w:val="24"/>
          <w:szCs w:val="24"/>
        </w:rPr>
        <w:t>m³（按前3年平均年产气折算），预测单井可采储量0.71</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m³，15年累积产气0.65</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w:t>
      </w:r>
    </w:p>
    <w:p w14:paraId="3B2DD091"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井组共2口评价井，平均水平段长度1970m，标定日产能力3.87</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4</w:t>
      </w:r>
      <w:r>
        <w:rPr>
          <w:rFonts w:eastAsia="Times New Roman" w:hint="eastAsia"/>
          <w:color w:val="000000" w:themeColor="text1"/>
          <w:sz w:val="24"/>
          <w:szCs w:val="24"/>
        </w:rPr>
        <w:t>m³/d（按前3年平均年产量折算），井组新建产能0.25</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m³/a，预计新增可采储量1.68</w:t>
      </w:r>
      <w:r>
        <w:rPr>
          <w:rFonts w:ascii="Arial" w:eastAsia="Times New Roman" w:hAnsi="Arial" w:cs="Arial"/>
          <w:color w:val="000000" w:themeColor="text1"/>
          <w:sz w:val="24"/>
          <w:szCs w:val="24"/>
        </w:rPr>
        <w:t>×</w:t>
      </w:r>
      <w:r>
        <w:rPr>
          <w:rFonts w:eastAsia="Times New Roman" w:hint="eastAsia"/>
          <w:color w:val="000000" w:themeColor="text1"/>
          <w:sz w:val="24"/>
          <w:szCs w:val="24"/>
        </w:rPr>
        <w:t>10</w:t>
      </w:r>
      <w:r>
        <w:rPr>
          <w:rFonts w:eastAsia="Times New Roman" w:hint="eastAsia"/>
          <w:color w:val="000000" w:themeColor="text1"/>
          <w:sz w:val="24"/>
          <w:szCs w:val="24"/>
          <w:vertAlign w:val="superscript"/>
        </w:rPr>
        <w:t>8</w:t>
      </w:r>
      <w:r>
        <w:rPr>
          <w:rFonts w:eastAsia="Times New Roman" w:hint="eastAsia"/>
          <w:color w:val="000000" w:themeColor="text1"/>
          <w:sz w:val="24"/>
          <w:szCs w:val="24"/>
        </w:rPr>
        <w:t>m³，提高①-⑨小层采收率7.4个百分点，调整后①-⑨小层采收率为21.7%，如下表。</w:t>
      </w:r>
    </w:p>
    <w:p w14:paraId="67A71CCC" w14:textId="77777777" w:rsidR="002E0859" w:rsidRDefault="00000000">
      <w:pPr>
        <w:pStyle w:val="a8"/>
        <w:spacing w:line="240" w:lineRule="auto"/>
        <w:ind w:firstLineChars="0" w:firstLine="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hint="eastAsia"/>
          <w:color w:val="000000" w:themeColor="text1"/>
          <w:sz w:val="21"/>
          <w:szCs w:val="21"/>
          <w:lang w:eastAsia="zh-CN"/>
        </w:rPr>
        <w:t>表</w:t>
      </w:r>
      <w:r>
        <w:rPr>
          <w:rFonts w:ascii="Times New Roman" w:eastAsia="黑体" w:hAnsi="Times New Roman" w:cs="Times New Roman" w:hint="eastAsia"/>
          <w:color w:val="000000" w:themeColor="text1"/>
          <w:sz w:val="21"/>
          <w:szCs w:val="21"/>
          <w:lang w:eastAsia="zh-CN"/>
        </w:rPr>
        <w:t xml:space="preserve">2.3-4 </w:t>
      </w:r>
      <w:r>
        <w:rPr>
          <w:rFonts w:ascii="Times New Roman" w:eastAsia="黑体" w:hAnsi="Times New Roman" w:cs="Times New Roman" w:hint="eastAsia"/>
          <w:color w:val="000000" w:themeColor="text1"/>
          <w:sz w:val="21"/>
          <w:szCs w:val="21"/>
          <w:lang w:eastAsia="zh-CN"/>
        </w:rPr>
        <w:t>焦页</w:t>
      </w:r>
      <w:r>
        <w:rPr>
          <w:rFonts w:ascii="Times New Roman" w:eastAsia="黑体" w:hAnsi="Times New Roman" w:cs="Times New Roman" w:hint="eastAsia"/>
          <w:color w:val="000000" w:themeColor="text1"/>
          <w:sz w:val="21"/>
          <w:szCs w:val="21"/>
          <w:lang w:eastAsia="zh-CN"/>
        </w:rPr>
        <w:t>90</w:t>
      </w:r>
      <w:r>
        <w:rPr>
          <w:rFonts w:ascii="Times New Roman" w:eastAsia="黑体" w:hAnsi="Times New Roman" w:cs="Times New Roman" w:hint="eastAsia"/>
          <w:color w:val="000000" w:themeColor="text1"/>
          <w:sz w:val="21"/>
          <w:szCs w:val="21"/>
          <w:lang w:eastAsia="zh-CN"/>
        </w:rPr>
        <w:t>号评价井组单井产能、可采储量及提高采收率预测表</w:t>
      </w:r>
    </w:p>
    <w:tbl>
      <w:tblPr>
        <w:tblStyle w:val="TableNormal"/>
        <w:tblW w:w="4996"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43"/>
        <w:gridCol w:w="384"/>
        <w:gridCol w:w="758"/>
        <w:gridCol w:w="758"/>
        <w:gridCol w:w="758"/>
        <w:gridCol w:w="1131"/>
        <w:gridCol w:w="1505"/>
        <w:gridCol w:w="945"/>
        <w:gridCol w:w="1131"/>
        <w:gridCol w:w="1141"/>
      </w:tblGrid>
      <w:tr w:rsidR="002E0859" w14:paraId="294A8498" w14:textId="77777777">
        <w:trPr>
          <w:trHeight w:val="23"/>
        </w:trPr>
        <w:tc>
          <w:tcPr>
            <w:tcW w:w="861" w:type="pct"/>
            <w:vMerge w:val="restart"/>
            <w:tcBorders>
              <w:tl2br w:val="nil"/>
              <w:tr2bl w:val="nil"/>
            </w:tcBorders>
            <w:vAlign w:val="center"/>
          </w:tcPr>
          <w:p w14:paraId="11089AF3"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井号</w:t>
            </w:r>
          </w:p>
        </w:tc>
        <w:tc>
          <w:tcPr>
            <w:tcW w:w="344" w:type="pct"/>
            <w:vMerge w:val="restart"/>
            <w:tcBorders>
              <w:tl2br w:val="nil"/>
              <w:tr2bl w:val="nil"/>
            </w:tcBorders>
            <w:vAlign w:val="center"/>
          </w:tcPr>
          <w:p w14:paraId="122D11C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序号</w:t>
            </w:r>
          </w:p>
        </w:tc>
        <w:tc>
          <w:tcPr>
            <w:tcW w:w="345" w:type="pct"/>
            <w:tcBorders>
              <w:tl2br w:val="nil"/>
              <w:tr2bl w:val="nil"/>
            </w:tcBorders>
            <w:vAlign w:val="center"/>
          </w:tcPr>
          <w:p w14:paraId="660FCD4B"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水平段长</w:t>
            </w:r>
          </w:p>
        </w:tc>
        <w:tc>
          <w:tcPr>
            <w:tcW w:w="515" w:type="pct"/>
            <w:tcBorders>
              <w:tl2br w:val="nil"/>
              <w:tr2bl w:val="nil"/>
            </w:tcBorders>
            <w:vAlign w:val="center"/>
          </w:tcPr>
          <w:p w14:paraId="0743937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单井产能</w:t>
            </w:r>
          </w:p>
        </w:tc>
        <w:tc>
          <w:tcPr>
            <w:tcW w:w="515" w:type="pct"/>
            <w:tcBorders>
              <w:tl2br w:val="nil"/>
              <w:tr2bl w:val="nil"/>
            </w:tcBorders>
            <w:vAlign w:val="center"/>
          </w:tcPr>
          <w:p w14:paraId="467CC7D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新建产能</w:t>
            </w:r>
          </w:p>
        </w:tc>
        <w:tc>
          <w:tcPr>
            <w:tcW w:w="431" w:type="pct"/>
            <w:tcBorders>
              <w:tl2br w:val="nil"/>
              <w:tr2bl w:val="nil"/>
            </w:tcBorders>
            <w:vAlign w:val="center"/>
          </w:tcPr>
          <w:p w14:paraId="3C0B893A"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15年累计产气</w:t>
            </w:r>
          </w:p>
          <w:p w14:paraId="219C552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量</w:t>
            </w:r>
          </w:p>
        </w:tc>
        <w:tc>
          <w:tcPr>
            <w:tcW w:w="515" w:type="pct"/>
            <w:tcBorders>
              <w:tl2br w:val="nil"/>
              <w:tr2bl w:val="nil"/>
            </w:tcBorders>
            <w:vAlign w:val="center"/>
          </w:tcPr>
          <w:p w14:paraId="057BA64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预测技术可采储量</w:t>
            </w:r>
          </w:p>
        </w:tc>
        <w:tc>
          <w:tcPr>
            <w:tcW w:w="515" w:type="pct"/>
            <w:tcBorders>
              <w:tl2br w:val="nil"/>
              <w:tr2bl w:val="nil"/>
            </w:tcBorders>
            <w:vAlign w:val="center"/>
          </w:tcPr>
          <w:p w14:paraId="73A64429"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①-⑨地质储量</w:t>
            </w:r>
          </w:p>
        </w:tc>
        <w:tc>
          <w:tcPr>
            <w:tcW w:w="432" w:type="pct"/>
            <w:tcBorders>
              <w:tl2br w:val="nil"/>
              <w:tr2bl w:val="nil"/>
            </w:tcBorders>
            <w:vAlign w:val="center"/>
          </w:tcPr>
          <w:p w14:paraId="4C91C15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本次提高采收</w:t>
            </w:r>
          </w:p>
          <w:p w14:paraId="0EB32EE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率</w:t>
            </w:r>
          </w:p>
        </w:tc>
        <w:tc>
          <w:tcPr>
            <w:tcW w:w="521" w:type="pct"/>
            <w:tcBorders>
              <w:tl2br w:val="nil"/>
              <w:tr2bl w:val="nil"/>
            </w:tcBorders>
            <w:vAlign w:val="center"/>
          </w:tcPr>
          <w:p w14:paraId="0B1B16E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调整后采收率</w:t>
            </w:r>
          </w:p>
        </w:tc>
      </w:tr>
      <w:tr w:rsidR="002E0859" w14:paraId="56E18335" w14:textId="77777777">
        <w:trPr>
          <w:trHeight w:val="23"/>
        </w:trPr>
        <w:tc>
          <w:tcPr>
            <w:tcW w:w="861" w:type="pct"/>
            <w:vMerge/>
            <w:tcBorders>
              <w:tl2br w:val="nil"/>
              <w:tr2bl w:val="nil"/>
            </w:tcBorders>
            <w:vAlign w:val="center"/>
          </w:tcPr>
          <w:p w14:paraId="2ACD8B8B" w14:textId="77777777" w:rsidR="002E0859" w:rsidRDefault="002E0859">
            <w:pPr>
              <w:spacing w:line="240" w:lineRule="auto"/>
              <w:ind w:firstLineChars="0" w:firstLine="0"/>
              <w:jc w:val="center"/>
              <w:rPr>
                <w:rFonts w:eastAsia="Times New Roman"/>
                <w:color w:val="000000" w:themeColor="text1"/>
                <w:sz w:val="21"/>
                <w:szCs w:val="21"/>
              </w:rPr>
            </w:pPr>
          </w:p>
        </w:tc>
        <w:tc>
          <w:tcPr>
            <w:tcW w:w="344" w:type="pct"/>
            <w:vMerge/>
            <w:tcBorders>
              <w:tl2br w:val="nil"/>
              <w:tr2bl w:val="nil"/>
            </w:tcBorders>
            <w:vAlign w:val="center"/>
          </w:tcPr>
          <w:p w14:paraId="2A6F228C" w14:textId="77777777" w:rsidR="002E0859" w:rsidRDefault="002E0859">
            <w:pPr>
              <w:spacing w:line="240" w:lineRule="auto"/>
              <w:ind w:firstLineChars="0" w:firstLine="0"/>
              <w:jc w:val="center"/>
              <w:rPr>
                <w:rFonts w:eastAsia="Times New Roman"/>
                <w:color w:val="000000" w:themeColor="text1"/>
                <w:sz w:val="21"/>
                <w:szCs w:val="21"/>
              </w:rPr>
            </w:pPr>
          </w:p>
        </w:tc>
        <w:tc>
          <w:tcPr>
            <w:tcW w:w="345" w:type="pct"/>
            <w:tcBorders>
              <w:tl2br w:val="nil"/>
              <w:tr2bl w:val="nil"/>
            </w:tcBorders>
            <w:vAlign w:val="center"/>
          </w:tcPr>
          <w:p w14:paraId="048D208A"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米</w:t>
            </w:r>
          </w:p>
        </w:tc>
        <w:tc>
          <w:tcPr>
            <w:tcW w:w="515" w:type="pct"/>
            <w:tcBorders>
              <w:tl2br w:val="nil"/>
              <w:tr2bl w:val="nil"/>
            </w:tcBorders>
            <w:vAlign w:val="center"/>
          </w:tcPr>
          <w:p w14:paraId="35261325"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万方/天</w:t>
            </w:r>
          </w:p>
        </w:tc>
        <w:tc>
          <w:tcPr>
            <w:tcW w:w="515" w:type="pct"/>
            <w:tcBorders>
              <w:tl2br w:val="nil"/>
              <w:tr2bl w:val="nil"/>
            </w:tcBorders>
            <w:vAlign w:val="center"/>
          </w:tcPr>
          <w:p w14:paraId="10B9311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亿方/年</w:t>
            </w:r>
          </w:p>
        </w:tc>
        <w:tc>
          <w:tcPr>
            <w:tcW w:w="431" w:type="pct"/>
            <w:tcBorders>
              <w:tl2br w:val="nil"/>
              <w:tr2bl w:val="nil"/>
            </w:tcBorders>
            <w:vAlign w:val="center"/>
          </w:tcPr>
          <w:p w14:paraId="2B9CC6C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亿方</w:t>
            </w:r>
          </w:p>
        </w:tc>
        <w:tc>
          <w:tcPr>
            <w:tcW w:w="515" w:type="pct"/>
            <w:tcBorders>
              <w:tl2br w:val="nil"/>
              <w:tr2bl w:val="nil"/>
            </w:tcBorders>
            <w:vAlign w:val="center"/>
          </w:tcPr>
          <w:p w14:paraId="3882731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亿方</w:t>
            </w:r>
          </w:p>
        </w:tc>
        <w:tc>
          <w:tcPr>
            <w:tcW w:w="515" w:type="pct"/>
            <w:tcBorders>
              <w:tl2br w:val="nil"/>
              <w:tr2bl w:val="nil"/>
            </w:tcBorders>
            <w:vAlign w:val="center"/>
          </w:tcPr>
          <w:p w14:paraId="7F863F6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亿方</w:t>
            </w:r>
          </w:p>
        </w:tc>
        <w:tc>
          <w:tcPr>
            <w:tcW w:w="432" w:type="pct"/>
            <w:tcBorders>
              <w:tl2br w:val="nil"/>
              <w:tr2bl w:val="nil"/>
            </w:tcBorders>
            <w:vAlign w:val="center"/>
          </w:tcPr>
          <w:p w14:paraId="5C3B2A8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w:t>
            </w:r>
          </w:p>
        </w:tc>
        <w:tc>
          <w:tcPr>
            <w:tcW w:w="521" w:type="pct"/>
            <w:tcBorders>
              <w:tl2br w:val="nil"/>
              <w:tr2bl w:val="nil"/>
            </w:tcBorders>
            <w:vAlign w:val="center"/>
          </w:tcPr>
          <w:p w14:paraId="64DB949F"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w:t>
            </w:r>
          </w:p>
        </w:tc>
      </w:tr>
      <w:tr w:rsidR="002E0859" w14:paraId="043388FC" w14:textId="77777777">
        <w:trPr>
          <w:trHeight w:val="23"/>
        </w:trPr>
        <w:tc>
          <w:tcPr>
            <w:tcW w:w="861" w:type="pct"/>
            <w:tcBorders>
              <w:tl2br w:val="nil"/>
              <w:tr2bl w:val="nil"/>
            </w:tcBorders>
            <w:vAlign w:val="center"/>
          </w:tcPr>
          <w:p w14:paraId="2473743A"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焦页90-5HF</w:t>
            </w:r>
          </w:p>
        </w:tc>
        <w:tc>
          <w:tcPr>
            <w:tcW w:w="344" w:type="pct"/>
            <w:tcBorders>
              <w:tl2br w:val="nil"/>
              <w:tr2bl w:val="nil"/>
            </w:tcBorders>
            <w:vAlign w:val="center"/>
          </w:tcPr>
          <w:p w14:paraId="7C3EA51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w:t>
            </w:r>
          </w:p>
        </w:tc>
        <w:tc>
          <w:tcPr>
            <w:tcW w:w="345" w:type="pct"/>
            <w:tcBorders>
              <w:tl2br w:val="nil"/>
              <w:tr2bl w:val="nil"/>
            </w:tcBorders>
            <w:vAlign w:val="center"/>
          </w:tcPr>
          <w:p w14:paraId="0A506343"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c>
          <w:tcPr>
            <w:tcW w:w="515" w:type="pct"/>
            <w:tcBorders>
              <w:tl2br w:val="nil"/>
              <w:tr2bl w:val="nil"/>
            </w:tcBorders>
            <w:vAlign w:val="center"/>
          </w:tcPr>
          <w:p w14:paraId="48FCB73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4.36</w:t>
            </w:r>
          </w:p>
        </w:tc>
        <w:tc>
          <w:tcPr>
            <w:tcW w:w="515" w:type="pct"/>
            <w:tcBorders>
              <w:tl2br w:val="nil"/>
              <w:tr2bl w:val="nil"/>
            </w:tcBorders>
            <w:vAlign w:val="center"/>
          </w:tcPr>
          <w:p w14:paraId="220D837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0.14</w:t>
            </w:r>
          </w:p>
        </w:tc>
        <w:tc>
          <w:tcPr>
            <w:tcW w:w="431" w:type="pct"/>
            <w:tcBorders>
              <w:tl2br w:val="nil"/>
              <w:tr2bl w:val="nil"/>
            </w:tcBorders>
            <w:vAlign w:val="center"/>
          </w:tcPr>
          <w:p w14:paraId="7B790E7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0.88</w:t>
            </w:r>
          </w:p>
        </w:tc>
        <w:tc>
          <w:tcPr>
            <w:tcW w:w="515" w:type="pct"/>
            <w:tcBorders>
              <w:tl2br w:val="nil"/>
              <w:tr2bl w:val="nil"/>
            </w:tcBorders>
            <w:vAlign w:val="center"/>
          </w:tcPr>
          <w:p w14:paraId="6E2D122B"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0.97</w:t>
            </w:r>
          </w:p>
        </w:tc>
        <w:tc>
          <w:tcPr>
            <w:tcW w:w="515" w:type="pct"/>
            <w:vMerge w:val="restart"/>
            <w:tcBorders>
              <w:tl2br w:val="nil"/>
              <w:tr2bl w:val="nil"/>
            </w:tcBorders>
            <w:vAlign w:val="center"/>
          </w:tcPr>
          <w:p w14:paraId="521EF02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22.8</w:t>
            </w:r>
          </w:p>
        </w:tc>
        <w:tc>
          <w:tcPr>
            <w:tcW w:w="432" w:type="pct"/>
            <w:vMerge w:val="restart"/>
            <w:tcBorders>
              <w:tl2br w:val="nil"/>
              <w:tr2bl w:val="nil"/>
            </w:tcBorders>
            <w:vAlign w:val="center"/>
          </w:tcPr>
          <w:p w14:paraId="07EF339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7.4</w:t>
            </w:r>
          </w:p>
        </w:tc>
        <w:tc>
          <w:tcPr>
            <w:tcW w:w="521" w:type="pct"/>
            <w:vMerge w:val="restart"/>
            <w:tcBorders>
              <w:tl2br w:val="nil"/>
              <w:tr2bl w:val="nil"/>
            </w:tcBorders>
            <w:vAlign w:val="center"/>
          </w:tcPr>
          <w:p w14:paraId="7E9A6577"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21.7</w:t>
            </w:r>
          </w:p>
        </w:tc>
      </w:tr>
      <w:tr w:rsidR="002E0859" w14:paraId="654F342F" w14:textId="77777777">
        <w:trPr>
          <w:trHeight w:val="23"/>
        </w:trPr>
        <w:tc>
          <w:tcPr>
            <w:tcW w:w="861" w:type="pct"/>
            <w:tcBorders>
              <w:tl2br w:val="nil"/>
              <w:tr2bl w:val="nil"/>
            </w:tcBorders>
            <w:vAlign w:val="center"/>
          </w:tcPr>
          <w:p w14:paraId="481ADDAC"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焦页90-Z1HF</w:t>
            </w:r>
          </w:p>
        </w:tc>
        <w:tc>
          <w:tcPr>
            <w:tcW w:w="344" w:type="pct"/>
            <w:tcBorders>
              <w:tl2br w:val="nil"/>
              <w:tr2bl w:val="nil"/>
            </w:tcBorders>
            <w:vAlign w:val="center"/>
          </w:tcPr>
          <w:p w14:paraId="49B6FD2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2</w:t>
            </w:r>
          </w:p>
        </w:tc>
        <w:tc>
          <w:tcPr>
            <w:tcW w:w="345" w:type="pct"/>
            <w:tcBorders>
              <w:tl2br w:val="nil"/>
              <w:tr2bl w:val="nil"/>
            </w:tcBorders>
            <w:vAlign w:val="center"/>
          </w:tcPr>
          <w:p w14:paraId="0C1BA48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c>
          <w:tcPr>
            <w:tcW w:w="515" w:type="pct"/>
            <w:tcBorders>
              <w:tl2br w:val="nil"/>
              <w:tr2bl w:val="nil"/>
            </w:tcBorders>
            <w:vAlign w:val="center"/>
          </w:tcPr>
          <w:p w14:paraId="1B84A312"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3.37</w:t>
            </w:r>
          </w:p>
        </w:tc>
        <w:tc>
          <w:tcPr>
            <w:tcW w:w="515" w:type="pct"/>
            <w:tcBorders>
              <w:tl2br w:val="nil"/>
              <w:tr2bl w:val="nil"/>
            </w:tcBorders>
            <w:vAlign w:val="center"/>
          </w:tcPr>
          <w:p w14:paraId="4A70A7F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0.11</w:t>
            </w:r>
          </w:p>
        </w:tc>
        <w:tc>
          <w:tcPr>
            <w:tcW w:w="431" w:type="pct"/>
            <w:tcBorders>
              <w:tl2br w:val="nil"/>
              <w:tr2bl w:val="nil"/>
            </w:tcBorders>
            <w:vAlign w:val="center"/>
          </w:tcPr>
          <w:p w14:paraId="5EE8213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0.65</w:t>
            </w:r>
          </w:p>
        </w:tc>
        <w:tc>
          <w:tcPr>
            <w:tcW w:w="515" w:type="pct"/>
            <w:tcBorders>
              <w:tl2br w:val="nil"/>
              <w:tr2bl w:val="nil"/>
            </w:tcBorders>
            <w:vAlign w:val="center"/>
          </w:tcPr>
          <w:p w14:paraId="0A502D0E"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0.71</w:t>
            </w:r>
          </w:p>
        </w:tc>
        <w:tc>
          <w:tcPr>
            <w:tcW w:w="515" w:type="pct"/>
            <w:vMerge/>
            <w:tcBorders>
              <w:tl2br w:val="nil"/>
              <w:tr2bl w:val="nil"/>
            </w:tcBorders>
            <w:vAlign w:val="center"/>
          </w:tcPr>
          <w:p w14:paraId="40DD2A48" w14:textId="77777777" w:rsidR="002E0859" w:rsidRDefault="002E0859">
            <w:pPr>
              <w:ind w:firstLine="420"/>
              <w:jc w:val="center"/>
              <w:rPr>
                <w:rFonts w:ascii="Arial"/>
                <w:color w:val="000000" w:themeColor="text1"/>
                <w:sz w:val="21"/>
              </w:rPr>
            </w:pPr>
          </w:p>
        </w:tc>
        <w:tc>
          <w:tcPr>
            <w:tcW w:w="432" w:type="pct"/>
            <w:vMerge/>
            <w:tcBorders>
              <w:tl2br w:val="nil"/>
              <w:tr2bl w:val="nil"/>
            </w:tcBorders>
            <w:vAlign w:val="center"/>
          </w:tcPr>
          <w:p w14:paraId="7FABEED5" w14:textId="77777777" w:rsidR="002E0859" w:rsidRDefault="002E0859">
            <w:pPr>
              <w:ind w:firstLine="420"/>
              <w:jc w:val="center"/>
              <w:rPr>
                <w:rFonts w:ascii="Arial"/>
                <w:color w:val="000000" w:themeColor="text1"/>
                <w:sz w:val="21"/>
              </w:rPr>
            </w:pPr>
          </w:p>
        </w:tc>
        <w:tc>
          <w:tcPr>
            <w:tcW w:w="521" w:type="pct"/>
            <w:vMerge/>
            <w:tcBorders>
              <w:tl2br w:val="nil"/>
              <w:tr2bl w:val="nil"/>
            </w:tcBorders>
            <w:vAlign w:val="center"/>
          </w:tcPr>
          <w:p w14:paraId="01F66A0D" w14:textId="77777777" w:rsidR="002E0859" w:rsidRDefault="002E0859">
            <w:pPr>
              <w:ind w:firstLine="420"/>
              <w:jc w:val="center"/>
              <w:rPr>
                <w:rFonts w:ascii="Arial"/>
                <w:color w:val="000000" w:themeColor="text1"/>
                <w:sz w:val="21"/>
              </w:rPr>
            </w:pPr>
          </w:p>
        </w:tc>
      </w:tr>
      <w:tr w:rsidR="002E0859" w14:paraId="1EAB3D0B" w14:textId="77777777">
        <w:trPr>
          <w:trHeight w:val="23"/>
        </w:trPr>
        <w:tc>
          <w:tcPr>
            <w:tcW w:w="1206" w:type="pct"/>
            <w:gridSpan w:val="2"/>
            <w:tcBorders>
              <w:tl2br w:val="nil"/>
              <w:tr2bl w:val="nil"/>
            </w:tcBorders>
            <w:vAlign w:val="center"/>
          </w:tcPr>
          <w:p w14:paraId="2A91E983"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平均</w:t>
            </w:r>
          </w:p>
        </w:tc>
        <w:tc>
          <w:tcPr>
            <w:tcW w:w="345" w:type="pct"/>
            <w:tcBorders>
              <w:tl2br w:val="nil"/>
              <w:tr2bl w:val="nil"/>
            </w:tcBorders>
            <w:vAlign w:val="center"/>
          </w:tcPr>
          <w:p w14:paraId="3AB8096D"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1970</w:t>
            </w:r>
          </w:p>
        </w:tc>
        <w:tc>
          <w:tcPr>
            <w:tcW w:w="515" w:type="pct"/>
            <w:tcBorders>
              <w:tl2br w:val="nil"/>
              <w:tr2bl w:val="nil"/>
            </w:tcBorders>
            <w:vAlign w:val="center"/>
          </w:tcPr>
          <w:p w14:paraId="414E7556"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3.87</w:t>
            </w:r>
          </w:p>
        </w:tc>
        <w:tc>
          <w:tcPr>
            <w:tcW w:w="515" w:type="pct"/>
            <w:tcBorders>
              <w:tl2br w:val="nil"/>
              <w:tr2bl w:val="nil"/>
            </w:tcBorders>
            <w:vAlign w:val="center"/>
          </w:tcPr>
          <w:p w14:paraId="79F83CCE" w14:textId="77777777" w:rsidR="002E0859" w:rsidRDefault="002E0859">
            <w:pPr>
              <w:spacing w:line="240" w:lineRule="auto"/>
              <w:ind w:firstLineChars="0" w:firstLine="0"/>
              <w:jc w:val="center"/>
              <w:rPr>
                <w:rFonts w:eastAsia="Times New Roman"/>
                <w:color w:val="000000" w:themeColor="text1"/>
                <w:sz w:val="21"/>
                <w:szCs w:val="21"/>
              </w:rPr>
            </w:pPr>
          </w:p>
        </w:tc>
        <w:tc>
          <w:tcPr>
            <w:tcW w:w="431" w:type="pct"/>
            <w:tcBorders>
              <w:tl2br w:val="nil"/>
              <w:tr2bl w:val="nil"/>
            </w:tcBorders>
            <w:vAlign w:val="center"/>
          </w:tcPr>
          <w:p w14:paraId="43419F80" w14:textId="77777777" w:rsidR="002E0859" w:rsidRDefault="002E0859">
            <w:pPr>
              <w:spacing w:line="240" w:lineRule="auto"/>
              <w:ind w:firstLineChars="0" w:firstLine="0"/>
              <w:jc w:val="center"/>
              <w:rPr>
                <w:rFonts w:eastAsia="Times New Roman"/>
                <w:color w:val="000000" w:themeColor="text1"/>
                <w:sz w:val="21"/>
                <w:szCs w:val="21"/>
              </w:rPr>
            </w:pPr>
          </w:p>
        </w:tc>
        <w:tc>
          <w:tcPr>
            <w:tcW w:w="515" w:type="pct"/>
            <w:tcBorders>
              <w:tl2br w:val="nil"/>
              <w:tr2bl w:val="nil"/>
            </w:tcBorders>
            <w:vAlign w:val="center"/>
          </w:tcPr>
          <w:p w14:paraId="4790C44C" w14:textId="77777777" w:rsidR="002E0859" w:rsidRDefault="002E0859">
            <w:pPr>
              <w:spacing w:line="240" w:lineRule="auto"/>
              <w:ind w:firstLineChars="0" w:firstLine="0"/>
              <w:jc w:val="center"/>
              <w:rPr>
                <w:rFonts w:eastAsia="Times New Roman"/>
                <w:color w:val="000000" w:themeColor="text1"/>
                <w:sz w:val="21"/>
                <w:szCs w:val="21"/>
              </w:rPr>
            </w:pPr>
          </w:p>
        </w:tc>
        <w:tc>
          <w:tcPr>
            <w:tcW w:w="515" w:type="pct"/>
            <w:vMerge/>
            <w:tcBorders>
              <w:tl2br w:val="nil"/>
              <w:tr2bl w:val="nil"/>
            </w:tcBorders>
            <w:vAlign w:val="center"/>
          </w:tcPr>
          <w:p w14:paraId="17C76670" w14:textId="77777777" w:rsidR="002E0859" w:rsidRDefault="002E0859">
            <w:pPr>
              <w:ind w:firstLine="420"/>
              <w:jc w:val="center"/>
              <w:rPr>
                <w:rFonts w:ascii="Arial"/>
                <w:color w:val="000000" w:themeColor="text1"/>
                <w:sz w:val="21"/>
              </w:rPr>
            </w:pPr>
          </w:p>
        </w:tc>
        <w:tc>
          <w:tcPr>
            <w:tcW w:w="432" w:type="pct"/>
            <w:vMerge/>
            <w:tcBorders>
              <w:tl2br w:val="nil"/>
              <w:tr2bl w:val="nil"/>
            </w:tcBorders>
            <w:vAlign w:val="center"/>
          </w:tcPr>
          <w:p w14:paraId="57B18D75" w14:textId="77777777" w:rsidR="002E0859" w:rsidRDefault="002E0859">
            <w:pPr>
              <w:ind w:firstLine="420"/>
              <w:jc w:val="center"/>
              <w:rPr>
                <w:rFonts w:ascii="Arial"/>
                <w:color w:val="000000" w:themeColor="text1"/>
                <w:sz w:val="21"/>
              </w:rPr>
            </w:pPr>
          </w:p>
        </w:tc>
        <w:tc>
          <w:tcPr>
            <w:tcW w:w="521" w:type="pct"/>
            <w:vMerge/>
            <w:tcBorders>
              <w:tl2br w:val="nil"/>
              <w:tr2bl w:val="nil"/>
            </w:tcBorders>
            <w:vAlign w:val="center"/>
          </w:tcPr>
          <w:p w14:paraId="518CB93D" w14:textId="77777777" w:rsidR="002E0859" w:rsidRDefault="002E0859">
            <w:pPr>
              <w:ind w:firstLine="420"/>
              <w:jc w:val="center"/>
              <w:rPr>
                <w:rFonts w:ascii="Arial"/>
                <w:color w:val="000000" w:themeColor="text1"/>
                <w:sz w:val="21"/>
              </w:rPr>
            </w:pPr>
          </w:p>
        </w:tc>
      </w:tr>
      <w:tr w:rsidR="002E0859" w14:paraId="0790CF50" w14:textId="77777777">
        <w:trPr>
          <w:trHeight w:val="23"/>
        </w:trPr>
        <w:tc>
          <w:tcPr>
            <w:tcW w:w="1206" w:type="pct"/>
            <w:gridSpan w:val="2"/>
            <w:tcBorders>
              <w:tl2br w:val="nil"/>
              <w:tr2bl w:val="nil"/>
            </w:tcBorders>
            <w:vAlign w:val="center"/>
          </w:tcPr>
          <w:p w14:paraId="2A518758"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合计</w:t>
            </w:r>
          </w:p>
        </w:tc>
        <w:tc>
          <w:tcPr>
            <w:tcW w:w="345" w:type="pct"/>
            <w:tcBorders>
              <w:tl2br w:val="nil"/>
              <w:tr2bl w:val="nil"/>
            </w:tcBorders>
            <w:vAlign w:val="center"/>
          </w:tcPr>
          <w:p w14:paraId="14C2053A" w14:textId="77777777" w:rsidR="002E0859" w:rsidRDefault="002E0859">
            <w:pPr>
              <w:spacing w:line="240" w:lineRule="auto"/>
              <w:ind w:firstLineChars="0" w:firstLine="0"/>
              <w:jc w:val="center"/>
              <w:rPr>
                <w:rFonts w:eastAsia="Times New Roman"/>
                <w:color w:val="000000" w:themeColor="text1"/>
                <w:sz w:val="21"/>
                <w:szCs w:val="21"/>
              </w:rPr>
            </w:pPr>
          </w:p>
        </w:tc>
        <w:tc>
          <w:tcPr>
            <w:tcW w:w="515" w:type="pct"/>
            <w:tcBorders>
              <w:tl2br w:val="nil"/>
              <w:tr2bl w:val="nil"/>
            </w:tcBorders>
            <w:vAlign w:val="center"/>
          </w:tcPr>
          <w:p w14:paraId="724F35C5" w14:textId="77777777" w:rsidR="002E0859" w:rsidRDefault="002E0859">
            <w:pPr>
              <w:spacing w:line="240" w:lineRule="auto"/>
              <w:ind w:firstLineChars="0" w:firstLine="0"/>
              <w:jc w:val="center"/>
              <w:rPr>
                <w:rFonts w:eastAsia="Times New Roman"/>
                <w:color w:val="000000" w:themeColor="text1"/>
                <w:sz w:val="21"/>
                <w:szCs w:val="21"/>
              </w:rPr>
            </w:pPr>
          </w:p>
        </w:tc>
        <w:tc>
          <w:tcPr>
            <w:tcW w:w="515" w:type="pct"/>
            <w:tcBorders>
              <w:tl2br w:val="nil"/>
              <w:tr2bl w:val="nil"/>
            </w:tcBorders>
            <w:vAlign w:val="center"/>
          </w:tcPr>
          <w:p w14:paraId="63CEAD24"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0.25</w:t>
            </w:r>
          </w:p>
        </w:tc>
        <w:tc>
          <w:tcPr>
            <w:tcW w:w="431" w:type="pct"/>
            <w:tcBorders>
              <w:tl2br w:val="nil"/>
              <w:tr2bl w:val="nil"/>
            </w:tcBorders>
            <w:vAlign w:val="center"/>
          </w:tcPr>
          <w:p w14:paraId="0AD5318C"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1.53</w:t>
            </w:r>
          </w:p>
        </w:tc>
        <w:tc>
          <w:tcPr>
            <w:tcW w:w="515" w:type="pct"/>
            <w:tcBorders>
              <w:tl2br w:val="nil"/>
              <w:tr2bl w:val="nil"/>
            </w:tcBorders>
            <w:vAlign w:val="center"/>
          </w:tcPr>
          <w:p w14:paraId="2FDA77D1" w14:textId="77777777" w:rsidR="002E0859" w:rsidRDefault="00000000">
            <w:pPr>
              <w:spacing w:line="240" w:lineRule="auto"/>
              <w:ind w:firstLineChars="0" w:firstLine="0"/>
              <w:jc w:val="center"/>
              <w:rPr>
                <w:rFonts w:eastAsia="Times New Roman"/>
                <w:color w:val="000000" w:themeColor="text1"/>
                <w:sz w:val="21"/>
                <w:szCs w:val="21"/>
              </w:rPr>
            </w:pPr>
            <w:r>
              <w:rPr>
                <w:rFonts w:eastAsia="Times New Roman" w:hint="eastAsia"/>
                <w:color w:val="000000" w:themeColor="text1"/>
                <w:sz w:val="21"/>
                <w:szCs w:val="21"/>
              </w:rPr>
              <w:t>1.68</w:t>
            </w:r>
          </w:p>
        </w:tc>
        <w:tc>
          <w:tcPr>
            <w:tcW w:w="515" w:type="pct"/>
            <w:vMerge/>
            <w:tcBorders>
              <w:tl2br w:val="nil"/>
              <w:tr2bl w:val="nil"/>
            </w:tcBorders>
            <w:vAlign w:val="center"/>
          </w:tcPr>
          <w:p w14:paraId="6B3349FD" w14:textId="77777777" w:rsidR="002E0859" w:rsidRDefault="002E0859">
            <w:pPr>
              <w:ind w:firstLine="420"/>
              <w:jc w:val="center"/>
              <w:rPr>
                <w:rFonts w:ascii="Arial"/>
                <w:color w:val="000000" w:themeColor="text1"/>
                <w:sz w:val="21"/>
              </w:rPr>
            </w:pPr>
          </w:p>
        </w:tc>
        <w:tc>
          <w:tcPr>
            <w:tcW w:w="432" w:type="pct"/>
            <w:vMerge/>
            <w:tcBorders>
              <w:tl2br w:val="nil"/>
              <w:tr2bl w:val="nil"/>
            </w:tcBorders>
            <w:vAlign w:val="center"/>
          </w:tcPr>
          <w:p w14:paraId="29AA708A" w14:textId="77777777" w:rsidR="002E0859" w:rsidRDefault="002E0859">
            <w:pPr>
              <w:ind w:firstLine="420"/>
              <w:jc w:val="center"/>
              <w:rPr>
                <w:rFonts w:ascii="Arial"/>
                <w:color w:val="000000" w:themeColor="text1"/>
                <w:sz w:val="21"/>
              </w:rPr>
            </w:pPr>
          </w:p>
        </w:tc>
        <w:tc>
          <w:tcPr>
            <w:tcW w:w="521" w:type="pct"/>
            <w:vMerge/>
            <w:tcBorders>
              <w:tl2br w:val="nil"/>
              <w:tr2bl w:val="nil"/>
            </w:tcBorders>
            <w:vAlign w:val="center"/>
          </w:tcPr>
          <w:p w14:paraId="0AAC1AE7" w14:textId="77777777" w:rsidR="002E0859" w:rsidRDefault="002E0859">
            <w:pPr>
              <w:ind w:firstLine="420"/>
              <w:jc w:val="center"/>
              <w:rPr>
                <w:rFonts w:ascii="Arial"/>
                <w:color w:val="000000" w:themeColor="text1"/>
                <w:sz w:val="21"/>
              </w:rPr>
            </w:pPr>
          </w:p>
        </w:tc>
      </w:tr>
    </w:tbl>
    <w:p w14:paraId="596DD6CD" w14:textId="77777777" w:rsidR="002E0859" w:rsidRDefault="00000000">
      <w:pPr>
        <w:spacing w:beforeLines="50" w:before="120" w:line="360" w:lineRule="auto"/>
        <w:ind w:firstLine="480"/>
        <w:rPr>
          <w:rFonts w:ascii="宋体" w:hAnsi="宋体" w:cs="宋体"/>
          <w:color w:val="000000" w:themeColor="text1"/>
          <w:sz w:val="24"/>
          <w:szCs w:val="24"/>
        </w:rPr>
      </w:pPr>
      <w:r>
        <w:rPr>
          <w:rFonts w:eastAsia="Times New Roman" w:hint="eastAsia"/>
          <w:color w:val="000000" w:themeColor="text1"/>
          <w:sz w:val="24"/>
          <w:szCs w:val="24"/>
        </w:rPr>
        <w:t>6、指标预测</w:t>
      </w:r>
    </w:p>
    <w:p w14:paraId="65D64CCA" w14:textId="77777777" w:rsidR="002E0859" w:rsidRDefault="00000000">
      <w:pPr>
        <w:pStyle w:val="a0"/>
        <w:spacing w:line="360" w:lineRule="auto"/>
        <w:ind w:firstLine="480"/>
        <w:rPr>
          <w:rFonts w:eastAsia="Times New Roman"/>
          <w:color w:val="000000" w:themeColor="text1"/>
          <w:sz w:val="24"/>
          <w:szCs w:val="24"/>
        </w:rPr>
      </w:pPr>
      <w:r>
        <w:rPr>
          <w:rFonts w:eastAsia="Times New Roman" w:hint="eastAsia"/>
          <w:color w:val="000000" w:themeColor="text1"/>
          <w:sz w:val="24"/>
          <w:szCs w:val="24"/>
        </w:rPr>
        <w:t>根据单井产量模型，进行开发方案指标预测。焦页90号立体评价井组共投产2口井，最高年产气0.33亿方，15年累计产气1.53亿方（最大理论值）。</w:t>
      </w:r>
    </w:p>
    <w:p w14:paraId="694CC4CF" w14:textId="7C9A53E9" w:rsidR="002E0859" w:rsidRDefault="002E0859">
      <w:pPr>
        <w:spacing w:before="147" w:line="4248" w:lineRule="exact"/>
        <w:ind w:firstLine="560"/>
        <w:rPr>
          <w:color w:val="000000" w:themeColor="text1"/>
        </w:rPr>
      </w:pPr>
    </w:p>
    <w:p w14:paraId="41273AD3"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hint="eastAsia"/>
          <w:color w:val="000000" w:themeColor="text1"/>
          <w:sz w:val="21"/>
          <w:szCs w:val="21"/>
        </w:rPr>
        <w:t>图</w:t>
      </w:r>
      <w:r>
        <w:rPr>
          <w:rFonts w:eastAsia="黑体" w:hint="eastAsia"/>
          <w:color w:val="000000" w:themeColor="text1"/>
          <w:sz w:val="21"/>
          <w:szCs w:val="21"/>
        </w:rPr>
        <w:t xml:space="preserve">2.3-2 </w:t>
      </w:r>
      <w:r>
        <w:rPr>
          <w:rFonts w:eastAsia="黑体" w:hint="eastAsia"/>
          <w:color w:val="000000" w:themeColor="text1"/>
          <w:sz w:val="21"/>
          <w:szCs w:val="21"/>
        </w:rPr>
        <w:t>焦页</w:t>
      </w:r>
      <w:r>
        <w:rPr>
          <w:rFonts w:eastAsia="黑体" w:hint="eastAsia"/>
          <w:color w:val="000000" w:themeColor="text1"/>
          <w:sz w:val="21"/>
          <w:szCs w:val="21"/>
        </w:rPr>
        <w:t>90</w:t>
      </w:r>
      <w:r>
        <w:rPr>
          <w:rFonts w:eastAsia="黑体" w:hint="eastAsia"/>
          <w:color w:val="000000" w:themeColor="text1"/>
          <w:sz w:val="21"/>
          <w:szCs w:val="21"/>
        </w:rPr>
        <w:t>号评价井组单井产能、可采储量及提高采收率预测表</w:t>
      </w:r>
    </w:p>
    <w:p w14:paraId="190893A3"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气藏概况</w:t>
      </w:r>
    </w:p>
    <w:p w14:paraId="791485AA"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气藏地质</w:t>
      </w:r>
    </w:p>
    <w:p w14:paraId="2358C677" w14:textId="77777777" w:rsidR="002E0859" w:rsidRDefault="00000000">
      <w:pPr>
        <w:pStyle w:val="a0"/>
        <w:spacing w:line="360" w:lineRule="auto"/>
        <w:ind w:firstLine="480"/>
        <w:rPr>
          <w:color w:val="000000" w:themeColor="text1"/>
        </w:rPr>
      </w:pPr>
      <w:r>
        <w:rPr>
          <w:rFonts w:hint="eastAsia"/>
          <w:color w:val="000000" w:themeColor="text1"/>
          <w:sz w:val="24"/>
          <w:szCs w:val="24"/>
        </w:rPr>
        <w:t>江东区块分为南、北两个体系，北部为天台场</w:t>
      </w:r>
      <w:r>
        <w:rPr>
          <w:color w:val="000000" w:themeColor="text1"/>
          <w:sz w:val="24"/>
          <w:szCs w:val="24"/>
        </w:rPr>
        <w:t>1</w:t>
      </w:r>
      <w:r>
        <w:rPr>
          <w:rFonts w:hint="eastAsia"/>
          <w:color w:val="000000" w:themeColor="text1"/>
          <w:sz w:val="24"/>
          <w:szCs w:val="24"/>
        </w:rPr>
        <w:t>号、</w:t>
      </w:r>
      <w:r>
        <w:rPr>
          <w:color w:val="000000" w:themeColor="text1"/>
          <w:sz w:val="24"/>
          <w:szCs w:val="24"/>
        </w:rPr>
        <w:t>2</w:t>
      </w:r>
      <w:r>
        <w:rPr>
          <w:rFonts w:hint="eastAsia"/>
          <w:color w:val="000000" w:themeColor="text1"/>
          <w:sz w:val="24"/>
          <w:szCs w:val="24"/>
        </w:rPr>
        <w:t>号断鼻、吊水岩向斜，呈北东向展布；南部为江东鞍部及乌江</w:t>
      </w:r>
      <w:r>
        <w:rPr>
          <w:color w:val="000000" w:themeColor="text1"/>
          <w:sz w:val="24"/>
          <w:szCs w:val="24"/>
        </w:rPr>
        <w:t>1</w:t>
      </w:r>
      <w:r>
        <w:rPr>
          <w:rFonts w:hint="eastAsia"/>
          <w:color w:val="000000" w:themeColor="text1"/>
          <w:sz w:val="24"/>
          <w:szCs w:val="24"/>
        </w:rPr>
        <w:t>号断背斜，呈北西向展布，自北向南逐渐复杂。焦页</w:t>
      </w:r>
      <w:r>
        <w:rPr>
          <w:color w:val="000000" w:themeColor="text1"/>
          <w:sz w:val="24"/>
          <w:szCs w:val="24"/>
        </w:rPr>
        <w:t>90</w:t>
      </w:r>
      <w:r>
        <w:rPr>
          <w:rFonts w:hint="eastAsia"/>
          <w:color w:val="000000" w:themeColor="text1"/>
          <w:sz w:val="24"/>
          <w:szCs w:val="24"/>
        </w:rPr>
        <w:t>号井组位于江东区块北部天台场</w:t>
      </w:r>
      <w:r>
        <w:rPr>
          <w:color w:val="000000" w:themeColor="text1"/>
          <w:sz w:val="24"/>
          <w:szCs w:val="24"/>
        </w:rPr>
        <w:t>1</w:t>
      </w:r>
      <w:r>
        <w:rPr>
          <w:rFonts w:hint="eastAsia"/>
          <w:color w:val="000000" w:themeColor="text1"/>
          <w:sz w:val="24"/>
          <w:szCs w:val="24"/>
        </w:rPr>
        <w:t>号断鼻，构造上东高西低，井组五峰组底埋深</w:t>
      </w:r>
      <w:r>
        <w:rPr>
          <w:color w:val="000000" w:themeColor="text1"/>
          <w:sz w:val="24"/>
          <w:szCs w:val="24"/>
        </w:rPr>
        <w:t>3560-3720m</w:t>
      </w:r>
      <w:r>
        <w:rPr>
          <w:rFonts w:hint="eastAsia"/>
          <w:color w:val="000000" w:themeColor="text1"/>
          <w:sz w:val="24"/>
          <w:szCs w:val="24"/>
        </w:rPr>
        <w:t>，上部气层⑧小层底埋深</w:t>
      </w:r>
      <w:r>
        <w:rPr>
          <w:color w:val="000000" w:themeColor="text1"/>
          <w:sz w:val="24"/>
          <w:szCs w:val="24"/>
        </w:rPr>
        <w:t>3530-3690m</w:t>
      </w:r>
      <w:r>
        <w:rPr>
          <w:rFonts w:hint="eastAsia"/>
          <w:color w:val="000000" w:themeColor="text1"/>
          <w:sz w:val="24"/>
          <w:szCs w:val="24"/>
        </w:rPr>
        <w:t>，五峰组底倾角范围在</w:t>
      </w:r>
      <w:r>
        <w:rPr>
          <w:color w:val="000000" w:themeColor="text1"/>
          <w:sz w:val="24"/>
          <w:szCs w:val="24"/>
        </w:rPr>
        <w:t>5-15</w:t>
      </w:r>
      <w:r>
        <w:rPr>
          <w:rFonts w:hint="eastAsia"/>
          <w:color w:val="000000" w:themeColor="text1"/>
          <w:sz w:val="24"/>
          <w:szCs w:val="24"/>
        </w:rPr>
        <w:t>度，井组上、下部气层段裂缝发育特征基本一致，整体曲率以中</w:t>
      </w:r>
      <w:r>
        <w:rPr>
          <w:color w:val="000000" w:themeColor="text1"/>
          <w:sz w:val="24"/>
          <w:szCs w:val="24"/>
        </w:rPr>
        <w:t>-</w:t>
      </w:r>
      <w:r>
        <w:rPr>
          <w:rFonts w:hint="eastAsia"/>
          <w:color w:val="000000" w:themeColor="text1"/>
          <w:sz w:val="24"/>
          <w:szCs w:val="24"/>
        </w:rPr>
        <w:t>弱短轴状曲率为主。</w:t>
      </w:r>
    </w:p>
    <w:p w14:paraId="1FC298E0"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储层特征</w:t>
      </w:r>
    </w:p>
    <w:p w14:paraId="076F9475"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脆性矿物特征</w:t>
      </w:r>
    </w:p>
    <w:p w14:paraId="5E9F0021" w14:textId="77777777" w:rsidR="002E0859" w:rsidRDefault="00000000">
      <w:pPr>
        <w:pStyle w:val="a0"/>
        <w:spacing w:line="360" w:lineRule="auto"/>
        <w:ind w:firstLine="480"/>
        <w:rPr>
          <w:color w:val="000000" w:themeColor="text1"/>
          <w:sz w:val="24"/>
          <w:szCs w:val="24"/>
        </w:rPr>
      </w:pPr>
      <w:r>
        <w:rPr>
          <w:color w:val="000000" w:themeColor="text1"/>
          <w:sz w:val="24"/>
          <w:szCs w:val="24"/>
        </w:rPr>
        <w:t>江东区块导眼井焦页</w:t>
      </w:r>
      <w:r>
        <w:rPr>
          <w:color w:val="000000" w:themeColor="text1"/>
          <w:sz w:val="24"/>
          <w:szCs w:val="24"/>
        </w:rPr>
        <w:t>87-3</w:t>
      </w:r>
      <w:r>
        <w:rPr>
          <w:color w:val="000000" w:themeColor="text1"/>
          <w:sz w:val="24"/>
          <w:szCs w:val="24"/>
        </w:rPr>
        <w:t>井五峰组</w:t>
      </w:r>
      <w:r>
        <w:rPr>
          <w:color w:val="000000" w:themeColor="text1"/>
          <w:sz w:val="24"/>
          <w:szCs w:val="24"/>
        </w:rPr>
        <w:t>-</w:t>
      </w:r>
      <w:r>
        <w:rPr>
          <w:color w:val="000000" w:themeColor="text1"/>
          <w:sz w:val="24"/>
          <w:szCs w:val="24"/>
        </w:rPr>
        <w:t>龙马溪组段脆性矿物含量明显较高，其中脆性矿物含量含量自上而下逐渐增加（表</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5</w:t>
      </w:r>
      <w:r>
        <w:rPr>
          <w:color w:val="000000" w:themeColor="text1"/>
          <w:sz w:val="24"/>
          <w:szCs w:val="24"/>
        </w:rPr>
        <w:t>）。总量介于：</w:t>
      </w:r>
      <w:r>
        <w:rPr>
          <w:color w:val="000000" w:themeColor="text1"/>
          <w:sz w:val="24"/>
          <w:szCs w:val="24"/>
        </w:rPr>
        <w:t>34.6%</w:t>
      </w:r>
      <w:r>
        <w:rPr>
          <w:color w:val="000000" w:themeColor="text1"/>
          <w:sz w:val="24"/>
          <w:szCs w:val="24"/>
        </w:rPr>
        <w:t>～</w:t>
      </w:r>
      <w:r>
        <w:rPr>
          <w:color w:val="000000" w:themeColor="text1"/>
          <w:sz w:val="24"/>
          <w:szCs w:val="24"/>
        </w:rPr>
        <w:t>78%</w:t>
      </w:r>
      <w:r>
        <w:rPr>
          <w:color w:val="000000" w:themeColor="text1"/>
          <w:sz w:val="24"/>
          <w:szCs w:val="24"/>
        </w:rPr>
        <w:t>，平均为</w:t>
      </w:r>
      <w:r>
        <w:rPr>
          <w:color w:val="000000" w:themeColor="text1"/>
          <w:sz w:val="24"/>
          <w:szCs w:val="24"/>
        </w:rPr>
        <w:t>61.41%</w:t>
      </w:r>
      <w:r>
        <w:rPr>
          <w:color w:val="000000" w:themeColor="text1"/>
          <w:sz w:val="24"/>
          <w:szCs w:val="24"/>
        </w:rPr>
        <w:t>。</w:t>
      </w:r>
      <w:r>
        <w:rPr>
          <w:color w:val="000000" w:themeColor="text1"/>
          <w:sz w:val="24"/>
          <w:szCs w:val="24"/>
        </w:rPr>
        <w:lastRenderedPageBreak/>
        <w:t>上部气层段脆性矿物含量介于</w:t>
      </w:r>
      <w:r>
        <w:rPr>
          <w:color w:val="000000" w:themeColor="text1"/>
          <w:sz w:val="24"/>
          <w:szCs w:val="24"/>
        </w:rPr>
        <w:t>34.6-76.6%</w:t>
      </w:r>
      <w:r>
        <w:rPr>
          <w:color w:val="000000" w:themeColor="text1"/>
          <w:sz w:val="24"/>
          <w:szCs w:val="24"/>
        </w:rPr>
        <w:t>，平均为</w:t>
      </w:r>
      <w:r>
        <w:rPr>
          <w:color w:val="000000" w:themeColor="text1"/>
          <w:sz w:val="24"/>
          <w:szCs w:val="24"/>
        </w:rPr>
        <w:t>56.3%</w:t>
      </w:r>
      <w:r>
        <w:rPr>
          <w:color w:val="000000" w:themeColor="text1"/>
          <w:sz w:val="24"/>
          <w:szCs w:val="24"/>
        </w:rPr>
        <w:t>；下部气层段脆性矿物含量介于</w:t>
      </w:r>
      <w:r>
        <w:rPr>
          <w:color w:val="000000" w:themeColor="text1"/>
          <w:sz w:val="24"/>
          <w:szCs w:val="24"/>
        </w:rPr>
        <w:t>54.4-78%</w:t>
      </w:r>
      <w:r>
        <w:rPr>
          <w:color w:val="000000" w:themeColor="text1"/>
          <w:sz w:val="24"/>
          <w:szCs w:val="24"/>
        </w:rPr>
        <w:t>，平均为</w:t>
      </w:r>
      <w:r>
        <w:rPr>
          <w:color w:val="000000" w:themeColor="text1"/>
          <w:sz w:val="24"/>
          <w:szCs w:val="24"/>
        </w:rPr>
        <w:t>68.18%</w:t>
      </w:r>
      <w:r>
        <w:rPr>
          <w:color w:val="000000" w:themeColor="text1"/>
          <w:sz w:val="24"/>
          <w:szCs w:val="24"/>
        </w:rPr>
        <w:t>。</w:t>
      </w:r>
    </w:p>
    <w:p w14:paraId="14D4D19A"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表</w:t>
      </w:r>
      <w:r>
        <w:rPr>
          <w:rFonts w:eastAsia="黑体" w:hint="eastAsia"/>
          <w:color w:val="000000" w:themeColor="text1"/>
          <w:sz w:val="21"/>
          <w:szCs w:val="21"/>
        </w:rPr>
        <w:t>2.3</w:t>
      </w:r>
      <w:r>
        <w:rPr>
          <w:rFonts w:eastAsia="黑体"/>
          <w:color w:val="000000" w:themeColor="text1"/>
          <w:sz w:val="21"/>
          <w:szCs w:val="21"/>
        </w:rPr>
        <w:t>-</w:t>
      </w:r>
      <w:r>
        <w:rPr>
          <w:rFonts w:eastAsia="黑体" w:hint="eastAsia"/>
          <w:color w:val="000000" w:themeColor="text1"/>
          <w:sz w:val="21"/>
          <w:szCs w:val="21"/>
        </w:rPr>
        <w:t xml:space="preserve">5 </w:t>
      </w:r>
      <w:r>
        <w:rPr>
          <w:rFonts w:eastAsia="黑体"/>
          <w:color w:val="000000" w:themeColor="text1"/>
          <w:sz w:val="21"/>
          <w:szCs w:val="21"/>
        </w:rPr>
        <w:t>焦页</w:t>
      </w:r>
      <w:r>
        <w:rPr>
          <w:rFonts w:eastAsia="黑体"/>
          <w:color w:val="000000" w:themeColor="text1"/>
          <w:sz w:val="21"/>
          <w:szCs w:val="21"/>
        </w:rPr>
        <w:t>87-3</w:t>
      </w:r>
      <w:r>
        <w:rPr>
          <w:rFonts w:eastAsia="黑体"/>
          <w:color w:val="000000" w:themeColor="text1"/>
          <w:sz w:val="21"/>
          <w:szCs w:val="21"/>
        </w:rPr>
        <w:t>井五峰组</w:t>
      </w:r>
      <w:r>
        <w:rPr>
          <w:rFonts w:eastAsia="黑体"/>
          <w:color w:val="000000" w:themeColor="text1"/>
          <w:sz w:val="21"/>
          <w:szCs w:val="21"/>
        </w:rPr>
        <w:t>-</w:t>
      </w:r>
      <w:r>
        <w:rPr>
          <w:rFonts w:eastAsia="黑体"/>
          <w:color w:val="000000" w:themeColor="text1"/>
          <w:sz w:val="21"/>
          <w:szCs w:val="21"/>
        </w:rPr>
        <w:t>龙马溪组页岩层岩心脆性矿物含量统计表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976"/>
        <w:gridCol w:w="1291"/>
        <w:gridCol w:w="1293"/>
        <w:gridCol w:w="1315"/>
        <w:gridCol w:w="1215"/>
        <w:gridCol w:w="1673"/>
        <w:gridCol w:w="1387"/>
      </w:tblGrid>
      <w:tr w:rsidR="002E0859" w14:paraId="2C026BE1" w14:textId="77777777">
        <w:trPr>
          <w:trHeight w:val="278"/>
          <w:tblHeader/>
          <w:jc w:val="center"/>
        </w:trPr>
        <w:tc>
          <w:tcPr>
            <w:tcW w:w="533" w:type="pct"/>
            <w:tcBorders>
              <w:tl2br w:val="nil"/>
              <w:tr2bl w:val="nil"/>
            </w:tcBorders>
            <w:vAlign w:val="center"/>
          </w:tcPr>
          <w:p w14:paraId="4379ABBB" w14:textId="77777777" w:rsidR="002E0859" w:rsidRDefault="00000000">
            <w:pPr>
              <w:kinsoku w:val="0"/>
              <w:autoSpaceDE w:val="0"/>
              <w:autoSpaceDN w:val="0"/>
              <w:spacing w:line="240" w:lineRule="auto"/>
              <w:ind w:firstLineChars="0" w:firstLine="0"/>
              <w:jc w:val="center"/>
              <w:textAlignment w:val="baseline"/>
              <w:rPr>
                <w:rFonts w:eastAsia="Times New Roman" w:cs="宋体"/>
                <w:b/>
                <w:bCs/>
                <w:snapToGrid w:val="0"/>
                <w:color w:val="000000" w:themeColor="text1"/>
                <w:kern w:val="0"/>
                <w:sz w:val="18"/>
                <w:szCs w:val="18"/>
                <w:lang w:eastAsia="en-US"/>
              </w:rPr>
            </w:pPr>
            <w:r>
              <w:rPr>
                <w:rFonts w:eastAsia="Times New Roman" w:cs="宋体"/>
                <w:b/>
                <w:bCs/>
                <w:snapToGrid w:val="0"/>
                <w:color w:val="000000" w:themeColor="text1"/>
                <w:spacing w:val="-3"/>
                <w:kern w:val="0"/>
                <w:sz w:val="18"/>
                <w:szCs w:val="18"/>
                <w:lang w:eastAsia="en-US"/>
              </w:rPr>
              <w:t>小层号</w:t>
            </w:r>
          </w:p>
        </w:tc>
        <w:tc>
          <w:tcPr>
            <w:tcW w:w="1410" w:type="pct"/>
            <w:gridSpan w:val="2"/>
            <w:tcBorders>
              <w:tl2br w:val="nil"/>
              <w:tr2bl w:val="nil"/>
            </w:tcBorders>
            <w:vAlign w:val="center"/>
          </w:tcPr>
          <w:p w14:paraId="2DBDF3E9" w14:textId="77777777" w:rsidR="002E0859" w:rsidRDefault="00000000">
            <w:pPr>
              <w:kinsoku w:val="0"/>
              <w:autoSpaceDE w:val="0"/>
              <w:autoSpaceDN w:val="0"/>
              <w:spacing w:line="240" w:lineRule="auto"/>
              <w:ind w:firstLineChars="0" w:firstLine="0"/>
              <w:jc w:val="center"/>
              <w:textAlignment w:val="baseline"/>
              <w:rPr>
                <w:rFonts w:eastAsia="Times New Roman" w:cs="宋体"/>
                <w:b/>
                <w:bCs/>
                <w:snapToGrid w:val="0"/>
                <w:color w:val="000000" w:themeColor="text1"/>
                <w:kern w:val="0"/>
                <w:sz w:val="18"/>
                <w:szCs w:val="18"/>
                <w:lang w:eastAsia="en-US"/>
              </w:rPr>
            </w:pPr>
            <w:r>
              <w:rPr>
                <w:rFonts w:eastAsia="Times New Roman" w:cs="宋体"/>
                <w:b/>
                <w:bCs/>
                <w:snapToGrid w:val="0"/>
                <w:color w:val="000000" w:themeColor="text1"/>
                <w:spacing w:val="-2"/>
                <w:kern w:val="0"/>
                <w:sz w:val="18"/>
                <w:szCs w:val="18"/>
                <w:lang w:eastAsia="en-US"/>
              </w:rPr>
              <w:t>井段（m）</w:t>
            </w:r>
          </w:p>
        </w:tc>
        <w:tc>
          <w:tcPr>
            <w:tcW w:w="718" w:type="pct"/>
            <w:tcBorders>
              <w:tl2br w:val="nil"/>
              <w:tr2bl w:val="nil"/>
            </w:tcBorders>
            <w:vAlign w:val="center"/>
          </w:tcPr>
          <w:p w14:paraId="6B42F65A" w14:textId="77777777" w:rsidR="002E0859" w:rsidRDefault="00000000">
            <w:pPr>
              <w:kinsoku w:val="0"/>
              <w:autoSpaceDE w:val="0"/>
              <w:autoSpaceDN w:val="0"/>
              <w:spacing w:line="240" w:lineRule="auto"/>
              <w:ind w:firstLineChars="0" w:firstLine="0"/>
              <w:jc w:val="center"/>
              <w:textAlignment w:val="baseline"/>
              <w:rPr>
                <w:rFonts w:eastAsia="Times New Roman" w:cs="宋体"/>
                <w:b/>
                <w:bCs/>
                <w:snapToGrid w:val="0"/>
                <w:color w:val="000000" w:themeColor="text1"/>
                <w:kern w:val="0"/>
                <w:sz w:val="18"/>
                <w:szCs w:val="18"/>
                <w:lang w:eastAsia="en-US"/>
              </w:rPr>
            </w:pPr>
            <w:r>
              <w:rPr>
                <w:rFonts w:eastAsia="Times New Roman" w:cs="宋体"/>
                <w:b/>
                <w:bCs/>
                <w:snapToGrid w:val="0"/>
                <w:color w:val="000000" w:themeColor="text1"/>
                <w:spacing w:val="-3"/>
                <w:kern w:val="0"/>
                <w:sz w:val="18"/>
                <w:szCs w:val="18"/>
                <w:lang w:eastAsia="en-US"/>
              </w:rPr>
              <w:t>厚度（m）</w:t>
            </w:r>
          </w:p>
        </w:tc>
        <w:tc>
          <w:tcPr>
            <w:tcW w:w="664" w:type="pct"/>
            <w:tcBorders>
              <w:tl2br w:val="nil"/>
              <w:tr2bl w:val="nil"/>
            </w:tcBorders>
            <w:vAlign w:val="center"/>
          </w:tcPr>
          <w:p w14:paraId="02F1CA31" w14:textId="77777777" w:rsidR="002E0859" w:rsidRDefault="00000000">
            <w:pPr>
              <w:kinsoku w:val="0"/>
              <w:autoSpaceDE w:val="0"/>
              <w:autoSpaceDN w:val="0"/>
              <w:spacing w:line="240" w:lineRule="auto"/>
              <w:ind w:firstLineChars="0" w:firstLine="0"/>
              <w:jc w:val="center"/>
              <w:textAlignment w:val="baseline"/>
              <w:rPr>
                <w:rFonts w:eastAsia="Times New Roman" w:cs="宋体"/>
                <w:b/>
                <w:bCs/>
                <w:snapToGrid w:val="0"/>
                <w:color w:val="000000" w:themeColor="text1"/>
                <w:kern w:val="0"/>
                <w:sz w:val="18"/>
                <w:szCs w:val="18"/>
                <w:lang w:eastAsia="en-US"/>
              </w:rPr>
            </w:pPr>
            <w:r>
              <w:rPr>
                <w:rFonts w:eastAsia="Times New Roman" w:cs="宋体"/>
                <w:b/>
                <w:bCs/>
                <w:snapToGrid w:val="0"/>
                <w:color w:val="000000" w:themeColor="text1"/>
                <w:spacing w:val="-2"/>
                <w:kern w:val="0"/>
                <w:sz w:val="18"/>
                <w:szCs w:val="18"/>
                <w:lang w:eastAsia="en-US"/>
              </w:rPr>
              <w:t>样品数</w:t>
            </w:r>
          </w:p>
        </w:tc>
        <w:tc>
          <w:tcPr>
            <w:tcW w:w="914" w:type="pct"/>
            <w:tcBorders>
              <w:tl2br w:val="nil"/>
              <w:tr2bl w:val="nil"/>
            </w:tcBorders>
            <w:vAlign w:val="center"/>
          </w:tcPr>
          <w:p w14:paraId="10E67812" w14:textId="77777777" w:rsidR="002E0859" w:rsidRDefault="00000000">
            <w:pPr>
              <w:kinsoku w:val="0"/>
              <w:autoSpaceDE w:val="0"/>
              <w:autoSpaceDN w:val="0"/>
              <w:spacing w:line="240" w:lineRule="auto"/>
              <w:ind w:firstLineChars="0" w:firstLine="0"/>
              <w:jc w:val="center"/>
              <w:textAlignment w:val="baseline"/>
              <w:rPr>
                <w:rFonts w:eastAsia="Times New Roman" w:cs="宋体"/>
                <w:b/>
                <w:bCs/>
                <w:snapToGrid w:val="0"/>
                <w:color w:val="000000" w:themeColor="text1"/>
                <w:kern w:val="0"/>
                <w:sz w:val="18"/>
                <w:szCs w:val="18"/>
                <w:lang w:eastAsia="en-US"/>
              </w:rPr>
            </w:pPr>
            <w:r>
              <w:rPr>
                <w:rFonts w:eastAsia="Times New Roman" w:cs="宋体"/>
                <w:b/>
                <w:bCs/>
                <w:snapToGrid w:val="0"/>
                <w:color w:val="000000" w:themeColor="text1"/>
                <w:spacing w:val="-2"/>
                <w:kern w:val="0"/>
                <w:sz w:val="18"/>
                <w:szCs w:val="18"/>
                <w:lang w:eastAsia="en-US"/>
              </w:rPr>
              <w:t>石英(%)</w:t>
            </w:r>
          </w:p>
        </w:tc>
        <w:tc>
          <w:tcPr>
            <w:tcW w:w="758" w:type="pct"/>
            <w:tcBorders>
              <w:tl2br w:val="nil"/>
              <w:tr2bl w:val="nil"/>
            </w:tcBorders>
            <w:vAlign w:val="center"/>
          </w:tcPr>
          <w:p w14:paraId="7498FBD7" w14:textId="77777777" w:rsidR="002E0859" w:rsidRDefault="00000000">
            <w:pPr>
              <w:kinsoku w:val="0"/>
              <w:autoSpaceDE w:val="0"/>
              <w:autoSpaceDN w:val="0"/>
              <w:spacing w:line="240" w:lineRule="auto"/>
              <w:ind w:firstLineChars="0" w:firstLine="0"/>
              <w:jc w:val="center"/>
              <w:textAlignment w:val="baseline"/>
              <w:rPr>
                <w:rFonts w:eastAsia="Times New Roman" w:cs="宋体"/>
                <w:b/>
                <w:bCs/>
                <w:snapToGrid w:val="0"/>
                <w:color w:val="000000" w:themeColor="text1"/>
                <w:kern w:val="0"/>
                <w:sz w:val="18"/>
                <w:szCs w:val="18"/>
                <w:lang w:eastAsia="en-US"/>
              </w:rPr>
            </w:pPr>
            <w:r>
              <w:rPr>
                <w:rFonts w:eastAsia="Times New Roman" w:cs="宋体"/>
                <w:b/>
                <w:bCs/>
                <w:snapToGrid w:val="0"/>
                <w:color w:val="000000" w:themeColor="text1"/>
                <w:spacing w:val="-1"/>
                <w:kern w:val="0"/>
                <w:sz w:val="18"/>
                <w:szCs w:val="18"/>
                <w:lang w:eastAsia="en-US"/>
              </w:rPr>
              <w:t>碳酸盐(%)</w:t>
            </w:r>
          </w:p>
        </w:tc>
      </w:tr>
      <w:tr w:rsidR="002E0859" w14:paraId="7D1EAC96" w14:textId="77777777">
        <w:trPr>
          <w:trHeight w:val="290"/>
          <w:jc w:val="center"/>
        </w:trPr>
        <w:tc>
          <w:tcPr>
            <w:tcW w:w="533" w:type="pct"/>
            <w:tcBorders>
              <w:tl2br w:val="nil"/>
              <w:tr2bl w:val="nil"/>
            </w:tcBorders>
            <w:vAlign w:val="center"/>
          </w:tcPr>
          <w:p w14:paraId="73F16B7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⑨</w:t>
            </w:r>
          </w:p>
        </w:tc>
        <w:tc>
          <w:tcPr>
            <w:tcW w:w="705" w:type="pct"/>
            <w:tcBorders>
              <w:tl2br w:val="nil"/>
              <w:tr2bl w:val="nil"/>
            </w:tcBorders>
            <w:vAlign w:val="center"/>
          </w:tcPr>
          <w:p w14:paraId="0FB5383C"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3560</w:t>
            </w:r>
          </w:p>
        </w:tc>
        <w:tc>
          <w:tcPr>
            <w:tcW w:w="705" w:type="pct"/>
            <w:tcBorders>
              <w:tl2br w:val="nil"/>
              <w:tr2bl w:val="nil"/>
            </w:tcBorders>
            <w:vAlign w:val="center"/>
          </w:tcPr>
          <w:p w14:paraId="363B14AA"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3573</w:t>
            </w:r>
          </w:p>
        </w:tc>
        <w:tc>
          <w:tcPr>
            <w:tcW w:w="718" w:type="pct"/>
            <w:tcBorders>
              <w:tl2br w:val="nil"/>
              <w:tr2bl w:val="nil"/>
            </w:tcBorders>
            <w:vAlign w:val="center"/>
          </w:tcPr>
          <w:p w14:paraId="13948072"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13</w:t>
            </w:r>
          </w:p>
        </w:tc>
        <w:tc>
          <w:tcPr>
            <w:tcW w:w="664" w:type="pct"/>
            <w:tcBorders>
              <w:tl2br w:val="nil"/>
              <w:tr2bl w:val="nil"/>
            </w:tcBorders>
            <w:vAlign w:val="center"/>
          </w:tcPr>
          <w:p w14:paraId="4310623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6</w:t>
            </w:r>
          </w:p>
        </w:tc>
        <w:tc>
          <w:tcPr>
            <w:tcW w:w="914" w:type="pct"/>
            <w:tcBorders>
              <w:tl2br w:val="nil"/>
              <w:tr2bl w:val="nil"/>
            </w:tcBorders>
            <w:vAlign w:val="center"/>
          </w:tcPr>
          <w:p w14:paraId="6694B8C9"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37.18</w:t>
            </w:r>
          </w:p>
        </w:tc>
        <w:tc>
          <w:tcPr>
            <w:tcW w:w="758" w:type="pct"/>
            <w:tcBorders>
              <w:tl2br w:val="nil"/>
              <w:tr2bl w:val="nil"/>
            </w:tcBorders>
            <w:vAlign w:val="center"/>
          </w:tcPr>
          <w:p w14:paraId="7281EAE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2.38</w:t>
            </w:r>
          </w:p>
        </w:tc>
      </w:tr>
      <w:tr w:rsidR="002E0859" w14:paraId="2337AE48" w14:textId="77777777">
        <w:trPr>
          <w:trHeight w:val="288"/>
          <w:jc w:val="center"/>
        </w:trPr>
        <w:tc>
          <w:tcPr>
            <w:tcW w:w="533" w:type="pct"/>
            <w:tcBorders>
              <w:tl2br w:val="nil"/>
              <w:tr2bl w:val="nil"/>
            </w:tcBorders>
            <w:vAlign w:val="center"/>
          </w:tcPr>
          <w:p w14:paraId="1CCFE7B6"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⑧</w:t>
            </w:r>
          </w:p>
        </w:tc>
        <w:tc>
          <w:tcPr>
            <w:tcW w:w="705" w:type="pct"/>
            <w:tcBorders>
              <w:tl2br w:val="nil"/>
              <w:tr2bl w:val="nil"/>
            </w:tcBorders>
            <w:vAlign w:val="center"/>
          </w:tcPr>
          <w:p w14:paraId="6EF8F646"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3573</w:t>
            </w:r>
          </w:p>
        </w:tc>
        <w:tc>
          <w:tcPr>
            <w:tcW w:w="705" w:type="pct"/>
            <w:tcBorders>
              <w:tl2br w:val="nil"/>
              <w:tr2bl w:val="nil"/>
            </w:tcBorders>
            <w:vAlign w:val="center"/>
          </w:tcPr>
          <w:p w14:paraId="600CCE5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3586.1</w:t>
            </w:r>
          </w:p>
        </w:tc>
        <w:tc>
          <w:tcPr>
            <w:tcW w:w="718" w:type="pct"/>
            <w:tcBorders>
              <w:tl2br w:val="nil"/>
              <w:tr2bl w:val="nil"/>
            </w:tcBorders>
            <w:vAlign w:val="center"/>
          </w:tcPr>
          <w:p w14:paraId="6655DE90"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13.1</w:t>
            </w:r>
          </w:p>
        </w:tc>
        <w:tc>
          <w:tcPr>
            <w:tcW w:w="664" w:type="pct"/>
            <w:tcBorders>
              <w:tl2br w:val="nil"/>
              <w:tr2bl w:val="nil"/>
            </w:tcBorders>
            <w:vAlign w:val="center"/>
          </w:tcPr>
          <w:p w14:paraId="0748222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7</w:t>
            </w:r>
          </w:p>
        </w:tc>
        <w:tc>
          <w:tcPr>
            <w:tcW w:w="914" w:type="pct"/>
            <w:tcBorders>
              <w:tl2br w:val="nil"/>
              <w:tr2bl w:val="nil"/>
            </w:tcBorders>
            <w:vAlign w:val="center"/>
          </w:tcPr>
          <w:p w14:paraId="755375A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28.13</w:t>
            </w:r>
          </w:p>
        </w:tc>
        <w:tc>
          <w:tcPr>
            <w:tcW w:w="758" w:type="pct"/>
            <w:tcBorders>
              <w:tl2br w:val="nil"/>
              <w:tr2bl w:val="nil"/>
            </w:tcBorders>
            <w:vAlign w:val="center"/>
          </w:tcPr>
          <w:p w14:paraId="1DD5840D"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23.56</w:t>
            </w:r>
          </w:p>
        </w:tc>
      </w:tr>
      <w:tr w:rsidR="002E0859" w14:paraId="48195851" w14:textId="77777777">
        <w:trPr>
          <w:trHeight w:val="289"/>
          <w:jc w:val="center"/>
        </w:trPr>
        <w:tc>
          <w:tcPr>
            <w:tcW w:w="533" w:type="pct"/>
            <w:tcBorders>
              <w:tl2br w:val="nil"/>
              <w:tr2bl w:val="nil"/>
            </w:tcBorders>
            <w:vAlign w:val="center"/>
          </w:tcPr>
          <w:p w14:paraId="2A25C58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⑦</w:t>
            </w:r>
          </w:p>
        </w:tc>
        <w:tc>
          <w:tcPr>
            <w:tcW w:w="705" w:type="pct"/>
            <w:tcBorders>
              <w:tl2br w:val="nil"/>
              <w:tr2bl w:val="nil"/>
            </w:tcBorders>
            <w:vAlign w:val="center"/>
          </w:tcPr>
          <w:p w14:paraId="0618209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3586.1</w:t>
            </w:r>
          </w:p>
        </w:tc>
        <w:tc>
          <w:tcPr>
            <w:tcW w:w="705" w:type="pct"/>
            <w:tcBorders>
              <w:tl2br w:val="nil"/>
              <w:tr2bl w:val="nil"/>
            </w:tcBorders>
            <w:vAlign w:val="center"/>
          </w:tcPr>
          <w:p w14:paraId="66A80CF0"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3598</w:t>
            </w:r>
          </w:p>
        </w:tc>
        <w:tc>
          <w:tcPr>
            <w:tcW w:w="718" w:type="pct"/>
            <w:tcBorders>
              <w:tl2br w:val="nil"/>
              <w:tr2bl w:val="nil"/>
            </w:tcBorders>
            <w:vAlign w:val="center"/>
          </w:tcPr>
          <w:p w14:paraId="58052E39"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11.9</w:t>
            </w:r>
          </w:p>
        </w:tc>
        <w:tc>
          <w:tcPr>
            <w:tcW w:w="664" w:type="pct"/>
            <w:tcBorders>
              <w:tl2br w:val="nil"/>
              <w:tr2bl w:val="nil"/>
            </w:tcBorders>
            <w:vAlign w:val="center"/>
          </w:tcPr>
          <w:p w14:paraId="59CB3525"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5</w:t>
            </w:r>
          </w:p>
        </w:tc>
        <w:tc>
          <w:tcPr>
            <w:tcW w:w="914" w:type="pct"/>
            <w:tcBorders>
              <w:tl2br w:val="nil"/>
              <w:tr2bl w:val="nil"/>
            </w:tcBorders>
            <w:vAlign w:val="center"/>
          </w:tcPr>
          <w:p w14:paraId="63C2B09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37.26</w:t>
            </w:r>
          </w:p>
        </w:tc>
        <w:tc>
          <w:tcPr>
            <w:tcW w:w="758" w:type="pct"/>
            <w:tcBorders>
              <w:tl2br w:val="nil"/>
              <w:tr2bl w:val="nil"/>
            </w:tcBorders>
            <w:vAlign w:val="center"/>
          </w:tcPr>
          <w:p w14:paraId="3EFE97F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4"/>
                <w:kern w:val="0"/>
                <w:sz w:val="18"/>
                <w:szCs w:val="18"/>
                <w:lang w:eastAsia="en-US"/>
              </w:rPr>
              <w:t>12.94</w:t>
            </w:r>
          </w:p>
        </w:tc>
      </w:tr>
      <w:tr w:rsidR="002E0859" w14:paraId="630A216B" w14:textId="77777777">
        <w:trPr>
          <w:trHeight w:val="290"/>
          <w:jc w:val="center"/>
        </w:trPr>
        <w:tc>
          <w:tcPr>
            <w:tcW w:w="533" w:type="pct"/>
            <w:tcBorders>
              <w:tl2br w:val="nil"/>
              <w:tr2bl w:val="nil"/>
            </w:tcBorders>
            <w:vAlign w:val="center"/>
          </w:tcPr>
          <w:p w14:paraId="0F5DF6F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⑥</w:t>
            </w:r>
          </w:p>
        </w:tc>
        <w:tc>
          <w:tcPr>
            <w:tcW w:w="705" w:type="pct"/>
            <w:tcBorders>
              <w:tl2br w:val="nil"/>
              <w:tr2bl w:val="nil"/>
            </w:tcBorders>
            <w:vAlign w:val="center"/>
          </w:tcPr>
          <w:p w14:paraId="22D9206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3598</w:t>
            </w:r>
          </w:p>
        </w:tc>
        <w:tc>
          <w:tcPr>
            <w:tcW w:w="705" w:type="pct"/>
            <w:tcBorders>
              <w:tl2br w:val="nil"/>
              <w:tr2bl w:val="nil"/>
            </w:tcBorders>
            <w:vAlign w:val="center"/>
          </w:tcPr>
          <w:p w14:paraId="7EBCD6BF"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3610.8</w:t>
            </w:r>
          </w:p>
        </w:tc>
        <w:tc>
          <w:tcPr>
            <w:tcW w:w="718" w:type="pct"/>
            <w:tcBorders>
              <w:tl2br w:val="nil"/>
              <w:tr2bl w:val="nil"/>
            </w:tcBorders>
            <w:vAlign w:val="center"/>
          </w:tcPr>
          <w:p w14:paraId="2D875A98"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12.8</w:t>
            </w:r>
          </w:p>
        </w:tc>
        <w:tc>
          <w:tcPr>
            <w:tcW w:w="664" w:type="pct"/>
            <w:tcBorders>
              <w:tl2br w:val="nil"/>
              <w:tr2bl w:val="nil"/>
            </w:tcBorders>
            <w:vAlign w:val="center"/>
          </w:tcPr>
          <w:p w14:paraId="3CAB40C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6</w:t>
            </w:r>
          </w:p>
        </w:tc>
        <w:tc>
          <w:tcPr>
            <w:tcW w:w="914" w:type="pct"/>
            <w:tcBorders>
              <w:tl2br w:val="nil"/>
              <w:tr2bl w:val="nil"/>
            </w:tcBorders>
            <w:vAlign w:val="center"/>
          </w:tcPr>
          <w:p w14:paraId="10E0D7A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37.12</w:t>
            </w:r>
          </w:p>
        </w:tc>
        <w:tc>
          <w:tcPr>
            <w:tcW w:w="758" w:type="pct"/>
            <w:tcBorders>
              <w:tl2br w:val="nil"/>
              <w:tr2bl w:val="nil"/>
            </w:tcBorders>
            <w:vAlign w:val="center"/>
          </w:tcPr>
          <w:p w14:paraId="1CBEE955"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4"/>
                <w:kern w:val="0"/>
                <w:sz w:val="18"/>
                <w:szCs w:val="18"/>
                <w:lang w:eastAsia="en-US"/>
              </w:rPr>
              <w:t>10.03</w:t>
            </w:r>
          </w:p>
        </w:tc>
      </w:tr>
      <w:tr w:rsidR="002E0859" w14:paraId="7D76801A" w14:textId="77777777">
        <w:trPr>
          <w:trHeight w:val="290"/>
          <w:jc w:val="center"/>
        </w:trPr>
        <w:tc>
          <w:tcPr>
            <w:tcW w:w="533" w:type="pct"/>
            <w:tcBorders>
              <w:tl2br w:val="nil"/>
              <w:tr2bl w:val="nil"/>
            </w:tcBorders>
            <w:vAlign w:val="center"/>
          </w:tcPr>
          <w:p w14:paraId="16B0E0E9"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⑤</w:t>
            </w:r>
          </w:p>
        </w:tc>
        <w:tc>
          <w:tcPr>
            <w:tcW w:w="705" w:type="pct"/>
            <w:tcBorders>
              <w:tl2br w:val="nil"/>
              <w:tr2bl w:val="nil"/>
            </w:tcBorders>
            <w:vAlign w:val="center"/>
          </w:tcPr>
          <w:p w14:paraId="1AB118B9"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3610.8</w:t>
            </w:r>
          </w:p>
        </w:tc>
        <w:tc>
          <w:tcPr>
            <w:tcW w:w="705" w:type="pct"/>
            <w:tcBorders>
              <w:tl2br w:val="nil"/>
              <w:tr2bl w:val="nil"/>
            </w:tcBorders>
            <w:vAlign w:val="center"/>
          </w:tcPr>
          <w:p w14:paraId="170E2F0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3622.2</w:t>
            </w:r>
          </w:p>
        </w:tc>
        <w:tc>
          <w:tcPr>
            <w:tcW w:w="718" w:type="pct"/>
            <w:tcBorders>
              <w:tl2br w:val="nil"/>
              <w:tr2bl w:val="nil"/>
            </w:tcBorders>
            <w:vAlign w:val="center"/>
          </w:tcPr>
          <w:p w14:paraId="162ECD6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11.4</w:t>
            </w:r>
          </w:p>
        </w:tc>
        <w:tc>
          <w:tcPr>
            <w:tcW w:w="664" w:type="pct"/>
            <w:tcBorders>
              <w:tl2br w:val="nil"/>
              <w:tr2bl w:val="nil"/>
            </w:tcBorders>
            <w:vAlign w:val="center"/>
          </w:tcPr>
          <w:p w14:paraId="1C8AA23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6</w:t>
            </w:r>
          </w:p>
        </w:tc>
        <w:tc>
          <w:tcPr>
            <w:tcW w:w="914" w:type="pct"/>
            <w:tcBorders>
              <w:tl2br w:val="nil"/>
              <w:tr2bl w:val="nil"/>
            </w:tcBorders>
            <w:vAlign w:val="center"/>
          </w:tcPr>
          <w:p w14:paraId="0D7CE70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39.42</w:t>
            </w:r>
          </w:p>
        </w:tc>
        <w:tc>
          <w:tcPr>
            <w:tcW w:w="758" w:type="pct"/>
            <w:tcBorders>
              <w:tl2br w:val="nil"/>
              <w:tr2bl w:val="nil"/>
            </w:tcBorders>
            <w:vAlign w:val="center"/>
          </w:tcPr>
          <w:p w14:paraId="0BB6C37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8.18</w:t>
            </w:r>
          </w:p>
        </w:tc>
      </w:tr>
      <w:tr w:rsidR="002E0859" w14:paraId="66E77831" w14:textId="77777777">
        <w:trPr>
          <w:trHeight w:val="290"/>
          <w:jc w:val="center"/>
        </w:trPr>
        <w:tc>
          <w:tcPr>
            <w:tcW w:w="533" w:type="pct"/>
            <w:tcBorders>
              <w:tl2br w:val="nil"/>
              <w:tr2bl w:val="nil"/>
            </w:tcBorders>
            <w:vAlign w:val="center"/>
          </w:tcPr>
          <w:p w14:paraId="461D62A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④</w:t>
            </w:r>
          </w:p>
        </w:tc>
        <w:tc>
          <w:tcPr>
            <w:tcW w:w="705" w:type="pct"/>
            <w:tcBorders>
              <w:tl2br w:val="nil"/>
              <w:tr2bl w:val="nil"/>
            </w:tcBorders>
            <w:vAlign w:val="center"/>
          </w:tcPr>
          <w:p w14:paraId="705E6839"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3622.2</w:t>
            </w:r>
          </w:p>
        </w:tc>
        <w:tc>
          <w:tcPr>
            <w:tcW w:w="705" w:type="pct"/>
            <w:tcBorders>
              <w:tl2br w:val="nil"/>
              <w:tr2bl w:val="nil"/>
            </w:tcBorders>
            <w:vAlign w:val="center"/>
          </w:tcPr>
          <w:p w14:paraId="70D13E74"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3630.6</w:t>
            </w:r>
          </w:p>
        </w:tc>
        <w:tc>
          <w:tcPr>
            <w:tcW w:w="718" w:type="pct"/>
            <w:tcBorders>
              <w:tl2br w:val="nil"/>
              <w:tr2bl w:val="nil"/>
            </w:tcBorders>
            <w:vAlign w:val="center"/>
          </w:tcPr>
          <w:p w14:paraId="2655C9C6"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8.4</w:t>
            </w:r>
          </w:p>
        </w:tc>
        <w:tc>
          <w:tcPr>
            <w:tcW w:w="664" w:type="pct"/>
            <w:tcBorders>
              <w:tl2br w:val="nil"/>
              <w:tr2bl w:val="nil"/>
            </w:tcBorders>
            <w:vAlign w:val="center"/>
          </w:tcPr>
          <w:p w14:paraId="442A7E7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4</w:t>
            </w:r>
          </w:p>
        </w:tc>
        <w:tc>
          <w:tcPr>
            <w:tcW w:w="914" w:type="pct"/>
            <w:tcBorders>
              <w:tl2br w:val="nil"/>
              <w:tr2bl w:val="nil"/>
            </w:tcBorders>
            <w:vAlign w:val="center"/>
          </w:tcPr>
          <w:p w14:paraId="2D430E73"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45.10</w:t>
            </w:r>
          </w:p>
        </w:tc>
        <w:tc>
          <w:tcPr>
            <w:tcW w:w="758" w:type="pct"/>
            <w:tcBorders>
              <w:tl2br w:val="nil"/>
              <w:tr2bl w:val="nil"/>
            </w:tcBorders>
            <w:vAlign w:val="center"/>
          </w:tcPr>
          <w:p w14:paraId="008E1C7C"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9.70</w:t>
            </w:r>
          </w:p>
        </w:tc>
      </w:tr>
      <w:tr w:rsidR="002E0859" w14:paraId="65B0F06C" w14:textId="77777777">
        <w:trPr>
          <w:trHeight w:val="290"/>
          <w:jc w:val="center"/>
        </w:trPr>
        <w:tc>
          <w:tcPr>
            <w:tcW w:w="533" w:type="pct"/>
            <w:tcBorders>
              <w:tl2br w:val="nil"/>
              <w:tr2bl w:val="nil"/>
            </w:tcBorders>
            <w:vAlign w:val="center"/>
          </w:tcPr>
          <w:p w14:paraId="58FAE404"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③</w:t>
            </w:r>
          </w:p>
        </w:tc>
        <w:tc>
          <w:tcPr>
            <w:tcW w:w="705" w:type="pct"/>
            <w:tcBorders>
              <w:tl2br w:val="nil"/>
              <w:tr2bl w:val="nil"/>
            </w:tcBorders>
            <w:vAlign w:val="center"/>
          </w:tcPr>
          <w:p w14:paraId="2C0A483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3630.6</w:t>
            </w:r>
          </w:p>
        </w:tc>
        <w:tc>
          <w:tcPr>
            <w:tcW w:w="705" w:type="pct"/>
            <w:tcBorders>
              <w:tl2br w:val="nil"/>
              <w:tr2bl w:val="nil"/>
            </w:tcBorders>
            <w:vAlign w:val="center"/>
          </w:tcPr>
          <w:p w14:paraId="2180585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3642.7</w:t>
            </w:r>
          </w:p>
        </w:tc>
        <w:tc>
          <w:tcPr>
            <w:tcW w:w="718" w:type="pct"/>
            <w:tcBorders>
              <w:tl2br w:val="nil"/>
              <w:tr2bl w:val="nil"/>
            </w:tcBorders>
            <w:vAlign w:val="center"/>
          </w:tcPr>
          <w:p w14:paraId="53CADC73"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12.1</w:t>
            </w:r>
          </w:p>
        </w:tc>
        <w:tc>
          <w:tcPr>
            <w:tcW w:w="664" w:type="pct"/>
            <w:tcBorders>
              <w:tl2br w:val="nil"/>
              <w:tr2bl w:val="nil"/>
            </w:tcBorders>
            <w:vAlign w:val="center"/>
          </w:tcPr>
          <w:p w14:paraId="2877FA80"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5"/>
                <w:kern w:val="0"/>
                <w:sz w:val="18"/>
                <w:szCs w:val="18"/>
                <w:lang w:eastAsia="en-US"/>
              </w:rPr>
              <w:t>11</w:t>
            </w:r>
          </w:p>
        </w:tc>
        <w:tc>
          <w:tcPr>
            <w:tcW w:w="914" w:type="pct"/>
            <w:tcBorders>
              <w:tl2br w:val="nil"/>
              <w:tr2bl w:val="nil"/>
            </w:tcBorders>
            <w:vAlign w:val="center"/>
          </w:tcPr>
          <w:p w14:paraId="1DD1C85C"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48.75</w:t>
            </w:r>
          </w:p>
        </w:tc>
        <w:tc>
          <w:tcPr>
            <w:tcW w:w="758" w:type="pct"/>
            <w:tcBorders>
              <w:tl2br w:val="nil"/>
              <w:tr2bl w:val="nil"/>
            </w:tcBorders>
            <w:vAlign w:val="center"/>
          </w:tcPr>
          <w:p w14:paraId="14002C52"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4"/>
                <w:kern w:val="0"/>
                <w:sz w:val="18"/>
                <w:szCs w:val="18"/>
                <w:lang w:eastAsia="en-US"/>
              </w:rPr>
              <w:t>13.45</w:t>
            </w:r>
          </w:p>
        </w:tc>
      </w:tr>
      <w:tr w:rsidR="002E0859" w14:paraId="5E7AFC0B" w14:textId="77777777">
        <w:trPr>
          <w:trHeight w:val="290"/>
          <w:jc w:val="center"/>
        </w:trPr>
        <w:tc>
          <w:tcPr>
            <w:tcW w:w="533" w:type="pct"/>
            <w:tcBorders>
              <w:tl2br w:val="nil"/>
              <w:tr2bl w:val="nil"/>
            </w:tcBorders>
            <w:vAlign w:val="center"/>
          </w:tcPr>
          <w:p w14:paraId="500446A2"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②</w:t>
            </w:r>
          </w:p>
        </w:tc>
        <w:tc>
          <w:tcPr>
            <w:tcW w:w="705" w:type="pct"/>
            <w:tcBorders>
              <w:tl2br w:val="nil"/>
              <w:tr2bl w:val="nil"/>
            </w:tcBorders>
            <w:vAlign w:val="center"/>
          </w:tcPr>
          <w:p w14:paraId="4F16A82A"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3642.7</w:t>
            </w:r>
          </w:p>
        </w:tc>
        <w:tc>
          <w:tcPr>
            <w:tcW w:w="705" w:type="pct"/>
            <w:tcBorders>
              <w:tl2br w:val="nil"/>
              <w:tr2bl w:val="nil"/>
            </w:tcBorders>
            <w:vAlign w:val="center"/>
          </w:tcPr>
          <w:p w14:paraId="333E420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3643.7</w:t>
            </w:r>
          </w:p>
        </w:tc>
        <w:tc>
          <w:tcPr>
            <w:tcW w:w="718" w:type="pct"/>
            <w:tcBorders>
              <w:tl2br w:val="nil"/>
              <w:tr2bl w:val="nil"/>
            </w:tcBorders>
            <w:vAlign w:val="center"/>
          </w:tcPr>
          <w:p w14:paraId="7676E5A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1</w:t>
            </w:r>
          </w:p>
        </w:tc>
        <w:tc>
          <w:tcPr>
            <w:tcW w:w="664" w:type="pct"/>
            <w:tcBorders>
              <w:tl2br w:val="nil"/>
              <w:tr2bl w:val="nil"/>
            </w:tcBorders>
            <w:vAlign w:val="center"/>
          </w:tcPr>
          <w:p w14:paraId="4A55D1FF"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1</w:t>
            </w:r>
          </w:p>
        </w:tc>
        <w:tc>
          <w:tcPr>
            <w:tcW w:w="914" w:type="pct"/>
            <w:tcBorders>
              <w:tl2br w:val="nil"/>
              <w:tr2bl w:val="nil"/>
            </w:tcBorders>
            <w:vAlign w:val="center"/>
          </w:tcPr>
          <w:p w14:paraId="59660DA9"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57.40</w:t>
            </w:r>
          </w:p>
        </w:tc>
        <w:tc>
          <w:tcPr>
            <w:tcW w:w="758" w:type="pct"/>
            <w:tcBorders>
              <w:tl2br w:val="nil"/>
              <w:tr2bl w:val="nil"/>
            </w:tcBorders>
            <w:vAlign w:val="center"/>
          </w:tcPr>
          <w:p w14:paraId="3B26E70F"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6.80</w:t>
            </w:r>
          </w:p>
        </w:tc>
      </w:tr>
      <w:tr w:rsidR="002E0859" w14:paraId="20D62934" w14:textId="77777777">
        <w:trPr>
          <w:trHeight w:val="290"/>
          <w:jc w:val="center"/>
        </w:trPr>
        <w:tc>
          <w:tcPr>
            <w:tcW w:w="533" w:type="pct"/>
            <w:tcBorders>
              <w:tl2br w:val="nil"/>
              <w:tr2bl w:val="nil"/>
            </w:tcBorders>
            <w:vAlign w:val="center"/>
          </w:tcPr>
          <w:p w14:paraId="2F242AC8"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①</w:t>
            </w:r>
          </w:p>
        </w:tc>
        <w:tc>
          <w:tcPr>
            <w:tcW w:w="705" w:type="pct"/>
            <w:tcBorders>
              <w:tl2br w:val="nil"/>
              <w:tr2bl w:val="nil"/>
            </w:tcBorders>
            <w:vAlign w:val="center"/>
          </w:tcPr>
          <w:p w14:paraId="198A0D0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3643.7</w:t>
            </w:r>
          </w:p>
        </w:tc>
        <w:tc>
          <w:tcPr>
            <w:tcW w:w="705" w:type="pct"/>
            <w:tcBorders>
              <w:tl2br w:val="nil"/>
              <w:tr2bl w:val="nil"/>
            </w:tcBorders>
            <w:vAlign w:val="center"/>
          </w:tcPr>
          <w:p w14:paraId="6021AABD"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3649.4</w:t>
            </w:r>
          </w:p>
        </w:tc>
        <w:tc>
          <w:tcPr>
            <w:tcW w:w="718" w:type="pct"/>
            <w:tcBorders>
              <w:tl2br w:val="nil"/>
              <w:tr2bl w:val="nil"/>
            </w:tcBorders>
            <w:vAlign w:val="center"/>
          </w:tcPr>
          <w:p w14:paraId="06A00A8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5.7</w:t>
            </w:r>
          </w:p>
        </w:tc>
        <w:tc>
          <w:tcPr>
            <w:tcW w:w="664" w:type="pct"/>
            <w:tcBorders>
              <w:tl2br w:val="nil"/>
              <w:tr2bl w:val="nil"/>
            </w:tcBorders>
            <w:vAlign w:val="center"/>
          </w:tcPr>
          <w:p w14:paraId="44C085CE"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kern w:val="0"/>
                <w:sz w:val="18"/>
                <w:szCs w:val="18"/>
                <w:lang w:eastAsia="en-US"/>
              </w:rPr>
              <w:t>6</w:t>
            </w:r>
          </w:p>
        </w:tc>
        <w:tc>
          <w:tcPr>
            <w:tcW w:w="914" w:type="pct"/>
            <w:tcBorders>
              <w:tl2br w:val="nil"/>
              <w:tr2bl w:val="nil"/>
            </w:tcBorders>
            <w:vAlign w:val="center"/>
          </w:tcPr>
          <w:p w14:paraId="28DA027C"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47.10</w:t>
            </w:r>
          </w:p>
        </w:tc>
        <w:tc>
          <w:tcPr>
            <w:tcW w:w="758" w:type="pct"/>
            <w:tcBorders>
              <w:tl2br w:val="nil"/>
              <w:tr2bl w:val="nil"/>
            </w:tcBorders>
            <w:vAlign w:val="center"/>
          </w:tcPr>
          <w:p w14:paraId="4E9E0FEF"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5.00</w:t>
            </w:r>
          </w:p>
        </w:tc>
      </w:tr>
      <w:tr w:rsidR="002E0859" w14:paraId="2130796B" w14:textId="77777777">
        <w:trPr>
          <w:trHeight w:val="275"/>
          <w:jc w:val="center"/>
        </w:trPr>
        <w:tc>
          <w:tcPr>
            <w:tcW w:w="1944" w:type="pct"/>
            <w:gridSpan w:val="3"/>
            <w:tcBorders>
              <w:tl2br w:val="nil"/>
              <w:tr2bl w:val="nil"/>
            </w:tcBorders>
            <w:vAlign w:val="center"/>
          </w:tcPr>
          <w:p w14:paraId="52F78083"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①-⑨加权平均</w:t>
            </w:r>
          </w:p>
        </w:tc>
        <w:tc>
          <w:tcPr>
            <w:tcW w:w="718" w:type="pct"/>
            <w:tcBorders>
              <w:tl2br w:val="nil"/>
              <w:tr2bl w:val="nil"/>
            </w:tcBorders>
            <w:vAlign w:val="center"/>
          </w:tcPr>
          <w:p w14:paraId="7C0A0C82"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89.4</w:t>
            </w:r>
          </w:p>
        </w:tc>
        <w:tc>
          <w:tcPr>
            <w:tcW w:w="664" w:type="pct"/>
            <w:tcBorders>
              <w:tl2br w:val="nil"/>
              <w:tr2bl w:val="nil"/>
            </w:tcBorders>
            <w:vAlign w:val="center"/>
          </w:tcPr>
          <w:p w14:paraId="288EDF26"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52</w:t>
            </w:r>
          </w:p>
        </w:tc>
        <w:tc>
          <w:tcPr>
            <w:tcW w:w="914" w:type="pct"/>
            <w:tcBorders>
              <w:tl2br w:val="nil"/>
              <w:tr2bl w:val="nil"/>
            </w:tcBorders>
            <w:vAlign w:val="center"/>
          </w:tcPr>
          <w:p w14:paraId="0C137B77"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39.31</w:t>
            </w:r>
          </w:p>
        </w:tc>
        <w:tc>
          <w:tcPr>
            <w:tcW w:w="758" w:type="pct"/>
            <w:tcBorders>
              <w:tl2br w:val="nil"/>
              <w:tr2bl w:val="nil"/>
            </w:tcBorders>
            <w:vAlign w:val="center"/>
          </w:tcPr>
          <w:p w14:paraId="627442B8"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4"/>
                <w:kern w:val="0"/>
                <w:sz w:val="18"/>
                <w:szCs w:val="18"/>
                <w:lang w:eastAsia="en-US"/>
              </w:rPr>
              <w:t>11.13</w:t>
            </w:r>
          </w:p>
        </w:tc>
      </w:tr>
      <w:tr w:rsidR="002E0859" w14:paraId="3C29E5F3" w14:textId="77777777">
        <w:trPr>
          <w:trHeight w:val="273"/>
          <w:jc w:val="center"/>
        </w:trPr>
        <w:tc>
          <w:tcPr>
            <w:tcW w:w="1944" w:type="pct"/>
            <w:gridSpan w:val="3"/>
            <w:tcBorders>
              <w:tl2br w:val="nil"/>
              <w:tr2bl w:val="nil"/>
            </w:tcBorders>
            <w:vAlign w:val="center"/>
          </w:tcPr>
          <w:p w14:paraId="5BAEB8EA"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①-⑤加权平均</w:t>
            </w:r>
          </w:p>
        </w:tc>
        <w:tc>
          <w:tcPr>
            <w:tcW w:w="718" w:type="pct"/>
            <w:tcBorders>
              <w:tl2br w:val="nil"/>
              <w:tr2bl w:val="nil"/>
            </w:tcBorders>
            <w:vAlign w:val="center"/>
          </w:tcPr>
          <w:p w14:paraId="58F8C7F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38.6</w:t>
            </w:r>
          </w:p>
        </w:tc>
        <w:tc>
          <w:tcPr>
            <w:tcW w:w="664" w:type="pct"/>
            <w:tcBorders>
              <w:tl2br w:val="nil"/>
              <w:tr2bl w:val="nil"/>
            </w:tcBorders>
            <w:vAlign w:val="center"/>
          </w:tcPr>
          <w:p w14:paraId="5B1B47B5"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28</w:t>
            </w:r>
          </w:p>
        </w:tc>
        <w:tc>
          <w:tcPr>
            <w:tcW w:w="914" w:type="pct"/>
            <w:tcBorders>
              <w:tl2br w:val="nil"/>
              <w:tr2bl w:val="nil"/>
            </w:tcBorders>
            <w:vAlign w:val="center"/>
          </w:tcPr>
          <w:p w14:paraId="409ADED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45.18</w:t>
            </w:r>
          </w:p>
        </w:tc>
        <w:tc>
          <w:tcPr>
            <w:tcW w:w="758" w:type="pct"/>
            <w:tcBorders>
              <w:tl2br w:val="nil"/>
              <w:tr2bl w:val="nil"/>
            </w:tcBorders>
            <w:vAlign w:val="center"/>
          </w:tcPr>
          <w:p w14:paraId="1062DFA1"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9.66</w:t>
            </w:r>
          </w:p>
        </w:tc>
      </w:tr>
      <w:tr w:rsidR="002E0859" w14:paraId="351AD542" w14:textId="77777777">
        <w:trPr>
          <w:trHeight w:val="280"/>
          <w:jc w:val="center"/>
        </w:trPr>
        <w:tc>
          <w:tcPr>
            <w:tcW w:w="1944" w:type="pct"/>
            <w:gridSpan w:val="3"/>
            <w:tcBorders>
              <w:tl2br w:val="nil"/>
              <w:tr2bl w:val="nil"/>
            </w:tcBorders>
            <w:vAlign w:val="center"/>
          </w:tcPr>
          <w:p w14:paraId="2E67798A"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1"/>
                <w:kern w:val="0"/>
                <w:sz w:val="18"/>
                <w:szCs w:val="18"/>
                <w:lang w:eastAsia="en-US"/>
              </w:rPr>
              <w:t>⑥-⑨加权平均</w:t>
            </w:r>
          </w:p>
        </w:tc>
        <w:tc>
          <w:tcPr>
            <w:tcW w:w="718" w:type="pct"/>
            <w:tcBorders>
              <w:tl2br w:val="nil"/>
              <w:tr2bl w:val="nil"/>
            </w:tcBorders>
            <w:vAlign w:val="center"/>
          </w:tcPr>
          <w:p w14:paraId="52AE69F0"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3"/>
                <w:kern w:val="0"/>
                <w:sz w:val="18"/>
                <w:szCs w:val="18"/>
                <w:lang w:eastAsia="en-US"/>
              </w:rPr>
              <w:t>50.8</w:t>
            </w:r>
          </w:p>
        </w:tc>
        <w:tc>
          <w:tcPr>
            <w:tcW w:w="664" w:type="pct"/>
            <w:tcBorders>
              <w:tl2br w:val="nil"/>
              <w:tr2bl w:val="nil"/>
            </w:tcBorders>
            <w:vAlign w:val="center"/>
          </w:tcPr>
          <w:p w14:paraId="08230EFB"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24</w:t>
            </w:r>
          </w:p>
        </w:tc>
        <w:tc>
          <w:tcPr>
            <w:tcW w:w="914" w:type="pct"/>
            <w:tcBorders>
              <w:tl2br w:val="nil"/>
              <w:tr2bl w:val="nil"/>
            </w:tcBorders>
            <w:vAlign w:val="center"/>
          </w:tcPr>
          <w:p w14:paraId="44027126"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2"/>
                <w:kern w:val="0"/>
                <w:sz w:val="18"/>
                <w:szCs w:val="18"/>
                <w:lang w:eastAsia="en-US"/>
              </w:rPr>
              <w:t>34.85</w:t>
            </w:r>
          </w:p>
        </w:tc>
        <w:tc>
          <w:tcPr>
            <w:tcW w:w="758" w:type="pct"/>
            <w:tcBorders>
              <w:tl2br w:val="nil"/>
              <w:tr2bl w:val="nil"/>
            </w:tcBorders>
            <w:vAlign w:val="center"/>
          </w:tcPr>
          <w:p w14:paraId="2CBBA0F6" w14:textId="77777777" w:rsidR="002E0859" w:rsidRDefault="00000000">
            <w:pPr>
              <w:kinsoku w:val="0"/>
              <w:autoSpaceDE w:val="0"/>
              <w:autoSpaceDN w:val="0"/>
              <w:spacing w:line="240" w:lineRule="auto"/>
              <w:ind w:firstLineChars="0" w:firstLine="0"/>
              <w:jc w:val="center"/>
              <w:textAlignment w:val="baseline"/>
              <w:rPr>
                <w:rFonts w:eastAsia="Times New Roman" w:cs="宋体"/>
                <w:snapToGrid w:val="0"/>
                <w:color w:val="000000" w:themeColor="text1"/>
                <w:kern w:val="0"/>
                <w:sz w:val="18"/>
                <w:szCs w:val="18"/>
                <w:lang w:eastAsia="en-US"/>
              </w:rPr>
            </w:pPr>
            <w:r>
              <w:rPr>
                <w:rFonts w:eastAsia="Times New Roman" w:cs="宋体"/>
                <w:snapToGrid w:val="0"/>
                <w:color w:val="000000" w:themeColor="text1"/>
                <w:spacing w:val="-4"/>
                <w:kern w:val="0"/>
                <w:sz w:val="18"/>
                <w:szCs w:val="18"/>
                <w:lang w:eastAsia="en-US"/>
              </w:rPr>
              <w:t>12.24</w:t>
            </w:r>
          </w:p>
        </w:tc>
      </w:tr>
    </w:tbl>
    <w:p w14:paraId="61742149" w14:textId="77777777" w:rsidR="002E0859" w:rsidRDefault="00000000">
      <w:pPr>
        <w:pStyle w:val="a0"/>
        <w:spacing w:beforeLines="50" w:before="120" w:line="360" w:lineRule="auto"/>
        <w:ind w:firstLine="480"/>
        <w:rPr>
          <w:color w:val="000000" w:themeColor="text1"/>
          <w:sz w:val="24"/>
          <w:szCs w:val="24"/>
        </w:rPr>
      </w:pPr>
      <w:r>
        <w:rPr>
          <w:color w:val="000000" w:themeColor="text1"/>
          <w:sz w:val="24"/>
          <w:szCs w:val="24"/>
        </w:rPr>
        <w:t>从平面分布特征来看，江东区块含气页岩段的脆性矿物含量分布比较稳定，上部气层介于</w:t>
      </w:r>
      <w:r>
        <w:rPr>
          <w:color w:val="000000" w:themeColor="text1"/>
          <w:sz w:val="24"/>
          <w:szCs w:val="24"/>
        </w:rPr>
        <w:t>32-45%</w:t>
      </w:r>
      <w:r>
        <w:rPr>
          <w:color w:val="000000" w:themeColor="text1"/>
          <w:sz w:val="24"/>
          <w:szCs w:val="24"/>
        </w:rPr>
        <w:t>，下部气层总体介于</w:t>
      </w:r>
      <w:r>
        <w:rPr>
          <w:color w:val="000000" w:themeColor="text1"/>
          <w:sz w:val="24"/>
          <w:szCs w:val="24"/>
        </w:rPr>
        <w:t>49-52%</w:t>
      </w:r>
      <w:r>
        <w:rPr>
          <w:color w:val="000000" w:themeColor="text1"/>
          <w:sz w:val="24"/>
          <w:szCs w:val="24"/>
        </w:rPr>
        <w:t>（图</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3</w:t>
      </w:r>
      <w:r>
        <w:rPr>
          <w:color w:val="000000" w:themeColor="text1"/>
          <w:sz w:val="24"/>
          <w:szCs w:val="24"/>
        </w:rPr>
        <w:t>），按照目前能源行业标准</w:t>
      </w:r>
      <w:r>
        <w:rPr>
          <w:color w:val="000000" w:themeColor="text1"/>
          <w:sz w:val="24"/>
          <w:szCs w:val="24"/>
        </w:rPr>
        <w:t>NB/T14001-2015“</w:t>
      </w:r>
      <w:r>
        <w:rPr>
          <w:color w:val="000000" w:themeColor="text1"/>
          <w:sz w:val="24"/>
          <w:szCs w:val="24"/>
        </w:rPr>
        <w:t>页岩气藏描述技术规范</w:t>
      </w:r>
      <w:r>
        <w:rPr>
          <w:color w:val="000000" w:themeColor="text1"/>
          <w:sz w:val="24"/>
          <w:szCs w:val="24"/>
        </w:rPr>
        <w:t>”</w:t>
      </w:r>
      <w:r>
        <w:rPr>
          <w:color w:val="000000" w:themeColor="text1"/>
          <w:sz w:val="24"/>
          <w:szCs w:val="24"/>
        </w:rPr>
        <w:t>评价标准，江东区块上部气层脆性矿物含量评价为</w:t>
      </w:r>
      <w:r>
        <w:rPr>
          <w:color w:val="000000" w:themeColor="text1"/>
          <w:sz w:val="24"/>
          <w:szCs w:val="24"/>
        </w:rPr>
        <w:t>Ⅱ/Ⅲ</w:t>
      </w:r>
      <w:r>
        <w:rPr>
          <w:color w:val="000000" w:themeColor="text1"/>
          <w:sz w:val="24"/>
          <w:szCs w:val="24"/>
        </w:rPr>
        <w:t>类，下部气层脆性矿物含量评价为</w:t>
      </w:r>
      <w:r>
        <w:rPr>
          <w:color w:val="000000" w:themeColor="text1"/>
          <w:sz w:val="24"/>
          <w:szCs w:val="24"/>
        </w:rPr>
        <w:t>Ⅱ</w:t>
      </w:r>
      <w:r>
        <w:rPr>
          <w:color w:val="000000" w:themeColor="text1"/>
          <w:sz w:val="24"/>
          <w:szCs w:val="24"/>
        </w:rPr>
        <w:t>类。</w:t>
      </w:r>
    </w:p>
    <w:p w14:paraId="3F2DE555" w14:textId="46F4E3E9" w:rsidR="002E0859" w:rsidRDefault="002E0859">
      <w:pPr>
        <w:pStyle w:val="a0"/>
        <w:spacing w:line="360" w:lineRule="auto"/>
        <w:ind w:firstLineChars="0" w:firstLine="0"/>
        <w:jc w:val="center"/>
        <w:rPr>
          <w:color w:val="000000" w:themeColor="text1"/>
          <w:sz w:val="24"/>
          <w:szCs w:val="24"/>
        </w:rPr>
      </w:pPr>
    </w:p>
    <w:p w14:paraId="5EC3B25D"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图</w:t>
      </w:r>
      <w:r>
        <w:rPr>
          <w:rFonts w:eastAsia="黑体" w:hint="eastAsia"/>
          <w:color w:val="000000" w:themeColor="text1"/>
          <w:sz w:val="21"/>
          <w:szCs w:val="21"/>
        </w:rPr>
        <w:t>2.3</w:t>
      </w:r>
      <w:r>
        <w:rPr>
          <w:rFonts w:eastAsia="黑体"/>
          <w:color w:val="000000" w:themeColor="text1"/>
          <w:sz w:val="21"/>
          <w:szCs w:val="21"/>
        </w:rPr>
        <w:t>-</w:t>
      </w:r>
      <w:r>
        <w:rPr>
          <w:rFonts w:eastAsia="黑体" w:hint="eastAsia"/>
          <w:color w:val="000000" w:themeColor="text1"/>
          <w:sz w:val="21"/>
          <w:szCs w:val="21"/>
        </w:rPr>
        <w:t xml:space="preserve">3 </w:t>
      </w:r>
      <w:r>
        <w:rPr>
          <w:rFonts w:eastAsia="黑体"/>
          <w:color w:val="000000" w:themeColor="text1"/>
          <w:sz w:val="21"/>
          <w:szCs w:val="21"/>
        </w:rPr>
        <w:t>江东</w:t>
      </w:r>
      <w:r>
        <w:rPr>
          <w:rFonts w:eastAsia="黑体" w:hint="eastAsia"/>
          <w:color w:val="000000" w:themeColor="text1"/>
          <w:sz w:val="21"/>
          <w:szCs w:val="21"/>
        </w:rPr>
        <w:t>上、</w:t>
      </w:r>
      <w:r>
        <w:rPr>
          <w:rFonts w:eastAsia="黑体"/>
          <w:color w:val="000000" w:themeColor="text1"/>
          <w:sz w:val="21"/>
          <w:szCs w:val="21"/>
        </w:rPr>
        <w:t>下部气层脆性矿物含量平面图</w:t>
      </w:r>
    </w:p>
    <w:p w14:paraId="149E746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物性特征</w:t>
      </w:r>
    </w:p>
    <w:p w14:paraId="1DE35182" w14:textId="77777777" w:rsidR="002E0859" w:rsidRDefault="00000000">
      <w:pPr>
        <w:pStyle w:val="a0"/>
        <w:spacing w:line="360" w:lineRule="auto"/>
        <w:ind w:firstLine="480"/>
        <w:rPr>
          <w:color w:val="000000" w:themeColor="text1"/>
          <w:sz w:val="24"/>
          <w:szCs w:val="24"/>
        </w:rPr>
      </w:pPr>
      <w:r>
        <w:rPr>
          <w:color w:val="000000" w:themeColor="text1"/>
          <w:sz w:val="24"/>
          <w:szCs w:val="24"/>
        </w:rPr>
        <w:t>江东区块采用氦气法测定岩石物性样品</w:t>
      </w:r>
      <w:r>
        <w:rPr>
          <w:color w:val="000000" w:themeColor="text1"/>
          <w:sz w:val="24"/>
          <w:szCs w:val="24"/>
        </w:rPr>
        <w:t>118</w:t>
      </w:r>
      <w:r>
        <w:rPr>
          <w:color w:val="000000" w:themeColor="text1"/>
          <w:sz w:val="24"/>
          <w:szCs w:val="24"/>
        </w:rPr>
        <w:t>块，实测结果如下：上部气层</w:t>
      </w:r>
      <w:r>
        <w:rPr>
          <w:color w:val="000000" w:themeColor="text1"/>
          <w:sz w:val="24"/>
          <w:szCs w:val="24"/>
        </w:rPr>
        <w:t>⑥-⑨</w:t>
      </w:r>
      <w:r>
        <w:rPr>
          <w:color w:val="000000" w:themeColor="text1"/>
          <w:sz w:val="24"/>
          <w:szCs w:val="24"/>
        </w:rPr>
        <w:t>小层孔隙度为</w:t>
      </w:r>
      <w:r>
        <w:rPr>
          <w:color w:val="000000" w:themeColor="text1"/>
          <w:sz w:val="24"/>
          <w:szCs w:val="24"/>
        </w:rPr>
        <w:t>1.5-6.6%</w:t>
      </w:r>
      <w:r>
        <w:rPr>
          <w:color w:val="000000" w:themeColor="text1"/>
          <w:sz w:val="24"/>
          <w:szCs w:val="24"/>
        </w:rPr>
        <w:t>，平均</w:t>
      </w:r>
      <w:r>
        <w:rPr>
          <w:color w:val="000000" w:themeColor="text1"/>
          <w:sz w:val="24"/>
          <w:szCs w:val="24"/>
        </w:rPr>
        <w:t>4.69%</w:t>
      </w:r>
      <w:r>
        <w:rPr>
          <w:color w:val="000000" w:themeColor="text1"/>
          <w:sz w:val="24"/>
          <w:szCs w:val="24"/>
        </w:rPr>
        <w:t>；下部气层</w:t>
      </w:r>
      <w:r>
        <w:rPr>
          <w:color w:val="000000" w:themeColor="text1"/>
          <w:sz w:val="24"/>
          <w:szCs w:val="24"/>
        </w:rPr>
        <w:t>①-⑤</w:t>
      </w:r>
      <w:r>
        <w:rPr>
          <w:color w:val="000000" w:themeColor="text1"/>
          <w:sz w:val="24"/>
          <w:szCs w:val="24"/>
        </w:rPr>
        <w:t>小层孔隙度为</w:t>
      </w:r>
      <w:r>
        <w:rPr>
          <w:color w:val="000000" w:themeColor="text1"/>
          <w:sz w:val="24"/>
          <w:szCs w:val="24"/>
        </w:rPr>
        <w:t>2.2-8.4%</w:t>
      </w:r>
      <w:r>
        <w:rPr>
          <w:color w:val="000000" w:themeColor="text1"/>
          <w:sz w:val="24"/>
          <w:szCs w:val="24"/>
        </w:rPr>
        <w:t>，平均</w:t>
      </w:r>
      <w:r>
        <w:rPr>
          <w:color w:val="000000" w:themeColor="text1"/>
          <w:sz w:val="24"/>
          <w:szCs w:val="24"/>
        </w:rPr>
        <w:t>5.84%</w:t>
      </w:r>
      <w:r>
        <w:rPr>
          <w:color w:val="000000" w:themeColor="text1"/>
          <w:sz w:val="24"/>
          <w:szCs w:val="24"/>
        </w:rPr>
        <w:t>，详细数据见表</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6</w:t>
      </w:r>
      <w:r>
        <w:rPr>
          <w:color w:val="000000" w:themeColor="text1"/>
          <w:sz w:val="24"/>
          <w:szCs w:val="24"/>
        </w:rPr>
        <w:t>。</w:t>
      </w:r>
    </w:p>
    <w:p w14:paraId="34BA9868"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表</w:t>
      </w:r>
      <w:r>
        <w:rPr>
          <w:rFonts w:eastAsia="黑体" w:hint="eastAsia"/>
          <w:color w:val="000000" w:themeColor="text1"/>
          <w:sz w:val="21"/>
          <w:szCs w:val="21"/>
        </w:rPr>
        <w:t xml:space="preserve">2.3-6 </w:t>
      </w:r>
      <w:r>
        <w:rPr>
          <w:rFonts w:eastAsia="黑体"/>
          <w:color w:val="000000" w:themeColor="text1"/>
          <w:sz w:val="21"/>
          <w:szCs w:val="21"/>
        </w:rPr>
        <w:t>焦页</w:t>
      </w:r>
      <w:r>
        <w:rPr>
          <w:rFonts w:eastAsia="黑体"/>
          <w:color w:val="000000" w:themeColor="text1"/>
          <w:sz w:val="21"/>
          <w:szCs w:val="21"/>
        </w:rPr>
        <w:t>87-3</w:t>
      </w:r>
      <w:r>
        <w:rPr>
          <w:rFonts w:eastAsia="黑体"/>
          <w:color w:val="000000" w:themeColor="text1"/>
          <w:sz w:val="21"/>
          <w:szCs w:val="21"/>
        </w:rPr>
        <w:t>井五峰组</w:t>
      </w:r>
      <w:r>
        <w:rPr>
          <w:rFonts w:eastAsia="黑体"/>
          <w:color w:val="000000" w:themeColor="text1"/>
          <w:sz w:val="21"/>
          <w:szCs w:val="21"/>
        </w:rPr>
        <w:t>-</w:t>
      </w:r>
      <w:r>
        <w:rPr>
          <w:rFonts w:eastAsia="黑体"/>
          <w:color w:val="000000" w:themeColor="text1"/>
          <w:sz w:val="21"/>
          <w:szCs w:val="21"/>
        </w:rPr>
        <w:t>龙马溪组下部地层孔隙度分析测试数据表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229"/>
        <w:gridCol w:w="1657"/>
        <w:gridCol w:w="1408"/>
        <w:gridCol w:w="1395"/>
        <w:gridCol w:w="1369"/>
        <w:gridCol w:w="2092"/>
      </w:tblGrid>
      <w:tr w:rsidR="002E0859" w14:paraId="20CDC63C" w14:textId="77777777">
        <w:trPr>
          <w:trHeight w:val="23"/>
        </w:trPr>
        <w:tc>
          <w:tcPr>
            <w:tcW w:w="671" w:type="pct"/>
            <w:tcBorders>
              <w:tl2br w:val="nil"/>
              <w:tr2bl w:val="nil"/>
            </w:tcBorders>
            <w:vAlign w:val="center"/>
          </w:tcPr>
          <w:p w14:paraId="75759FC0"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组</w:t>
            </w:r>
          </w:p>
        </w:tc>
        <w:tc>
          <w:tcPr>
            <w:tcW w:w="905" w:type="pct"/>
            <w:tcBorders>
              <w:tl2br w:val="nil"/>
              <w:tr2bl w:val="nil"/>
            </w:tcBorders>
            <w:vAlign w:val="center"/>
          </w:tcPr>
          <w:p w14:paraId="3C7E7E03"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小层号</w:t>
            </w:r>
          </w:p>
        </w:tc>
        <w:tc>
          <w:tcPr>
            <w:tcW w:w="1531" w:type="pct"/>
            <w:gridSpan w:val="2"/>
            <w:tcBorders>
              <w:tl2br w:val="nil"/>
              <w:tr2bl w:val="nil"/>
            </w:tcBorders>
            <w:vAlign w:val="center"/>
          </w:tcPr>
          <w:p w14:paraId="5BB51D45"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井段（</w:t>
            </w:r>
            <w:r>
              <w:rPr>
                <w:rFonts w:ascii="Times New Roman" w:eastAsia="Times New Roman" w:hAnsi="Times New Roman" w:cs="Times New Roman"/>
                <w:color w:val="000000" w:themeColor="text1"/>
                <w:spacing w:val="-2"/>
                <w:sz w:val="18"/>
                <w:szCs w:val="18"/>
              </w:rPr>
              <w:t>m</w:t>
            </w:r>
            <w:r>
              <w:rPr>
                <w:color w:val="000000" w:themeColor="text1"/>
                <w:spacing w:val="-2"/>
                <w:sz w:val="18"/>
                <w:szCs w:val="18"/>
              </w:rPr>
              <w:t>）</w:t>
            </w:r>
          </w:p>
        </w:tc>
        <w:tc>
          <w:tcPr>
            <w:tcW w:w="747" w:type="pct"/>
            <w:tcBorders>
              <w:tl2br w:val="nil"/>
              <w:tr2bl w:val="nil"/>
            </w:tcBorders>
            <w:vAlign w:val="center"/>
          </w:tcPr>
          <w:p w14:paraId="4E30B449"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厚度（</w:t>
            </w:r>
            <w:r>
              <w:rPr>
                <w:rFonts w:ascii="Times New Roman" w:eastAsia="Times New Roman" w:hAnsi="Times New Roman" w:cs="Times New Roman"/>
                <w:color w:val="000000" w:themeColor="text1"/>
                <w:spacing w:val="-3"/>
                <w:sz w:val="18"/>
                <w:szCs w:val="18"/>
              </w:rPr>
              <w:t>m</w:t>
            </w:r>
            <w:r>
              <w:rPr>
                <w:color w:val="000000" w:themeColor="text1"/>
                <w:spacing w:val="-3"/>
                <w:sz w:val="18"/>
                <w:szCs w:val="18"/>
              </w:rPr>
              <w:t>）</w:t>
            </w:r>
          </w:p>
        </w:tc>
        <w:tc>
          <w:tcPr>
            <w:tcW w:w="1142" w:type="pct"/>
            <w:tcBorders>
              <w:tl2br w:val="nil"/>
              <w:tr2bl w:val="nil"/>
            </w:tcBorders>
            <w:vAlign w:val="center"/>
          </w:tcPr>
          <w:p w14:paraId="3D8134A7"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1"/>
                <w:sz w:val="18"/>
                <w:szCs w:val="18"/>
              </w:rPr>
              <w:t>氦气孔隙度（</w:t>
            </w:r>
            <w:r>
              <w:rPr>
                <w:rFonts w:ascii="Times New Roman" w:eastAsia="Times New Roman" w:hAnsi="Times New Roman" w:cs="Times New Roman"/>
                <w:color w:val="000000" w:themeColor="text1"/>
                <w:spacing w:val="-1"/>
                <w:sz w:val="18"/>
                <w:szCs w:val="18"/>
              </w:rPr>
              <w:t>%</w:t>
            </w:r>
            <w:r>
              <w:rPr>
                <w:color w:val="000000" w:themeColor="text1"/>
                <w:spacing w:val="-1"/>
                <w:sz w:val="18"/>
                <w:szCs w:val="18"/>
              </w:rPr>
              <w:t>）</w:t>
            </w:r>
          </w:p>
        </w:tc>
      </w:tr>
      <w:tr w:rsidR="002E0859" w14:paraId="5BDDF34D" w14:textId="77777777">
        <w:trPr>
          <w:trHeight w:val="23"/>
        </w:trPr>
        <w:tc>
          <w:tcPr>
            <w:tcW w:w="671" w:type="pct"/>
            <w:vMerge w:val="restart"/>
            <w:tcBorders>
              <w:tl2br w:val="nil"/>
              <w:tr2bl w:val="nil"/>
            </w:tcBorders>
            <w:vAlign w:val="center"/>
          </w:tcPr>
          <w:p w14:paraId="113A9DED"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龙马溪组</w:t>
            </w:r>
          </w:p>
        </w:tc>
        <w:tc>
          <w:tcPr>
            <w:tcW w:w="905" w:type="pct"/>
            <w:tcBorders>
              <w:tl2br w:val="nil"/>
              <w:tr2bl w:val="nil"/>
            </w:tcBorders>
            <w:vAlign w:val="center"/>
          </w:tcPr>
          <w:p w14:paraId="10C9546F"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⑨</w:t>
            </w:r>
          </w:p>
        </w:tc>
        <w:tc>
          <w:tcPr>
            <w:tcW w:w="769" w:type="pct"/>
            <w:tcBorders>
              <w:tl2br w:val="nil"/>
              <w:tr2bl w:val="nil"/>
            </w:tcBorders>
            <w:vAlign w:val="center"/>
          </w:tcPr>
          <w:p w14:paraId="16B8D6C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3559.5</w:t>
            </w:r>
          </w:p>
        </w:tc>
        <w:tc>
          <w:tcPr>
            <w:tcW w:w="761" w:type="pct"/>
            <w:tcBorders>
              <w:tl2br w:val="nil"/>
              <w:tr2bl w:val="nil"/>
            </w:tcBorders>
            <w:vAlign w:val="center"/>
          </w:tcPr>
          <w:p w14:paraId="4C15645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3573.0</w:t>
            </w:r>
          </w:p>
        </w:tc>
        <w:tc>
          <w:tcPr>
            <w:tcW w:w="747" w:type="pct"/>
            <w:tcBorders>
              <w:tl2br w:val="nil"/>
              <w:tr2bl w:val="nil"/>
            </w:tcBorders>
            <w:vAlign w:val="center"/>
          </w:tcPr>
          <w:p w14:paraId="6BB65C3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13.5</w:t>
            </w:r>
          </w:p>
        </w:tc>
        <w:tc>
          <w:tcPr>
            <w:tcW w:w="1142" w:type="pct"/>
            <w:tcBorders>
              <w:tl2br w:val="nil"/>
              <w:tr2bl w:val="nil"/>
            </w:tcBorders>
            <w:vAlign w:val="center"/>
          </w:tcPr>
          <w:p w14:paraId="4DFC1C7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3.55</w:t>
            </w:r>
          </w:p>
        </w:tc>
      </w:tr>
      <w:tr w:rsidR="002E0859" w14:paraId="154EB788" w14:textId="77777777">
        <w:trPr>
          <w:trHeight w:val="23"/>
        </w:trPr>
        <w:tc>
          <w:tcPr>
            <w:tcW w:w="671" w:type="pct"/>
            <w:vMerge/>
            <w:tcBorders>
              <w:tl2br w:val="nil"/>
              <w:tr2bl w:val="nil"/>
            </w:tcBorders>
            <w:vAlign w:val="center"/>
          </w:tcPr>
          <w:p w14:paraId="6CCBAF88"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5D19D716"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⑧</w:t>
            </w:r>
          </w:p>
        </w:tc>
        <w:tc>
          <w:tcPr>
            <w:tcW w:w="769" w:type="pct"/>
            <w:tcBorders>
              <w:tl2br w:val="nil"/>
              <w:tr2bl w:val="nil"/>
            </w:tcBorders>
            <w:vAlign w:val="center"/>
          </w:tcPr>
          <w:p w14:paraId="435D4960"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3573.0</w:t>
            </w:r>
          </w:p>
        </w:tc>
        <w:tc>
          <w:tcPr>
            <w:tcW w:w="761" w:type="pct"/>
            <w:tcBorders>
              <w:tl2br w:val="nil"/>
              <w:tr2bl w:val="nil"/>
            </w:tcBorders>
            <w:vAlign w:val="center"/>
          </w:tcPr>
          <w:p w14:paraId="6CD4AE4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3585.6</w:t>
            </w:r>
          </w:p>
        </w:tc>
        <w:tc>
          <w:tcPr>
            <w:tcW w:w="747" w:type="pct"/>
            <w:tcBorders>
              <w:tl2br w:val="nil"/>
              <w:tr2bl w:val="nil"/>
            </w:tcBorders>
            <w:vAlign w:val="center"/>
          </w:tcPr>
          <w:p w14:paraId="362FDCA6"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12.6</w:t>
            </w:r>
          </w:p>
        </w:tc>
        <w:tc>
          <w:tcPr>
            <w:tcW w:w="1142" w:type="pct"/>
            <w:tcBorders>
              <w:tl2br w:val="nil"/>
              <w:tr2bl w:val="nil"/>
            </w:tcBorders>
            <w:vAlign w:val="center"/>
          </w:tcPr>
          <w:p w14:paraId="65309EF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4.04</w:t>
            </w:r>
          </w:p>
        </w:tc>
      </w:tr>
      <w:tr w:rsidR="002E0859" w14:paraId="38DC2CF9" w14:textId="77777777">
        <w:trPr>
          <w:trHeight w:val="23"/>
        </w:trPr>
        <w:tc>
          <w:tcPr>
            <w:tcW w:w="671" w:type="pct"/>
            <w:vMerge/>
            <w:tcBorders>
              <w:tl2br w:val="nil"/>
              <w:tr2bl w:val="nil"/>
            </w:tcBorders>
            <w:vAlign w:val="center"/>
          </w:tcPr>
          <w:p w14:paraId="07E39B6D"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41CE4EDC"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⑦</w:t>
            </w:r>
          </w:p>
        </w:tc>
        <w:tc>
          <w:tcPr>
            <w:tcW w:w="769" w:type="pct"/>
            <w:tcBorders>
              <w:tl2br w:val="nil"/>
              <w:tr2bl w:val="nil"/>
            </w:tcBorders>
            <w:vAlign w:val="center"/>
          </w:tcPr>
          <w:p w14:paraId="22B4127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3585.6</w:t>
            </w:r>
          </w:p>
        </w:tc>
        <w:tc>
          <w:tcPr>
            <w:tcW w:w="761" w:type="pct"/>
            <w:tcBorders>
              <w:tl2br w:val="nil"/>
              <w:tr2bl w:val="nil"/>
            </w:tcBorders>
            <w:vAlign w:val="center"/>
          </w:tcPr>
          <w:p w14:paraId="7135DA3D"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3597.5</w:t>
            </w:r>
          </w:p>
        </w:tc>
        <w:tc>
          <w:tcPr>
            <w:tcW w:w="747" w:type="pct"/>
            <w:tcBorders>
              <w:tl2br w:val="nil"/>
              <w:tr2bl w:val="nil"/>
            </w:tcBorders>
            <w:vAlign w:val="center"/>
          </w:tcPr>
          <w:p w14:paraId="3A024308"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11.9</w:t>
            </w:r>
          </w:p>
        </w:tc>
        <w:tc>
          <w:tcPr>
            <w:tcW w:w="1142" w:type="pct"/>
            <w:tcBorders>
              <w:tl2br w:val="nil"/>
              <w:tr2bl w:val="nil"/>
            </w:tcBorders>
            <w:vAlign w:val="center"/>
          </w:tcPr>
          <w:p w14:paraId="03D260E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3.27</w:t>
            </w:r>
          </w:p>
        </w:tc>
      </w:tr>
      <w:tr w:rsidR="002E0859" w14:paraId="1AB549EA" w14:textId="77777777">
        <w:trPr>
          <w:trHeight w:val="23"/>
        </w:trPr>
        <w:tc>
          <w:tcPr>
            <w:tcW w:w="671" w:type="pct"/>
            <w:vMerge/>
            <w:tcBorders>
              <w:tl2br w:val="nil"/>
              <w:tr2bl w:val="nil"/>
            </w:tcBorders>
            <w:vAlign w:val="center"/>
          </w:tcPr>
          <w:p w14:paraId="71B628FE"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744F7E9F"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⑥</w:t>
            </w:r>
          </w:p>
        </w:tc>
        <w:tc>
          <w:tcPr>
            <w:tcW w:w="769" w:type="pct"/>
            <w:tcBorders>
              <w:tl2br w:val="nil"/>
              <w:tr2bl w:val="nil"/>
            </w:tcBorders>
            <w:vAlign w:val="center"/>
          </w:tcPr>
          <w:p w14:paraId="28B99EC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3597.5</w:t>
            </w:r>
          </w:p>
        </w:tc>
        <w:tc>
          <w:tcPr>
            <w:tcW w:w="761" w:type="pct"/>
            <w:tcBorders>
              <w:tl2br w:val="nil"/>
              <w:tr2bl w:val="nil"/>
            </w:tcBorders>
            <w:vAlign w:val="center"/>
          </w:tcPr>
          <w:p w14:paraId="740C623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3610.6</w:t>
            </w:r>
          </w:p>
        </w:tc>
        <w:tc>
          <w:tcPr>
            <w:tcW w:w="747" w:type="pct"/>
            <w:tcBorders>
              <w:tl2br w:val="nil"/>
              <w:tr2bl w:val="nil"/>
            </w:tcBorders>
            <w:vAlign w:val="center"/>
          </w:tcPr>
          <w:p w14:paraId="1A2023A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13.1</w:t>
            </w:r>
          </w:p>
        </w:tc>
        <w:tc>
          <w:tcPr>
            <w:tcW w:w="1142" w:type="pct"/>
            <w:tcBorders>
              <w:tl2br w:val="nil"/>
              <w:tr2bl w:val="nil"/>
            </w:tcBorders>
            <w:vAlign w:val="center"/>
          </w:tcPr>
          <w:p w14:paraId="5E05AC7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4.37</w:t>
            </w:r>
          </w:p>
        </w:tc>
      </w:tr>
      <w:tr w:rsidR="002E0859" w14:paraId="162B71F6" w14:textId="77777777">
        <w:trPr>
          <w:trHeight w:val="23"/>
        </w:trPr>
        <w:tc>
          <w:tcPr>
            <w:tcW w:w="671" w:type="pct"/>
            <w:vMerge/>
            <w:tcBorders>
              <w:tl2br w:val="nil"/>
              <w:tr2bl w:val="nil"/>
            </w:tcBorders>
            <w:vAlign w:val="center"/>
          </w:tcPr>
          <w:p w14:paraId="37E147D6"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588DAE90"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⑤</w:t>
            </w:r>
          </w:p>
        </w:tc>
        <w:tc>
          <w:tcPr>
            <w:tcW w:w="769" w:type="pct"/>
            <w:tcBorders>
              <w:tl2br w:val="nil"/>
              <w:tr2bl w:val="nil"/>
            </w:tcBorders>
            <w:vAlign w:val="center"/>
          </w:tcPr>
          <w:p w14:paraId="4E6EB1A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3610.6</w:t>
            </w:r>
          </w:p>
        </w:tc>
        <w:tc>
          <w:tcPr>
            <w:tcW w:w="761" w:type="pct"/>
            <w:tcBorders>
              <w:tl2br w:val="nil"/>
              <w:tr2bl w:val="nil"/>
            </w:tcBorders>
            <w:vAlign w:val="center"/>
          </w:tcPr>
          <w:p w14:paraId="07A1A69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3622.1</w:t>
            </w:r>
          </w:p>
        </w:tc>
        <w:tc>
          <w:tcPr>
            <w:tcW w:w="747" w:type="pct"/>
            <w:tcBorders>
              <w:tl2br w:val="nil"/>
              <w:tr2bl w:val="nil"/>
            </w:tcBorders>
            <w:vAlign w:val="center"/>
          </w:tcPr>
          <w:p w14:paraId="5F7FAED0"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11.5</w:t>
            </w:r>
          </w:p>
        </w:tc>
        <w:tc>
          <w:tcPr>
            <w:tcW w:w="1142" w:type="pct"/>
            <w:tcBorders>
              <w:tl2br w:val="nil"/>
              <w:tr2bl w:val="nil"/>
            </w:tcBorders>
            <w:vAlign w:val="center"/>
          </w:tcPr>
          <w:p w14:paraId="40624CD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5.83</w:t>
            </w:r>
          </w:p>
        </w:tc>
      </w:tr>
      <w:tr w:rsidR="002E0859" w14:paraId="1A4D2F19" w14:textId="77777777">
        <w:trPr>
          <w:trHeight w:val="23"/>
        </w:trPr>
        <w:tc>
          <w:tcPr>
            <w:tcW w:w="671" w:type="pct"/>
            <w:vMerge/>
            <w:tcBorders>
              <w:tl2br w:val="nil"/>
              <w:tr2bl w:val="nil"/>
            </w:tcBorders>
            <w:vAlign w:val="center"/>
          </w:tcPr>
          <w:p w14:paraId="1BBF9C46"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20DADBDC"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④</w:t>
            </w:r>
          </w:p>
        </w:tc>
        <w:tc>
          <w:tcPr>
            <w:tcW w:w="769" w:type="pct"/>
            <w:tcBorders>
              <w:tl2br w:val="nil"/>
              <w:tr2bl w:val="nil"/>
            </w:tcBorders>
            <w:vAlign w:val="center"/>
          </w:tcPr>
          <w:p w14:paraId="073143C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3622.1</w:t>
            </w:r>
          </w:p>
        </w:tc>
        <w:tc>
          <w:tcPr>
            <w:tcW w:w="761" w:type="pct"/>
            <w:tcBorders>
              <w:tl2br w:val="nil"/>
              <w:tr2bl w:val="nil"/>
            </w:tcBorders>
            <w:vAlign w:val="center"/>
          </w:tcPr>
          <w:p w14:paraId="08017C9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3630.8</w:t>
            </w:r>
          </w:p>
        </w:tc>
        <w:tc>
          <w:tcPr>
            <w:tcW w:w="747" w:type="pct"/>
            <w:tcBorders>
              <w:tl2br w:val="nil"/>
              <w:tr2bl w:val="nil"/>
            </w:tcBorders>
            <w:vAlign w:val="center"/>
          </w:tcPr>
          <w:p w14:paraId="3C14694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8.7</w:t>
            </w:r>
          </w:p>
        </w:tc>
        <w:tc>
          <w:tcPr>
            <w:tcW w:w="1142" w:type="pct"/>
            <w:tcBorders>
              <w:tl2br w:val="nil"/>
              <w:tr2bl w:val="nil"/>
            </w:tcBorders>
            <w:vAlign w:val="center"/>
          </w:tcPr>
          <w:p w14:paraId="761838E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4.93</w:t>
            </w:r>
          </w:p>
        </w:tc>
      </w:tr>
      <w:tr w:rsidR="002E0859" w14:paraId="34636AE7" w14:textId="77777777">
        <w:trPr>
          <w:trHeight w:val="23"/>
        </w:trPr>
        <w:tc>
          <w:tcPr>
            <w:tcW w:w="671" w:type="pct"/>
            <w:vMerge/>
            <w:tcBorders>
              <w:tl2br w:val="nil"/>
              <w:tr2bl w:val="nil"/>
            </w:tcBorders>
            <w:vAlign w:val="center"/>
          </w:tcPr>
          <w:p w14:paraId="1E1498BE"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17346F84"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③</w:t>
            </w:r>
          </w:p>
        </w:tc>
        <w:tc>
          <w:tcPr>
            <w:tcW w:w="769" w:type="pct"/>
            <w:tcBorders>
              <w:tl2br w:val="nil"/>
              <w:tr2bl w:val="nil"/>
            </w:tcBorders>
            <w:vAlign w:val="center"/>
          </w:tcPr>
          <w:p w14:paraId="51A6E12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3630.8</w:t>
            </w:r>
          </w:p>
        </w:tc>
        <w:tc>
          <w:tcPr>
            <w:tcW w:w="761" w:type="pct"/>
            <w:tcBorders>
              <w:tl2br w:val="nil"/>
              <w:tr2bl w:val="nil"/>
            </w:tcBorders>
            <w:vAlign w:val="center"/>
          </w:tcPr>
          <w:p w14:paraId="0A18C34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3642.5</w:t>
            </w:r>
          </w:p>
        </w:tc>
        <w:tc>
          <w:tcPr>
            <w:tcW w:w="747" w:type="pct"/>
            <w:tcBorders>
              <w:tl2br w:val="nil"/>
              <w:tr2bl w:val="nil"/>
            </w:tcBorders>
            <w:vAlign w:val="center"/>
          </w:tcPr>
          <w:p w14:paraId="73093FE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11.7</w:t>
            </w:r>
          </w:p>
        </w:tc>
        <w:tc>
          <w:tcPr>
            <w:tcW w:w="1142" w:type="pct"/>
            <w:tcBorders>
              <w:tl2br w:val="nil"/>
              <w:tr2bl w:val="nil"/>
            </w:tcBorders>
            <w:vAlign w:val="center"/>
          </w:tcPr>
          <w:p w14:paraId="44E5867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6.01</w:t>
            </w:r>
          </w:p>
        </w:tc>
      </w:tr>
      <w:tr w:rsidR="002E0859" w14:paraId="6402F627" w14:textId="77777777">
        <w:trPr>
          <w:trHeight w:val="23"/>
        </w:trPr>
        <w:tc>
          <w:tcPr>
            <w:tcW w:w="671" w:type="pct"/>
            <w:vMerge/>
            <w:tcBorders>
              <w:tl2br w:val="nil"/>
              <w:tr2bl w:val="nil"/>
            </w:tcBorders>
            <w:vAlign w:val="center"/>
          </w:tcPr>
          <w:p w14:paraId="6508EF31" w14:textId="77777777" w:rsidR="002E0859" w:rsidRDefault="002E0859">
            <w:pPr>
              <w:spacing w:line="240" w:lineRule="auto"/>
              <w:ind w:firstLineChars="0" w:firstLine="0"/>
              <w:jc w:val="center"/>
              <w:rPr>
                <w:rFonts w:ascii="Arial"/>
                <w:color w:val="000000" w:themeColor="text1"/>
                <w:sz w:val="21"/>
              </w:rPr>
            </w:pPr>
          </w:p>
        </w:tc>
        <w:tc>
          <w:tcPr>
            <w:tcW w:w="905" w:type="pct"/>
            <w:tcBorders>
              <w:tl2br w:val="nil"/>
              <w:tr2bl w:val="nil"/>
            </w:tcBorders>
            <w:vAlign w:val="center"/>
          </w:tcPr>
          <w:p w14:paraId="22CD0B63"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②</w:t>
            </w:r>
          </w:p>
        </w:tc>
        <w:tc>
          <w:tcPr>
            <w:tcW w:w="769" w:type="pct"/>
            <w:tcBorders>
              <w:tl2br w:val="nil"/>
              <w:tr2bl w:val="nil"/>
            </w:tcBorders>
            <w:vAlign w:val="center"/>
          </w:tcPr>
          <w:p w14:paraId="2F3A8D9D"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3642.5</w:t>
            </w:r>
          </w:p>
        </w:tc>
        <w:tc>
          <w:tcPr>
            <w:tcW w:w="761" w:type="pct"/>
            <w:tcBorders>
              <w:tl2br w:val="nil"/>
              <w:tr2bl w:val="nil"/>
            </w:tcBorders>
            <w:vAlign w:val="center"/>
          </w:tcPr>
          <w:p w14:paraId="74577FC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3643.5</w:t>
            </w:r>
          </w:p>
        </w:tc>
        <w:tc>
          <w:tcPr>
            <w:tcW w:w="747" w:type="pct"/>
            <w:tcBorders>
              <w:tl2br w:val="nil"/>
              <w:tr2bl w:val="nil"/>
            </w:tcBorders>
            <w:vAlign w:val="center"/>
          </w:tcPr>
          <w:p w14:paraId="5BCEA50D"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7"/>
                <w:sz w:val="18"/>
                <w:szCs w:val="18"/>
              </w:rPr>
              <w:t>1.0</w:t>
            </w:r>
          </w:p>
        </w:tc>
        <w:tc>
          <w:tcPr>
            <w:tcW w:w="1142" w:type="pct"/>
            <w:tcBorders>
              <w:tl2br w:val="nil"/>
              <w:tr2bl w:val="nil"/>
            </w:tcBorders>
            <w:vAlign w:val="center"/>
          </w:tcPr>
          <w:p w14:paraId="219ECBF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7.55</w:t>
            </w:r>
          </w:p>
        </w:tc>
      </w:tr>
      <w:tr w:rsidR="002E0859" w14:paraId="22DA2573" w14:textId="77777777">
        <w:trPr>
          <w:trHeight w:val="23"/>
        </w:trPr>
        <w:tc>
          <w:tcPr>
            <w:tcW w:w="671" w:type="pct"/>
            <w:tcBorders>
              <w:tl2br w:val="nil"/>
              <w:tr2bl w:val="nil"/>
            </w:tcBorders>
            <w:vAlign w:val="center"/>
          </w:tcPr>
          <w:p w14:paraId="60AA1DF1"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五峰组</w:t>
            </w:r>
          </w:p>
        </w:tc>
        <w:tc>
          <w:tcPr>
            <w:tcW w:w="905" w:type="pct"/>
            <w:tcBorders>
              <w:tl2br w:val="nil"/>
              <w:tr2bl w:val="nil"/>
            </w:tcBorders>
            <w:vAlign w:val="center"/>
          </w:tcPr>
          <w:p w14:paraId="794B9657"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z w:val="18"/>
                <w:szCs w:val="18"/>
              </w:rPr>
              <w:t>①</w:t>
            </w:r>
          </w:p>
        </w:tc>
        <w:tc>
          <w:tcPr>
            <w:tcW w:w="769" w:type="pct"/>
            <w:tcBorders>
              <w:tl2br w:val="nil"/>
              <w:tr2bl w:val="nil"/>
            </w:tcBorders>
            <w:vAlign w:val="center"/>
          </w:tcPr>
          <w:p w14:paraId="63D3881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3643.5</w:t>
            </w:r>
          </w:p>
        </w:tc>
        <w:tc>
          <w:tcPr>
            <w:tcW w:w="761" w:type="pct"/>
            <w:tcBorders>
              <w:tl2br w:val="nil"/>
              <w:tr2bl w:val="nil"/>
            </w:tcBorders>
            <w:vAlign w:val="center"/>
          </w:tcPr>
          <w:p w14:paraId="4519616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3649.2</w:t>
            </w:r>
          </w:p>
        </w:tc>
        <w:tc>
          <w:tcPr>
            <w:tcW w:w="747" w:type="pct"/>
            <w:tcBorders>
              <w:tl2br w:val="nil"/>
              <w:tr2bl w:val="nil"/>
            </w:tcBorders>
            <w:vAlign w:val="center"/>
          </w:tcPr>
          <w:p w14:paraId="79BB88D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5.7</w:t>
            </w:r>
          </w:p>
        </w:tc>
        <w:tc>
          <w:tcPr>
            <w:tcW w:w="1142" w:type="pct"/>
            <w:tcBorders>
              <w:tl2br w:val="nil"/>
              <w:tr2bl w:val="nil"/>
            </w:tcBorders>
            <w:vAlign w:val="center"/>
          </w:tcPr>
          <w:p w14:paraId="2A7D455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6.60</w:t>
            </w:r>
          </w:p>
        </w:tc>
      </w:tr>
    </w:tbl>
    <w:p w14:paraId="25DB7682" w14:textId="77777777" w:rsidR="002E0859" w:rsidRDefault="00000000">
      <w:pPr>
        <w:pStyle w:val="a0"/>
        <w:spacing w:beforeLines="50" w:before="120" w:line="360" w:lineRule="auto"/>
        <w:ind w:firstLine="480"/>
        <w:rPr>
          <w:color w:val="000000" w:themeColor="text1"/>
          <w:sz w:val="24"/>
          <w:szCs w:val="24"/>
        </w:rPr>
      </w:pPr>
      <w:r>
        <w:rPr>
          <w:color w:val="000000" w:themeColor="text1"/>
          <w:sz w:val="24"/>
          <w:szCs w:val="24"/>
        </w:rPr>
        <w:t>从平面分布特征来看，江东区块含气页岩段的孔隙度分布比较稳定，上部气层介于</w:t>
      </w:r>
      <w:r>
        <w:rPr>
          <w:color w:val="000000" w:themeColor="text1"/>
          <w:sz w:val="24"/>
          <w:szCs w:val="24"/>
        </w:rPr>
        <w:t>2.2-3.8%</w:t>
      </w:r>
      <w:r>
        <w:rPr>
          <w:color w:val="000000" w:themeColor="text1"/>
          <w:sz w:val="24"/>
          <w:szCs w:val="24"/>
        </w:rPr>
        <w:t>，下部气层总体介于</w:t>
      </w:r>
      <w:r>
        <w:rPr>
          <w:color w:val="000000" w:themeColor="text1"/>
          <w:sz w:val="24"/>
          <w:szCs w:val="24"/>
        </w:rPr>
        <w:t>3.6-4.8%</w:t>
      </w:r>
      <w:r>
        <w:rPr>
          <w:color w:val="000000" w:themeColor="text1"/>
          <w:sz w:val="24"/>
          <w:szCs w:val="24"/>
        </w:rPr>
        <w:t>（图</w:t>
      </w:r>
      <w:r>
        <w:rPr>
          <w:rFonts w:hint="eastAsia"/>
          <w:color w:val="000000" w:themeColor="text1"/>
          <w:sz w:val="24"/>
          <w:szCs w:val="24"/>
        </w:rPr>
        <w:t>2.3-4</w:t>
      </w:r>
      <w:r>
        <w:rPr>
          <w:color w:val="000000" w:themeColor="text1"/>
          <w:sz w:val="24"/>
          <w:szCs w:val="24"/>
        </w:rPr>
        <w:t>、图</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5</w:t>
      </w:r>
      <w:r>
        <w:rPr>
          <w:color w:val="000000" w:themeColor="text1"/>
          <w:sz w:val="24"/>
          <w:szCs w:val="24"/>
        </w:rPr>
        <w:t>），按照目前能源行业标准</w:t>
      </w:r>
      <w:r>
        <w:rPr>
          <w:color w:val="000000" w:themeColor="text1"/>
          <w:sz w:val="24"/>
          <w:szCs w:val="24"/>
        </w:rPr>
        <w:t>NB/T14001-2015“</w:t>
      </w:r>
      <w:r>
        <w:rPr>
          <w:color w:val="000000" w:themeColor="text1"/>
          <w:sz w:val="24"/>
          <w:szCs w:val="24"/>
        </w:rPr>
        <w:t>页岩气藏描述技术规范</w:t>
      </w:r>
      <w:r>
        <w:rPr>
          <w:color w:val="000000" w:themeColor="text1"/>
          <w:sz w:val="24"/>
          <w:szCs w:val="24"/>
        </w:rPr>
        <w:t>”</w:t>
      </w:r>
      <w:r>
        <w:rPr>
          <w:color w:val="000000" w:themeColor="text1"/>
          <w:sz w:val="24"/>
          <w:szCs w:val="24"/>
        </w:rPr>
        <w:t>评价标准（根据焦石坝区块开发实践修编），江</w:t>
      </w:r>
      <w:r>
        <w:rPr>
          <w:color w:val="000000" w:themeColor="text1"/>
          <w:sz w:val="24"/>
          <w:szCs w:val="24"/>
        </w:rPr>
        <w:lastRenderedPageBreak/>
        <w:t>东区块上部气层孔隙度评价为</w:t>
      </w:r>
      <w:r>
        <w:rPr>
          <w:color w:val="000000" w:themeColor="text1"/>
          <w:sz w:val="24"/>
          <w:szCs w:val="24"/>
        </w:rPr>
        <w:t>Ⅱ</w:t>
      </w:r>
      <w:r>
        <w:rPr>
          <w:color w:val="000000" w:themeColor="text1"/>
          <w:sz w:val="24"/>
          <w:szCs w:val="24"/>
        </w:rPr>
        <w:t>类，下部气层孔隙度评价为</w:t>
      </w:r>
      <w:r>
        <w:rPr>
          <w:color w:val="000000" w:themeColor="text1"/>
          <w:sz w:val="24"/>
          <w:szCs w:val="24"/>
        </w:rPr>
        <w:t>Ⅰ/Ⅱ</w:t>
      </w:r>
      <w:r>
        <w:rPr>
          <w:color w:val="000000" w:themeColor="text1"/>
          <w:sz w:val="24"/>
          <w:szCs w:val="24"/>
        </w:rPr>
        <w:t>类。</w:t>
      </w:r>
    </w:p>
    <w:p w14:paraId="6F5E28DF" w14:textId="71943409" w:rsidR="002E0859" w:rsidRDefault="002E0859">
      <w:pPr>
        <w:pStyle w:val="a0"/>
        <w:spacing w:line="360" w:lineRule="auto"/>
        <w:ind w:firstLineChars="0" w:firstLine="0"/>
        <w:jc w:val="center"/>
        <w:rPr>
          <w:color w:val="000000" w:themeColor="text1"/>
          <w:sz w:val="24"/>
          <w:szCs w:val="24"/>
        </w:rPr>
      </w:pPr>
    </w:p>
    <w:p w14:paraId="0A52F671"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图</w:t>
      </w:r>
      <w:r>
        <w:rPr>
          <w:rFonts w:eastAsia="黑体" w:hint="eastAsia"/>
          <w:color w:val="000000" w:themeColor="text1"/>
          <w:sz w:val="21"/>
          <w:szCs w:val="21"/>
        </w:rPr>
        <w:t>2.3</w:t>
      </w:r>
      <w:r>
        <w:rPr>
          <w:rFonts w:eastAsia="黑体"/>
          <w:color w:val="000000" w:themeColor="text1"/>
          <w:sz w:val="21"/>
          <w:szCs w:val="21"/>
        </w:rPr>
        <w:t>-</w:t>
      </w:r>
      <w:r>
        <w:rPr>
          <w:rFonts w:eastAsia="黑体" w:hint="eastAsia"/>
          <w:color w:val="000000" w:themeColor="text1"/>
          <w:sz w:val="21"/>
          <w:szCs w:val="21"/>
        </w:rPr>
        <w:t xml:space="preserve">4 </w:t>
      </w:r>
      <w:r>
        <w:rPr>
          <w:rFonts w:eastAsia="黑体"/>
          <w:color w:val="000000" w:themeColor="text1"/>
          <w:sz w:val="21"/>
          <w:szCs w:val="21"/>
        </w:rPr>
        <w:t>江东上部气层孔隙度平面分布图</w:t>
      </w:r>
    </w:p>
    <w:p w14:paraId="2BC4F13E" w14:textId="3BD83C75" w:rsidR="002E0859" w:rsidRDefault="002E0859">
      <w:pPr>
        <w:pStyle w:val="a0"/>
        <w:spacing w:line="360" w:lineRule="auto"/>
        <w:ind w:firstLineChars="0" w:firstLine="0"/>
        <w:jc w:val="center"/>
        <w:rPr>
          <w:color w:val="000000" w:themeColor="text1"/>
          <w:sz w:val="24"/>
          <w:szCs w:val="24"/>
        </w:rPr>
      </w:pPr>
    </w:p>
    <w:p w14:paraId="3D67A719"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图</w:t>
      </w:r>
      <w:r>
        <w:rPr>
          <w:rFonts w:eastAsia="黑体" w:hint="eastAsia"/>
          <w:color w:val="000000" w:themeColor="text1"/>
          <w:sz w:val="21"/>
          <w:szCs w:val="21"/>
        </w:rPr>
        <w:t>2.3</w:t>
      </w:r>
      <w:r>
        <w:rPr>
          <w:rFonts w:eastAsia="黑体"/>
          <w:color w:val="000000" w:themeColor="text1"/>
          <w:sz w:val="21"/>
          <w:szCs w:val="21"/>
        </w:rPr>
        <w:t>-</w:t>
      </w:r>
      <w:r>
        <w:rPr>
          <w:rFonts w:eastAsia="黑体" w:hint="eastAsia"/>
          <w:color w:val="000000" w:themeColor="text1"/>
          <w:sz w:val="21"/>
          <w:szCs w:val="21"/>
        </w:rPr>
        <w:t xml:space="preserve">5 </w:t>
      </w:r>
      <w:r>
        <w:rPr>
          <w:rFonts w:eastAsia="黑体"/>
          <w:color w:val="000000" w:themeColor="text1"/>
          <w:sz w:val="21"/>
          <w:szCs w:val="21"/>
        </w:rPr>
        <w:t>江东下部气层孔隙度平面分布图</w:t>
      </w:r>
    </w:p>
    <w:p w14:paraId="4C82402D"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孔隙结构类型</w:t>
      </w:r>
    </w:p>
    <w:p w14:paraId="3BE4CCE0"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目前岩心、氩离子抛光扫描电镜等观察结果可将页岩储层的孔隙主要划分为有机质孔隙、无机孔隙，无机孔隙主要包括粘土孔隙、碎屑孔隙。结合氩离子抛光扫描电镜观察结果，对不同孔隙类型的纵向发育特征开展了测井解释，从测井解释的焦页</w:t>
      </w:r>
      <w:r>
        <w:rPr>
          <w:color w:val="000000" w:themeColor="text1"/>
          <w:sz w:val="24"/>
          <w:szCs w:val="24"/>
        </w:rPr>
        <w:t>81-2</w:t>
      </w:r>
      <w:r>
        <w:rPr>
          <w:color w:val="000000" w:themeColor="text1"/>
          <w:sz w:val="24"/>
          <w:szCs w:val="24"/>
        </w:rPr>
        <w:t>和焦页</w:t>
      </w:r>
      <w:r>
        <w:rPr>
          <w:color w:val="000000" w:themeColor="text1"/>
          <w:sz w:val="24"/>
          <w:szCs w:val="24"/>
        </w:rPr>
        <w:t>87-3</w:t>
      </w:r>
      <w:r>
        <w:rPr>
          <w:color w:val="000000" w:themeColor="text1"/>
          <w:sz w:val="24"/>
          <w:szCs w:val="24"/>
        </w:rPr>
        <w:t>井的不同孔隙类型的纵向发育特征来看，各小层不同孔隙类型的发育程度与焦页</w:t>
      </w:r>
      <w:r>
        <w:rPr>
          <w:color w:val="000000" w:themeColor="text1"/>
          <w:sz w:val="24"/>
          <w:szCs w:val="24"/>
        </w:rPr>
        <w:t>1</w:t>
      </w:r>
      <w:r>
        <w:rPr>
          <w:color w:val="000000" w:themeColor="text1"/>
          <w:sz w:val="24"/>
          <w:szCs w:val="24"/>
        </w:rPr>
        <w:t>井测井解释结果大体相当，具备类似的不同孔隙类型纵向发育特征（表</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7</w:t>
      </w:r>
      <w:r>
        <w:rPr>
          <w:color w:val="000000" w:themeColor="text1"/>
          <w:sz w:val="24"/>
          <w:szCs w:val="24"/>
        </w:rPr>
        <w:t>），自上而下有机质孔隙所占孔隙体积百分比逐渐增加，其中主力含气页岩段以有机质孔隙为主，普遍占到总孔隙体积的</w:t>
      </w:r>
      <w:r>
        <w:rPr>
          <w:color w:val="000000" w:themeColor="text1"/>
          <w:sz w:val="24"/>
          <w:szCs w:val="24"/>
        </w:rPr>
        <w:t>42%</w:t>
      </w:r>
      <w:r>
        <w:rPr>
          <w:color w:val="000000" w:themeColor="text1"/>
          <w:sz w:val="24"/>
          <w:szCs w:val="24"/>
        </w:rPr>
        <w:t>以上，</w:t>
      </w:r>
      <w:r>
        <w:rPr>
          <w:color w:val="000000" w:themeColor="text1"/>
          <w:sz w:val="24"/>
          <w:szCs w:val="24"/>
        </w:rPr>
        <w:t>①-③</w:t>
      </w:r>
      <w:r>
        <w:rPr>
          <w:color w:val="000000" w:themeColor="text1"/>
          <w:sz w:val="24"/>
          <w:szCs w:val="24"/>
        </w:rPr>
        <w:t>小层有机质孔隙最为发育，占总孔隙体积的</w:t>
      </w:r>
      <w:r>
        <w:rPr>
          <w:color w:val="000000" w:themeColor="text1"/>
          <w:sz w:val="24"/>
          <w:szCs w:val="24"/>
        </w:rPr>
        <w:t>63-69%</w:t>
      </w:r>
      <w:r>
        <w:rPr>
          <w:color w:val="000000" w:themeColor="text1"/>
          <w:sz w:val="24"/>
          <w:szCs w:val="24"/>
        </w:rPr>
        <w:t>。</w:t>
      </w:r>
      <w:r>
        <w:rPr>
          <w:color w:val="000000" w:themeColor="text1"/>
          <w:sz w:val="24"/>
          <w:szCs w:val="24"/>
        </w:rPr>
        <w:t>⑥-⑨</w:t>
      </w:r>
      <w:r>
        <w:rPr>
          <w:color w:val="000000" w:themeColor="text1"/>
          <w:sz w:val="24"/>
          <w:szCs w:val="24"/>
        </w:rPr>
        <w:t>小层则主要以无机孔隙为主，其中粘土孔隙占孔隙体积主要部分。江东区块焦页</w:t>
      </w:r>
      <w:r>
        <w:rPr>
          <w:color w:val="000000" w:themeColor="text1"/>
          <w:sz w:val="24"/>
          <w:szCs w:val="24"/>
        </w:rPr>
        <w:t>87-3</w:t>
      </w:r>
      <w:r>
        <w:rPr>
          <w:color w:val="000000" w:themeColor="text1"/>
          <w:sz w:val="24"/>
          <w:szCs w:val="24"/>
        </w:rPr>
        <w:t>井下部气层</w:t>
      </w:r>
      <w:r>
        <w:rPr>
          <w:color w:val="000000" w:themeColor="text1"/>
          <w:sz w:val="24"/>
          <w:szCs w:val="24"/>
        </w:rPr>
        <w:t>①-③</w:t>
      </w:r>
      <w:r>
        <w:rPr>
          <w:color w:val="000000" w:themeColor="text1"/>
          <w:sz w:val="24"/>
          <w:szCs w:val="24"/>
        </w:rPr>
        <w:t>小层有机质孔隙占总孔隙体积比例</w:t>
      </w:r>
      <w:r>
        <w:rPr>
          <w:color w:val="000000" w:themeColor="text1"/>
          <w:sz w:val="24"/>
          <w:szCs w:val="24"/>
        </w:rPr>
        <w:t>63.74%</w:t>
      </w:r>
      <w:r>
        <w:rPr>
          <w:color w:val="000000" w:themeColor="text1"/>
          <w:sz w:val="24"/>
          <w:szCs w:val="24"/>
        </w:rPr>
        <w:t>（表</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7</w:t>
      </w:r>
      <w:r>
        <w:rPr>
          <w:color w:val="000000" w:themeColor="text1"/>
          <w:sz w:val="24"/>
          <w:szCs w:val="24"/>
        </w:rPr>
        <w:t>）。</w:t>
      </w:r>
    </w:p>
    <w:p w14:paraId="53946EA3" w14:textId="77777777" w:rsidR="002E0859" w:rsidRDefault="00000000">
      <w:pPr>
        <w:pStyle w:val="a8"/>
        <w:spacing w:line="240" w:lineRule="auto"/>
        <w:ind w:firstLineChars="0" w:firstLine="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hint="eastAsia"/>
          <w:color w:val="000000" w:themeColor="text1"/>
          <w:sz w:val="21"/>
          <w:szCs w:val="21"/>
          <w:lang w:eastAsia="zh-CN"/>
        </w:rPr>
        <w:t>2.</w:t>
      </w:r>
      <w:r>
        <w:rPr>
          <w:rFonts w:ascii="Times New Roman" w:eastAsia="黑体" w:hAnsi="Times New Roman" w:cs="Times New Roman"/>
          <w:color w:val="000000" w:themeColor="text1"/>
          <w:sz w:val="21"/>
          <w:szCs w:val="21"/>
          <w:lang w:eastAsia="zh-CN"/>
        </w:rPr>
        <w:t>3</w:t>
      </w:r>
      <w:r>
        <w:rPr>
          <w:rFonts w:ascii="Times New Roman" w:eastAsia="黑体" w:hAnsi="Times New Roman" w:cs="Times New Roman" w:hint="eastAsia"/>
          <w:color w:val="000000" w:themeColor="text1"/>
          <w:sz w:val="21"/>
          <w:szCs w:val="21"/>
          <w:lang w:eastAsia="zh-CN"/>
        </w:rPr>
        <w:t xml:space="preserve">-7 </w:t>
      </w:r>
      <w:r>
        <w:rPr>
          <w:rFonts w:ascii="Times New Roman" w:eastAsia="黑体" w:hAnsi="Times New Roman" w:cs="Times New Roman"/>
          <w:color w:val="000000" w:themeColor="text1"/>
          <w:sz w:val="21"/>
          <w:szCs w:val="21"/>
          <w:lang w:eastAsia="zh-CN"/>
        </w:rPr>
        <w:t>焦页</w:t>
      </w:r>
      <w:r>
        <w:rPr>
          <w:rFonts w:ascii="Times New Roman" w:eastAsia="黑体" w:hAnsi="Times New Roman" w:cs="Times New Roman"/>
          <w:color w:val="000000" w:themeColor="text1"/>
          <w:sz w:val="21"/>
          <w:szCs w:val="21"/>
          <w:lang w:eastAsia="zh-CN"/>
        </w:rPr>
        <w:t>1</w:t>
      </w:r>
      <w:r>
        <w:rPr>
          <w:rFonts w:ascii="Times New Roman" w:eastAsia="黑体" w:hAnsi="Times New Roman" w:cs="Times New Roman"/>
          <w:color w:val="000000" w:themeColor="text1"/>
          <w:sz w:val="21"/>
          <w:szCs w:val="21"/>
          <w:lang w:eastAsia="zh-CN"/>
        </w:rPr>
        <w:t>、</w:t>
      </w:r>
      <w:r>
        <w:rPr>
          <w:rFonts w:ascii="Times New Roman" w:eastAsia="黑体" w:hAnsi="Times New Roman" w:cs="Times New Roman"/>
          <w:color w:val="000000" w:themeColor="text1"/>
          <w:sz w:val="21"/>
          <w:szCs w:val="21"/>
          <w:lang w:eastAsia="zh-CN"/>
        </w:rPr>
        <w:t>81-2</w:t>
      </w:r>
      <w:r>
        <w:rPr>
          <w:rFonts w:ascii="Times New Roman" w:eastAsia="黑体" w:hAnsi="Times New Roman" w:cs="Times New Roman"/>
          <w:color w:val="000000" w:themeColor="text1"/>
          <w:sz w:val="21"/>
          <w:szCs w:val="21"/>
          <w:lang w:eastAsia="zh-CN"/>
        </w:rPr>
        <w:t>、</w:t>
      </w:r>
      <w:r>
        <w:rPr>
          <w:rFonts w:ascii="Times New Roman" w:eastAsia="黑体" w:hAnsi="Times New Roman" w:cs="Times New Roman"/>
          <w:color w:val="000000" w:themeColor="text1"/>
          <w:sz w:val="21"/>
          <w:szCs w:val="21"/>
          <w:lang w:eastAsia="zh-CN"/>
        </w:rPr>
        <w:t>87-3</w:t>
      </w:r>
      <w:r>
        <w:rPr>
          <w:rFonts w:ascii="Times New Roman" w:eastAsia="黑体" w:hAnsi="Times New Roman" w:cs="Times New Roman"/>
          <w:color w:val="000000" w:themeColor="text1"/>
          <w:sz w:val="21"/>
          <w:szCs w:val="21"/>
          <w:lang w:eastAsia="zh-CN"/>
        </w:rPr>
        <w:t>井测井解释有机质孔隙度及其占比统计数据表</w:t>
      </w:r>
    </w:p>
    <w:p w14:paraId="00654513" w14:textId="77777777" w:rsidR="002E0859" w:rsidRDefault="002E0859">
      <w:pPr>
        <w:spacing w:line="143" w:lineRule="auto"/>
        <w:ind w:firstLine="40"/>
        <w:rPr>
          <w:rFonts w:ascii="Arial"/>
          <w:color w:val="000000" w:themeColor="text1"/>
          <w:sz w:val="2"/>
        </w:rPr>
      </w:pPr>
    </w:p>
    <w:tbl>
      <w:tblPr>
        <w:tblStyle w:val="TableNormal"/>
        <w:tblW w:w="499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973"/>
        <w:gridCol w:w="1452"/>
        <w:gridCol w:w="1452"/>
        <w:gridCol w:w="1173"/>
        <w:gridCol w:w="1247"/>
        <w:gridCol w:w="1658"/>
        <w:gridCol w:w="1197"/>
      </w:tblGrid>
      <w:tr w:rsidR="002E0859" w14:paraId="4B49F0F5" w14:textId="77777777">
        <w:trPr>
          <w:trHeight w:val="23"/>
        </w:trPr>
        <w:tc>
          <w:tcPr>
            <w:tcW w:w="531" w:type="pct"/>
            <w:vMerge w:val="restart"/>
            <w:tcBorders>
              <w:tl2br w:val="nil"/>
              <w:tr2bl w:val="nil"/>
            </w:tcBorders>
            <w:vAlign w:val="center"/>
          </w:tcPr>
          <w:p w14:paraId="4817A5E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3"/>
                <w:sz w:val="21"/>
                <w:szCs w:val="21"/>
              </w:rPr>
              <w:t>小层</w:t>
            </w:r>
          </w:p>
        </w:tc>
        <w:tc>
          <w:tcPr>
            <w:tcW w:w="4468" w:type="pct"/>
            <w:gridSpan w:val="6"/>
            <w:tcBorders>
              <w:tl2br w:val="nil"/>
              <w:tr2bl w:val="nil"/>
            </w:tcBorders>
            <w:vAlign w:val="center"/>
          </w:tcPr>
          <w:p w14:paraId="4E45152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有机质孔隙体积百分比（%）</w:t>
            </w:r>
          </w:p>
        </w:tc>
      </w:tr>
      <w:tr w:rsidR="002E0859" w14:paraId="6EE49E85" w14:textId="77777777">
        <w:trPr>
          <w:trHeight w:val="23"/>
        </w:trPr>
        <w:tc>
          <w:tcPr>
            <w:tcW w:w="531" w:type="pct"/>
            <w:vMerge/>
            <w:tcBorders>
              <w:tl2br w:val="nil"/>
              <w:tr2bl w:val="nil"/>
            </w:tcBorders>
            <w:vAlign w:val="center"/>
          </w:tcPr>
          <w:p w14:paraId="6EADB4C7" w14:textId="77777777" w:rsidR="002E0859" w:rsidRDefault="002E0859">
            <w:pPr>
              <w:spacing w:line="240" w:lineRule="auto"/>
              <w:ind w:firstLineChars="0" w:firstLine="0"/>
              <w:jc w:val="center"/>
              <w:rPr>
                <w:rFonts w:eastAsia="Times New Roman"/>
                <w:color w:val="000000" w:themeColor="text1"/>
                <w:sz w:val="21"/>
                <w:szCs w:val="21"/>
              </w:rPr>
            </w:pPr>
          </w:p>
        </w:tc>
        <w:tc>
          <w:tcPr>
            <w:tcW w:w="1586" w:type="pct"/>
            <w:gridSpan w:val="2"/>
            <w:tcBorders>
              <w:tl2br w:val="nil"/>
              <w:tr2bl w:val="nil"/>
            </w:tcBorders>
            <w:vAlign w:val="center"/>
          </w:tcPr>
          <w:p w14:paraId="18FD24F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7"/>
                <w:sz w:val="21"/>
                <w:szCs w:val="21"/>
              </w:rPr>
              <w:t>焦页1井</w:t>
            </w:r>
          </w:p>
        </w:tc>
        <w:tc>
          <w:tcPr>
            <w:tcW w:w="1322" w:type="pct"/>
            <w:gridSpan w:val="2"/>
            <w:tcBorders>
              <w:tl2br w:val="nil"/>
              <w:tr2bl w:val="nil"/>
            </w:tcBorders>
            <w:vAlign w:val="center"/>
          </w:tcPr>
          <w:p w14:paraId="427FD62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焦页81-2井</w:t>
            </w:r>
          </w:p>
        </w:tc>
        <w:tc>
          <w:tcPr>
            <w:tcW w:w="1558" w:type="pct"/>
            <w:gridSpan w:val="2"/>
            <w:tcBorders>
              <w:tl2br w:val="nil"/>
              <w:tr2bl w:val="nil"/>
            </w:tcBorders>
            <w:vAlign w:val="center"/>
          </w:tcPr>
          <w:p w14:paraId="3D472F0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焦页87-3井</w:t>
            </w:r>
          </w:p>
        </w:tc>
      </w:tr>
      <w:tr w:rsidR="002E0859" w14:paraId="4CDB35C8" w14:textId="77777777">
        <w:trPr>
          <w:trHeight w:val="23"/>
        </w:trPr>
        <w:tc>
          <w:tcPr>
            <w:tcW w:w="531" w:type="pct"/>
            <w:tcBorders>
              <w:tl2br w:val="nil"/>
              <w:tr2bl w:val="nil"/>
            </w:tcBorders>
            <w:vAlign w:val="center"/>
          </w:tcPr>
          <w:p w14:paraId="53A2593D"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⑨</w:t>
            </w:r>
          </w:p>
        </w:tc>
        <w:tc>
          <w:tcPr>
            <w:tcW w:w="793" w:type="pct"/>
            <w:tcBorders>
              <w:tl2br w:val="nil"/>
              <w:tr2bl w:val="nil"/>
            </w:tcBorders>
            <w:vAlign w:val="center"/>
          </w:tcPr>
          <w:p w14:paraId="16465BF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5"/>
                <w:sz w:val="21"/>
                <w:szCs w:val="21"/>
              </w:rPr>
              <w:t>15</w:t>
            </w:r>
          </w:p>
        </w:tc>
        <w:tc>
          <w:tcPr>
            <w:tcW w:w="793" w:type="pct"/>
            <w:tcBorders>
              <w:tl2br w:val="nil"/>
              <w:tr2bl w:val="nil"/>
            </w:tcBorders>
            <w:vAlign w:val="center"/>
          </w:tcPr>
          <w:p w14:paraId="2443E92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5"/>
                <w:sz w:val="21"/>
                <w:szCs w:val="21"/>
              </w:rPr>
              <w:t>15</w:t>
            </w:r>
          </w:p>
        </w:tc>
        <w:tc>
          <w:tcPr>
            <w:tcW w:w="641" w:type="pct"/>
            <w:tcBorders>
              <w:tl2br w:val="nil"/>
              <w:tr2bl w:val="nil"/>
            </w:tcBorders>
            <w:vAlign w:val="center"/>
          </w:tcPr>
          <w:p w14:paraId="5C545AC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5"/>
                <w:sz w:val="21"/>
                <w:szCs w:val="21"/>
              </w:rPr>
              <w:t>14.2</w:t>
            </w:r>
          </w:p>
        </w:tc>
        <w:tc>
          <w:tcPr>
            <w:tcW w:w="680" w:type="pct"/>
            <w:tcBorders>
              <w:tl2br w:val="nil"/>
              <w:tr2bl w:val="nil"/>
            </w:tcBorders>
            <w:vAlign w:val="center"/>
          </w:tcPr>
          <w:p w14:paraId="2B2A72EF"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5"/>
                <w:sz w:val="21"/>
                <w:szCs w:val="21"/>
              </w:rPr>
              <w:t>14.2</w:t>
            </w:r>
          </w:p>
        </w:tc>
        <w:tc>
          <w:tcPr>
            <w:tcW w:w="906" w:type="pct"/>
            <w:tcBorders>
              <w:tl2br w:val="nil"/>
              <w:tr2bl w:val="nil"/>
            </w:tcBorders>
            <w:vAlign w:val="center"/>
          </w:tcPr>
          <w:p w14:paraId="168805F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4"/>
                <w:sz w:val="21"/>
                <w:szCs w:val="21"/>
              </w:rPr>
              <w:t>17.19</w:t>
            </w:r>
          </w:p>
        </w:tc>
        <w:tc>
          <w:tcPr>
            <w:tcW w:w="652" w:type="pct"/>
            <w:tcBorders>
              <w:tl2br w:val="nil"/>
              <w:tr2bl w:val="nil"/>
            </w:tcBorders>
            <w:vAlign w:val="center"/>
          </w:tcPr>
          <w:p w14:paraId="7B5A28C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4"/>
                <w:sz w:val="21"/>
                <w:szCs w:val="21"/>
              </w:rPr>
              <w:t>17.19</w:t>
            </w:r>
          </w:p>
        </w:tc>
      </w:tr>
      <w:tr w:rsidR="002E0859" w14:paraId="4707142C" w14:textId="77777777">
        <w:trPr>
          <w:trHeight w:val="23"/>
        </w:trPr>
        <w:tc>
          <w:tcPr>
            <w:tcW w:w="531" w:type="pct"/>
            <w:tcBorders>
              <w:tl2br w:val="nil"/>
              <w:tr2bl w:val="nil"/>
            </w:tcBorders>
            <w:vAlign w:val="center"/>
          </w:tcPr>
          <w:p w14:paraId="10AB0B4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⑧</w:t>
            </w:r>
          </w:p>
        </w:tc>
        <w:tc>
          <w:tcPr>
            <w:tcW w:w="793" w:type="pct"/>
            <w:tcBorders>
              <w:tl2br w:val="nil"/>
              <w:tr2bl w:val="nil"/>
            </w:tcBorders>
            <w:vAlign w:val="center"/>
          </w:tcPr>
          <w:p w14:paraId="0CDB8F0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28.81</w:t>
            </w:r>
          </w:p>
        </w:tc>
        <w:tc>
          <w:tcPr>
            <w:tcW w:w="793" w:type="pct"/>
            <w:tcBorders>
              <w:tl2br w:val="nil"/>
              <w:tr2bl w:val="nil"/>
            </w:tcBorders>
            <w:vAlign w:val="center"/>
          </w:tcPr>
          <w:p w14:paraId="5E0B1E9D"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28.81</w:t>
            </w:r>
          </w:p>
        </w:tc>
        <w:tc>
          <w:tcPr>
            <w:tcW w:w="641" w:type="pct"/>
            <w:tcBorders>
              <w:tl2br w:val="nil"/>
              <w:tr2bl w:val="nil"/>
            </w:tcBorders>
            <w:vAlign w:val="center"/>
          </w:tcPr>
          <w:p w14:paraId="6BA25EC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22</w:t>
            </w:r>
          </w:p>
        </w:tc>
        <w:tc>
          <w:tcPr>
            <w:tcW w:w="680" w:type="pct"/>
            <w:tcBorders>
              <w:tl2br w:val="nil"/>
              <w:tr2bl w:val="nil"/>
            </w:tcBorders>
            <w:vAlign w:val="center"/>
          </w:tcPr>
          <w:p w14:paraId="4F1AC7C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22</w:t>
            </w:r>
          </w:p>
        </w:tc>
        <w:tc>
          <w:tcPr>
            <w:tcW w:w="906" w:type="pct"/>
            <w:tcBorders>
              <w:tl2br w:val="nil"/>
              <w:tr2bl w:val="nil"/>
            </w:tcBorders>
            <w:vAlign w:val="center"/>
          </w:tcPr>
          <w:p w14:paraId="516F85F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26.51</w:t>
            </w:r>
          </w:p>
        </w:tc>
        <w:tc>
          <w:tcPr>
            <w:tcW w:w="652" w:type="pct"/>
            <w:tcBorders>
              <w:tl2br w:val="nil"/>
              <w:tr2bl w:val="nil"/>
            </w:tcBorders>
            <w:vAlign w:val="center"/>
          </w:tcPr>
          <w:p w14:paraId="3E726E8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26.51</w:t>
            </w:r>
          </w:p>
        </w:tc>
      </w:tr>
      <w:tr w:rsidR="002E0859" w14:paraId="469EDE65" w14:textId="77777777">
        <w:trPr>
          <w:trHeight w:val="23"/>
        </w:trPr>
        <w:tc>
          <w:tcPr>
            <w:tcW w:w="531" w:type="pct"/>
            <w:tcBorders>
              <w:tl2br w:val="nil"/>
              <w:tr2bl w:val="nil"/>
            </w:tcBorders>
            <w:vAlign w:val="center"/>
          </w:tcPr>
          <w:p w14:paraId="759DC1BC"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⑦</w:t>
            </w:r>
          </w:p>
        </w:tc>
        <w:tc>
          <w:tcPr>
            <w:tcW w:w="793" w:type="pct"/>
            <w:tcBorders>
              <w:tl2br w:val="nil"/>
              <w:tr2bl w:val="nil"/>
            </w:tcBorders>
            <w:vAlign w:val="center"/>
          </w:tcPr>
          <w:p w14:paraId="401E3CC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38.41</w:t>
            </w:r>
          </w:p>
        </w:tc>
        <w:tc>
          <w:tcPr>
            <w:tcW w:w="793" w:type="pct"/>
            <w:vMerge w:val="restart"/>
            <w:tcBorders>
              <w:tl2br w:val="nil"/>
              <w:tr2bl w:val="nil"/>
            </w:tcBorders>
            <w:vAlign w:val="center"/>
          </w:tcPr>
          <w:p w14:paraId="630DDB3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38.96</w:t>
            </w:r>
          </w:p>
        </w:tc>
        <w:tc>
          <w:tcPr>
            <w:tcW w:w="641" w:type="pct"/>
            <w:tcBorders>
              <w:tl2br w:val="nil"/>
              <w:tr2bl w:val="nil"/>
            </w:tcBorders>
            <w:vAlign w:val="center"/>
          </w:tcPr>
          <w:p w14:paraId="25A050D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3"/>
                <w:sz w:val="21"/>
                <w:szCs w:val="21"/>
              </w:rPr>
              <w:t>34.9</w:t>
            </w:r>
          </w:p>
        </w:tc>
        <w:tc>
          <w:tcPr>
            <w:tcW w:w="680" w:type="pct"/>
            <w:vMerge w:val="restart"/>
            <w:tcBorders>
              <w:tl2br w:val="nil"/>
              <w:tr2bl w:val="nil"/>
            </w:tcBorders>
            <w:vAlign w:val="center"/>
          </w:tcPr>
          <w:p w14:paraId="1249D28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34.55</w:t>
            </w:r>
          </w:p>
        </w:tc>
        <w:tc>
          <w:tcPr>
            <w:tcW w:w="906" w:type="pct"/>
            <w:tcBorders>
              <w:tl2br w:val="nil"/>
              <w:tr2bl w:val="nil"/>
            </w:tcBorders>
            <w:vAlign w:val="center"/>
          </w:tcPr>
          <w:p w14:paraId="351E1BAC"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37.97</w:t>
            </w:r>
          </w:p>
        </w:tc>
        <w:tc>
          <w:tcPr>
            <w:tcW w:w="652" w:type="pct"/>
            <w:vMerge w:val="restart"/>
            <w:tcBorders>
              <w:tl2br w:val="nil"/>
              <w:tr2bl w:val="nil"/>
            </w:tcBorders>
            <w:vAlign w:val="center"/>
          </w:tcPr>
          <w:p w14:paraId="5F1869C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3"/>
                <w:sz w:val="21"/>
                <w:szCs w:val="21"/>
              </w:rPr>
              <w:t>39.6</w:t>
            </w:r>
          </w:p>
        </w:tc>
      </w:tr>
      <w:tr w:rsidR="002E0859" w14:paraId="0A0EB465" w14:textId="77777777">
        <w:trPr>
          <w:trHeight w:val="23"/>
        </w:trPr>
        <w:tc>
          <w:tcPr>
            <w:tcW w:w="531" w:type="pct"/>
            <w:tcBorders>
              <w:tl2br w:val="nil"/>
              <w:tr2bl w:val="nil"/>
            </w:tcBorders>
            <w:vAlign w:val="center"/>
          </w:tcPr>
          <w:p w14:paraId="57C6A02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⑥</w:t>
            </w:r>
          </w:p>
        </w:tc>
        <w:tc>
          <w:tcPr>
            <w:tcW w:w="793" w:type="pct"/>
            <w:tcBorders>
              <w:tl2br w:val="nil"/>
              <w:tr2bl w:val="nil"/>
            </w:tcBorders>
            <w:vAlign w:val="center"/>
          </w:tcPr>
          <w:p w14:paraId="79FA113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3"/>
                <w:sz w:val="21"/>
                <w:szCs w:val="21"/>
              </w:rPr>
              <w:t>39.5</w:t>
            </w:r>
          </w:p>
        </w:tc>
        <w:tc>
          <w:tcPr>
            <w:tcW w:w="793" w:type="pct"/>
            <w:vMerge/>
            <w:tcBorders>
              <w:tl2br w:val="nil"/>
              <w:tr2bl w:val="nil"/>
            </w:tcBorders>
            <w:vAlign w:val="center"/>
          </w:tcPr>
          <w:p w14:paraId="09735528" w14:textId="77777777" w:rsidR="002E0859" w:rsidRDefault="002E0859">
            <w:pPr>
              <w:spacing w:line="240" w:lineRule="auto"/>
              <w:ind w:firstLineChars="0" w:firstLine="0"/>
              <w:jc w:val="center"/>
              <w:rPr>
                <w:rFonts w:eastAsia="Times New Roman"/>
                <w:color w:val="000000" w:themeColor="text1"/>
                <w:sz w:val="21"/>
                <w:szCs w:val="21"/>
              </w:rPr>
            </w:pPr>
          </w:p>
        </w:tc>
        <w:tc>
          <w:tcPr>
            <w:tcW w:w="641" w:type="pct"/>
            <w:tcBorders>
              <w:tl2br w:val="nil"/>
              <w:tr2bl w:val="nil"/>
            </w:tcBorders>
            <w:vAlign w:val="center"/>
          </w:tcPr>
          <w:p w14:paraId="2896A1D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3"/>
                <w:sz w:val="21"/>
                <w:szCs w:val="21"/>
              </w:rPr>
              <w:t>34.2</w:t>
            </w:r>
          </w:p>
        </w:tc>
        <w:tc>
          <w:tcPr>
            <w:tcW w:w="680" w:type="pct"/>
            <w:vMerge/>
            <w:tcBorders>
              <w:tl2br w:val="nil"/>
              <w:tr2bl w:val="nil"/>
            </w:tcBorders>
            <w:vAlign w:val="center"/>
          </w:tcPr>
          <w:p w14:paraId="35CBABCB" w14:textId="77777777" w:rsidR="002E0859" w:rsidRDefault="002E0859">
            <w:pPr>
              <w:spacing w:line="240" w:lineRule="auto"/>
              <w:ind w:firstLineChars="0" w:firstLine="0"/>
              <w:jc w:val="center"/>
              <w:rPr>
                <w:rFonts w:eastAsia="Times New Roman"/>
                <w:color w:val="000000" w:themeColor="text1"/>
                <w:sz w:val="21"/>
                <w:szCs w:val="21"/>
              </w:rPr>
            </w:pPr>
          </w:p>
        </w:tc>
        <w:tc>
          <w:tcPr>
            <w:tcW w:w="906" w:type="pct"/>
            <w:tcBorders>
              <w:tl2br w:val="nil"/>
              <w:tr2bl w:val="nil"/>
            </w:tcBorders>
            <w:vAlign w:val="center"/>
          </w:tcPr>
          <w:p w14:paraId="618A59C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41.22</w:t>
            </w:r>
          </w:p>
        </w:tc>
        <w:tc>
          <w:tcPr>
            <w:tcW w:w="652" w:type="pct"/>
            <w:vMerge/>
            <w:tcBorders>
              <w:tl2br w:val="nil"/>
              <w:tr2bl w:val="nil"/>
            </w:tcBorders>
            <w:vAlign w:val="center"/>
          </w:tcPr>
          <w:p w14:paraId="13A3B2CA"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6A752074" w14:textId="77777777">
        <w:trPr>
          <w:trHeight w:val="23"/>
        </w:trPr>
        <w:tc>
          <w:tcPr>
            <w:tcW w:w="531" w:type="pct"/>
            <w:tcBorders>
              <w:tl2br w:val="nil"/>
              <w:tr2bl w:val="nil"/>
            </w:tcBorders>
            <w:vAlign w:val="center"/>
          </w:tcPr>
          <w:p w14:paraId="712B455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⑤</w:t>
            </w:r>
          </w:p>
        </w:tc>
        <w:tc>
          <w:tcPr>
            <w:tcW w:w="793" w:type="pct"/>
            <w:tcBorders>
              <w:tl2br w:val="nil"/>
              <w:tr2bl w:val="nil"/>
            </w:tcBorders>
            <w:vAlign w:val="center"/>
          </w:tcPr>
          <w:p w14:paraId="240FA20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41.3</w:t>
            </w:r>
          </w:p>
        </w:tc>
        <w:tc>
          <w:tcPr>
            <w:tcW w:w="793" w:type="pct"/>
            <w:vMerge w:val="restart"/>
            <w:tcBorders>
              <w:tl2br w:val="nil"/>
              <w:tr2bl w:val="nil"/>
            </w:tcBorders>
            <w:vAlign w:val="center"/>
          </w:tcPr>
          <w:p w14:paraId="06C7996C"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44.79</w:t>
            </w:r>
          </w:p>
        </w:tc>
        <w:tc>
          <w:tcPr>
            <w:tcW w:w="641" w:type="pct"/>
            <w:tcBorders>
              <w:tl2br w:val="nil"/>
              <w:tr2bl w:val="nil"/>
            </w:tcBorders>
            <w:vAlign w:val="center"/>
          </w:tcPr>
          <w:p w14:paraId="3255848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3"/>
                <w:sz w:val="21"/>
                <w:szCs w:val="21"/>
              </w:rPr>
              <w:t>39.4</w:t>
            </w:r>
          </w:p>
        </w:tc>
        <w:tc>
          <w:tcPr>
            <w:tcW w:w="680" w:type="pct"/>
            <w:vMerge w:val="restart"/>
            <w:tcBorders>
              <w:tl2br w:val="nil"/>
              <w:tr2bl w:val="nil"/>
            </w:tcBorders>
            <w:vAlign w:val="center"/>
          </w:tcPr>
          <w:p w14:paraId="15C9DCAD"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42.05</w:t>
            </w:r>
          </w:p>
        </w:tc>
        <w:tc>
          <w:tcPr>
            <w:tcW w:w="906" w:type="pct"/>
            <w:tcBorders>
              <w:tl2br w:val="nil"/>
              <w:tr2bl w:val="nil"/>
            </w:tcBorders>
            <w:vAlign w:val="center"/>
          </w:tcPr>
          <w:p w14:paraId="7C23A41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44.17</w:t>
            </w:r>
          </w:p>
        </w:tc>
        <w:tc>
          <w:tcPr>
            <w:tcW w:w="652" w:type="pct"/>
            <w:vMerge w:val="restart"/>
            <w:tcBorders>
              <w:tl2br w:val="nil"/>
              <w:tr2bl w:val="nil"/>
            </w:tcBorders>
            <w:vAlign w:val="center"/>
          </w:tcPr>
          <w:p w14:paraId="7E5A54D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47.62</w:t>
            </w:r>
          </w:p>
        </w:tc>
      </w:tr>
      <w:tr w:rsidR="002E0859" w14:paraId="19B46B8D" w14:textId="77777777">
        <w:trPr>
          <w:trHeight w:val="23"/>
        </w:trPr>
        <w:tc>
          <w:tcPr>
            <w:tcW w:w="531" w:type="pct"/>
            <w:tcBorders>
              <w:tl2br w:val="nil"/>
              <w:tr2bl w:val="nil"/>
            </w:tcBorders>
            <w:vAlign w:val="center"/>
          </w:tcPr>
          <w:p w14:paraId="2A6B017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④</w:t>
            </w:r>
          </w:p>
        </w:tc>
        <w:tc>
          <w:tcPr>
            <w:tcW w:w="793" w:type="pct"/>
            <w:tcBorders>
              <w:tl2br w:val="nil"/>
              <w:tr2bl w:val="nil"/>
            </w:tcBorders>
            <w:vAlign w:val="center"/>
          </w:tcPr>
          <w:p w14:paraId="66233D3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1"/>
                <w:sz w:val="21"/>
                <w:szCs w:val="21"/>
              </w:rPr>
              <w:t>48.27</w:t>
            </w:r>
          </w:p>
        </w:tc>
        <w:tc>
          <w:tcPr>
            <w:tcW w:w="793" w:type="pct"/>
            <w:vMerge/>
            <w:tcBorders>
              <w:tl2br w:val="nil"/>
              <w:tr2bl w:val="nil"/>
            </w:tcBorders>
            <w:vAlign w:val="center"/>
          </w:tcPr>
          <w:p w14:paraId="70EF6547" w14:textId="77777777" w:rsidR="002E0859" w:rsidRDefault="002E0859">
            <w:pPr>
              <w:spacing w:line="240" w:lineRule="auto"/>
              <w:ind w:firstLineChars="0" w:firstLine="0"/>
              <w:jc w:val="center"/>
              <w:rPr>
                <w:rFonts w:eastAsia="Times New Roman"/>
                <w:color w:val="000000" w:themeColor="text1"/>
                <w:sz w:val="21"/>
                <w:szCs w:val="21"/>
              </w:rPr>
            </w:pPr>
          </w:p>
        </w:tc>
        <w:tc>
          <w:tcPr>
            <w:tcW w:w="641" w:type="pct"/>
            <w:tcBorders>
              <w:tl2br w:val="nil"/>
              <w:tr2bl w:val="nil"/>
            </w:tcBorders>
            <w:vAlign w:val="center"/>
          </w:tcPr>
          <w:p w14:paraId="2B0D44E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44.7</w:t>
            </w:r>
          </w:p>
        </w:tc>
        <w:tc>
          <w:tcPr>
            <w:tcW w:w="680" w:type="pct"/>
            <w:vMerge/>
            <w:tcBorders>
              <w:tl2br w:val="nil"/>
              <w:tr2bl w:val="nil"/>
            </w:tcBorders>
            <w:vAlign w:val="center"/>
          </w:tcPr>
          <w:p w14:paraId="3718881D" w14:textId="77777777" w:rsidR="002E0859" w:rsidRDefault="002E0859">
            <w:pPr>
              <w:spacing w:line="240" w:lineRule="auto"/>
              <w:ind w:firstLineChars="0" w:firstLine="0"/>
              <w:jc w:val="center"/>
              <w:rPr>
                <w:rFonts w:eastAsia="Times New Roman"/>
                <w:color w:val="000000" w:themeColor="text1"/>
                <w:sz w:val="21"/>
                <w:szCs w:val="21"/>
              </w:rPr>
            </w:pPr>
          </w:p>
        </w:tc>
        <w:tc>
          <w:tcPr>
            <w:tcW w:w="906" w:type="pct"/>
            <w:tcBorders>
              <w:tl2br w:val="nil"/>
              <w:tr2bl w:val="nil"/>
            </w:tcBorders>
            <w:vAlign w:val="center"/>
          </w:tcPr>
          <w:p w14:paraId="432A9D99"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51.06</w:t>
            </w:r>
          </w:p>
        </w:tc>
        <w:tc>
          <w:tcPr>
            <w:tcW w:w="652" w:type="pct"/>
            <w:vMerge/>
            <w:tcBorders>
              <w:tl2br w:val="nil"/>
              <w:tr2bl w:val="nil"/>
            </w:tcBorders>
            <w:vAlign w:val="center"/>
          </w:tcPr>
          <w:p w14:paraId="54ECC0FC"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6348B2C6" w14:textId="77777777">
        <w:trPr>
          <w:trHeight w:val="23"/>
        </w:trPr>
        <w:tc>
          <w:tcPr>
            <w:tcW w:w="531" w:type="pct"/>
            <w:tcBorders>
              <w:tl2br w:val="nil"/>
              <w:tr2bl w:val="nil"/>
            </w:tcBorders>
            <w:vAlign w:val="center"/>
          </w:tcPr>
          <w:p w14:paraId="398EB83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③</w:t>
            </w:r>
          </w:p>
        </w:tc>
        <w:tc>
          <w:tcPr>
            <w:tcW w:w="793" w:type="pct"/>
            <w:tcBorders>
              <w:tl2br w:val="nil"/>
              <w:tr2bl w:val="nil"/>
            </w:tcBorders>
            <w:vAlign w:val="center"/>
          </w:tcPr>
          <w:p w14:paraId="333D23F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68.53</w:t>
            </w:r>
          </w:p>
        </w:tc>
        <w:tc>
          <w:tcPr>
            <w:tcW w:w="793" w:type="pct"/>
            <w:vMerge w:val="restart"/>
            <w:tcBorders>
              <w:tl2br w:val="nil"/>
              <w:tr2bl w:val="nil"/>
            </w:tcBorders>
            <w:vAlign w:val="center"/>
          </w:tcPr>
          <w:p w14:paraId="4B989CDB" w14:textId="77777777" w:rsidR="002E0859" w:rsidRDefault="002E0859">
            <w:pPr>
              <w:spacing w:line="240" w:lineRule="auto"/>
              <w:ind w:firstLineChars="0" w:firstLine="0"/>
              <w:jc w:val="center"/>
              <w:rPr>
                <w:rFonts w:eastAsia="Times New Roman"/>
                <w:color w:val="000000" w:themeColor="text1"/>
                <w:sz w:val="21"/>
                <w:szCs w:val="21"/>
              </w:rPr>
            </w:pPr>
          </w:p>
          <w:p w14:paraId="38C6624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67.42</w:t>
            </w:r>
          </w:p>
        </w:tc>
        <w:tc>
          <w:tcPr>
            <w:tcW w:w="641" w:type="pct"/>
            <w:tcBorders>
              <w:tl2br w:val="nil"/>
              <w:tr2bl w:val="nil"/>
            </w:tcBorders>
            <w:vAlign w:val="center"/>
          </w:tcPr>
          <w:p w14:paraId="2DB482F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62.7</w:t>
            </w:r>
          </w:p>
        </w:tc>
        <w:tc>
          <w:tcPr>
            <w:tcW w:w="680" w:type="pct"/>
            <w:vMerge w:val="restart"/>
            <w:tcBorders>
              <w:tl2br w:val="nil"/>
              <w:tr2bl w:val="nil"/>
            </w:tcBorders>
            <w:vAlign w:val="center"/>
          </w:tcPr>
          <w:p w14:paraId="0111741C" w14:textId="77777777" w:rsidR="002E0859" w:rsidRDefault="002E0859">
            <w:pPr>
              <w:spacing w:line="240" w:lineRule="auto"/>
              <w:ind w:firstLineChars="0" w:firstLine="0"/>
              <w:jc w:val="center"/>
              <w:rPr>
                <w:rFonts w:eastAsia="Times New Roman"/>
                <w:color w:val="000000" w:themeColor="text1"/>
                <w:sz w:val="21"/>
                <w:szCs w:val="21"/>
              </w:rPr>
            </w:pPr>
          </w:p>
          <w:p w14:paraId="15A00DFF"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65.17</w:t>
            </w:r>
          </w:p>
        </w:tc>
        <w:tc>
          <w:tcPr>
            <w:tcW w:w="906" w:type="pct"/>
            <w:tcBorders>
              <w:tl2br w:val="nil"/>
              <w:tr2bl w:val="nil"/>
            </w:tcBorders>
            <w:vAlign w:val="center"/>
          </w:tcPr>
          <w:p w14:paraId="3845AF7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65.43</w:t>
            </w:r>
          </w:p>
        </w:tc>
        <w:tc>
          <w:tcPr>
            <w:tcW w:w="652" w:type="pct"/>
            <w:vMerge w:val="restart"/>
            <w:tcBorders>
              <w:tl2br w:val="nil"/>
              <w:tr2bl w:val="nil"/>
            </w:tcBorders>
            <w:vAlign w:val="center"/>
          </w:tcPr>
          <w:p w14:paraId="6469B75E" w14:textId="77777777" w:rsidR="002E0859" w:rsidRDefault="002E0859">
            <w:pPr>
              <w:spacing w:line="240" w:lineRule="auto"/>
              <w:ind w:firstLineChars="0" w:firstLine="0"/>
              <w:jc w:val="center"/>
              <w:rPr>
                <w:rFonts w:eastAsia="Times New Roman"/>
                <w:color w:val="000000" w:themeColor="text1"/>
                <w:sz w:val="21"/>
                <w:szCs w:val="21"/>
              </w:rPr>
            </w:pPr>
          </w:p>
          <w:p w14:paraId="46AC83C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63.74</w:t>
            </w:r>
          </w:p>
        </w:tc>
      </w:tr>
      <w:tr w:rsidR="002E0859" w14:paraId="4F54B850" w14:textId="77777777">
        <w:trPr>
          <w:trHeight w:val="23"/>
        </w:trPr>
        <w:tc>
          <w:tcPr>
            <w:tcW w:w="531" w:type="pct"/>
            <w:tcBorders>
              <w:tl2br w:val="nil"/>
              <w:tr2bl w:val="nil"/>
            </w:tcBorders>
            <w:vAlign w:val="center"/>
          </w:tcPr>
          <w:p w14:paraId="76FF405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②</w:t>
            </w:r>
          </w:p>
        </w:tc>
        <w:tc>
          <w:tcPr>
            <w:tcW w:w="793" w:type="pct"/>
            <w:tcBorders>
              <w:tl2br w:val="nil"/>
              <w:tr2bl w:val="nil"/>
            </w:tcBorders>
            <w:vAlign w:val="center"/>
          </w:tcPr>
          <w:p w14:paraId="3953ADA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68.22</w:t>
            </w:r>
          </w:p>
        </w:tc>
        <w:tc>
          <w:tcPr>
            <w:tcW w:w="793" w:type="pct"/>
            <w:vMerge/>
            <w:tcBorders>
              <w:tl2br w:val="nil"/>
              <w:tr2bl w:val="nil"/>
            </w:tcBorders>
            <w:vAlign w:val="center"/>
          </w:tcPr>
          <w:p w14:paraId="5A39E976" w14:textId="77777777" w:rsidR="002E0859" w:rsidRDefault="002E0859">
            <w:pPr>
              <w:spacing w:line="240" w:lineRule="auto"/>
              <w:ind w:firstLineChars="0" w:firstLine="0"/>
              <w:jc w:val="center"/>
              <w:rPr>
                <w:rFonts w:eastAsia="Times New Roman"/>
                <w:color w:val="000000" w:themeColor="text1"/>
                <w:sz w:val="21"/>
                <w:szCs w:val="21"/>
              </w:rPr>
            </w:pPr>
          </w:p>
        </w:tc>
        <w:tc>
          <w:tcPr>
            <w:tcW w:w="641" w:type="pct"/>
            <w:tcBorders>
              <w:tl2br w:val="nil"/>
              <w:tr2bl w:val="nil"/>
            </w:tcBorders>
            <w:vAlign w:val="center"/>
          </w:tcPr>
          <w:p w14:paraId="7ABE2F20"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68.8</w:t>
            </w:r>
          </w:p>
        </w:tc>
        <w:tc>
          <w:tcPr>
            <w:tcW w:w="680" w:type="pct"/>
            <w:vMerge/>
            <w:tcBorders>
              <w:tl2br w:val="nil"/>
              <w:tr2bl w:val="nil"/>
            </w:tcBorders>
            <w:vAlign w:val="center"/>
          </w:tcPr>
          <w:p w14:paraId="6D22E7F7" w14:textId="77777777" w:rsidR="002E0859" w:rsidRDefault="002E0859">
            <w:pPr>
              <w:spacing w:line="240" w:lineRule="auto"/>
              <w:ind w:firstLineChars="0" w:firstLine="0"/>
              <w:jc w:val="center"/>
              <w:rPr>
                <w:rFonts w:eastAsia="Times New Roman"/>
                <w:color w:val="000000" w:themeColor="text1"/>
                <w:sz w:val="21"/>
                <w:szCs w:val="21"/>
              </w:rPr>
            </w:pPr>
          </w:p>
        </w:tc>
        <w:tc>
          <w:tcPr>
            <w:tcW w:w="906" w:type="pct"/>
            <w:tcBorders>
              <w:tl2br w:val="nil"/>
              <w:tr2bl w:val="nil"/>
            </w:tcBorders>
            <w:vAlign w:val="center"/>
          </w:tcPr>
          <w:p w14:paraId="6F29ECF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68.79</w:t>
            </w:r>
          </w:p>
        </w:tc>
        <w:tc>
          <w:tcPr>
            <w:tcW w:w="652" w:type="pct"/>
            <w:vMerge/>
            <w:tcBorders>
              <w:tl2br w:val="nil"/>
              <w:tr2bl w:val="nil"/>
            </w:tcBorders>
            <w:vAlign w:val="center"/>
          </w:tcPr>
          <w:p w14:paraId="36755BEF" w14:textId="77777777" w:rsidR="002E0859" w:rsidRDefault="002E0859">
            <w:pPr>
              <w:spacing w:line="240" w:lineRule="auto"/>
              <w:ind w:firstLineChars="0" w:firstLine="0"/>
              <w:jc w:val="center"/>
              <w:rPr>
                <w:rFonts w:eastAsia="Times New Roman"/>
                <w:color w:val="000000" w:themeColor="text1"/>
                <w:sz w:val="21"/>
                <w:szCs w:val="21"/>
              </w:rPr>
            </w:pPr>
          </w:p>
        </w:tc>
      </w:tr>
      <w:tr w:rsidR="002E0859" w14:paraId="332E56D3" w14:textId="77777777">
        <w:trPr>
          <w:trHeight w:val="23"/>
        </w:trPr>
        <w:tc>
          <w:tcPr>
            <w:tcW w:w="531" w:type="pct"/>
            <w:tcBorders>
              <w:tl2br w:val="nil"/>
              <w:tr2bl w:val="nil"/>
            </w:tcBorders>
            <w:vAlign w:val="center"/>
          </w:tcPr>
          <w:p w14:paraId="002FC2C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①</w:t>
            </w:r>
          </w:p>
        </w:tc>
        <w:tc>
          <w:tcPr>
            <w:tcW w:w="793" w:type="pct"/>
            <w:tcBorders>
              <w:tl2br w:val="nil"/>
              <w:tr2bl w:val="nil"/>
            </w:tcBorders>
            <w:vAlign w:val="center"/>
          </w:tcPr>
          <w:p w14:paraId="434F635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65.52</w:t>
            </w:r>
          </w:p>
        </w:tc>
        <w:tc>
          <w:tcPr>
            <w:tcW w:w="793" w:type="pct"/>
            <w:vMerge/>
            <w:tcBorders>
              <w:tl2br w:val="nil"/>
              <w:tr2bl w:val="nil"/>
            </w:tcBorders>
            <w:vAlign w:val="center"/>
          </w:tcPr>
          <w:p w14:paraId="57A20845" w14:textId="77777777" w:rsidR="002E0859" w:rsidRDefault="002E0859">
            <w:pPr>
              <w:spacing w:line="240" w:lineRule="auto"/>
              <w:ind w:firstLineChars="0" w:firstLine="0"/>
              <w:jc w:val="center"/>
              <w:rPr>
                <w:rFonts w:eastAsia="Times New Roman"/>
                <w:color w:val="000000" w:themeColor="text1"/>
                <w:sz w:val="21"/>
                <w:szCs w:val="21"/>
              </w:rPr>
            </w:pPr>
          </w:p>
        </w:tc>
        <w:tc>
          <w:tcPr>
            <w:tcW w:w="641" w:type="pct"/>
            <w:tcBorders>
              <w:tl2br w:val="nil"/>
              <w:tr2bl w:val="nil"/>
            </w:tcBorders>
            <w:vAlign w:val="center"/>
          </w:tcPr>
          <w:p w14:paraId="7E24323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64</w:t>
            </w:r>
          </w:p>
        </w:tc>
        <w:tc>
          <w:tcPr>
            <w:tcW w:w="680" w:type="pct"/>
            <w:vMerge/>
            <w:tcBorders>
              <w:tl2br w:val="nil"/>
              <w:tr2bl w:val="nil"/>
            </w:tcBorders>
            <w:vAlign w:val="center"/>
          </w:tcPr>
          <w:p w14:paraId="4DA7E23E" w14:textId="77777777" w:rsidR="002E0859" w:rsidRDefault="002E0859">
            <w:pPr>
              <w:spacing w:line="240" w:lineRule="auto"/>
              <w:ind w:firstLineChars="0" w:firstLine="0"/>
              <w:jc w:val="center"/>
              <w:rPr>
                <w:rFonts w:eastAsia="Times New Roman"/>
                <w:color w:val="000000" w:themeColor="text1"/>
                <w:sz w:val="21"/>
                <w:szCs w:val="21"/>
              </w:rPr>
            </w:pPr>
          </w:p>
        </w:tc>
        <w:tc>
          <w:tcPr>
            <w:tcW w:w="906" w:type="pct"/>
            <w:tcBorders>
              <w:tl2br w:val="nil"/>
              <w:tr2bl w:val="nil"/>
            </w:tcBorders>
            <w:vAlign w:val="center"/>
          </w:tcPr>
          <w:p w14:paraId="3C9F321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pacing w:val="-2"/>
                <w:sz w:val="21"/>
                <w:szCs w:val="21"/>
              </w:rPr>
              <w:t>63.74</w:t>
            </w:r>
          </w:p>
        </w:tc>
        <w:tc>
          <w:tcPr>
            <w:tcW w:w="652" w:type="pct"/>
            <w:vMerge/>
            <w:tcBorders>
              <w:tl2br w:val="nil"/>
              <w:tr2bl w:val="nil"/>
            </w:tcBorders>
            <w:vAlign w:val="center"/>
          </w:tcPr>
          <w:p w14:paraId="4250DCAB" w14:textId="77777777" w:rsidR="002E0859" w:rsidRDefault="002E0859">
            <w:pPr>
              <w:spacing w:line="240" w:lineRule="auto"/>
              <w:ind w:firstLineChars="0" w:firstLine="0"/>
              <w:jc w:val="center"/>
              <w:rPr>
                <w:rFonts w:eastAsia="Times New Roman"/>
                <w:color w:val="000000" w:themeColor="text1"/>
                <w:sz w:val="21"/>
                <w:szCs w:val="21"/>
              </w:rPr>
            </w:pPr>
          </w:p>
        </w:tc>
      </w:tr>
    </w:tbl>
    <w:p w14:paraId="13C5BA2A"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流体性质</w:t>
      </w:r>
    </w:p>
    <w:p w14:paraId="2383AB1C" w14:textId="77777777" w:rsidR="002E0859" w:rsidRDefault="00000000">
      <w:pPr>
        <w:widowControl/>
        <w:topLinePunct w:val="0"/>
        <w:autoSpaceDE w:val="0"/>
        <w:autoSpaceDN w:val="0"/>
        <w:spacing w:line="360" w:lineRule="auto"/>
        <w:ind w:firstLine="480"/>
        <w:jc w:val="left"/>
        <w:textAlignment w:val="baseline"/>
        <w:rPr>
          <w:color w:val="000000" w:themeColor="text1"/>
          <w:kern w:val="0"/>
          <w:sz w:val="24"/>
          <w:szCs w:val="24"/>
          <w:lang w:eastAsia="en-US"/>
        </w:rPr>
      </w:pPr>
      <w:r>
        <w:rPr>
          <w:color w:val="000000" w:themeColor="text1"/>
          <w:kern w:val="0"/>
          <w:sz w:val="24"/>
          <w:szCs w:val="24"/>
          <w:lang w:eastAsia="en-US"/>
        </w:rPr>
        <w:t>根据焦页</w:t>
      </w:r>
      <w:r>
        <w:rPr>
          <w:color w:val="000000" w:themeColor="text1"/>
          <w:kern w:val="0"/>
          <w:sz w:val="24"/>
          <w:szCs w:val="24"/>
          <w:lang w:eastAsia="en-US"/>
        </w:rPr>
        <w:t>1HF</w:t>
      </w:r>
      <w:r>
        <w:rPr>
          <w:color w:val="000000" w:themeColor="text1"/>
          <w:kern w:val="0"/>
          <w:sz w:val="24"/>
          <w:szCs w:val="24"/>
          <w:lang w:eastAsia="en-US"/>
        </w:rPr>
        <w:t>井气样分析解释结果，天然气中不含硫化氢，</w:t>
      </w:r>
      <w:r>
        <w:rPr>
          <w:color w:val="000000" w:themeColor="text1"/>
          <w:kern w:val="0"/>
          <w:sz w:val="24"/>
          <w:szCs w:val="24"/>
          <w:lang w:eastAsia="en-US"/>
        </w:rPr>
        <w:t>CO</w:t>
      </w:r>
      <w:r>
        <w:rPr>
          <w:color w:val="000000" w:themeColor="text1"/>
          <w:kern w:val="0"/>
          <w:sz w:val="24"/>
          <w:szCs w:val="24"/>
          <w:vertAlign w:val="subscript"/>
          <w:lang w:eastAsia="en-US"/>
        </w:rPr>
        <w:t>2</w:t>
      </w:r>
      <w:r>
        <w:rPr>
          <w:color w:val="000000" w:themeColor="text1"/>
          <w:kern w:val="0"/>
          <w:sz w:val="24"/>
          <w:szCs w:val="24"/>
          <w:lang w:eastAsia="en-US"/>
        </w:rPr>
        <w:t>浓度</w:t>
      </w:r>
      <w:r>
        <w:rPr>
          <w:color w:val="000000" w:themeColor="text1"/>
          <w:kern w:val="0"/>
          <w:sz w:val="24"/>
          <w:szCs w:val="24"/>
          <w:lang w:eastAsia="en-US"/>
        </w:rPr>
        <w:t>0.05%-0.22%</w:t>
      </w:r>
      <w:r>
        <w:rPr>
          <w:color w:val="000000" w:themeColor="text1"/>
          <w:kern w:val="0"/>
          <w:sz w:val="24"/>
          <w:szCs w:val="24"/>
          <w:lang w:eastAsia="en-US"/>
        </w:rPr>
        <w:t>（表</w:t>
      </w:r>
      <w:r>
        <w:rPr>
          <w:rFonts w:hint="eastAsia"/>
          <w:color w:val="000000" w:themeColor="text1"/>
          <w:kern w:val="0"/>
          <w:sz w:val="24"/>
          <w:szCs w:val="24"/>
        </w:rPr>
        <w:t>2.3</w:t>
      </w:r>
      <w:r>
        <w:rPr>
          <w:color w:val="000000" w:themeColor="text1"/>
          <w:kern w:val="0"/>
          <w:sz w:val="24"/>
          <w:szCs w:val="24"/>
          <w:lang w:eastAsia="en-US"/>
        </w:rPr>
        <w:t>-</w:t>
      </w:r>
      <w:r>
        <w:rPr>
          <w:rFonts w:hint="eastAsia"/>
          <w:color w:val="000000" w:themeColor="text1"/>
          <w:kern w:val="0"/>
          <w:sz w:val="24"/>
          <w:szCs w:val="24"/>
        </w:rPr>
        <w:t>8</w:t>
      </w:r>
      <w:r>
        <w:rPr>
          <w:color w:val="000000" w:themeColor="text1"/>
          <w:kern w:val="0"/>
          <w:sz w:val="24"/>
          <w:szCs w:val="24"/>
          <w:lang w:eastAsia="en-US"/>
        </w:rPr>
        <w:t>），在地层压力为</w:t>
      </w:r>
      <w:r>
        <w:rPr>
          <w:color w:val="000000" w:themeColor="text1"/>
          <w:kern w:val="0"/>
          <w:sz w:val="24"/>
          <w:szCs w:val="24"/>
          <w:lang w:eastAsia="en-US"/>
        </w:rPr>
        <w:t>40.0Mpa</w:t>
      </w:r>
      <w:r>
        <w:rPr>
          <w:color w:val="000000" w:themeColor="text1"/>
          <w:kern w:val="0"/>
          <w:sz w:val="24"/>
          <w:szCs w:val="24"/>
          <w:lang w:eastAsia="en-US"/>
        </w:rPr>
        <w:t>条件下，</w:t>
      </w:r>
      <w:r>
        <w:rPr>
          <w:color w:val="000000" w:themeColor="text1"/>
          <w:kern w:val="0"/>
          <w:sz w:val="24"/>
          <w:szCs w:val="24"/>
          <w:lang w:eastAsia="en-US"/>
        </w:rPr>
        <w:t>CO</w:t>
      </w:r>
      <w:r>
        <w:rPr>
          <w:color w:val="000000" w:themeColor="text1"/>
          <w:kern w:val="0"/>
          <w:sz w:val="24"/>
          <w:szCs w:val="24"/>
          <w:vertAlign w:val="subscript"/>
          <w:lang w:eastAsia="en-US"/>
        </w:rPr>
        <w:t>2</w:t>
      </w:r>
      <w:r>
        <w:rPr>
          <w:color w:val="000000" w:themeColor="text1"/>
          <w:kern w:val="0"/>
          <w:sz w:val="24"/>
          <w:szCs w:val="24"/>
          <w:lang w:eastAsia="en-US"/>
        </w:rPr>
        <w:t>分压为</w:t>
      </w:r>
      <w:r>
        <w:rPr>
          <w:color w:val="000000" w:themeColor="text1"/>
          <w:kern w:val="0"/>
          <w:sz w:val="24"/>
          <w:szCs w:val="24"/>
          <w:lang w:eastAsia="en-US"/>
        </w:rPr>
        <w:t>0.2MPa</w:t>
      </w:r>
      <w:r>
        <w:rPr>
          <w:color w:val="000000" w:themeColor="text1"/>
          <w:kern w:val="0"/>
          <w:sz w:val="24"/>
          <w:szCs w:val="24"/>
          <w:lang w:eastAsia="en-US"/>
        </w:rPr>
        <w:t>。</w:t>
      </w:r>
    </w:p>
    <w:p w14:paraId="0D482073" w14:textId="77777777" w:rsidR="002E0859" w:rsidRDefault="00000000">
      <w:pPr>
        <w:kinsoku w:val="0"/>
        <w:autoSpaceDE w:val="0"/>
        <w:autoSpaceDN w:val="0"/>
        <w:spacing w:before="146" w:line="219" w:lineRule="auto"/>
        <w:ind w:left="2289" w:firstLine="420"/>
        <w:jc w:val="left"/>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2.3-8 </w:t>
      </w:r>
      <w:r>
        <w:rPr>
          <w:rFonts w:eastAsia="黑体"/>
          <w:color w:val="000000" w:themeColor="text1"/>
          <w:sz w:val="21"/>
          <w:szCs w:val="21"/>
          <w:lang w:eastAsia="en-US"/>
        </w:rPr>
        <w:t>焦石坝区块五峰</w:t>
      </w:r>
      <w:r>
        <w:rPr>
          <w:rFonts w:eastAsia="黑体"/>
          <w:color w:val="000000" w:themeColor="text1"/>
          <w:sz w:val="21"/>
          <w:szCs w:val="21"/>
          <w:lang w:eastAsia="en-US"/>
        </w:rPr>
        <w:t>-</w:t>
      </w:r>
      <w:r>
        <w:rPr>
          <w:rFonts w:eastAsia="黑体"/>
          <w:color w:val="000000" w:themeColor="text1"/>
          <w:sz w:val="21"/>
          <w:szCs w:val="21"/>
          <w:lang w:eastAsia="en-US"/>
        </w:rPr>
        <w:t>龙马溪组天然气组分分析表</w:t>
      </w:r>
    </w:p>
    <w:p w14:paraId="23119600" w14:textId="77777777" w:rsidR="002E0859" w:rsidRDefault="002E0859">
      <w:pPr>
        <w:widowControl/>
        <w:kinsoku w:val="0"/>
        <w:topLinePunct w:val="0"/>
        <w:autoSpaceDE w:val="0"/>
        <w:autoSpaceDN w:val="0"/>
        <w:spacing w:line="14" w:lineRule="exact"/>
        <w:ind w:firstLineChars="0" w:firstLine="0"/>
        <w:jc w:val="left"/>
        <w:textAlignment w:val="baseline"/>
        <w:rPr>
          <w:rFonts w:ascii="Arial" w:eastAsia="Arial" w:hAnsi="Arial" w:cs="Arial"/>
          <w:snapToGrid w:val="0"/>
          <w:color w:val="000000" w:themeColor="text1"/>
          <w:kern w:val="0"/>
          <w:sz w:val="21"/>
          <w:szCs w:val="21"/>
          <w:lang w:eastAsia="en-US"/>
        </w:rPr>
      </w:pPr>
    </w:p>
    <w:tbl>
      <w:tblPr>
        <w:tblStyle w:val="TableNormal"/>
        <w:tblW w:w="94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488"/>
        <w:gridCol w:w="1106"/>
        <w:gridCol w:w="1228"/>
        <w:gridCol w:w="1108"/>
        <w:gridCol w:w="1104"/>
        <w:gridCol w:w="1108"/>
        <w:gridCol w:w="1109"/>
        <w:gridCol w:w="1238"/>
      </w:tblGrid>
      <w:tr w:rsidR="002E0859" w14:paraId="477C00D8" w14:textId="77777777">
        <w:trPr>
          <w:trHeight w:val="23"/>
        </w:trPr>
        <w:tc>
          <w:tcPr>
            <w:tcW w:w="1488" w:type="dxa"/>
            <w:vMerge w:val="restart"/>
            <w:tcBorders>
              <w:top w:val="single" w:sz="12" w:space="0" w:color="000000"/>
              <w:left w:val="single" w:sz="12" w:space="0" w:color="000000"/>
              <w:bottom w:val="single" w:sz="4" w:space="0" w:color="000000"/>
              <w:right w:val="single" w:sz="4" w:space="0" w:color="000000"/>
            </w:tcBorders>
          </w:tcPr>
          <w:p w14:paraId="74B436A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组分</w:t>
            </w:r>
          </w:p>
          <w:p w14:paraId="40A13E1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w:t>
            </w:r>
          </w:p>
        </w:tc>
        <w:tc>
          <w:tcPr>
            <w:tcW w:w="8001" w:type="dxa"/>
            <w:gridSpan w:val="7"/>
            <w:tcBorders>
              <w:top w:val="single" w:sz="12" w:space="0" w:color="000000"/>
              <w:left w:val="single" w:sz="4" w:space="0" w:color="000000"/>
              <w:bottom w:val="single" w:sz="4" w:space="0" w:color="000000"/>
              <w:right w:val="single" w:sz="12" w:space="0" w:color="000000"/>
            </w:tcBorders>
          </w:tcPr>
          <w:p w14:paraId="04D7023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焦页1HF井</w:t>
            </w:r>
          </w:p>
        </w:tc>
      </w:tr>
      <w:tr w:rsidR="002E0859" w14:paraId="2C90E54A" w14:textId="77777777">
        <w:trPr>
          <w:trHeight w:val="23"/>
        </w:trPr>
        <w:tc>
          <w:tcPr>
            <w:tcW w:w="1488" w:type="dxa"/>
            <w:vMerge/>
            <w:tcBorders>
              <w:top w:val="single" w:sz="4" w:space="0" w:color="000000"/>
              <w:left w:val="single" w:sz="12" w:space="0" w:color="000000"/>
              <w:bottom w:val="single" w:sz="4" w:space="0" w:color="000000"/>
              <w:right w:val="single" w:sz="4" w:space="0" w:color="000000"/>
            </w:tcBorders>
          </w:tcPr>
          <w:p w14:paraId="7B393FA6" w14:textId="77777777" w:rsidR="002E0859" w:rsidRDefault="002E0859">
            <w:pPr>
              <w:pStyle w:val="TableText"/>
              <w:spacing w:line="240" w:lineRule="auto"/>
              <w:ind w:firstLineChars="0" w:firstLine="0"/>
              <w:jc w:val="center"/>
              <w:rPr>
                <w:rFonts w:ascii="Times New Roman" w:eastAsia="Times New Roman" w:hAnsi="Times New Roman"/>
                <w:color w:val="000000" w:themeColor="text1"/>
                <w:sz w:val="21"/>
                <w:szCs w:val="21"/>
              </w:rPr>
            </w:pPr>
          </w:p>
        </w:tc>
        <w:tc>
          <w:tcPr>
            <w:tcW w:w="1106" w:type="dxa"/>
            <w:tcBorders>
              <w:top w:val="single" w:sz="4" w:space="0" w:color="000000"/>
              <w:left w:val="single" w:sz="4" w:space="0" w:color="000000"/>
              <w:bottom w:val="single" w:sz="4" w:space="0" w:color="000000"/>
              <w:right w:val="single" w:sz="4" w:space="0" w:color="000000"/>
            </w:tcBorders>
          </w:tcPr>
          <w:p w14:paraId="5E4BB3B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1</w:t>
            </w:r>
          </w:p>
        </w:tc>
        <w:tc>
          <w:tcPr>
            <w:tcW w:w="1228" w:type="dxa"/>
            <w:tcBorders>
              <w:top w:val="single" w:sz="4" w:space="0" w:color="000000"/>
              <w:left w:val="single" w:sz="4" w:space="0" w:color="000000"/>
              <w:bottom w:val="single" w:sz="4" w:space="0" w:color="000000"/>
              <w:right w:val="single" w:sz="4" w:space="0" w:color="000000"/>
            </w:tcBorders>
          </w:tcPr>
          <w:p w14:paraId="19399F30"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2</w:t>
            </w:r>
          </w:p>
        </w:tc>
        <w:tc>
          <w:tcPr>
            <w:tcW w:w="1108" w:type="dxa"/>
            <w:tcBorders>
              <w:top w:val="single" w:sz="4" w:space="0" w:color="000000"/>
              <w:left w:val="single" w:sz="4" w:space="0" w:color="000000"/>
              <w:bottom w:val="single" w:sz="4" w:space="0" w:color="000000"/>
              <w:right w:val="single" w:sz="4" w:space="0" w:color="000000"/>
            </w:tcBorders>
          </w:tcPr>
          <w:p w14:paraId="529CC10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3</w:t>
            </w:r>
          </w:p>
        </w:tc>
        <w:tc>
          <w:tcPr>
            <w:tcW w:w="1104" w:type="dxa"/>
            <w:tcBorders>
              <w:top w:val="single" w:sz="4" w:space="0" w:color="000000"/>
              <w:left w:val="single" w:sz="4" w:space="0" w:color="000000"/>
              <w:bottom w:val="single" w:sz="4" w:space="0" w:color="000000"/>
              <w:right w:val="single" w:sz="4" w:space="0" w:color="000000"/>
            </w:tcBorders>
          </w:tcPr>
          <w:p w14:paraId="62A5825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4</w:t>
            </w:r>
          </w:p>
        </w:tc>
        <w:tc>
          <w:tcPr>
            <w:tcW w:w="1108" w:type="dxa"/>
            <w:tcBorders>
              <w:top w:val="single" w:sz="4" w:space="0" w:color="000000"/>
              <w:left w:val="single" w:sz="4" w:space="0" w:color="000000"/>
              <w:bottom w:val="single" w:sz="4" w:space="0" w:color="000000"/>
              <w:right w:val="single" w:sz="4" w:space="0" w:color="000000"/>
            </w:tcBorders>
          </w:tcPr>
          <w:p w14:paraId="0286B6F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5</w:t>
            </w:r>
          </w:p>
        </w:tc>
        <w:tc>
          <w:tcPr>
            <w:tcW w:w="1109" w:type="dxa"/>
            <w:tcBorders>
              <w:top w:val="single" w:sz="4" w:space="0" w:color="000000"/>
              <w:left w:val="single" w:sz="4" w:space="0" w:color="000000"/>
              <w:bottom w:val="single" w:sz="4" w:space="0" w:color="000000"/>
              <w:right w:val="single" w:sz="4" w:space="0" w:color="000000"/>
            </w:tcBorders>
          </w:tcPr>
          <w:p w14:paraId="0526471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6</w:t>
            </w:r>
          </w:p>
        </w:tc>
        <w:tc>
          <w:tcPr>
            <w:tcW w:w="1238" w:type="dxa"/>
            <w:tcBorders>
              <w:top w:val="single" w:sz="4" w:space="0" w:color="000000"/>
              <w:left w:val="single" w:sz="4" w:space="0" w:color="000000"/>
              <w:bottom w:val="single" w:sz="4" w:space="0" w:color="000000"/>
              <w:right w:val="single" w:sz="12" w:space="0" w:color="000000"/>
            </w:tcBorders>
          </w:tcPr>
          <w:p w14:paraId="28825F5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7</w:t>
            </w:r>
          </w:p>
        </w:tc>
      </w:tr>
      <w:tr w:rsidR="002E0859" w14:paraId="4AD51837"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4DB91E2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甲烷</w:t>
            </w:r>
          </w:p>
        </w:tc>
        <w:tc>
          <w:tcPr>
            <w:tcW w:w="1106" w:type="dxa"/>
            <w:tcBorders>
              <w:top w:val="single" w:sz="4" w:space="0" w:color="000000"/>
              <w:left w:val="single" w:sz="4" w:space="0" w:color="000000"/>
              <w:bottom w:val="single" w:sz="4" w:space="0" w:color="000000"/>
              <w:right w:val="single" w:sz="4" w:space="0" w:color="000000"/>
            </w:tcBorders>
          </w:tcPr>
          <w:p w14:paraId="51C6FE0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98.26</w:t>
            </w:r>
          </w:p>
        </w:tc>
        <w:tc>
          <w:tcPr>
            <w:tcW w:w="1228" w:type="dxa"/>
            <w:tcBorders>
              <w:top w:val="single" w:sz="4" w:space="0" w:color="000000"/>
              <w:left w:val="single" w:sz="4" w:space="0" w:color="000000"/>
              <w:bottom w:val="single" w:sz="4" w:space="0" w:color="000000"/>
              <w:right w:val="single" w:sz="4" w:space="0" w:color="000000"/>
            </w:tcBorders>
          </w:tcPr>
          <w:p w14:paraId="5A0BF65C"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98.10</w:t>
            </w:r>
          </w:p>
        </w:tc>
        <w:tc>
          <w:tcPr>
            <w:tcW w:w="1108" w:type="dxa"/>
            <w:tcBorders>
              <w:top w:val="single" w:sz="4" w:space="0" w:color="000000"/>
              <w:left w:val="single" w:sz="4" w:space="0" w:color="000000"/>
              <w:bottom w:val="single" w:sz="4" w:space="0" w:color="000000"/>
              <w:right w:val="single" w:sz="4" w:space="0" w:color="000000"/>
            </w:tcBorders>
          </w:tcPr>
          <w:p w14:paraId="17F6FA8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97.22</w:t>
            </w:r>
          </w:p>
        </w:tc>
        <w:tc>
          <w:tcPr>
            <w:tcW w:w="1104" w:type="dxa"/>
            <w:tcBorders>
              <w:top w:val="single" w:sz="4" w:space="0" w:color="000000"/>
              <w:left w:val="single" w:sz="4" w:space="0" w:color="000000"/>
              <w:bottom w:val="single" w:sz="4" w:space="0" w:color="000000"/>
              <w:right w:val="single" w:sz="4" w:space="0" w:color="000000"/>
            </w:tcBorders>
          </w:tcPr>
          <w:p w14:paraId="78F584A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98.34</w:t>
            </w:r>
          </w:p>
        </w:tc>
        <w:tc>
          <w:tcPr>
            <w:tcW w:w="1108" w:type="dxa"/>
            <w:tcBorders>
              <w:top w:val="single" w:sz="4" w:space="0" w:color="000000"/>
              <w:left w:val="single" w:sz="4" w:space="0" w:color="000000"/>
              <w:bottom w:val="single" w:sz="4" w:space="0" w:color="000000"/>
              <w:right w:val="single" w:sz="4" w:space="0" w:color="000000"/>
            </w:tcBorders>
          </w:tcPr>
          <w:p w14:paraId="7DEEC75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98.34</w:t>
            </w:r>
          </w:p>
        </w:tc>
        <w:tc>
          <w:tcPr>
            <w:tcW w:w="1109" w:type="dxa"/>
            <w:tcBorders>
              <w:top w:val="single" w:sz="4" w:space="0" w:color="000000"/>
              <w:left w:val="single" w:sz="4" w:space="0" w:color="000000"/>
              <w:bottom w:val="single" w:sz="4" w:space="0" w:color="000000"/>
              <w:right w:val="single" w:sz="4" w:space="0" w:color="000000"/>
            </w:tcBorders>
          </w:tcPr>
          <w:p w14:paraId="4C6167BC"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98.41</w:t>
            </w:r>
          </w:p>
        </w:tc>
        <w:tc>
          <w:tcPr>
            <w:tcW w:w="1238" w:type="dxa"/>
            <w:tcBorders>
              <w:top w:val="single" w:sz="4" w:space="0" w:color="000000"/>
              <w:left w:val="single" w:sz="4" w:space="0" w:color="000000"/>
              <w:bottom w:val="single" w:sz="4" w:space="0" w:color="000000"/>
              <w:right w:val="single" w:sz="12" w:space="0" w:color="000000"/>
            </w:tcBorders>
          </w:tcPr>
          <w:p w14:paraId="4FD5742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98.58</w:t>
            </w:r>
          </w:p>
        </w:tc>
      </w:tr>
      <w:tr w:rsidR="002E0859" w14:paraId="0760D371" w14:textId="77777777">
        <w:trPr>
          <w:trHeight w:val="90"/>
        </w:trPr>
        <w:tc>
          <w:tcPr>
            <w:tcW w:w="1488" w:type="dxa"/>
            <w:tcBorders>
              <w:top w:val="single" w:sz="4" w:space="0" w:color="000000"/>
              <w:left w:val="single" w:sz="12" w:space="0" w:color="000000"/>
              <w:bottom w:val="single" w:sz="4" w:space="0" w:color="000000"/>
              <w:right w:val="single" w:sz="4" w:space="0" w:color="000000"/>
            </w:tcBorders>
          </w:tcPr>
          <w:p w14:paraId="6C0EC3F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乙烷</w:t>
            </w:r>
          </w:p>
        </w:tc>
        <w:tc>
          <w:tcPr>
            <w:tcW w:w="1106" w:type="dxa"/>
            <w:tcBorders>
              <w:top w:val="single" w:sz="4" w:space="0" w:color="000000"/>
              <w:left w:val="single" w:sz="4" w:space="0" w:color="000000"/>
              <w:bottom w:val="single" w:sz="4" w:space="0" w:color="000000"/>
              <w:right w:val="single" w:sz="4" w:space="0" w:color="000000"/>
            </w:tcBorders>
          </w:tcPr>
          <w:p w14:paraId="0D81516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0.57</w:t>
            </w:r>
          </w:p>
        </w:tc>
        <w:tc>
          <w:tcPr>
            <w:tcW w:w="1228" w:type="dxa"/>
            <w:tcBorders>
              <w:top w:val="single" w:sz="4" w:space="0" w:color="000000"/>
              <w:left w:val="single" w:sz="4" w:space="0" w:color="000000"/>
              <w:bottom w:val="single" w:sz="4" w:space="0" w:color="000000"/>
              <w:right w:val="single" w:sz="4" w:space="0" w:color="000000"/>
            </w:tcBorders>
          </w:tcPr>
          <w:p w14:paraId="351C680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0.59</w:t>
            </w:r>
          </w:p>
        </w:tc>
        <w:tc>
          <w:tcPr>
            <w:tcW w:w="1108" w:type="dxa"/>
            <w:tcBorders>
              <w:top w:val="single" w:sz="4" w:space="0" w:color="000000"/>
              <w:left w:val="single" w:sz="4" w:space="0" w:color="000000"/>
              <w:bottom w:val="single" w:sz="4" w:space="0" w:color="000000"/>
              <w:right w:val="single" w:sz="4" w:space="0" w:color="000000"/>
            </w:tcBorders>
          </w:tcPr>
          <w:p w14:paraId="1DCFDAA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0.55</w:t>
            </w:r>
          </w:p>
        </w:tc>
        <w:tc>
          <w:tcPr>
            <w:tcW w:w="1104" w:type="dxa"/>
            <w:tcBorders>
              <w:top w:val="single" w:sz="4" w:space="0" w:color="000000"/>
              <w:left w:val="single" w:sz="4" w:space="0" w:color="000000"/>
              <w:bottom w:val="single" w:sz="4" w:space="0" w:color="000000"/>
              <w:right w:val="single" w:sz="4" w:space="0" w:color="000000"/>
            </w:tcBorders>
          </w:tcPr>
          <w:p w14:paraId="4A048AD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0.68</w:t>
            </w:r>
          </w:p>
        </w:tc>
        <w:tc>
          <w:tcPr>
            <w:tcW w:w="1108" w:type="dxa"/>
            <w:tcBorders>
              <w:top w:val="single" w:sz="4" w:space="0" w:color="000000"/>
              <w:left w:val="single" w:sz="4" w:space="0" w:color="000000"/>
              <w:bottom w:val="single" w:sz="4" w:space="0" w:color="000000"/>
              <w:right w:val="single" w:sz="4" w:space="0" w:color="000000"/>
            </w:tcBorders>
          </w:tcPr>
          <w:p w14:paraId="2B4F473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0.66</w:t>
            </w:r>
          </w:p>
        </w:tc>
        <w:tc>
          <w:tcPr>
            <w:tcW w:w="1109" w:type="dxa"/>
            <w:tcBorders>
              <w:top w:val="single" w:sz="4" w:space="0" w:color="000000"/>
              <w:left w:val="single" w:sz="4" w:space="0" w:color="000000"/>
              <w:bottom w:val="single" w:sz="4" w:space="0" w:color="000000"/>
              <w:right w:val="single" w:sz="4" w:space="0" w:color="000000"/>
            </w:tcBorders>
          </w:tcPr>
          <w:p w14:paraId="1B6B5B5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0.68</w:t>
            </w:r>
          </w:p>
        </w:tc>
        <w:tc>
          <w:tcPr>
            <w:tcW w:w="1238" w:type="dxa"/>
            <w:tcBorders>
              <w:top w:val="single" w:sz="4" w:space="0" w:color="000000"/>
              <w:left w:val="single" w:sz="4" w:space="0" w:color="000000"/>
              <w:bottom w:val="single" w:sz="4" w:space="0" w:color="000000"/>
              <w:right w:val="single" w:sz="12" w:space="0" w:color="000000"/>
            </w:tcBorders>
          </w:tcPr>
          <w:p w14:paraId="009C4DC9"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0.70</w:t>
            </w:r>
          </w:p>
        </w:tc>
      </w:tr>
      <w:tr w:rsidR="002E0859" w14:paraId="00D183D9"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289C4B1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丙烷</w:t>
            </w:r>
          </w:p>
        </w:tc>
        <w:tc>
          <w:tcPr>
            <w:tcW w:w="1106" w:type="dxa"/>
            <w:tcBorders>
              <w:top w:val="single" w:sz="4" w:space="0" w:color="000000"/>
              <w:left w:val="single" w:sz="4" w:space="0" w:color="000000"/>
              <w:bottom w:val="single" w:sz="4" w:space="0" w:color="000000"/>
              <w:right w:val="single" w:sz="4" w:space="0" w:color="000000"/>
            </w:tcBorders>
          </w:tcPr>
          <w:p w14:paraId="0EF9FA8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0.03</w:t>
            </w:r>
          </w:p>
        </w:tc>
        <w:tc>
          <w:tcPr>
            <w:tcW w:w="1228" w:type="dxa"/>
            <w:tcBorders>
              <w:top w:val="single" w:sz="4" w:space="0" w:color="000000"/>
              <w:left w:val="single" w:sz="4" w:space="0" w:color="000000"/>
              <w:bottom w:val="single" w:sz="4" w:space="0" w:color="000000"/>
              <w:right w:val="single" w:sz="4" w:space="0" w:color="000000"/>
            </w:tcBorders>
          </w:tcPr>
          <w:p w14:paraId="270BDEB9"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0.23</w:t>
            </w:r>
          </w:p>
        </w:tc>
        <w:tc>
          <w:tcPr>
            <w:tcW w:w="1108" w:type="dxa"/>
            <w:tcBorders>
              <w:top w:val="single" w:sz="4" w:space="0" w:color="000000"/>
              <w:left w:val="single" w:sz="4" w:space="0" w:color="000000"/>
              <w:bottom w:val="single" w:sz="4" w:space="0" w:color="000000"/>
              <w:right w:val="single" w:sz="4" w:space="0" w:color="000000"/>
            </w:tcBorders>
          </w:tcPr>
          <w:p w14:paraId="0D6C35B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0.01</w:t>
            </w:r>
          </w:p>
        </w:tc>
        <w:tc>
          <w:tcPr>
            <w:tcW w:w="1104" w:type="dxa"/>
            <w:tcBorders>
              <w:top w:val="single" w:sz="4" w:space="0" w:color="000000"/>
              <w:left w:val="single" w:sz="4" w:space="0" w:color="000000"/>
              <w:bottom w:val="single" w:sz="4" w:space="0" w:color="000000"/>
              <w:right w:val="single" w:sz="4" w:space="0" w:color="000000"/>
            </w:tcBorders>
          </w:tcPr>
          <w:p w14:paraId="0B5568C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0.02</w:t>
            </w:r>
          </w:p>
        </w:tc>
        <w:tc>
          <w:tcPr>
            <w:tcW w:w="1108" w:type="dxa"/>
            <w:tcBorders>
              <w:top w:val="single" w:sz="4" w:space="0" w:color="000000"/>
              <w:left w:val="single" w:sz="4" w:space="0" w:color="000000"/>
              <w:bottom w:val="single" w:sz="4" w:space="0" w:color="000000"/>
              <w:right w:val="single" w:sz="4" w:space="0" w:color="000000"/>
            </w:tcBorders>
          </w:tcPr>
          <w:p w14:paraId="66A1CB29"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0.02</w:t>
            </w:r>
          </w:p>
        </w:tc>
        <w:tc>
          <w:tcPr>
            <w:tcW w:w="1109" w:type="dxa"/>
            <w:tcBorders>
              <w:top w:val="single" w:sz="4" w:space="0" w:color="000000"/>
              <w:left w:val="single" w:sz="4" w:space="0" w:color="000000"/>
              <w:bottom w:val="single" w:sz="4" w:space="0" w:color="000000"/>
              <w:right w:val="single" w:sz="4" w:space="0" w:color="000000"/>
            </w:tcBorders>
          </w:tcPr>
          <w:p w14:paraId="67FBC7CF"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0.02</w:t>
            </w:r>
          </w:p>
        </w:tc>
        <w:tc>
          <w:tcPr>
            <w:tcW w:w="1238" w:type="dxa"/>
            <w:tcBorders>
              <w:top w:val="single" w:sz="4" w:space="0" w:color="000000"/>
              <w:left w:val="single" w:sz="4" w:space="0" w:color="000000"/>
              <w:bottom w:val="single" w:sz="4" w:space="0" w:color="000000"/>
              <w:right w:val="single" w:sz="12" w:space="0" w:color="000000"/>
            </w:tcBorders>
          </w:tcPr>
          <w:p w14:paraId="412D458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0.02</w:t>
            </w:r>
          </w:p>
        </w:tc>
      </w:tr>
      <w:tr w:rsidR="002E0859" w14:paraId="641FBD13"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00BBBE9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正丁烷</w:t>
            </w:r>
          </w:p>
        </w:tc>
        <w:tc>
          <w:tcPr>
            <w:tcW w:w="1106" w:type="dxa"/>
            <w:tcBorders>
              <w:top w:val="single" w:sz="4" w:space="0" w:color="000000"/>
              <w:left w:val="single" w:sz="4" w:space="0" w:color="000000"/>
              <w:bottom w:val="single" w:sz="4" w:space="0" w:color="000000"/>
              <w:right w:val="single" w:sz="4" w:space="0" w:color="000000"/>
            </w:tcBorders>
          </w:tcPr>
          <w:p w14:paraId="3D8BD83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28" w:type="dxa"/>
            <w:tcBorders>
              <w:top w:val="single" w:sz="4" w:space="0" w:color="000000"/>
              <w:left w:val="single" w:sz="4" w:space="0" w:color="000000"/>
              <w:bottom w:val="single" w:sz="4" w:space="0" w:color="000000"/>
              <w:right w:val="single" w:sz="4" w:space="0" w:color="000000"/>
            </w:tcBorders>
          </w:tcPr>
          <w:p w14:paraId="38F272C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0.01</w:t>
            </w:r>
          </w:p>
        </w:tc>
        <w:tc>
          <w:tcPr>
            <w:tcW w:w="1108" w:type="dxa"/>
            <w:tcBorders>
              <w:top w:val="single" w:sz="4" w:space="0" w:color="000000"/>
              <w:left w:val="single" w:sz="4" w:space="0" w:color="000000"/>
              <w:bottom w:val="single" w:sz="4" w:space="0" w:color="000000"/>
              <w:right w:val="single" w:sz="4" w:space="0" w:color="000000"/>
            </w:tcBorders>
          </w:tcPr>
          <w:p w14:paraId="482A481C"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4" w:type="dxa"/>
            <w:tcBorders>
              <w:top w:val="single" w:sz="4" w:space="0" w:color="000000"/>
              <w:left w:val="single" w:sz="4" w:space="0" w:color="000000"/>
              <w:bottom w:val="single" w:sz="4" w:space="0" w:color="000000"/>
              <w:right w:val="single" w:sz="4" w:space="0" w:color="000000"/>
            </w:tcBorders>
          </w:tcPr>
          <w:p w14:paraId="191D31C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100AECA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9" w:type="dxa"/>
            <w:tcBorders>
              <w:top w:val="single" w:sz="4" w:space="0" w:color="000000"/>
              <w:left w:val="single" w:sz="4" w:space="0" w:color="000000"/>
              <w:bottom w:val="single" w:sz="4" w:space="0" w:color="000000"/>
              <w:right w:val="single" w:sz="4" w:space="0" w:color="000000"/>
            </w:tcBorders>
          </w:tcPr>
          <w:p w14:paraId="0E25318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38" w:type="dxa"/>
            <w:tcBorders>
              <w:top w:val="single" w:sz="4" w:space="0" w:color="000000"/>
              <w:left w:val="single" w:sz="4" w:space="0" w:color="000000"/>
              <w:bottom w:val="single" w:sz="4" w:space="0" w:color="000000"/>
              <w:right w:val="single" w:sz="12" w:space="0" w:color="000000"/>
            </w:tcBorders>
          </w:tcPr>
          <w:p w14:paraId="43E9319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r>
      <w:tr w:rsidR="002E0859" w14:paraId="047BC920"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30A5789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lastRenderedPageBreak/>
              <w:t>异丁烷</w:t>
            </w:r>
          </w:p>
        </w:tc>
        <w:tc>
          <w:tcPr>
            <w:tcW w:w="1106" w:type="dxa"/>
            <w:tcBorders>
              <w:top w:val="single" w:sz="4" w:space="0" w:color="000000"/>
              <w:left w:val="single" w:sz="4" w:space="0" w:color="000000"/>
              <w:bottom w:val="single" w:sz="4" w:space="0" w:color="000000"/>
              <w:right w:val="single" w:sz="4" w:space="0" w:color="000000"/>
            </w:tcBorders>
          </w:tcPr>
          <w:p w14:paraId="571007E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28" w:type="dxa"/>
            <w:tcBorders>
              <w:top w:val="single" w:sz="4" w:space="0" w:color="000000"/>
              <w:left w:val="single" w:sz="4" w:space="0" w:color="000000"/>
              <w:bottom w:val="single" w:sz="4" w:space="0" w:color="000000"/>
              <w:right w:val="single" w:sz="4" w:space="0" w:color="000000"/>
            </w:tcBorders>
          </w:tcPr>
          <w:p w14:paraId="1D0C1AF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0.02</w:t>
            </w:r>
          </w:p>
        </w:tc>
        <w:tc>
          <w:tcPr>
            <w:tcW w:w="1108" w:type="dxa"/>
            <w:tcBorders>
              <w:top w:val="single" w:sz="4" w:space="0" w:color="000000"/>
              <w:left w:val="single" w:sz="4" w:space="0" w:color="000000"/>
              <w:bottom w:val="single" w:sz="4" w:space="0" w:color="000000"/>
              <w:right w:val="single" w:sz="4" w:space="0" w:color="000000"/>
            </w:tcBorders>
          </w:tcPr>
          <w:p w14:paraId="74731460"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4" w:type="dxa"/>
            <w:tcBorders>
              <w:top w:val="single" w:sz="4" w:space="0" w:color="000000"/>
              <w:left w:val="single" w:sz="4" w:space="0" w:color="000000"/>
              <w:bottom w:val="single" w:sz="4" w:space="0" w:color="000000"/>
              <w:right w:val="single" w:sz="4" w:space="0" w:color="000000"/>
            </w:tcBorders>
          </w:tcPr>
          <w:p w14:paraId="7DE18BE0"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50C00AE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9" w:type="dxa"/>
            <w:tcBorders>
              <w:top w:val="single" w:sz="4" w:space="0" w:color="000000"/>
              <w:left w:val="single" w:sz="4" w:space="0" w:color="000000"/>
              <w:bottom w:val="single" w:sz="4" w:space="0" w:color="000000"/>
              <w:right w:val="single" w:sz="4" w:space="0" w:color="000000"/>
            </w:tcBorders>
          </w:tcPr>
          <w:p w14:paraId="726E595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38" w:type="dxa"/>
            <w:tcBorders>
              <w:top w:val="single" w:sz="4" w:space="0" w:color="000000"/>
              <w:left w:val="single" w:sz="4" w:space="0" w:color="000000"/>
              <w:bottom w:val="single" w:sz="4" w:space="0" w:color="000000"/>
              <w:right w:val="single" w:sz="12" w:space="0" w:color="000000"/>
            </w:tcBorders>
          </w:tcPr>
          <w:p w14:paraId="0E66454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r>
      <w:tr w:rsidR="002E0859" w14:paraId="4EC5DC3E"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1BDF836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二氧化碳</w:t>
            </w:r>
          </w:p>
        </w:tc>
        <w:tc>
          <w:tcPr>
            <w:tcW w:w="1106" w:type="dxa"/>
            <w:tcBorders>
              <w:top w:val="single" w:sz="4" w:space="0" w:color="000000"/>
              <w:left w:val="single" w:sz="4" w:space="0" w:color="000000"/>
              <w:bottom w:val="single" w:sz="4" w:space="0" w:color="000000"/>
              <w:right w:val="single" w:sz="4" w:space="0" w:color="000000"/>
            </w:tcBorders>
          </w:tcPr>
          <w:p w14:paraId="68C1CC4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0.19</w:t>
            </w:r>
          </w:p>
        </w:tc>
        <w:tc>
          <w:tcPr>
            <w:tcW w:w="1228" w:type="dxa"/>
            <w:tcBorders>
              <w:top w:val="single" w:sz="4" w:space="0" w:color="000000"/>
              <w:left w:val="single" w:sz="4" w:space="0" w:color="000000"/>
              <w:bottom w:val="single" w:sz="4" w:space="0" w:color="000000"/>
              <w:right w:val="single" w:sz="4" w:space="0" w:color="000000"/>
            </w:tcBorders>
          </w:tcPr>
          <w:p w14:paraId="6DC6BE4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0.20</w:t>
            </w:r>
          </w:p>
        </w:tc>
        <w:tc>
          <w:tcPr>
            <w:tcW w:w="1108" w:type="dxa"/>
            <w:tcBorders>
              <w:top w:val="single" w:sz="4" w:space="0" w:color="000000"/>
              <w:left w:val="single" w:sz="4" w:space="0" w:color="000000"/>
              <w:bottom w:val="single" w:sz="4" w:space="0" w:color="000000"/>
              <w:right w:val="single" w:sz="4" w:space="0" w:color="000000"/>
            </w:tcBorders>
          </w:tcPr>
          <w:p w14:paraId="7C7E4E4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4" w:type="dxa"/>
            <w:tcBorders>
              <w:top w:val="single" w:sz="4" w:space="0" w:color="000000"/>
              <w:left w:val="single" w:sz="4" w:space="0" w:color="000000"/>
              <w:bottom w:val="single" w:sz="4" w:space="0" w:color="000000"/>
              <w:right w:val="single" w:sz="4" w:space="0" w:color="000000"/>
            </w:tcBorders>
          </w:tcPr>
          <w:p w14:paraId="148E0BA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0.10</w:t>
            </w:r>
          </w:p>
        </w:tc>
        <w:tc>
          <w:tcPr>
            <w:tcW w:w="1108" w:type="dxa"/>
            <w:tcBorders>
              <w:top w:val="single" w:sz="4" w:space="0" w:color="000000"/>
              <w:left w:val="single" w:sz="4" w:space="0" w:color="000000"/>
              <w:bottom w:val="single" w:sz="4" w:space="0" w:color="000000"/>
              <w:right w:val="single" w:sz="4" w:space="0" w:color="000000"/>
            </w:tcBorders>
          </w:tcPr>
          <w:p w14:paraId="2862DEDD"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0.12</w:t>
            </w:r>
          </w:p>
        </w:tc>
        <w:tc>
          <w:tcPr>
            <w:tcW w:w="1109" w:type="dxa"/>
            <w:tcBorders>
              <w:top w:val="single" w:sz="4" w:space="0" w:color="000000"/>
              <w:left w:val="single" w:sz="4" w:space="0" w:color="000000"/>
              <w:bottom w:val="single" w:sz="4" w:space="0" w:color="000000"/>
              <w:right w:val="single" w:sz="4" w:space="0" w:color="000000"/>
            </w:tcBorders>
          </w:tcPr>
          <w:p w14:paraId="740C972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0.05</w:t>
            </w:r>
          </w:p>
        </w:tc>
        <w:tc>
          <w:tcPr>
            <w:tcW w:w="1238" w:type="dxa"/>
            <w:tcBorders>
              <w:top w:val="single" w:sz="4" w:space="0" w:color="000000"/>
              <w:left w:val="single" w:sz="4" w:space="0" w:color="000000"/>
              <w:bottom w:val="single" w:sz="4" w:space="0" w:color="000000"/>
              <w:right w:val="single" w:sz="12" w:space="0" w:color="000000"/>
            </w:tcBorders>
          </w:tcPr>
          <w:p w14:paraId="220FAF5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0.22</w:t>
            </w:r>
          </w:p>
        </w:tc>
      </w:tr>
      <w:tr w:rsidR="002E0859" w14:paraId="730C79D5"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179F0F3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氦气</w:t>
            </w:r>
          </w:p>
        </w:tc>
        <w:tc>
          <w:tcPr>
            <w:tcW w:w="1106" w:type="dxa"/>
            <w:tcBorders>
              <w:top w:val="single" w:sz="4" w:space="0" w:color="000000"/>
              <w:left w:val="single" w:sz="4" w:space="0" w:color="000000"/>
              <w:bottom w:val="single" w:sz="4" w:space="0" w:color="000000"/>
              <w:right w:val="single" w:sz="4" w:space="0" w:color="000000"/>
            </w:tcBorders>
          </w:tcPr>
          <w:p w14:paraId="4C18736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0.05</w:t>
            </w:r>
          </w:p>
        </w:tc>
        <w:tc>
          <w:tcPr>
            <w:tcW w:w="1228" w:type="dxa"/>
            <w:tcBorders>
              <w:top w:val="single" w:sz="4" w:space="0" w:color="000000"/>
              <w:left w:val="single" w:sz="4" w:space="0" w:color="000000"/>
              <w:bottom w:val="single" w:sz="4" w:space="0" w:color="000000"/>
              <w:right w:val="single" w:sz="4" w:space="0" w:color="000000"/>
            </w:tcBorders>
          </w:tcPr>
          <w:p w14:paraId="610FDA8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0.04</w:t>
            </w:r>
          </w:p>
        </w:tc>
        <w:tc>
          <w:tcPr>
            <w:tcW w:w="1108" w:type="dxa"/>
            <w:tcBorders>
              <w:top w:val="single" w:sz="4" w:space="0" w:color="000000"/>
              <w:left w:val="single" w:sz="4" w:space="0" w:color="000000"/>
              <w:bottom w:val="single" w:sz="4" w:space="0" w:color="000000"/>
              <w:right w:val="single" w:sz="4" w:space="0" w:color="000000"/>
            </w:tcBorders>
          </w:tcPr>
          <w:p w14:paraId="383F8260"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4" w:type="dxa"/>
            <w:tcBorders>
              <w:top w:val="single" w:sz="4" w:space="0" w:color="000000"/>
              <w:left w:val="single" w:sz="4" w:space="0" w:color="000000"/>
              <w:bottom w:val="single" w:sz="4" w:space="0" w:color="000000"/>
              <w:right w:val="single" w:sz="4" w:space="0" w:color="000000"/>
            </w:tcBorders>
          </w:tcPr>
          <w:p w14:paraId="7779771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09DA7B8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9" w:type="dxa"/>
            <w:tcBorders>
              <w:top w:val="single" w:sz="4" w:space="0" w:color="000000"/>
              <w:left w:val="single" w:sz="4" w:space="0" w:color="000000"/>
              <w:bottom w:val="single" w:sz="4" w:space="0" w:color="000000"/>
              <w:right w:val="single" w:sz="4" w:space="0" w:color="000000"/>
            </w:tcBorders>
          </w:tcPr>
          <w:p w14:paraId="1DC0EF1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38" w:type="dxa"/>
            <w:tcBorders>
              <w:top w:val="single" w:sz="4" w:space="0" w:color="000000"/>
              <w:left w:val="single" w:sz="4" w:space="0" w:color="000000"/>
              <w:bottom w:val="single" w:sz="4" w:space="0" w:color="000000"/>
              <w:right w:val="single" w:sz="12" w:space="0" w:color="000000"/>
            </w:tcBorders>
          </w:tcPr>
          <w:p w14:paraId="0DA0F610"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r>
      <w:tr w:rsidR="002E0859" w14:paraId="2E4CD231"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40AADF2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氮气</w:t>
            </w:r>
          </w:p>
        </w:tc>
        <w:tc>
          <w:tcPr>
            <w:tcW w:w="1106" w:type="dxa"/>
            <w:tcBorders>
              <w:top w:val="single" w:sz="4" w:space="0" w:color="000000"/>
              <w:left w:val="single" w:sz="4" w:space="0" w:color="000000"/>
              <w:bottom w:val="single" w:sz="4" w:space="0" w:color="000000"/>
              <w:right w:val="single" w:sz="4" w:space="0" w:color="000000"/>
            </w:tcBorders>
          </w:tcPr>
          <w:p w14:paraId="763FE84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0.87</w:t>
            </w:r>
          </w:p>
        </w:tc>
        <w:tc>
          <w:tcPr>
            <w:tcW w:w="1228" w:type="dxa"/>
            <w:tcBorders>
              <w:top w:val="single" w:sz="4" w:space="0" w:color="000000"/>
              <w:left w:val="single" w:sz="4" w:space="0" w:color="000000"/>
              <w:bottom w:val="single" w:sz="4" w:space="0" w:color="000000"/>
              <w:right w:val="single" w:sz="4" w:space="0" w:color="000000"/>
            </w:tcBorders>
          </w:tcPr>
          <w:p w14:paraId="0CBE06F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0.82</w:t>
            </w:r>
          </w:p>
        </w:tc>
        <w:tc>
          <w:tcPr>
            <w:tcW w:w="1108" w:type="dxa"/>
            <w:tcBorders>
              <w:top w:val="single" w:sz="4" w:space="0" w:color="000000"/>
              <w:left w:val="single" w:sz="4" w:space="0" w:color="000000"/>
              <w:bottom w:val="single" w:sz="4" w:space="0" w:color="000000"/>
              <w:right w:val="single" w:sz="4" w:space="0" w:color="000000"/>
            </w:tcBorders>
          </w:tcPr>
          <w:p w14:paraId="711D12C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2.19</w:t>
            </w:r>
          </w:p>
        </w:tc>
        <w:tc>
          <w:tcPr>
            <w:tcW w:w="1104" w:type="dxa"/>
            <w:tcBorders>
              <w:top w:val="single" w:sz="4" w:space="0" w:color="000000"/>
              <w:left w:val="single" w:sz="4" w:space="0" w:color="000000"/>
              <w:bottom w:val="single" w:sz="4" w:space="0" w:color="000000"/>
              <w:right w:val="single" w:sz="4" w:space="0" w:color="000000"/>
            </w:tcBorders>
          </w:tcPr>
          <w:p w14:paraId="03675F1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0.84</w:t>
            </w:r>
          </w:p>
        </w:tc>
        <w:tc>
          <w:tcPr>
            <w:tcW w:w="1108" w:type="dxa"/>
            <w:tcBorders>
              <w:top w:val="single" w:sz="4" w:space="0" w:color="000000"/>
              <w:left w:val="single" w:sz="4" w:space="0" w:color="000000"/>
              <w:bottom w:val="single" w:sz="4" w:space="0" w:color="000000"/>
              <w:right w:val="single" w:sz="4" w:space="0" w:color="000000"/>
            </w:tcBorders>
          </w:tcPr>
          <w:p w14:paraId="2FB727A8"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0.81</w:t>
            </w:r>
          </w:p>
        </w:tc>
        <w:tc>
          <w:tcPr>
            <w:tcW w:w="1109" w:type="dxa"/>
            <w:tcBorders>
              <w:top w:val="single" w:sz="4" w:space="0" w:color="000000"/>
              <w:left w:val="single" w:sz="4" w:space="0" w:color="000000"/>
              <w:bottom w:val="single" w:sz="4" w:space="0" w:color="000000"/>
              <w:right w:val="single" w:sz="4" w:space="0" w:color="000000"/>
            </w:tcBorders>
          </w:tcPr>
          <w:p w14:paraId="20792403"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0.80</w:t>
            </w:r>
          </w:p>
        </w:tc>
        <w:tc>
          <w:tcPr>
            <w:tcW w:w="1238" w:type="dxa"/>
            <w:tcBorders>
              <w:top w:val="single" w:sz="4" w:space="0" w:color="000000"/>
              <w:left w:val="single" w:sz="4" w:space="0" w:color="000000"/>
              <w:bottom w:val="single" w:sz="4" w:space="0" w:color="000000"/>
              <w:right w:val="single" w:sz="12" w:space="0" w:color="000000"/>
            </w:tcBorders>
          </w:tcPr>
          <w:p w14:paraId="6267419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0.48</w:t>
            </w:r>
          </w:p>
        </w:tc>
      </w:tr>
      <w:tr w:rsidR="002E0859" w14:paraId="0AD0F218"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5428777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硫化氢</w:t>
            </w:r>
          </w:p>
        </w:tc>
        <w:tc>
          <w:tcPr>
            <w:tcW w:w="1106" w:type="dxa"/>
            <w:tcBorders>
              <w:top w:val="single" w:sz="4" w:space="0" w:color="000000"/>
              <w:left w:val="single" w:sz="4" w:space="0" w:color="000000"/>
              <w:bottom w:val="single" w:sz="4" w:space="0" w:color="000000"/>
              <w:right w:val="single" w:sz="4" w:space="0" w:color="000000"/>
            </w:tcBorders>
          </w:tcPr>
          <w:p w14:paraId="2F7B1B7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28" w:type="dxa"/>
            <w:tcBorders>
              <w:top w:val="single" w:sz="4" w:space="0" w:color="000000"/>
              <w:left w:val="single" w:sz="4" w:space="0" w:color="000000"/>
              <w:bottom w:val="single" w:sz="4" w:space="0" w:color="000000"/>
              <w:right w:val="single" w:sz="4" w:space="0" w:color="000000"/>
            </w:tcBorders>
          </w:tcPr>
          <w:p w14:paraId="20DA8AC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7B0A3A7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4" w:type="dxa"/>
            <w:tcBorders>
              <w:top w:val="single" w:sz="4" w:space="0" w:color="000000"/>
              <w:left w:val="single" w:sz="4" w:space="0" w:color="000000"/>
              <w:bottom w:val="single" w:sz="4" w:space="0" w:color="000000"/>
              <w:right w:val="single" w:sz="4" w:space="0" w:color="000000"/>
            </w:tcBorders>
          </w:tcPr>
          <w:p w14:paraId="52711EED"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58BC392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9" w:type="dxa"/>
            <w:tcBorders>
              <w:top w:val="single" w:sz="4" w:space="0" w:color="000000"/>
              <w:left w:val="single" w:sz="4" w:space="0" w:color="000000"/>
              <w:bottom w:val="single" w:sz="4" w:space="0" w:color="000000"/>
              <w:right w:val="single" w:sz="4" w:space="0" w:color="000000"/>
            </w:tcBorders>
          </w:tcPr>
          <w:p w14:paraId="47E9327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38" w:type="dxa"/>
            <w:tcBorders>
              <w:top w:val="single" w:sz="4" w:space="0" w:color="000000"/>
              <w:left w:val="single" w:sz="4" w:space="0" w:color="000000"/>
              <w:bottom w:val="single" w:sz="4" w:space="0" w:color="000000"/>
              <w:right w:val="single" w:sz="12" w:space="0" w:color="000000"/>
            </w:tcBorders>
          </w:tcPr>
          <w:p w14:paraId="5842840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r>
      <w:tr w:rsidR="002E0859" w14:paraId="411BB11B" w14:textId="77777777">
        <w:trPr>
          <w:trHeight w:val="23"/>
        </w:trPr>
        <w:tc>
          <w:tcPr>
            <w:tcW w:w="1488" w:type="dxa"/>
            <w:tcBorders>
              <w:top w:val="single" w:sz="4" w:space="0" w:color="000000"/>
              <w:left w:val="single" w:sz="12" w:space="0" w:color="000000"/>
              <w:bottom w:val="single" w:sz="4" w:space="0" w:color="000000"/>
              <w:right w:val="single" w:sz="4" w:space="0" w:color="000000"/>
            </w:tcBorders>
          </w:tcPr>
          <w:p w14:paraId="0CE43081"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氢气</w:t>
            </w:r>
          </w:p>
        </w:tc>
        <w:tc>
          <w:tcPr>
            <w:tcW w:w="1106" w:type="dxa"/>
            <w:tcBorders>
              <w:top w:val="single" w:sz="4" w:space="0" w:color="000000"/>
              <w:left w:val="single" w:sz="4" w:space="0" w:color="000000"/>
              <w:bottom w:val="single" w:sz="4" w:space="0" w:color="000000"/>
              <w:right w:val="single" w:sz="4" w:space="0" w:color="000000"/>
            </w:tcBorders>
          </w:tcPr>
          <w:p w14:paraId="292577AB"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28" w:type="dxa"/>
            <w:tcBorders>
              <w:top w:val="single" w:sz="4" w:space="0" w:color="000000"/>
              <w:left w:val="single" w:sz="4" w:space="0" w:color="000000"/>
              <w:bottom w:val="single" w:sz="4" w:space="0" w:color="000000"/>
              <w:right w:val="single" w:sz="4" w:space="0" w:color="000000"/>
            </w:tcBorders>
          </w:tcPr>
          <w:p w14:paraId="1D6C9472"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69878B2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4" w:type="dxa"/>
            <w:tcBorders>
              <w:top w:val="single" w:sz="4" w:space="0" w:color="000000"/>
              <w:left w:val="single" w:sz="4" w:space="0" w:color="000000"/>
              <w:bottom w:val="single" w:sz="4" w:space="0" w:color="000000"/>
              <w:right w:val="single" w:sz="4" w:space="0" w:color="000000"/>
            </w:tcBorders>
          </w:tcPr>
          <w:p w14:paraId="0FF2BB7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8" w:type="dxa"/>
            <w:tcBorders>
              <w:top w:val="single" w:sz="4" w:space="0" w:color="000000"/>
              <w:left w:val="single" w:sz="4" w:space="0" w:color="000000"/>
              <w:bottom w:val="single" w:sz="4" w:space="0" w:color="000000"/>
              <w:right w:val="single" w:sz="4" w:space="0" w:color="000000"/>
            </w:tcBorders>
          </w:tcPr>
          <w:p w14:paraId="6E0EFC67"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109" w:type="dxa"/>
            <w:tcBorders>
              <w:top w:val="single" w:sz="4" w:space="0" w:color="000000"/>
              <w:left w:val="single" w:sz="4" w:space="0" w:color="000000"/>
              <w:bottom w:val="single" w:sz="4" w:space="0" w:color="000000"/>
              <w:right w:val="single" w:sz="4" w:space="0" w:color="000000"/>
            </w:tcBorders>
          </w:tcPr>
          <w:p w14:paraId="4FF5E764"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c>
          <w:tcPr>
            <w:tcW w:w="1238" w:type="dxa"/>
            <w:tcBorders>
              <w:top w:val="single" w:sz="4" w:space="0" w:color="000000"/>
              <w:left w:val="single" w:sz="4" w:space="0" w:color="000000"/>
              <w:bottom w:val="single" w:sz="4" w:space="0" w:color="000000"/>
              <w:right w:val="single" w:sz="12" w:space="0" w:color="000000"/>
            </w:tcBorders>
          </w:tcPr>
          <w:p w14:paraId="27BAB76E"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0.00</w:t>
            </w:r>
          </w:p>
        </w:tc>
      </w:tr>
      <w:tr w:rsidR="002E0859" w14:paraId="740D23AC" w14:textId="77777777">
        <w:trPr>
          <w:trHeight w:val="23"/>
        </w:trPr>
        <w:tc>
          <w:tcPr>
            <w:tcW w:w="1488" w:type="dxa"/>
            <w:tcBorders>
              <w:top w:val="single" w:sz="4" w:space="0" w:color="000000"/>
              <w:left w:val="single" w:sz="12" w:space="0" w:color="000000"/>
              <w:bottom w:val="single" w:sz="12" w:space="0" w:color="000000"/>
              <w:right w:val="single" w:sz="4" w:space="0" w:color="000000"/>
            </w:tcBorders>
          </w:tcPr>
          <w:p w14:paraId="5E6630D9"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合计</w:t>
            </w:r>
          </w:p>
        </w:tc>
        <w:tc>
          <w:tcPr>
            <w:tcW w:w="1106" w:type="dxa"/>
            <w:tcBorders>
              <w:top w:val="single" w:sz="4" w:space="0" w:color="000000"/>
              <w:left w:val="single" w:sz="4" w:space="0" w:color="000000"/>
              <w:bottom w:val="single" w:sz="12" w:space="0" w:color="000000"/>
              <w:right w:val="single" w:sz="4" w:space="0" w:color="000000"/>
            </w:tcBorders>
          </w:tcPr>
          <w:p w14:paraId="116CDF15"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99.97</w:t>
            </w:r>
          </w:p>
        </w:tc>
        <w:tc>
          <w:tcPr>
            <w:tcW w:w="1228" w:type="dxa"/>
            <w:tcBorders>
              <w:top w:val="single" w:sz="4" w:space="0" w:color="000000"/>
              <w:left w:val="single" w:sz="4" w:space="0" w:color="000000"/>
              <w:bottom w:val="single" w:sz="12" w:space="0" w:color="000000"/>
              <w:right w:val="single" w:sz="4" w:space="0" w:color="000000"/>
            </w:tcBorders>
          </w:tcPr>
          <w:p w14:paraId="18B6F1D6"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100.00</w:t>
            </w:r>
          </w:p>
        </w:tc>
        <w:tc>
          <w:tcPr>
            <w:tcW w:w="1108" w:type="dxa"/>
            <w:tcBorders>
              <w:top w:val="single" w:sz="4" w:space="0" w:color="000000"/>
              <w:left w:val="single" w:sz="4" w:space="0" w:color="000000"/>
              <w:bottom w:val="single" w:sz="12" w:space="0" w:color="000000"/>
              <w:right w:val="single" w:sz="4" w:space="0" w:color="000000"/>
            </w:tcBorders>
          </w:tcPr>
          <w:p w14:paraId="3D6863FA"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99.96</w:t>
            </w:r>
          </w:p>
        </w:tc>
        <w:tc>
          <w:tcPr>
            <w:tcW w:w="1104" w:type="dxa"/>
            <w:tcBorders>
              <w:top w:val="single" w:sz="4" w:space="0" w:color="000000"/>
              <w:left w:val="single" w:sz="4" w:space="0" w:color="000000"/>
              <w:bottom w:val="single" w:sz="12" w:space="0" w:color="000000"/>
              <w:right w:val="single" w:sz="4" w:space="0" w:color="000000"/>
            </w:tcBorders>
          </w:tcPr>
          <w:p w14:paraId="68D0415D"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99.97</w:t>
            </w:r>
          </w:p>
        </w:tc>
        <w:tc>
          <w:tcPr>
            <w:tcW w:w="1108" w:type="dxa"/>
            <w:tcBorders>
              <w:top w:val="single" w:sz="4" w:space="0" w:color="000000"/>
              <w:left w:val="single" w:sz="4" w:space="0" w:color="000000"/>
              <w:bottom w:val="single" w:sz="12" w:space="0" w:color="000000"/>
              <w:right w:val="single" w:sz="4" w:space="0" w:color="000000"/>
            </w:tcBorders>
          </w:tcPr>
          <w:p w14:paraId="18687AEF"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99.96</w:t>
            </w:r>
          </w:p>
        </w:tc>
        <w:tc>
          <w:tcPr>
            <w:tcW w:w="1109" w:type="dxa"/>
            <w:tcBorders>
              <w:top w:val="single" w:sz="4" w:space="0" w:color="000000"/>
              <w:left w:val="single" w:sz="4" w:space="0" w:color="000000"/>
              <w:bottom w:val="single" w:sz="12" w:space="0" w:color="000000"/>
              <w:right w:val="single" w:sz="4" w:space="0" w:color="000000"/>
            </w:tcBorders>
          </w:tcPr>
          <w:p w14:paraId="7B40D6BF"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99.96</w:t>
            </w:r>
          </w:p>
        </w:tc>
        <w:tc>
          <w:tcPr>
            <w:tcW w:w="1238" w:type="dxa"/>
            <w:tcBorders>
              <w:top w:val="single" w:sz="4" w:space="0" w:color="000000"/>
              <w:left w:val="single" w:sz="4" w:space="0" w:color="000000"/>
              <w:bottom w:val="single" w:sz="12" w:space="0" w:color="000000"/>
              <w:right w:val="single" w:sz="12" w:space="0" w:color="000000"/>
            </w:tcBorders>
          </w:tcPr>
          <w:p w14:paraId="017B58DF" w14:textId="77777777" w:rsidR="002E0859" w:rsidRDefault="00000000">
            <w:pPr>
              <w:pStyle w:val="TableText"/>
              <w:spacing w:line="240" w:lineRule="auto"/>
              <w:ind w:firstLineChars="0" w:firstLine="0"/>
              <w:jc w:val="center"/>
              <w:rPr>
                <w:rFonts w:ascii="Times New Roman" w:eastAsia="Times New Roman" w:hAnsi="Times New Roman"/>
                <w:color w:val="000000" w:themeColor="text1"/>
                <w:sz w:val="21"/>
                <w:szCs w:val="21"/>
              </w:rPr>
            </w:pPr>
            <w:r>
              <w:rPr>
                <w:rFonts w:ascii="Times New Roman" w:eastAsia="Times New Roman" w:hAnsi="Times New Roman"/>
                <w:color w:val="000000" w:themeColor="text1"/>
                <w:sz w:val="21"/>
                <w:szCs w:val="21"/>
              </w:rPr>
              <w:t>100.00</w:t>
            </w:r>
          </w:p>
        </w:tc>
      </w:tr>
    </w:tbl>
    <w:p w14:paraId="371E7453"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地质储量</w:t>
      </w:r>
    </w:p>
    <w:p w14:paraId="26615651"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依据《页岩气资源评价</w:t>
      </w:r>
      <w:r>
        <w:rPr>
          <w:rFonts w:hint="eastAsia"/>
          <w:color w:val="000000" w:themeColor="text1"/>
          <w:sz w:val="24"/>
          <w:szCs w:val="24"/>
        </w:rPr>
        <w:t>方法</w:t>
      </w:r>
      <w:r>
        <w:rPr>
          <w:color w:val="000000" w:themeColor="text1"/>
          <w:sz w:val="24"/>
          <w:szCs w:val="24"/>
          <w:lang w:eastAsia="en-US"/>
        </w:rPr>
        <w:t>》（</w:t>
      </w:r>
      <w:r>
        <w:rPr>
          <w:color w:val="000000" w:themeColor="text1"/>
          <w:sz w:val="24"/>
          <w:szCs w:val="24"/>
          <w:lang w:eastAsia="en-US"/>
        </w:rPr>
        <w:t>Q/SH0504-2013</w:t>
      </w:r>
      <w:r>
        <w:rPr>
          <w:color w:val="000000" w:themeColor="text1"/>
          <w:sz w:val="24"/>
          <w:szCs w:val="24"/>
          <w:lang w:eastAsia="en-US"/>
        </w:rPr>
        <w:t>）中对页岩气储量计算方法的规定，对较高勘探程度区页岩气资源量所要求的体积法与容积法，上部气层地质储量计算采用《页岩气资源量和储量估算规范》（</w:t>
      </w:r>
      <w:r>
        <w:rPr>
          <w:color w:val="000000" w:themeColor="text1"/>
          <w:sz w:val="24"/>
          <w:szCs w:val="24"/>
          <w:lang w:eastAsia="en-US"/>
        </w:rPr>
        <w:t>DZ/T0254-2020</w:t>
      </w:r>
      <w:r>
        <w:rPr>
          <w:color w:val="000000" w:themeColor="text1"/>
          <w:sz w:val="24"/>
          <w:szCs w:val="24"/>
          <w:lang w:eastAsia="en-US"/>
        </w:rPr>
        <w:t>）中描述的体积法和容积法进行计算。页岩气总资源量为游离气、吸附气和溶解气的地质资源量之和；本次计算区块页岩层段中不含原油，无溶解气地质资源量。吸附气资源量计算公式为：</w:t>
      </w:r>
      <w:r>
        <w:rPr>
          <w:color w:val="000000" w:themeColor="text1"/>
          <w:sz w:val="24"/>
          <w:szCs w:val="24"/>
          <w:lang w:eastAsia="en-US"/>
        </w:rPr>
        <w:t>Gx=0.01AghρCx/Zi</w:t>
      </w:r>
      <w:r>
        <w:rPr>
          <w:rFonts w:hint="eastAsia"/>
          <w:color w:val="000000" w:themeColor="text1"/>
          <w:sz w:val="24"/>
          <w:szCs w:val="24"/>
        </w:rPr>
        <w:t>。</w:t>
      </w:r>
      <w:r>
        <w:rPr>
          <w:color w:val="000000" w:themeColor="text1"/>
          <w:sz w:val="24"/>
          <w:szCs w:val="24"/>
          <w:lang w:eastAsia="en-US"/>
        </w:rPr>
        <w:t>式中：</w:t>
      </w:r>
      <w:r>
        <w:rPr>
          <w:color w:val="000000" w:themeColor="text1"/>
          <w:sz w:val="24"/>
          <w:szCs w:val="24"/>
          <w:lang w:eastAsia="en-US"/>
        </w:rPr>
        <w:t>Ag</w:t>
      </w:r>
      <w:r>
        <w:rPr>
          <w:color w:val="000000" w:themeColor="text1"/>
          <w:sz w:val="24"/>
          <w:szCs w:val="24"/>
          <w:lang w:eastAsia="en-US"/>
        </w:rPr>
        <w:t>为含气面积（</w:t>
      </w:r>
      <w:r>
        <w:rPr>
          <w:color w:val="000000" w:themeColor="text1"/>
          <w:sz w:val="24"/>
          <w:szCs w:val="24"/>
          <w:lang w:eastAsia="en-US"/>
        </w:rPr>
        <w:t>km</w:t>
      </w:r>
      <w:r>
        <w:rPr>
          <w:color w:val="000000" w:themeColor="text1"/>
          <w:sz w:val="24"/>
          <w:szCs w:val="24"/>
          <w:vertAlign w:val="superscript"/>
          <w:lang w:eastAsia="en-US"/>
        </w:rPr>
        <w:t>2</w:t>
      </w:r>
      <w:r>
        <w:rPr>
          <w:color w:val="000000" w:themeColor="text1"/>
          <w:sz w:val="24"/>
          <w:szCs w:val="24"/>
          <w:lang w:eastAsia="en-US"/>
        </w:rPr>
        <w:t>）；</w:t>
      </w:r>
      <w:r>
        <w:rPr>
          <w:color w:val="000000" w:themeColor="text1"/>
          <w:sz w:val="24"/>
          <w:szCs w:val="24"/>
          <w:lang w:eastAsia="en-US"/>
        </w:rPr>
        <w:t>h</w:t>
      </w:r>
      <w:r>
        <w:rPr>
          <w:color w:val="000000" w:themeColor="text1"/>
          <w:sz w:val="24"/>
          <w:szCs w:val="24"/>
          <w:lang w:eastAsia="en-US"/>
        </w:rPr>
        <w:t>为页岩有效厚度（</w:t>
      </w:r>
      <w:r>
        <w:rPr>
          <w:color w:val="000000" w:themeColor="text1"/>
          <w:sz w:val="24"/>
          <w:szCs w:val="24"/>
          <w:lang w:eastAsia="en-US"/>
        </w:rPr>
        <w:t>m</w:t>
      </w:r>
      <w:r>
        <w:rPr>
          <w:color w:val="000000" w:themeColor="text1"/>
          <w:sz w:val="24"/>
          <w:szCs w:val="24"/>
          <w:lang w:eastAsia="en-US"/>
        </w:rPr>
        <w:t>）；</w:t>
      </w:r>
      <w:r>
        <w:rPr>
          <w:color w:val="000000" w:themeColor="text1"/>
          <w:sz w:val="24"/>
          <w:szCs w:val="24"/>
          <w:lang w:eastAsia="en-US"/>
        </w:rPr>
        <w:t>ρ</w:t>
      </w:r>
      <w:r>
        <w:rPr>
          <w:color w:val="000000" w:themeColor="text1"/>
          <w:sz w:val="24"/>
          <w:szCs w:val="24"/>
          <w:lang w:eastAsia="en-US"/>
        </w:rPr>
        <w:t>为页岩质量密度（</w:t>
      </w:r>
      <w:r>
        <w:rPr>
          <w:color w:val="000000" w:themeColor="text1"/>
          <w:sz w:val="24"/>
          <w:szCs w:val="24"/>
          <w:lang w:eastAsia="en-US"/>
        </w:rPr>
        <w:t>t/m</w:t>
      </w:r>
      <w:r>
        <w:rPr>
          <w:color w:val="000000" w:themeColor="text1"/>
          <w:sz w:val="24"/>
          <w:szCs w:val="24"/>
          <w:vertAlign w:val="superscript"/>
          <w:lang w:eastAsia="en-US"/>
        </w:rPr>
        <w:t>3</w:t>
      </w:r>
      <w:r>
        <w:rPr>
          <w:color w:val="000000" w:themeColor="text1"/>
          <w:sz w:val="24"/>
          <w:szCs w:val="24"/>
          <w:lang w:eastAsia="en-US"/>
        </w:rPr>
        <w:t>）；</w:t>
      </w:r>
      <w:r>
        <w:rPr>
          <w:color w:val="000000" w:themeColor="text1"/>
          <w:sz w:val="24"/>
          <w:szCs w:val="24"/>
          <w:lang w:eastAsia="en-US"/>
        </w:rPr>
        <w:t>Cx</w:t>
      </w:r>
      <w:r>
        <w:rPr>
          <w:color w:val="000000" w:themeColor="text1"/>
          <w:sz w:val="24"/>
          <w:szCs w:val="24"/>
          <w:lang w:eastAsia="en-US"/>
        </w:rPr>
        <w:t>为页岩吸附气含量（</w:t>
      </w:r>
      <w:r>
        <w:rPr>
          <w:color w:val="000000" w:themeColor="text1"/>
          <w:sz w:val="24"/>
          <w:szCs w:val="24"/>
          <w:lang w:eastAsia="en-US"/>
        </w:rPr>
        <w:t>m</w:t>
      </w:r>
      <w:r>
        <w:rPr>
          <w:color w:val="000000" w:themeColor="text1"/>
          <w:sz w:val="24"/>
          <w:szCs w:val="24"/>
          <w:vertAlign w:val="superscript"/>
          <w:lang w:eastAsia="en-US"/>
        </w:rPr>
        <w:t>3</w:t>
      </w:r>
      <w:r>
        <w:rPr>
          <w:color w:val="000000" w:themeColor="text1"/>
          <w:sz w:val="24"/>
          <w:szCs w:val="24"/>
          <w:lang w:eastAsia="en-US"/>
        </w:rPr>
        <w:t>/t</w:t>
      </w:r>
      <w:r>
        <w:rPr>
          <w:color w:val="000000" w:themeColor="text1"/>
          <w:sz w:val="24"/>
          <w:szCs w:val="24"/>
          <w:lang w:eastAsia="en-US"/>
        </w:rPr>
        <w:t>）；</w:t>
      </w:r>
      <w:r>
        <w:rPr>
          <w:color w:val="000000" w:themeColor="text1"/>
          <w:sz w:val="24"/>
          <w:szCs w:val="24"/>
          <w:lang w:eastAsia="en-US"/>
        </w:rPr>
        <w:t>Zi</w:t>
      </w:r>
      <w:r>
        <w:rPr>
          <w:color w:val="000000" w:themeColor="text1"/>
          <w:sz w:val="24"/>
          <w:szCs w:val="24"/>
          <w:lang w:eastAsia="en-US"/>
        </w:rPr>
        <w:t>为原始气体偏差系数（无因次量）。游离气资源量计算公式为：</w:t>
      </w:r>
    </w:p>
    <w:p w14:paraId="7F3923CF"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Gy</w:t>
      </w:r>
      <w:r>
        <w:rPr>
          <w:color w:val="000000" w:themeColor="text1"/>
          <w:sz w:val="24"/>
          <w:szCs w:val="24"/>
          <w:lang w:eastAsia="en-US"/>
        </w:rPr>
        <w:t>＝</w:t>
      </w:r>
      <w:r>
        <w:rPr>
          <w:color w:val="000000" w:themeColor="text1"/>
          <w:sz w:val="24"/>
          <w:szCs w:val="24"/>
          <w:lang w:eastAsia="en-US"/>
        </w:rPr>
        <w:t>0.01AghФSgi/Bgi</w:t>
      </w:r>
    </w:p>
    <w:p w14:paraId="4E1FB9D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式中：</w:t>
      </w:r>
      <w:r>
        <w:rPr>
          <w:color w:val="000000" w:themeColor="text1"/>
          <w:sz w:val="24"/>
          <w:szCs w:val="24"/>
          <w:lang w:eastAsia="en-US"/>
        </w:rPr>
        <w:t>Ag</w:t>
      </w:r>
      <w:r>
        <w:rPr>
          <w:color w:val="000000" w:themeColor="text1"/>
          <w:sz w:val="24"/>
          <w:szCs w:val="24"/>
          <w:lang w:eastAsia="en-US"/>
        </w:rPr>
        <w:t>为含气面积（</w:t>
      </w:r>
      <w:r>
        <w:rPr>
          <w:color w:val="000000" w:themeColor="text1"/>
          <w:sz w:val="24"/>
          <w:szCs w:val="24"/>
          <w:lang w:eastAsia="en-US"/>
        </w:rPr>
        <w:t>km</w:t>
      </w:r>
      <w:r>
        <w:rPr>
          <w:color w:val="000000" w:themeColor="text1"/>
          <w:sz w:val="24"/>
          <w:szCs w:val="24"/>
          <w:vertAlign w:val="superscript"/>
          <w:lang w:eastAsia="en-US"/>
        </w:rPr>
        <w:t>2</w:t>
      </w:r>
      <w:r>
        <w:rPr>
          <w:color w:val="000000" w:themeColor="text1"/>
          <w:sz w:val="24"/>
          <w:szCs w:val="24"/>
          <w:lang w:eastAsia="en-US"/>
        </w:rPr>
        <w:t>）；</w:t>
      </w:r>
      <w:r>
        <w:rPr>
          <w:rFonts w:hint="eastAsia"/>
          <w:color w:val="000000" w:themeColor="text1"/>
          <w:sz w:val="24"/>
          <w:szCs w:val="24"/>
        </w:rPr>
        <w:t>h</w:t>
      </w:r>
      <w:r>
        <w:rPr>
          <w:color w:val="000000" w:themeColor="text1"/>
          <w:sz w:val="24"/>
          <w:szCs w:val="24"/>
          <w:lang w:eastAsia="en-US"/>
        </w:rPr>
        <w:t>为页岩有效厚度（</w:t>
      </w:r>
      <w:r>
        <w:rPr>
          <w:color w:val="000000" w:themeColor="text1"/>
          <w:sz w:val="24"/>
          <w:szCs w:val="24"/>
          <w:lang w:eastAsia="en-US"/>
        </w:rPr>
        <w:t>m</w:t>
      </w:r>
      <w:r>
        <w:rPr>
          <w:color w:val="000000" w:themeColor="text1"/>
          <w:sz w:val="24"/>
          <w:szCs w:val="24"/>
          <w:lang w:eastAsia="en-US"/>
        </w:rPr>
        <w:t>）；</w:t>
      </w:r>
      <w:r>
        <w:rPr>
          <w:color w:val="000000" w:themeColor="text1"/>
          <w:sz w:val="24"/>
          <w:szCs w:val="24"/>
          <w:lang w:eastAsia="en-US"/>
        </w:rPr>
        <w:t>Ф</w:t>
      </w:r>
      <w:r>
        <w:rPr>
          <w:color w:val="000000" w:themeColor="text1"/>
          <w:sz w:val="24"/>
          <w:szCs w:val="24"/>
          <w:lang w:eastAsia="en-US"/>
        </w:rPr>
        <w:t>为页岩有效孔隙度；</w:t>
      </w:r>
      <w:r>
        <w:rPr>
          <w:color w:val="000000" w:themeColor="text1"/>
          <w:sz w:val="24"/>
          <w:szCs w:val="24"/>
          <w:lang w:eastAsia="en-US"/>
        </w:rPr>
        <w:t>Sgi</w:t>
      </w:r>
      <w:r>
        <w:rPr>
          <w:color w:val="000000" w:themeColor="text1"/>
          <w:sz w:val="24"/>
          <w:szCs w:val="24"/>
          <w:lang w:eastAsia="en-US"/>
        </w:rPr>
        <w:t>为原始含气饱和度（</w:t>
      </w:r>
      <w:r>
        <w:rPr>
          <w:color w:val="000000" w:themeColor="text1"/>
          <w:sz w:val="24"/>
          <w:szCs w:val="24"/>
          <w:lang w:eastAsia="en-US"/>
        </w:rPr>
        <w:t>f</w:t>
      </w:r>
      <w:r>
        <w:rPr>
          <w:color w:val="000000" w:themeColor="text1"/>
          <w:sz w:val="24"/>
          <w:szCs w:val="24"/>
          <w:lang w:eastAsia="en-US"/>
        </w:rPr>
        <w:t>）；</w:t>
      </w:r>
      <w:r>
        <w:rPr>
          <w:color w:val="000000" w:themeColor="text1"/>
          <w:sz w:val="24"/>
          <w:szCs w:val="24"/>
          <w:lang w:eastAsia="en-US"/>
        </w:rPr>
        <w:t>Bgi</w:t>
      </w:r>
      <w:r>
        <w:rPr>
          <w:color w:val="000000" w:themeColor="text1"/>
          <w:sz w:val="24"/>
          <w:szCs w:val="24"/>
          <w:lang w:eastAsia="en-US"/>
        </w:rPr>
        <w:t>为原始页岩体积系数（</w:t>
      </w:r>
      <w:r>
        <w:rPr>
          <w:color w:val="000000" w:themeColor="text1"/>
          <w:sz w:val="24"/>
          <w:szCs w:val="24"/>
          <w:lang w:eastAsia="en-US"/>
        </w:rPr>
        <w:t>ml/ml</w:t>
      </w:r>
      <w:r>
        <w:rPr>
          <w:color w:val="000000" w:themeColor="text1"/>
          <w:sz w:val="24"/>
          <w:szCs w:val="24"/>
          <w:lang w:eastAsia="en-US"/>
        </w:rPr>
        <w:t>）。页岩气总地质储量计算公式为：</w:t>
      </w:r>
    </w:p>
    <w:p w14:paraId="3229D190"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Gz=Gx+Gy</w:t>
      </w:r>
    </w:p>
    <w:p w14:paraId="09595456"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式中：</w:t>
      </w:r>
      <w:r>
        <w:rPr>
          <w:color w:val="000000" w:themeColor="text1"/>
          <w:sz w:val="24"/>
          <w:szCs w:val="24"/>
          <w:lang w:eastAsia="en-US"/>
        </w:rPr>
        <w:t>Gx</w:t>
      </w:r>
      <w:r>
        <w:rPr>
          <w:color w:val="000000" w:themeColor="text1"/>
          <w:sz w:val="24"/>
          <w:szCs w:val="24"/>
          <w:lang w:eastAsia="en-US"/>
        </w:rPr>
        <w:t>为页岩气吸附气资源量（</w:t>
      </w:r>
      <w:r>
        <w:rPr>
          <w:color w:val="000000" w:themeColor="text1"/>
          <w:sz w:val="24"/>
          <w:szCs w:val="24"/>
          <w:lang w:eastAsia="en-US"/>
        </w:rPr>
        <w:t>10</w:t>
      </w:r>
      <w:r>
        <w:rPr>
          <w:color w:val="000000" w:themeColor="text1"/>
          <w:sz w:val="24"/>
          <w:szCs w:val="24"/>
          <w:vertAlign w:val="superscript"/>
          <w:lang w:eastAsia="en-US"/>
        </w:rPr>
        <w:t>8</w:t>
      </w:r>
      <w:r>
        <w:rPr>
          <w:color w:val="000000" w:themeColor="text1"/>
          <w:sz w:val="24"/>
          <w:szCs w:val="24"/>
          <w:lang w:eastAsia="en-US"/>
        </w:rPr>
        <w:t>m</w:t>
      </w:r>
      <w:r>
        <w:rPr>
          <w:color w:val="000000" w:themeColor="text1"/>
          <w:sz w:val="24"/>
          <w:szCs w:val="24"/>
          <w:vertAlign w:val="superscript"/>
          <w:lang w:eastAsia="en-US"/>
        </w:rPr>
        <w:t>3</w:t>
      </w:r>
      <w:r>
        <w:rPr>
          <w:color w:val="000000" w:themeColor="text1"/>
          <w:sz w:val="24"/>
          <w:szCs w:val="24"/>
          <w:lang w:eastAsia="en-US"/>
        </w:rPr>
        <w:t>）；</w:t>
      </w:r>
      <w:r>
        <w:rPr>
          <w:color w:val="000000" w:themeColor="text1"/>
          <w:sz w:val="24"/>
          <w:szCs w:val="24"/>
          <w:lang w:eastAsia="en-US"/>
        </w:rPr>
        <w:t>Gy</w:t>
      </w:r>
      <w:r>
        <w:rPr>
          <w:color w:val="000000" w:themeColor="text1"/>
          <w:sz w:val="24"/>
          <w:szCs w:val="24"/>
          <w:lang w:eastAsia="en-US"/>
        </w:rPr>
        <w:t>为页岩气游离气资源量（</w:t>
      </w:r>
      <w:r>
        <w:rPr>
          <w:color w:val="000000" w:themeColor="text1"/>
          <w:sz w:val="24"/>
          <w:szCs w:val="24"/>
          <w:lang w:eastAsia="en-US"/>
        </w:rPr>
        <w:t>10</w:t>
      </w:r>
      <w:r>
        <w:rPr>
          <w:color w:val="000000" w:themeColor="text1"/>
          <w:sz w:val="24"/>
          <w:szCs w:val="24"/>
          <w:vertAlign w:val="superscript"/>
          <w:lang w:eastAsia="en-US"/>
        </w:rPr>
        <w:t>8</w:t>
      </w:r>
      <w:r>
        <w:rPr>
          <w:color w:val="000000" w:themeColor="text1"/>
          <w:sz w:val="24"/>
          <w:szCs w:val="24"/>
          <w:lang w:eastAsia="en-US"/>
        </w:rPr>
        <w:t>m</w:t>
      </w:r>
      <w:r>
        <w:rPr>
          <w:color w:val="000000" w:themeColor="text1"/>
          <w:sz w:val="24"/>
          <w:szCs w:val="24"/>
          <w:vertAlign w:val="superscript"/>
          <w:lang w:eastAsia="en-US"/>
        </w:rPr>
        <w:t>3</w:t>
      </w:r>
      <w:r>
        <w:rPr>
          <w:color w:val="000000" w:themeColor="text1"/>
          <w:sz w:val="24"/>
          <w:szCs w:val="24"/>
          <w:lang w:eastAsia="en-US"/>
        </w:rPr>
        <w:t>）；</w:t>
      </w:r>
      <w:r>
        <w:rPr>
          <w:color w:val="000000" w:themeColor="text1"/>
          <w:sz w:val="24"/>
          <w:szCs w:val="24"/>
          <w:lang w:eastAsia="en-US"/>
        </w:rPr>
        <w:t>Gz</w:t>
      </w:r>
      <w:r>
        <w:rPr>
          <w:color w:val="000000" w:themeColor="text1"/>
          <w:sz w:val="24"/>
          <w:szCs w:val="24"/>
          <w:lang w:eastAsia="en-US"/>
        </w:rPr>
        <w:t>为页岩气总地质储量（</w:t>
      </w:r>
      <w:r>
        <w:rPr>
          <w:color w:val="000000" w:themeColor="text1"/>
          <w:sz w:val="24"/>
          <w:szCs w:val="24"/>
          <w:lang w:eastAsia="en-US"/>
        </w:rPr>
        <w:t>10</w:t>
      </w:r>
      <w:r>
        <w:rPr>
          <w:color w:val="000000" w:themeColor="text1"/>
          <w:sz w:val="24"/>
          <w:szCs w:val="24"/>
          <w:vertAlign w:val="superscript"/>
          <w:lang w:eastAsia="en-US"/>
        </w:rPr>
        <w:t>8</w:t>
      </w:r>
      <w:r>
        <w:rPr>
          <w:color w:val="000000" w:themeColor="text1"/>
          <w:sz w:val="24"/>
          <w:szCs w:val="24"/>
          <w:lang w:eastAsia="en-US"/>
        </w:rPr>
        <w:t>m</w:t>
      </w:r>
      <w:r>
        <w:rPr>
          <w:color w:val="000000" w:themeColor="text1"/>
          <w:sz w:val="24"/>
          <w:szCs w:val="24"/>
          <w:vertAlign w:val="superscript"/>
          <w:lang w:eastAsia="en-US"/>
        </w:rPr>
        <w:t>3</w:t>
      </w:r>
      <w:r>
        <w:rPr>
          <w:color w:val="000000" w:themeColor="text1"/>
          <w:sz w:val="24"/>
          <w:szCs w:val="24"/>
          <w:lang w:eastAsia="en-US"/>
        </w:rPr>
        <w:t>）。</w:t>
      </w:r>
    </w:p>
    <w:p w14:paraId="4305249C" w14:textId="77777777" w:rsidR="002E0859" w:rsidRDefault="00000000">
      <w:pPr>
        <w:pStyle w:val="a0"/>
        <w:spacing w:line="360" w:lineRule="auto"/>
        <w:ind w:firstLine="480"/>
        <w:rPr>
          <w:color w:val="000000" w:themeColor="text1"/>
          <w:sz w:val="24"/>
          <w:szCs w:val="24"/>
        </w:rPr>
      </w:pPr>
      <w:r>
        <w:rPr>
          <w:color w:val="000000" w:themeColor="text1"/>
          <w:sz w:val="24"/>
          <w:szCs w:val="24"/>
        </w:rPr>
        <w:t>利用上述确定的各项地质参数，采用体积法、容积法分别计算涪陵江东区块各地质分区内上、下部气层页岩气地质储量。</w:t>
      </w:r>
    </w:p>
    <w:p w14:paraId="375A4572" w14:textId="77777777" w:rsidR="002E0859" w:rsidRDefault="00000000">
      <w:pPr>
        <w:pStyle w:val="a0"/>
        <w:spacing w:line="360" w:lineRule="auto"/>
        <w:ind w:firstLine="480"/>
        <w:rPr>
          <w:color w:val="000000" w:themeColor="text1"/>
          <w:sz w:val="24"/>
          <w:szCs w:val="24"/>
        </w:rPr>
      </w:pPr>
      <w:r>
        <w:rPr>
          <w:color w:val="000000" w:themeColor="text1"/>
          <w:sz w:val="24"/>
          <w:szCs w:val="24"/>
        </w:rPr>
        <w:t>《页岩气资源量和储量估算规范》（</w:t>
      </w:r>
      <w:r>
        <w:rPr>
          <w:color w:val="000000" w:themeColor="text1"/>
          <w:sz w:val="24"/>
          <w:szCs w:val="24"/>
        </w:rPr>
        <w:t>DZ/T0254-20</w:t>
      </w:r>
      <w:r>
        <w:rPr>
          <w:rFonts w:hint="eastAsia"/>
          <w:color w:val="000000" w:themeColor="text1"/>
          <w:sz w:val="24"/>
          <w:szCs w:val="24"/>
        </w:rPr>
        <w:t>20</w:t>
      </w:r>
      <w:r>
        <w:rPr>
          <w:color w:val="000000" w:themeColor="text1"/>
          <w:sz w:val="24"/>
          <w:szCs w:val="24"/>
        </w:rPr>
        <w:t>）要求页岩气储量计算总有机碳含量（</w:t>
      </w:r>
      <w:r>
        <w:rPr>
          <w:color w:val="000000" w:themeColor="text1"/>
          <w:sz w:val="24"/>
          <w:szCs w:val="24"/>
        </w:rPr>
        <w:t>TOC</w:t>
      </w:r>
      <w:r>
        <w:rPr>
          <w:color w:val="000000" w:themeColor="text1"/>
          <w:sz w:val="24"/>
          <w:szCs w:val="24"/>
        </w:rPr>
        <w:t>）下限标准大于等于</w:t>
      </w:r>
      <w:r>
        <w:rPr>
          <w:color w:val="000000" w:themeColor="text1"/>
          <w:sz w:val="24"/>
          <w:szCs w:val="24"/>
        </w:rPr>
        <w:t>1.0%</w:t>
      </w:r>
      <w:r>
        <w:rPr>
          <w:color w:val="000000" w:themeColor="text1"/>
          <w:sz w:val="24"/>
          <w:szCs w:val="24"/>
        </w:rPr>
        <w:t>，根据上述确定的参数用体积法和容积法计算焦石坝区块中部气层开发有利区各小层地质储量。</w:t>
      </w:r>
    </w:p>
    <w:p w14:paraId="1D26F8EA" w14:textId="77777777" w:rsidR="002E0859" w:rsidRDefault="00000000">
      <w:pPr>
        <w:pStyle w:val="a0"/>
        <w:spacing w:line="360" w:lineRule="auto"/>
        <w:ind w:firstLine="480"/>
        <w:rPr>
          <w:color w:val="000000" w:themeColor="text1"/>
          <w:sz w:val="24"/>
          <w:szCs w:val="24"/>
        </w:rPr>
      </w:pPr>
      <w:r>
        <w:rPr>
          <w:color w:val="000000" w:themeColor="text1"/>
          <w:sz w:val="24"/>
          <w:szCs w:val="24"/>
        </w:rPr>
        <w:t>江东区块面积</w:t>
      </w:r>
      <w:r>
        <w:rPr>
          <w:color w:val="000000" w:themeColor="text1"/>
          <w:sz w:val="24"/>
          <w:szCs w:val="24"/>
        </w:rPr>
        <w:t>93km</w:t>
      </w:r>
      <w:r>
        <w:rPr>
          <w:color w:val="000000" w:themeColor="text1"/>
          <w:sz w:val="24"/>
          <w:szCs w:val="24"/>
          <w:vertAlign w:val="superscript"/>
        </w:rPr>
        <w:t>2</w:t>
      </w:r>
      <w:r>
        <w:rPr>
          <w:color w:val="000000" w:themeColor="text1"/>
          <w:sz w:val="24"/>
          <w:szCs w:val="24"/>
        </w:rPr>
        <w:t>，</w:t>
      </w:r>
      <w:r>
        <w:rPr>
          <w:color w:val="000000" w:themeColor="text1"/>
          <w:sz w:val="24"/>
          <w:szCs w:val="24"/>
        </w:rPr>
        <w:t>①-⑨</w:t>
      </w:r>
      <w:r>
        <w:rPr>
          <w:color w:val="000000" w:themeColor="text1"/>
          <w:sz w:val="24"/>
          <w:szCs w:val="24"/>
        </w:rPr>
        <w:t>小层页岩气地质储量为</w:t>
      </w:r>
      <w:r>
        <w:rPr>
          <w:color w:val="000000" w:themeColor="text1"/>
          <w:sz w:val="24"/>
          <w:szCs w:val="24"/>
        </w:rPr>
        <w:t>946.13×10</w:t>
      </w:r>
      <w:r>
        <w:rPr>
          <w:color w:val="000000" w:themeColor="text1"/>
          <w:sz w:val="24"/>
          <w:szCs w:val="24"/>
          <w:vertAlign w:val="superscript"/>
        </w:rPr>
        <w:t>8</w:t>
      </w:r>
      <w:r>
        <w:rPr>
          <w:color w:val="000000" w:themeColor="text1"/>
          <w:sz w:val="24"/>
          <w:szCs w:val="24"/>
        </w:rPr>
        <w:t>m</w:t>
      </w:r>
      <w:r>
        <w:rPr>
          <w:color w:val="000000" w:themeColor="text1"/>
          <w:sz w:val="24"/>
          <w:szCs w:val="24"/>
          <w:vertAlign w:val="superscript"/>
        </w:rPr>
        <w:t>3</w:t>
      </w:r>
      <w:r>
        <w:rPr>
          <w:color w:val="000000" w:themeColor="text1"/>
          <w:sz w:val="24"/>
          <w:szCs w:val="24"/>
        </w:rPr>
        <w:t>，储量丰度</w:t>
      </w:r>
      <w:r>
        <w:rPr>
          <w:color w:val="000000" w:themeColor="text1"/>
          <w:sz w:val="24"/>
          <w:szCs w:val="24"/>
        </w:rPr>
        <w:t>10.17×10</w:t>
      </w:r>
      <w:r>
        <w:rPr>
          <w:color w:val="000000" w:themeColor="text1"/>
          <w:sz w:val="24"/>
          <w:szCs w:val="24"/>
          <w:vertAlign w:val="superscript"/>
        </w:rPr>
        <w:t>8</w:t>
      </w:r>
      <w:r>
        <w:rPr>
          <w:color w:val="000000" w:themeColor="text1"/>
          <w:sz w:val="24"/>
          <w:szCs w:val="24"/>
        </w:rPr>
        <w:t>m</w:t>
      </w:r>
      <w:r>
        <w:rPr>
          <w:color w:val="000000" w:themeColor="text1"/>
          <w:sz w:val="24"/>
          <w:szCs w:val="24"/>
          <w:vertAlign w:val="superscript"/>
        </w:rPr>
        <w:t>3</w:t>
      </w:r>
      <w:r>
        <w:rPr>
          <w:color w:val="000000" w:themeColor="text1"/>
          <w:sz w:val="24"/>
          <w:szCs w:val="24"/>
        </w:rPr>
        <w:t>/km</w:t>
      </w:r>
      <w:r>
        <w:rPr>
          <w:color w:val="000000" w:themeColor="text1"/>
          <w:sz w:val="24"/>
          <w:szCs w:val="24"/>
          <w:vertAlign w:val="superscript"/>
        </w:rPr>
        <w:t>2</w:t>
      </w:r>
      <w:r>
        <w:rPr>
          <w:color w:val="000000" w:themeColor="text1"/>
          <w:sz w:val="24"/>
          <w:szCs w:val="24"/>
        </w:rPr>
        <w:t>（表</w:t>
      </w:r>
      <w:r>
        <w:rPr>
          <w:rFonts w:hint="eastAsia"/>
          <w:color w:val="000000" w:themeColor="text1"/>
          <w:sz w:val="24"/>
          <w:szCs w:val="24"/>
        </w:rPr>
        <w:t>2.3</w:t>
      </w:r>
      <w:r>
        <w:rPr>
          <w:color w:val="000000" w:themeColor="text1"/>
          <w:sz w:val="24"/>
          <w:szCs w:val="24"/>
        </w:rPr>
        <w:t>-</w:t>
      </w:r>
      <w:r>
        <w:rPr>
          <w:rFonts w:hint="eastAsia"/>
          <w:color w:val="000000" w:themeColor="text1"/>
          <w:sz w:val="24"/>
          <w:szCs w:val="24"/>
        </w:rPr>
        <w:t>9</w:t>
      </w:r>
      <w:r>
        <w:rPr>
          <w:color w:val="000000" w:themeColor="text1"/>
          <w:sz w:val="24"/>
          <w:szCs w:val="24"/>
        </w:rPr>
        <w:t>）。</w:t>
      </w:r>
    </w:p>
    <w:p w14:paraId="7B27DBF5"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表</w:t>
      </w:r>
      <w:r>
        <w:rPr>
          <w:rFonts w:eastAsia="黑体" w:hint="eastAsia"/>
          <w:color w:val="000000" w:themeColor="text1"/>
          <w:sz w:val="21"/>
          <w:szCs w:val="21"/>
        </w:rPr>
        <w:t>2.3</w:t>
      </w:r>
      <w:r>
        <w:rPr>
          <w:rFonts w:eastAsia="黑体"/>
          <w:color w:val="000000" w:themeColor="text1"/>
          <w:sz w:val="21"/>
          <w:szCs w:val="21"/>
        </w:rPr>
        <w:t>-</w:t>
      </w:r>
      <w:r>
        <w:rPr>
          <w:rFonts w:eastAsia="黑体" w:hint="eastAsia"/>
          <w:color w:val="000000" w:themeColor="text1"/>
          <w:sz w:val="21"/>
          <w:szCs w:val="21"/>
        </w:rPr>
        <w:t xml:space="preserve">9 </w:t>
      </w:r>
      <w:r>
        <w:rPr>
          <w:rFonts w:eastAsia="黑体"/>
          <w:color w:val="000000" w:themeColor="text1"/>
          <w:sz w:val="21"/>
          <w:szCs w:val="21"/>
        </w:rPr>
        <w:t>江东区块下部气层储量分区计算结果表</w:t>
      </w:r>
    </w:p>
    <w:tbl>
      <w:tblPr>
        <w:tblStyle w:val="TableNormal"/>
        <w:tblW w:w="8816" w:type="dxa"/>
        <w:tblInd w:w="15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02"/>
        <w:gridCol w:w="1223"/>
        <w:gridCol w:w="516"/>
        <w:gridCol w:w="573"/>
        <w:gridCol w:w="628"/>
        <w:gridCol w:w="410"/>
        <w:gridCol w:w="552"/>
        <w:gridCol w:w="552"/>
        <w:gridCol w:w="410"/>
        <w:gridCol w:w="686"/>
        <w:gridCol w:w="617"/>
        <w:gridCol w:w="617"/>
        <w:gridCol w:w="617"/>
        <w:gridCol w:w="813"/>
      </w:tblGrid>
      <w:tr w:rsidR="002E0859" w14:paraId="1B57E6A5" w14:textId="77777777">
        <w:trPr>
          <w:trHeight w:val="245"/>
        </w:trPr>
        <w:tc>
          <w:tcPr>
            <w:tcW w:w="602" w:type="dxa"/>
            <w:vMerge w:val="restart"/>
            <w:tcBorders>
              <w:tl2br w:val="nil"/>
              <w:tr2bl w:val="nil"/>
            </w:tcBorders>
            <w:vAlign w:val="center"/>
          </w:tcPr>
          <w:p w14:paraId="432E33A0"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小层</w:t>
            </w:r>
          </w:p>
        </w:tc>
        <w:tc>
          <w:tcPr>
            <w:tcW w:w="1223" w:type="dxa"/>
            <w:vMerge w:val="restart"/>
            <w:tcBorders>
              <w:tl2br w:val="nil"/>
              <w:tr2bl w:val="nil"/>
            </w:tcBorders>
            <w:vAlign w:val="center"/>
          </w:tcPr>
          <w:p w14:paraId="5E7F5112"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分区</w:t>
            </w:r>
          </w:p>
        </w:tc>
        <w:tc>
          <w:tcPr>
            <w:tcW w:w="516" w:type="dxa"/>
            <w:vMerge w:val="restart"/>
            <w:tcBorders>
              <w:tl2br w:val="nil"/>
              <w:tr2bl w:val="nil"/>
            </w:tcBorders>
            <w:vAlign w:val="center"/>
          </w:tcPr>
          <w:p w14:paraId="55561879"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面积</w:t>
            </w:r>
          </w:p>
        </w:tc>
        <w:tc>
          <w:tcPr>
            <w:tcW w:w="3811" w:type="dxa"/>
            <w:gridSpan w:val="7"/>
            <w:tcBorders>
              <w:tl2br w:val="nil"/>
              <w:tr2bl w:val="nil"/>
            </w:tcBorders>
            <w:vAlign w:val="center"/>
          </w:tcPr>
          <w:p w14:paraId="62F5BA3D"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计算参数</w:t>
            </w:r>
          </w:p>
        </w:tc>
        <w:tc>
          <w:tcPr>
            <w:tcW w:w="2664" w:type="dxa"/>
            <w:gridSpan w:val="4"/>
            <w:tcBorders>
              <w:tl2br w:val="nil"/>
              <w:tr2bl w:val="nil"/>
            </w:tcBorders>
            <w:vAlign w:val="center"/>
          </w:tcPr>
          <w:p w14:paraId="07F69FAA"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4"/>
                <w:sz w:val="18"/>
                <w:szCs w:val="18"/>
              </w:rPr>
              <w:t>资源量</w:t>
            </w:r>
          </w:p>
        </w:tc>
      </w:tr>
      <w:tr w:rsidR="002E0859" w14:paraId="5036D357" w14:textId="77777777">
        <w:trPr>
          <w:trHeight w:val="473"/>
        </w:trPr>
        <w:tc>
          <w:tcPr>
            <w:tcW w:w="602" w:type="dxa"/>
            <w:vMerge/>
            <w:tcBorders>
              <w:tl2br w:val="nil"/>
              <w:tr2bl w:val="nil"/>
            </w:tcBorders>
            <w:vAlign w:val="center"/>
          </w:tcPr>
          <w:p w14:paraId="16381006" w14:textId="77777777" w:rsidR="002E0859" w:rsidRDefault="002E0859">
            <w:pPr>
              <w:spacing w:line="240" w:lineRule="auto"/>
              <w:ind w:firstLineChars="0" w:firstLine="0"/>
              <w:jc w:val="center"/>
              <w:rPr>
                <w:rFonts w:ascii="Arial"/>
                <w:color w:val="000000" w:themeColor="text1"/>
                <w:sz w:val="21"/>
              </w:rPr>
            </w:pPr>
          </w:p>
        </w:tc>
        <w:tc>
          <w:tcPr>
            <w:tcW w:w="1223" w:type="dxa"/>
            <w:vMerge/>
            <w:tcBorders>
              <w:tl2br w:val="nil"/>
              <w:tr2bl w:val="nil"/>
            </w:tcBorders>
            <w:vAlign w:val="center"/>
          </w:tcPr>
          <w:p w14:paraId="7FCB85FA" w14:textId="77777777" w:rsidR="002E0859" w:rsidRDefault="002E0859">
            <w:pPr>
              <w:spacing w:line="240" w:lineRule="auto"/>
              <w:ind w:firstLineChars="0" w:firstLine="0"/>
              <w:jc w:val="center"/>
              <w:rPr>
                <w:rFonts w:ascii="Arial"/>
                <w:color w:val="000000" w:themeColor="text1"/>
                <w:sz w:val="21"/>
              </w:rPr>
            </w:pPr>
          </w:p>
        </w:tc>
        <w:tc>
          <w:tcPr>
            <w:tcW w:w="516" w:type="dxa"/>
            <w:vMerge/>
            <w:tcBorders>
              <w:tl2br w:val="nil"/>
              <w:tr2bl w:val="nil"/>
            </w:tcBorders>
            <w:vAlign w:val="center"/>
          </w:tcPr>
          <w:p w14:paraId="3DDFB2D2" w14:textId="77777777" w:rsidR="002E0859" w:rsidRDefault="002E0859">
            <w:pPr>
              <w:spacing w:line="240" w:lineRule="auto"/>
              <w:ind w:firstLineChars="0" w:firstLine="0"/>
              <w:jc w:val="center"/>
              <w:rPr>
                <w:rFonts w:ascii="Arial"/>
                <w:color w:val="000000" w:themeColor="text1"/>
                <w:sz w:val="21"/>
              </w:rPr>
            </w:pPr>
          </w:p>
        </w:tc>
        <w:tc>
          <w:tcPr>
            <w:tcW w:w="573" w:type="dxa"/>
            <w:tcBorders>
              <w:tl2br w:val="nil"/>
              <w:tr2bl w:val="nil"/>
            </w:tcBorders>
            <w:vAlign w:val="center"/>
          </w:tcPr>
          <w:p w14:paraId="49DBE473"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有效厚</w:t>
            </w:r>
            <w:r>
              <w:rPr>
                <w:color w:val="000000" w:themeColor="text1"/>
                <w:sz w:val="18"/>
                <w:szCs w:val="18"/>
              </w:rPr>
              <w:t>度</w:t>
            </w:r>
          </w:p>
        </w:tc>
        <w:tc>
          <w:tcPr>
            <w:tcW w:w="628" w:type="dxa"/>
            <w:tcBorders>
              <w:tl2br w:val="nil"/>
              <w:tr2bl w:val="nil"/>
            </w:tcBorders>
            <w:vAlign w:val="center"/>
          </w:tcPr>
          <w:p w14:paraId="13D7F888"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密度</w:t>
            </w:r>
          </w:p>
        </w:tc>
        <w:tc>
          <w:tcPr>
            <w:tcW w:w="410" w:type="dxa"/>
            <w:tcBorders>
              <w:tl2br w:val="nil"/>
              <w:tr2bl w:val="nil"/>
            </w:tcBorders>
            <w:vAlign w:val="center"/>
          </w:tcPr>
          <w:p w14:paraId="5F662A55"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4"/>
                <w:sz w:val="18"/>
                <w:szCs w:val="18"/>
              </w:rPr>
              <w:t>孔隙</w:t>
            </w:r>
            <w:r>
              <w:rPr>
                <w:color w:val="000000" w:themeColor="text1"/>
                <w:sz w:val="18"/>
                <w:szCs w:val="18"/>
              </w:rPr>
              <w:t>度</w:t>
            </w:r>
          </w:p>
        </w:tc>
        <w:tc>
          <w:tcPr>
            <w:tcW w:w="552" w:type="dxa"/>
            <w:tcBorders>
              <w:tl2br w:val="nil"/>
              <w:tr2bl w:val="nil"/>
            </w:tcBorders>
            <w:vAlign w:val="center"/>
          </w:tcPr>
          <w:p w14:paraId="6D72F02B"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5"/>
                <w:sz w:val="18"/>
                <w:szCs w:val="18"/>
              </w:rPr>
              <w:t>吸附气</w:t>
            </w:r>
            <w:r>
              <w:rPr>
                <w:color w:val="000000" w:themeColor="text1"/>
                <w:spacing w:val="-2"/>
                <w:sz w:val="18"/>
                <w:szCs w:val="18"/>
              </w:rPr>
              <w:t>含量</w:t>
            </w:r>
          </w:p>
        </w:tc>
        <w:tc>
          <w:tcPr>
            <w:tcW w:w="552" w:type="dxa"/>
            <w:tcBorders>
              <w:tl2br w:val="nil"/>
              <w:tr2bl w:val="nil"/>
            </w:tcBorders>
            <w:vAlign w:val="center"/>
          </w:tcPr>
          <w:p w14:paraId="6D749409"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含气饱</w:t>
            </w:r>
          </w:p>
          <w:p w14:paraId="2C600532"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和度</w:t>
            </w:r>
          </w:p>
        </w:tc>
        <w:tc>
          <w:tcPr>
            <w:tcW w:w="410" w:type="dxa"/>
            <w:tcBorders>
              <w:tl2br w:val="nil"/>
              <w:tr2bl w:val="nil"/>
            </w:tcBorders>
            <w:vAlign w:val="center"/>
          </w:tcPr>
          <w:p w14:paraId="7AB4269A"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4"/>
                <w:sz w:val="18"/>
                <w:szCs w:val="18"/>
              </w:rPr>
              <w:t>偏差</w:t>
            </w:r>
            <w:r>
              <w:rPr>
                <w:color w:val="000000" w:themeColor="text1"/>
                <w:spacing w:val="-6"/>
                <w:sz w:val="18"/>
                <w:szCs w:val="18"/>
              </w:rPr>
              <w:t>系数</w:t>
            </w:r>
          </w:p>
        </w:tc>
        <w:tc>
          <w:tcPr>
            <w:tcW w:w="686" w:type="dxa"/>
            <w:tcBorders>
              <w:tl2br w:val="nil"/>
              <w:tr2bl w:val="nil"/>
            </w:tcBorders>
            <w:vAlign w:val="center"/>
          </w:tcPr>
          <w:p w14:paraId="6C39E12C"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体积换算因子</w:t>
            </w:r>
          </w:p>
        </w:tc>
        <w:tc>
          <w:tcPr>
            <w:tcW w:w="617" w:type="dxa"/>
            <w:tcBorders>
              <w:tl2br w:val="nil"/>
              <w:tr2bl w:val="nil"/>
            </w:tcBorders>
            <w:vAlign w:val="center"/>
          </w:tcPr>
          <w:p w14:paraId="03803F50"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游离气</w:t>
            </w:r>
          </w:p>
        </w:tc>
        <w:tc>
          <w:tcPr>
            <w:tcW w:w="617" w:type="dxa"/>
            <w:tcBorders>
              <w:tl2br w:val="nil"/>
              <w:tr2bl w:val="nil"/>
            </w:tcBorders>
            <w:vAlign w:val="center"/>
          </w:tcPr>
          <w:p w14:paraId="6A0989F2"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4"/>
                <w:sz w:val="18"/>
                <w:szCs w:val="18"/>
              </w:rPr>
              <w:t>吸附气</w:t>
            </w:r>
          </w:p>
        </w:tc>
        <w:tc>
          <w:tcPr>
            <w:tcW w:w="617" w:type="dxa"/>
            <w:tcBorders>
              <w:tl2br w:val="nil"/>
              <w:tr2bl w:val="nil"/>
            </w:tcBorders>
            <w:vAlign w:val="center"/>
          </w:tcPr>
          <w:p w14:paraId="0AFDF75D"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4"/>
                <w:sz w:val="18"/>
                <w:szCs w:val="18"/>
              </w:rPr>
              <w:t>资源量</w:t>
            </w:r>
          </w:p>
        </w:tc>
        <w:tc>
          <w:tcPr>
            <w:tcW w:w="813" w:type="dxa"/>
            <w:tcBorders>
              <w:tl2br w:val="nil"/>
              <w:tr2bl w:val="nil"/>
            </w:tcBorders>
            <w:vAlign w:val="center"/>
          </w:tcPr>
          <w:p w14:paraId="4C075438"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资源丰度</w:t>
            </w:r>
          </w:p>
        </w:tc>
      </w:tr>
      <w:tr w:rsidR="002E0859" w14:paraId="049B1AEB" w14:textId="77777777">
        <w:trPr>
          <w:trHeight w:val="270"/>
        </w:trPr>
        <w:tc>
          <w:tcPr>
            <w:tcW w:w="602" w:type="dxa"/>
            <w:vMerge/>
            <w:tcBorders>
              <w:tl2br w:val="nil"/>
              <w:tr2bl w:val="nil"/>
            </w:tcBorders>
            <w:vAlign w:val="center"/>
          </w:tcPr>
          <w:p w14:paraId="62569921" w14:textId="77777777" w:rsidR="002E0859" w:rsidRDefault="002E0859">
            <w:pPr>
              <w:spacing w:line="240" w:lineRule="auto"/>
              <w:ind w:firstLineChars="0" w:firstLine="0"/>
              <w:jc w:val="center"/>
              <w:rPr>
                <w:rFonts w:ascii="Arial"/>
                <w:color w:val="000000" w:themeColor="text1"/>
                <w:sz w:val="21"/>
              </w:rPr>
            </w:pPr>
          </w:p>
        </w:tc>
        <w:tc>
          <w:tcPr>
            <w:tcW w:w="1223" w:type="dxa"/>
            <w:vMerge/>
            <w:tcBorders>
              <w:tl2br w:val="nil"/>
              <w:tr2bl w:val="nil"/>
            </w:tcBorders>
            <w:vAlign w:val="center"/>
          </w:tcPr>
          <w:p w14:paraId="2F3D6FBD" w14:textId="77777777" w:rsidR="002E0859" w:rsidRDefault="002E0859">
            <w:pPr>
              <w:spacing w:line="240" w:lineRule="auto"/>
              <w:ind w:firstLineChars="0" w:firstLine="0"/>
              <w:jc w:val="center"/>
              <w:rPr>
                <w:rFonts w:ascii="Arial"/>
                <w:color w:val="000000" w:themeColor="text1"/>
                <w:sz w:val="21"/>
              </w:rPr>
            </w:pPr>
          </w:p>
        </w:tc>
        <w:tc>
          <w:tcPr>
            <w:tcW w:w="516" w:type="dxa"/>
            <w:tcBorders>
              <w:tl2br w:val="nil"/>
              <w:tr2bl w:val="nil"/>
            </w:tcBorders>
            <w:vAlign w:val="center"/>
          </w:tcPr>
          <w:p w14:paraId="62F47CF3" w14:textId="77777777" w:rsidR="002E0859" w:rsidRDefault="00000000">
            <w:pPr>
              <w:spacing w:line="240" w:lineRule="auto"/>
              <w:ind w:firstLineChars="0" w:firstLine="0"/>
              <w:jc w:val="center"/>
              <w:rPr>
                <w:rFonts w:eastAsia="Times New Roman"/>
                <w:color w:val="000000" w:themeColor="text1"/>
                <w:sz w:val="12"/>
                <w:szCs w:val="12"/>
              </w:rPr>
            </w:pPr>
            <w:r>
              <w:rPr>
                <w:rFonts w:eastAsia="Times New Roman"/>
                <w:color w:val="000000" w:themeColor="text1"/>
                <w:spacing w:val="-1"/>
                <w:sz w:val="18"/>
                <w:szCs w:val="18"/>
              </w:rPr>
              <w:t>km</w:t>
            </w:r>
            <w:r>
              <w:rPr>
                <w:rFonts w:eastAsia="Times New Roman"/>
                <w:color w:val="000000" w:themeColor="text1"/>
                <w:spacing w:val="-1"/>
                <w:position w:val="5"/>
                <w:sz w:val="12"/>
                <w:szCs w:val="12"/>
              </w:rPr>
              <w:t>2</w:t>
            </w:r>
          </w:p>
        </w:tc>
        <w:tc>
          <w:tcPr>
            <w:tcW w:w="573" w:type="dxa"/>
            <w:tcBorders>
              <w:tl2br w:val="nil"/>
              <w:tr2bl w:val="nil"/>
            </w:tcBorders>
            <w:vAlign w:val="center"/>
          </w:tcPr>
          <w:p w14:paraId="586A679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z w:val="18"/>
                <w:szCs w:val="18"/>
              </w:rPr>
              <w:t>m</w:t>
            </w:r>
          </w:p>
        </w:tc>
        <w:tc>
          <w:tcPr>
            <w:tcW w:w="628" w:type="dxa"/>
            <w:tcBorders>
              <w:tl2br w:val="nil"/>
              <w:tr2bl w:val="nil"/>
            </w:tcBorders>
            <w:vAlign w:val="center"/>
          </w:tcPr>
          <w:p w14:paraId="05141818" w14:textId="77777777" w:rsidR="002E0859" w:rsidRDefault="00000000">
            <w:pPr>
              <w:spacing w:line="240" w:lineRule="auto"/>
              <w:ind w:firstLineChars="0" w:firstLine="0"/>
              <w:jc w:val="center"/>
              <w:rPr>
                <w:rFonts w:eastAsia="Times New Roman"/>
                <w:color w:val="000000" w:themeColor="text1"/>
                <w:sz w:val="12"/>
                <w:szCs w:val="12"/>
              </w:rPr>
            </w:pPr>
            <w:r>
              <w:rPr>
                <w:rFonts w:eastAsia="Times New Roman"/>
                <w:color w:val="000000" w:themeColor="text1"/>
                <w:spacing w:val="-1"/>
                <w:sz w:val="18"/>
                <w:szCs w:val="18"/>
              </w:rPr>
              <w:t>g/cm</w:t>
            </w:r>
            <w:r>
              <w:rPr>
                <w:rFonts w:eastAsia="Times New Roman"/>
                <w:color w:val="000000" w:themeColor="text1"/>
                <w:spacing w:val="-1"/>
                <w:position w:val="5"/>
                <w:sz w:val="12"/>
                <w:szCs w:val="12"/>
              </w:rPr>
              <w:t>3</w:t>
            </w:r>
          </w:p>
        </w:tc>
        <w:tc>
          <w:tcPr>
            <w:tcW w:w="410" w:type="dxa"/>
            <w:tcBorders>
              <w:tl2br w:val="nil"/>
              <w:tr2bl w:val="nil"/>
            </w:tcBorders>
            <w:vAlign w:val="center"/>
          </w:tcPr>
          <w:p w14:paraId="6EED123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z w:val="18"/>
                <w:szCs w:val="18"/>
              </w:rPr>
              <w:t>%</w:t>
            </w:r>
          </w:p>
        </w:tc>
        <w:tc>
          <w:tcPr>
            <w:tcW w:w="552" w:type="dxa"/>
            <w:tcBorders>
              <w:tl2br w:val="nil"/>
              <w:tr2bl w:val="nil"/>
            </w:tcBorders>
            <w:vAlign w:val="center"/>
          </w:tcPr>
          <w:p w14:paraId="17E04BA8"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m</w:t>
            </w:r>
            <w:r>
              <w:rPr>
                <w:rFonts w:eastAsia="Times New Roman"/>
                <w:color w:val="000000" w:themeColor="text1"/>
                <w:spacing w:val="-1"/>
                <w:sz w:val="18"/>
                <w:szCs w:val="18"/>
                <w:vertAlign w:val="superscript"/>
              </w:rPr>
              <w:t>3</w:t>
            </w:r>
            <w:r>
              <w:rPr>
                <w:rFonts w:eastAsia="Times New Roman"/>
                <w:color w:val="000000" w:themeColor="text1"/>
                <w:spacing w:val="-1"/>
                <w:sz w:val="18"/>
                <w:szCs w:val="18"/>
              </w:rPr>
              <w:t>/t</w:t>
            </w:r>
          </w:p>
        </w:tc>
        <w:tc>
          <w:tcPr>
            <w:tcW w:w="552" w:type="dxa"/>
            <w:tcBorders>
              <w:tl2br w:val="nil"/>
              <w:tr2bl w:val="nil"/>
            </w:tcBorders>
            <w:vAlign w:val="center"/>
          </w:tcPr>
          <w:p w14:paraId="12C31BC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z w:val="18"/>
                <w:szCs w:val="18"/>
              </w:rPr>
              <w:t>%</w:t>
            </w:r>
          </w:p>
        </w:tc>
        <w:tc>
          <w:tcPr>
            <w:tcW w:w="410" w:type="dxa"/>
            <w:tcBorders>
              <w:tl2br w:val="nil"/>
              <w:tr2bl w:val="nil"/>
            </w:tcBorders>
            <w:vAlign w:val="center"/>
          </w:tcPr>
          <w:p w14:paraId="620CD65D" w14:textId="77777777" w:rsidR="002E0859" w:rsidRDefault="002E0859">
            <w:pPr>
              <w:spacing w:line="240" w:lineRule="auto"/>
              <w:ind w:firstLineChars="0" w:firstLine="0"/>
              <w:jc w:val="center"/>
              <w:rPr>
                <w:rFonts w:ascii="Arial"/>
                <w:color w:val="000000" w:themeColor="text1"/>
                <w:sz w:val="21"/>
              </w:rPr>
            </w:pPr>
          </w:p>
        </w:tc>
        <w:tc>
          <w:tcPr>
            <w:tcW w:w="686" w:type="dxa"/>
            <w:tcBorders>
              <w:tl2br w:val="nil"/>
              <w:tr2bl w:val="nil"/>
            </w:tcBorders>
            <w:vAlign w:val="center"/>
          </w:tcPr>
          <w:p w14:paraId="2188956A" w14:textId="77777777" w:rsidR="002E0859" w:rsidRDefault="002E0859">
            <w:pPr>
              <w:spacing w:line="240" w:lineRule="auto"/>
              <w:ind w:firstLineChars="0" w:firstLine="0"/>
              <w:jc w:val="center"/>
              <w:rPr>
                <w:rFonts w:ascii="Arial"/>
                <w:color w:val="000000" w:themeColor="text1"/>
                <w:sz w:val="21"/>
              </w:rPr>
            </w:pPr>
          </w:p>
        </w:tc>
        <w:tc>
          <w:tcPr>
            <w:tcW w:w="617" w:type="dxa"/>
            <w:tcBorders>
              <w:tl2br w:val="nil"/>
              <w:tr2bl w:val="nil"/>
            </w:tcBorders>
            <w:vAlign w:val="center"/>
          </w:tcPr>
          <w:p w14:paraId="0FD8BF01" w14:textId="77777777" w:rsidR="002E0859" w:rsidRDefault="00000000">
            <w:pPr>
              <w:spacing w:line="240" w:lineRule="auto"/>
              <w:ind w:firstLineChars="0" w:firstLine="0"/>
              <w:jc w:val="center"/>
              <w:rPr>
                <w:rFonts w:eastAsia="Times New Roman"/>
                <w:color w:val="000000" w:themeColor="text1"/>
                <w:sz w:val="12"/>
                <w:szCs w:val="12"/>
              </w:rPr>
            </w:pPr>
            <w:r>
              <w:rPr>
                <w:rFonts w:eastAsia="Times New Roman"/>
                <w:color w:val="000000" w:themeColor="text1"/>
                <w:spacing w:val="-3"/>
                <w:sz w:val="18"/>
                <w:szCs w:val="18"/>
              </w:rPr>
              <w:t>×10</w:t>
            </w:r>
            <w:r>
              <w:rPr>
                <w:rFonts w:eastAsia="Times New Roman"/>
                <w:color w:val="000000" w:themeColor="text1"/>
                <w:spacing w:val="-3"/>
                <w:position w:val="5"/>
                <w:sz w:val="12"/>
                <w:szCs w:val="12"/>
              </w:rPr>
              <w:t>8</w:t>
            </w:r>
            <w:r>
              <w:rPr>
                <w:rFonts w:eastAsia="Times New Roman"/>
                <w:color w:val="000000" w:themeColor="text1"/>
                <w:spacing w:val="-3"/>
                <w:sz w:val="18"/>
                <w:szCs w:val="18"/>
              </w:rPr>
              <w:t>m</w:t>
            </w:r>
            <w:r>
              <w:rPr>
                <w:rFonts w:eastAsia="Times New Roman"/>
                <w:color w:val="000000" w:themeColor="text1"/>
                <w:spacing w:val="-3"/>
                <w:position w:val="5"/>
                <w:sz w:val="12"/>
                <w:szCs w:val="12"/>
              </w:rPr>
              <w:t>3</w:t>
            </w:r>
          </w:p>
        </w:tc>
        <w:tc>
          <w:tcPr>
            <w:tcW w:w="617" w:type="dxa"/>
            <w:tcBorders>
              <w:tl2br w:val="nil"/>
              <w:tr2bl w:val="nil"/>
            </w:tcBorders>
            <w:vAlign w:val="center"/>
          </w:tcPr>
          <w:p w14:paraId="09244562" w14:textId="77777777" w:rsidR="002E0859" w:rsidRDefault="00000000">
            <w:pPr>
              <w:spacing w:line="240" w:lineRule="auto"/>
              <w:ind w:firstLineChars="0" w:firstLine="0"/>
              <w:jc w:val="center"/>
              <w:rPr>
                <w:rFonts w:eastAsia="Times New Roman"/>
                <w:color w:val="000000" w:themeColor="text1"/>
                <w:sz w:val="12"/>
                <w:szCs w:val="12"/>
              </w:rPr>
            </w:pPr>
            <w:r>
              <w:rPr>
                <w:rFonts w:eastAsia="Times New Roman"/>
                <w:color w:val="000000" w:themeColor="text1"/>
                <w:spacing w:val="-3"/>
                <w:sz w:val="18"/>
                <w:szCs w:val="18"/>
              </w:rPr>
              <w:t>×10</w:t>
            </w:r>
            <w:r>
              <w:rPr>
                <w:rFonts w:eastAsia="Times New Roman"/>
                <w:color w:val="000000" w:themeColor="text1"/>
                <w:spacing w:val="-3"/>
                <w:position w:val="5"/>
                <w:sz w:val="12"/>
                <w:szCs w:val="12"/>
              </w:rPr>
              <w:t>8</w:t>
            </w:r>
            <w:r>
              <w:rPr>
                <w:rFonts w:eastAsia="Times New Roman"/>
                <w:color w:val="000000" w:themeColor="text1"/>
                <w:spacing w:val="-3"/>
                <w:sz w:val="18"/>
                <w:szCs w:val="18"/>
              </w:rPr>
              <w:t>m</w:t>
            </w:r>
            <w:r>
              <w:rPr>
                <w:rFonts w:eastAsia="Times New Roman"/>
                <w:color w:val="000000" w:themeColor="text1"/>
                <w:spacing w:val="-3"/>
                <w:position w:val="5"/>
                <w:sz w:val="12"/>
                <w:szCs w:val="12"/>
              </w:rPr>
              <w:t>3</w:t>
            </w:r>
          </w:p>
        </w:tc>
        <w:tc>
          <w:tcPr>
            <w:tcW w:w="617" w:type="dxa"/>
            <w:tcBorders>
              <w:tl2br w:val="nil"/>
              <w:tr2bl w:val="nil"/>
            </w:tcBorders>
            <w:vAlign w:val="center"/>
          </w:tcPr>
          <w:p w14:paraId="4F868709" w14:textId="77777777" w:rsidR="002E0859" w:rsidRDefault="00000000">
            <w:pPr>
              <w:spacing w:line="240" w:lineRule="auto"/>
              <w:ind w:firstLineChars="0" w:firstLine="0"/>
              <w:jc w:val="center"/>
              <w:rPr>
                <w:rFonts w:eastAsia="Times New Roman"/>
                <w:color w:val="000000" w:themeColor="text1"/>
                <w:sz w:val="12"/>
                <w:szCs w:val="12"/>
              </w:rPr>
            </w:pPr>
            <w:r>
              <w:rPr>
                <w:rFonts w:eastAsia="Times New Roman"/>
                <w:color w:val="000000" w:themeColor="text1"/>
                <w:spacing w:val="-3"/>
                <w:sz w:val="18"/>
                <w:szCs w:val="18"/>
              </w:rPr>
              <w:t>×10</w:t>
            </w:r>
            <w:r>
              <w:rPr>
                <w:rFonts w:eastAsia="Times New Roman"/>
                <w:color w:val="000000" w:themeColor="text1"/>
                <w:spacing w:val="-3"/>
                <w:position w:val="5"/>
                <w:sz w:val="12"/>
                <w:szCs w:val="12"/>
              </w:rPr>
              <w:t>8</w:t>
            </w:r>
            <w:r>
              <w:rPr>
                <w:rFonts w:eastAsia="Times New Roman"/>
                <w:color w:val="000000" w:themeColor="text1"/>
                <w:spacing w:val="-3"/>
                <w:sz w:val="18"/>
                <w:szCs w:val="18"/>
              </w:rPr>
              <w:t>m</w:t>
            </w:r>
            <w:r>
              <w:rPr>
                <w:rFonts w:eastAsia="Times New Roman"/>
                <w:color w:val="000000" w:themeColor="text1"/>
                <w:spacing w:val="-3"/>
                <w:position w:val="5"/>
                <w:sz w:val="12"/>
                <w:szCs w:val="12"/>
              </w:rPr>
              <w:t>3</w:t>
            </w:r>
          </w:p>
        </w:tc>
        <w:tc>
          <w:tcPr>
            <w:tcW w:w="813" w:type="dxa"/>
            <w:tcBorders>
              <w:tl2br w:val="nil"/>
              <w:tr2bl w:val="nil"/>
            </w:tcBorders>
            <w:vAlign w:val="center"/>
          </w:tcPr>
          <w:p w14:paraId="76F73437" w14:textId="77777777" w:rsidR="002E0859" w:rsidRDefault="00000000">
            <w:pPr>
              <w:spacing w:line="240" w:lineRule="auto"/>
              <w:ind w:firstLineChars="0" w:firstLine="0"/>
              <w:jc w:val="center"/>
              <w:rPr>
                <w:rFonts w:eastAsia="Times New Roman"/>
                <w:color w:val="000000" w:themeColor="text1"/>
                <w:sz w:val="12"/>
                <w:szCs w:val="12"/>
              </w:rPr>
            </w:pPr>
            <w:r>
              <w:rPr>
                <w:rFonts w:eastAsia="Times New Roman"/>
                <w:color w:val="000000" w:themeColor="text1"/>
                <w:spacing w:val="-3"/>
                <w:sz w:val="18"/>
                <w:szCs w:val="18"/>
              </w:rPr>
              <w:t>10</w:t>
            </w:r>
            <w:r>
              <w:rPr>
                <w:rFonts w:eastAsia="Times New Roman"/>
                <w:color w:val="000000" w:themeColor="text1"/>
                <w:spacing w:val="-3"/>
                <w:position w:val="5"/>
                <w:sz w:val="12"/>
                <w:szCs w:val="12"/>
              </w:rPr>
              <w:t>8</w:t>
            </w:r>
            <w:r>
              <w:rPr>
                <w:rFonts w:eastAsia="Times New Roman"/>
                <w:color w:val="000000" w:themeColor="text1"/>
                <w:spacing w:val="-3"/>
                <w:sz w:val="18"/>
                <w:szCs w:val="18"/>
              </w:rPr>
              <w:t>m</w:t>
            </w:r>
            <w:r>
              <w:rPr>
                <w:rFonts w:eastAsia="Times New Roman"/>
                <w:color w:val="000000" w:themeColor="text1"/>
                <w:spacing w:val="-3"/>
                <w:position w:val="5"/>
                <w:sz w:val="12"/>
                <w:szCs w:val="12"/>
              </w:rPr>
              <w:t>3</w:t>
            </w:r>
            <w:r>
              <w:rPr>
                <w:rFonts w:eastAsia="Times New Roman"/>
                <w:color w:val="000000" w:themeColor="text1"/>
                <w:spacing w:val="-3"/>
                <w:sz w:val="18"/>
                <w:szCs w:val="18"/>
              </w:rPr>
              <w:t>/km</w:t>
            </w:r>
            <w:r>
              <w:rPr>
                <w:rFonts w:eastAsia="Times New Roman"/>
                <w:color w:val="000000" w:themeColor="text1"/>
                <w:spacing w:val="-3"/>
                <w:position w:val="5"/>
                <w:sz w:val="12"/>
                <w:szCs w:val="12"/>
              </w:rPr>
              <w:t>2</w:t>
            </w:r>
          </w:p>
        </w:tc>
      </w:tr>
      <w:tr w:rsidR="002E0859" w14:paraId="47EFF2EA" w14:textId="77777777">
        <w:trPr>
          <w:trHeight w:val="249"/>
        </w:trPr>
        <w:tc>
          <w:tcPr>
            <w:tcW w:w="602" w:type="dxa"/>
            <w:vMerge w:val="restart"/>
            <w:tcBorders>
              <w:tl2br w:val="nil"/>
              <w:tr2bl w:val="nil"/>
            </w:tcBorders>
            <w:vAlign w:val="center"/>
          </w:tcPr>
          <w:p w14:paraId="4D646371"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①</w:t>
            </w:r>
            <w:r>
              <w:rPr>
                <w:rFonts w:ascii="Times New Roman" w:eastAsia="Times New Roman" w:hAnsi="Times New Roman" w:cs="Times New Roman"/>
                <w:color w:val="000000" w:themeColor="text1"/>
                <w:spacing w:val="-3"/>
                <w:sz w:val="18"/>
                <w:szCs w:val="18"/>
              </w:rPr>
              <w:t>-</w:t>
            </w:r>
            <w:r>
              <w:rPr>
                <w:color w:val="000000" w:themeColor="text1"/>
                <w:spacing w:val="-3"/>
                <w:sz w:val="18"/>
                <w:szCs w:val="18"/>
              </w:rPr>
              <w:t>⑨</w:t>
            </w:r>
          </w:p>
        </w:tc>
        <w:tc>
          <w:tcPr>
            <w:tcW w:w="1223" w:type="dxa"/>
            <w:tcBorders>
              <w:tl2br w:val="nil"/>
              <w:tr2bl w:val="nil"/>
            </w:tcBorders>
            <w:vAlign w:val="center"/>
          </w:tcPr>
          <w:p w14:paraId="1F47B720"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焦北区</w:t>
            </w:r>
          </w:p>
        </w:tc>
        <w:tc>
          <w:tcPr>
            <w:tcW w:w="516" w:type="dxa"/>
            <w:tcBorders>
              <w:tl2br w:val="nil"/>
              <w:tr2bl w:val="nil"/>
            </w:tcBorders>
            <w:vAlign w:val="center"/>
          </w:tcPr>
          <w:p w14:paraId="1D490EA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6.1</w:t>
            </w:r>
          </w:p>
        </w:tc>
        <w:tc>
          <w:tcPr>
            <w:tcW w:w="573" w:type="dxa"/>
            <w:tcBorders>
              <w:tl2br w:val="nil"/>
              <w:tr2bl w:val="nil"/>
            </w:tcBorders>
            <w:vAlign w:val="center"/>
          </w:tcPr>
          <w:p w14:paraId="16C325A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87.1</w:t>
            </w:r>
          </w:p>
        </w:tc>
        <w:tc>
          <w:tcPr>
            <w:tcW w:w="628" w:type="dxa"/>
            <w:tcBorders>
              <w:tl2br w:val="nil"/>
              <w:tr2bl w:val="nil"/>
            </w:tcBorders>
            <w:vAlign w:val="center"/>
          </w:tcPr>
          <w:p w14:paraId="5789735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2.64</w:t>
            </w:r>
          </w:p>
        </w:tc>
        <w:tc>
          <w:tcPr>
            <w:tcW w:w="410" w:type="dxa"/>
            <w:tcBorders>
              <w:tl2br w:val="nil"/>
              <w:tr2bl w:val="nil"/>
            </w:tcBorders>
            <w:vAlign w:val="center"/>
          </w:tcPr>
          <w:p w14:paraId="4F1A45A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4.80</w:t>
            </w:r>
          </w:p>
        </w:tc>
        <w:tc>
          <w:tcPr>
            <w:tcW w:w="552" w:type="dxa"/>
            <w:tcBorders>
              <w:tl2br w:val="nil"/>
              <w:tr2bl w:val="nil"/>
            </w:tcBorders>
            <w:vAlign w:val="center"/>
          </w:tcPr>
          <w:p w14:paraId="3DEF7708"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1.54</w:t>
            </w:r>
          </w:p>
        </w:tc>
        <w:tc>
          <w:tcPr>
            <w:tcW w:w="552" w:type="dxa"/>
            <w:tcBorders>
              <w:tl2br w:val="nil"/>
              <w:tr2bl w:val="nil"/>
            </w:tcBorders>
            <w:vAlign w:val="center"/>
          </w:tcPr>
          <w:p w14:paraId="26B6337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59.36</w:t>
            </w:r>
          </w:p>
        </w:tc>
        <w:tc>
          <w:tcPr>
            <w:tcW w:w="410" w:type="dxa"/>
            <w:tcBorders>
              <w:tl2br w:val="nil"/>
              <w:tr2bl w:val="nil"/>
            </w:tcBorders>
            <w:vAlign w:val="center"/>
          </w:tcPr>
          <w:p w14:paraId="36E03F1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1.16</w:t>
            </w:r>
          </w:p>
        </w:tc>
        <w:tc>
          <w:tcPr>
            <w:tcW w:w="686" w:type="dxa"/>
            <w:tcBorders>
              <w:tl2br w:val="nil"/>
              <w:tr2bl w:val="nil"/>
            </w:tcBorders>
            <w:vAlign w:val="center"/>
          </w:tcPr>
          <w:p w14:paraId="53E1CC78"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330.00</w:t>
            </w:r>
          </w:p>
        </w:tc>
        <w:tc>
          <w:tcPr>
            <w:tcW w:w="617" w:type="dxa"/>
            <w:tcBorders>
              <w:tl2br w:val="nil"/>
              <w:tr2bl w:val="nil"/>
            </w:tcBorders>
            <w:vAlign w:val="center"/>
          </w:tcPr>
          <w:p w14:paraId="186DF36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49.58</w:t>
            </w:r>
          </w:p>
        </w:tc>
        <w:tc>
          <w:tcPr>
            <w:tcW w:w="617" w:type="dxa"/>
            <w:tcBorders>
              <w:tl2br w:val="nil"/>
              <w:tr2bl w:val="nil"/>
            </w:tcBorders>
            <w:vAlign w:val="center"/>
          </w:tcPr>
          <w:p w14:paraId="4D1EBDA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17.91</w:t>
            </w:r>
          </w:p>
        </w:tc>
        <w:tc>
          <w:tcPr>
            <w:tcW w:w="617" w:type="dxa"/>
            <w:tcBorders>
              <w:tl2br w:val="nil"/>
              <w:tr2bl w:val="nil"/>
            </w:tcBorders>
            <w:vAlign w:val="center"/>
          </w:tcPr>
          <w:p w14:paraId="2F5DD12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67.49</w:t>
            </w:r>
          </w:p>
        </w:tc>
        <w:tc>
          <w:tcPr>
            <w:tcW w:w="813" w:type="dxa"/>
            <w:tcBorders>
              <w:tl2br w:val="nil"/>
              <w:tr2bl w:val="nil"/>
            </w:tcBorders>
            <w:vAlign w:val="center"/>
          </w:tcPr>
          <w:p w14:paraId="3D2ED00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11.06</w:t>
            </w:r>
          </w:p>
        </w:tc>
      </w:tr>
      <w:tr w:rsidR="002E0859" w14:paraId="7CFA5E1E" w14:textId="77777777">
        <w:trPr>
          <w:trHeight w:val="247"/>
        </w:trPr>
        <w:tc>
          <w:tcPr>
            <w:tcW w:w="602" w:type="dxa"/>
            <w:vMerge/>
            <w:tcBorders>
              <w:tl2br w:val="nil"/>
              <w:tr2bl w:val="nil"/>
            </w:tcBorders>
            <w:vAlign w:val="center"/>
          </w:tcPr>
          <w:p w14:paraId="5B46C855"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4580501A"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6"/>
                <w:sz w:val="18"/>
                <w:szCs w:val="18"/>
              </w:rPr>
              <w:t>吊水岩区</w:t>
            </w:r>
          </w:p>
        </w:tc>
        <w:tc>
          <w:tcPr>
            <w:tcW w:w="516" w:type="dxa"/>
            <w:tcBorders>
              <w:tl2br w:val="nil"/>
              <w:tr2bl w:val="nil"/>
            </w:tcBorders>
            <w:vAlign w:val="center"/>
          </w:tcPr>
          <w:p w14:paraId="668DCC8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13</w:t>
            </w:r>
          </w:p>
        </w:tc>
        <w:tc>
          <w:tcPr>
            <w:tcW w:w="573" w:type="dxa"/>
            <w:tcBorders>
              <w:tl2br w:val="nil"/>
              <w:tr2bl w:val="nil"/>
            </w:tcBorders>
            <w:vAlign w:val="center"/>
          </w:tcPr>
          <w:p w14:paraId="68EB99F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86.1</w:t>
            </w:r>
          </w:p>
        </w:tc>
        <w:tc>
          <w:tcPr>
            <w:tcW w:w="628" w:type="dxa"/>
            <w:tcBorders>
              <w:tl2br w:val="nil"/>
              <w:tr2bl w:val="nil"/>
            </w:tcBorders>
            <w:vAlign w:val="center"/>
          </w:tcPr>
          <w:p w14:paraId="317EE43D"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2.61</w:t>
            </w:r>
          </w:p>
        </w:tc>
        <w:tc>
          <w:tcPr>
            <w:tcW w:w="410" w:type="dxa"/>
            <w:tcBorders>
              <w:tl2br w:val="nil"/>
              <w:tr2bl w:val="nil"/>
            </w:tcBorders>
            <w:vAlign w:val="center"/>
          </w:tcPr>
          <w:p w14:paraId="6C06B88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4.78</w:t>
            </w:r>
          </w:p>
        </w:tc>
        <w:tc>
          <w:tcPr>
            <w:tcW w:w="552" w:type="dxa"/>
            <w:tcBorders>
              <w:tl2br w:val="nil"/>
              <w:tr2bl w:val="nil"/>
            </w:tcBorders>
            <w:vAlign w:val="center"/>
          </w:tcPr>
          <w:p w14:paraId="58E1C7A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1.53</w:t>
            </w:r>
          </w:p>
        </w:tc>
        <w:tc>
          <w:tcPr>
            <w:tcW w:w="552" w:type="dxa"/>
            <w:tcBorders>
              <w:tl2br w:val="nil"/>
              <w:tr2bl w:val="nil"/>
            </w:tcBorders>
            <w:vAlign w:val="center"/>
          </w:tcPr>
          <w:p w14:paraId="68B4CC3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59.04</w:t>
            </w:r>
          </w:p>
        </w:tc>
        <w:tc>
          <w:tcPr>
            <w:tcW w:w="410" w:type="dxa"/>
            <w:tcBorders>
              <w:tl2br w:val="nil"/>
              <w:tr2bl w:val="nil"/>
            </w:tcBorders>
            <w:vAlign w:val="center"/>
          </w:tcPr>
          <w:p w14:paraId="7B0A9066"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1.16</w:t>
            </w:r>
          </w:p>
        </w:tc>
        <w:tc>
          <w:tcPr>
            <w:tcW w:w="686" w:type="dxa"/>
            <w:tcBorders>
              <w:tl2br w:val="nil"/>
              <w:tr2bl w:val="nil"/>
            </w:tcBorders>
            <w:vAlign w:val="center"/>
          </w:tcPr>
          <w:p w14:paraId="5F528B0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330.00</w:t>
            </w:r>
          </w:p>
        </w:tc>
        <w:tc>
          <w:tcPr>
            <w:tcW w:w="617" w:type="dxa"/>
            <w:tcBorders>
              <w:tl2br w:val="nil"/>
              <w:tr2bl w:val="nil"/>
            </w:tcBorders>
            <w:vAlign w:val="center"/>
          </w:tcPr>
          <w:p w14:paraId="7CAC234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103.36</w:t>
            </w:r>
          </w:p>
        </w:tc>
        <w:tc>
          <w:tcPr>
            <w:tcW w:w="617" w:type="dxa"/>
            <w:tcBorders>
              <w:tl2br w:val="nil"/>
              <w:tr2bl w:val="nil"/>
            </w:tcBorders>
            <w:vAlign w:val="center"/>
          </w:tcPr>
          <w:p w14:paraId="72D2E456"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36.90</w:t>
            </w:r>
          </w:p>
        </w:tc>
        <w:tc>
          <w:tcPr>
            <w:tcW w:w="617" w:type="dxa"/>
            <w:tcBorders>
              <w:tl2br w:val="nil"/>
              <w:tr2bl w:val="nil"/>
            </w:tcBorders>
            <w:vAlign w:val="center"/>
          </w:tcPr>
          <w:p w14:paraId="1F8EAD4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140.26</w:t>
            </w:r>
          </w:p>
        </w:tc>
        <w:tc>
          <w:tcPr>
            <w:tcW w:w="813" w:type="dxa"/>
            <w:tcBorders>
              <w:tl2br w:val="nil"/>
              <w:tr2bl w:val="nil"/>
            </w:tcBorders>
            <w:vAlign w:val="center"/>
          </w:tcPr>
          <w:p w14:paraId="3F9973C0"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10.79</w:t>
            </w:r>
          </w:p>
        </w:tc>
      </w:tr>
      <w:tr w:rsidR="002E0859" w14:paraId="79690A4E" w14:textId="77777777">
        <w:trPr>
          <w:trHeight w:val="249"/>
        </w:trPr>
        <w:tc>
          <w:tcPr>
            <w:tcW w:w="602" w:type="dxa"/>
            <w:vMerge/>
            <w:tcBorders>
              <w:tl2br w:val="nil"/>
              <w:tr2bl w:val="nil"/>
            </w:tcBorders>
            <w:vAlign w:val="center"/>
          </w:tcPr>
          <w:p w14:paraId="2BF9AF25"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24C0D6DD"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8"/>
                <w:sz w:val="18"/>
                <w:szCs w:val="18"/>
              </w:rPr>
              <w:t>江北</w:t>
            </w:r>
            <w:r>
              <w:rPr>
                <w:rFonts w:ascii="Times New Roman" w:eastAsia="Times New Roman" w:hAnsi="Times New Roman" w:cs="Times New Roman"/>
                <w:color w:val="000000" w:themeColor="text1"/>
                <w:spacing w:val="-8"/>
                <w:sz w:val="18"/>
                <w:szCs w:val="18"/>
              </w:rPr>
              <w:t>1</w:t>
            </w:r>
            <w:r>
              <w:rPr>
                <w:color w:val="000000" w:themeColor="text1"/>
                <w:spacing w:val="-8"/>
                <w:sz w:val="18"/>
                <w:szCs w:val="18"/>
              </w:rPr>
              <w:t>区</w:t>
            </w:r>
          </w:p>
        </w:tc>
        <w:tc>
          <w:tcPr>
            <w:tcW w:w="516" w:type="dxa"/>
            <w:tcBorders>
              <w:tl2br w:val="nil"/>
              <w:tr2bl w:val="nil"/>
            </w:tcBorders>
            <w:vAlign w:val="center"/>
          </w:tcPr>
          <w:p w14:paraId="14FFAD8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13.7</w:t>
            </w:r>
          </w:p>
        </w:tc>
        <w:tc>
          <w:tcPr>
            <w:tcW w:w="573" w:type="dxa"/>
            <w:tcBorders>
              <w:tl2br w:val="nil"/>
              <w:tr2bl w:val="nil"/>
            </w:tcBorders>
            <w:vAlign w:val="center"/>
          </w:tcPr>
          <w:p w14:paraId="2FB02A2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83.8</w:t>
            </w:r>
          </w:p>
        </w:tc>
        <w:tc>
          <w:tcPr>
            <w:tcW w:w="628" w:type="dxa"/>
            <w:tcBorders>
              <w:tl2br w:val="nil"/>
              <w:tr2bl w:val="nil"/>
            </w:tcBorders>
            <w:vAlign w:val="center"/>
          </w:tcPr>
          <w:p w14:paraId="144E9A9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2.57</w:t>
            </w:r>
          </w:p>
        </w:tc>
        <w:tc>
          <w:tcPr>
            <w:tcW w:w="410" w:type="dxa"/>
            <w:tcBorders>
              <w:tl2br w:val="nil"/>
              <w:tr2bl w:val="nil"/>
            </w:tcBorders>
            <w:vAlign w:val="center"/>
          </w:tcPr>
          <w:p w14:paraId="268CC2E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4.73</w:t>
            </w:r>
          </w:p>
        </w:tc>
        <w:tc>
          <w:tcPr>
            <w:tcW w:w="552" w:type="dxa"/>
            <w:tcBorders>
              <w:tl2br w:val="nil"/>
              <w:tr2bl w:val="nil"/>
            </w:tcBorders>
            <w:vAlign w:val="center"/>
          </w:tcPr>
          <w:p w14:paraId="011E1F6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1.44</w:t>
            </w:r>
          </w:p>
        </w:tc>
        <w:tc>
          <w:tcPr>
            <w:tcW w:w="552" w:type="dxa"/>
            <w:tcBorders>
              <w:tl2br w:val="nil"/>
              <w:tr2bl w:val="nil"/>
            </w:tcBorders>
            <w:vAlign w:val="center"/>
          </w:tcPr>
          <w:p w14:paraId="7BA7026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58.66</w:t>
            </w:r>
          </w:p>
        </w:tc>
        <w:tc>
          <w:tcPr>
            <w:tcW w:w="410" w:type="dxa"/>
            <w:tcBorders>
              <w:tl2br w:val="nil"/>
              <w:tr2bl w:val="nil"/>
            </w:tcBorders>
            <w:vAlign w:val="center"/>
          </w:tcPr>
          <w:p w14:paraId="51137F9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1.16</w:t>
            </w:r>
          </w:p>
        </w:tc>
        <w:tc>
          <w:tcPr>
            <w:tcW w:w="686" w:type="dxa"/>
            <w:tcBorders>
              <w:tl2br w:val="nil"/>
              <w:tr2bl w:val="nil"/>
            </w:tcBorders>
            <w:vAlign w:val="center"/>
          </w:tcPr>
          <w:p w14:paraId="74135B6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330.00</w:t>
            </w:r>
          </w:p>
        </w:tc>
        <w:tc>
          <w:tcPr>
            <w:tcW w:w="617" w:type="dxa"/>
            <w:tcBorders>
              <w:tl2br w:val="nil"/>
              <w:tr2bl w:val="nil"/>
            </w:tcBorders>
            <w:vAlign w:val="center"/>
          </w:tcPr>
          <w:p w14:paraId="25A6BFE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105.38</w:t>
            </w:r>
          </w:p>
        </w:tc>
        <w:tc>
          <w:tcPr>
            <w:tcW w:w="617" w:type="dxa"/>
            <w:tcBorders>
              <w:tl2br w:val="nil"/>
              <w:tr2bl w:val="nil"/>
            </w:tcBorders>
            <w:vAlign w:val="center"/>
          </w:tcPr>
          <w:p w14:paraId="091C1AF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36.33</w:t>
            </w:r>
          </w:p>
        </w:tc>
        <w:tc>
          <w:tcPr>
            <w:tcW w:w="617" w:type="dxa"/>
            <w:tcBorders>
              <w:tl2br w:val="nil"/>
              <w:tr2bl w:val="nil"/>
            </w:tcBorders>
            <w:vAlign w:val="center"/>
          </w:tcPr>
          <w:p w14:paraId="1642613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141.70</w:t>
            </w:r>
          </w:p>
        </w:tc>
        <w:tc>
          <w:tcPr>
            <w:tcW w:w="813" w:type="dxa"/>
            <w:tcBorders>
              <w:tl2br w:val="nil"/>
              <w:tr2bl w:val="nil"/>
            </w:tcBorders>
            <w:vAlign w:val="center"/>
          </w:tcPr>
          <w:p w14:paraId="0B98A11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10.34</w:t>
            </w:r>
          </w:p>
        </w:tc>
      </w:tr>
      <w:tr w:rsidR="002E0859" w14:paraId="29D1194F" w14:textId="77777777">
        <w:trPr>
          <w:trHeight w:val="247"/>
        </w:trPr>
        <w:tc>
          <w:tcPr>
            <w:tcW w:w="602" w:type="dxa"/>
            <w:vMerge/>
            <w:tcBorders>
              <w:tl2br w:val="nil"/>
              <w:tr2bl w:val="nil"/>
            </w:tcBorders>
            <w:vAlign w:val="center"/>
          </w:tcPr>
          <w:p w14:paraId="4DBD4474"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70F7E231" w14:textId="77777777" w:rsidR="002E0859" w:rsidRDefault="00000000">
            <w:pPr>
              <w:pStyle w:val="TableText"/>
              <w:spacing w:line="240" w:lineRule="auto"/>
              <w:ind w:firstLineChars="0" w:firstLine="0"/>
              <w:jc w:val="center"/>
              <w:rPr>
                <w:color w:val="000000" w:themeColor="text1"/>
                <w:spacing w:val="-4"/>
                <w:sz w:val="18"/>
                <w:szCs w:val="18"/>
                <w:lang w:eastAsia="zh-CN"/>
              </w:rPr>
            </w:pPr>
            <w:r>
              <w:rPr>
                <w:color w:val="000000" w:themeColor="text1"/>
                <w:spacing w:val="-4"/>
                <w:sz w:val="18"/>
                <w:szCs w:val="18"/>
              </w:rPr>
              <w:t>江北</w:t>
            </w:r>
            <w:r>
              <w:rPr>
                <w:rFonts w:ascii="Times New Roman" w:hAnsi="Times New Roman" w:cs="Times New Roman"/>
                <w:color w:val="000000" w:themeColor="text1"/>
                <w:spacing w:val="-4"/>
                <w:sz w:val="18"/>
                <w:szCs w:val="18"/>
                <w:lang w:eastAsia="zh-CN"/>
              </w:rPr>
              <w:t>2</w:t>
            </w:r>
            <w:r>
              <w:rPr>
                <w:rFonts w:ascii="Times New Roman" w:hAnsi="Times New Roman" w:cs="Times New Roman" w:hint="eastAsia"/>
                <w:color w:val="000000" w:themeColor="text1"/>
                <w:spacing w:val="-4"/>
                <w:sz w:val="18"/>
                <w:szCs w:val="18"/>
                <w:lang w:eastAsia="zh-CN"/>
              </w:rPr>
              <w:t>区</w:t>
            </w:r>
          </w:p>
        </w:tc>
        <w:tc>
          <w:tcPr>
            <w:tcW w:w="516" w:type="dxa"/>
            <w:tcBorders>
              <w:tl2br w:val="nil"/>
              <w:tr2bl w:val="nil"/>
            </w:tcBorders>
            <w:vAlign w:val="center"/>
          </w:tcPr>
          <w:p w14:paraId="70AD59A6"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12.7</w:t>
            </w:r>
          </w:p>
        </w:tc>
        <w:tc>
          <w:tcPr>
            <w:tcW w:w="573" w:type="dxa"/>
            <w:tcBorders>
              <w:tl2br w:val="nil"/>
              <w:tr2bl w:val="nil"/>
            </w:tcBorders>
            <w:vAlign w:val="center"/>
          </w:tcPr>
          <w:p w14:paraId="45552C3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85.6</w:t>
            </w:r>
          </w:p>
        </w:tc>
        <w:tc>
          <w:tcPr>
            <w:tcW w:w="628" w:type="dxa"/>
            <w:tcBorders>
              <w:tl2br w:val="nil"/>
              <w:tr2bl w:val="nil"/>
            </w:tcBorders>
            <w:vAlign w:val="center"/>
          </w:tcPr>
          <w:p w14:paraId="6F8E1E0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2.60</w:t>
            </w:r>
          </w:p>
        </w:tc>
        <w:tc>
          <w:tcPr>
            <w:tcW w:w="410" w:type="dxa"/>
            <w:tcBorders>
              <w:tl2br w:val="nil"/>
              <w:tr2bl w:val="nil"/>
            </w:tcBorders>
            <w:vAlign w:val="center"/>
          </w:tcPr>
          <w:p w14:paraId="3A221F60"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4.75</w:t>
            </w:r>
          </w:p>
        </w:tc>
        <w:tc>
          <w:tcPr>
            <w:tcW w:w="552" w:type="dxa"/>
            <w:tcBorders>
              <w:tl2br w:val="nil"/>
              <w:tr2bl w:val="nil"/>
            </w:tcBorders>
            <w:vAlign w:val="center"/>
          </w:tcPr>
          <w:p w14:paraId="4A1A680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1.45</w:t>
            </w:r>
          </w:p>
        </w:tc>
        <w:tc>
          <w:tcPr>
            <w:tcW w:w="552" w:type="dxa"/>
            <w:tcBorders>
              <w:tl2br w:val="nil"/>
              <w:tr2bl w:val="nil"/>
            </w:tcBorders>
            <w:vAlign w:val="center"/>
          </w:tcPr>
          <w:p w14:paraId="72160A0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59.13</w:t>
            </w:r>
          </w:p>
        </w:tc>
        <w:tc>
          <w:tcPr>
            <w:tcW w:w="410" w:type="dxa"/>
            <w:tcBorders>
              <w:tl2br w:val="nil"/>
              <w:tr2bl w:val="nil"/>
            </w:tcBorders>
            <w:vAlign w:val="center"/>
          </w:tcPr>
          <w:p w14:paraId="528B391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1.16</w:t>
            </w:r>
          </w:p>
        </w:tc>
        <w:tc>
          <w:tcPr>
            <w:tcW w:w="686" w:type="dxa"/>
            <w:tcBorders>
              <w:tl2br w:val="nil"/>
              <w:tr2bl w:val="nil"/>
            </w:tcBorders>
            <w:vAlign w:val="center"/>
          </w:tcPr>
          <w:p w14:paraId="421AB22D"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330.00</w:t>
            </w:r>
          </w:p>
        </w:tc>
        <w:tc>
          <w:tcPr>
            <w:tcW w:w="617" w:type="dxa"/>
            <w:tcBorders>
              <w:tl2br w:val="nil"/>
              <w:tr2bl w:val="nil"/>
            </w:tcBorders>
            <w:vAlign w:val="center"/>
          </w:tcPr>
          <w:p w14:paraId="15323B5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100.05</w:t>
            </w:r>
          </w:p>
        </w:tc>
        <w:tc>
          <w:tcPr>
            <w:tcW w:w="617" w:type="dxa"/>
            <w:tcBorders>
              <w:tl2br w:val="nil"/>
              <w:tr2bl w:val="nil"/>
            </w:tcBorders>
            <w:vAlign w:val="center"/>
          </w:tcPr>
          <w:p w14:paraId="431C68E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33.98</w:t>
            </w:r>
          </w:p>
        </w:tc>
        <w:tc>
          <w:tcPr>
            <w:tcW w:w="617" w:type="dxa"/>
            <w:tcBorders>
              <w:tl2br w:val="nil"/>
              <w:tr2bl w:val="nil"/>
            </w:tcBorders>
            <w:vAlign w:val="center"/>
          </w:tcPr>
          <w:p w14:paraId="33F0508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134.03</w:t>
            </w:r>
          </w:p>
        </w:tc>
        <w:tc>
          <w:tcPr>
            <w:tcW w:w="813" w:type="dxa"/>
            <w:tcBorders>
              <w:tl2br w:val="nil"/>
              <w:tr2bl w:val="nil"/>
            </w:tcBorders>
            <w:vAlign w:val="center"/>
          </w:tcPr>
          <w:p w14:paraId="254D8416"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10.55</w:t>
            </w:r>
          </w:p>
        </w:tc>
      </w:tr>
      <w:tr w:rsidR="002E0859" w14:paraId="3CF13C77" w14:textId="77777777">
        <w:trPr>
          <w:trHeight w:val="250"/>
        </w:trPr>
        <w:tc>
          <w:tcPr>
            <w:tcW w:w="602" w:type="dxa"/>
            <w:vMerge/>
            <w:tcBorders>
              <w:tl2br w:val="nil"/>
              <w:tr2bl w:val="nil"/>
            </w:tcBorders>
            <w:vAlign w:val="center"/>
          </w:tcPr>
          <w:p w14:paraId="55C4B2F4"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761230E0"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4"/>
                <w:sz w:val="18"/>
                <w:szCs w:val="18"/>
              </w:rPr>
              <w:t>江北</w:t>
            </w:r>
            <w:r>
              <w:rPr>
                <w:rFonts w:ascii="Times New Roman" w:hAnsi="Times New Roman" w:cs="Times New Roman"/>
                <w:color w:val="000000" w:themeColor="text1"/>
                <w:spacing w:val="-4"/>
                <w:sz w:val="18"/>
                <w:szCs w:val="18"/>
                <w:lang w:eastAsia="zh-CN"/>
              </w:rPr>
              <w:t>3</w:t>
            </w:r>
            <w:r>
              <w:rPr>
                <w:color w:val="000000" w:themeColor="text1"/>
                <w:spacing w:val="-4"/>
                <w:sz w:val="18"/>
                <w:szCs w:val="18"/>
              </w:rPr>
              <w:t>区</w:t>
            </w:r>
          </w:p>
        </w:tc>
        <w:tc>
          <w:tcPr>
            <w:tcW w:w="516" w:type="dxa"/>
            <w:tcBorders>
              <w:tl2br w:val="nil"/>
              <w:tr2bl w:val="nil"/>
            </w:tcBorders>
            <w:vAlign w:val="center"/>
          </w:tcPr>
          <w:p w14:paraId="32E9F358"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7.8</w:t>
            </w:r>
          </w:p>
        </w:tc>
        <w:tc>
          <w:tcPr>
            <w:tcW w:w="573" w:type="dxa"/>
            <w:tcBorders>
              <w:tl2br w:val="nil"/>
              <w:tr2bl w:val="nil"/>
            </w:tcBorders>
            <w:vAlign w:val="center"/>
          </w:tcPr>
          <w:p w14:paraId="5429351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84.5</w:t>
            </w:r>
          </w:p>
        </w:tc>
        <w:tc>
          <w:tcPr>
            <w:tcW w:w="628" w:type="dxa"/>
            <w:tcBorders>
              <w:tl2br w:val="nil"/>
              <w:tr2bl w:val="nil"/>
            </w:tcBorders>
            <w:vAlign w:val="center"/>
          </w:tcPr>
          <w:p w14:paraId="4BE656B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2.60</w:t>
            </w:r>
          </w:p>
        </w:tc>
        <w:tc>
          <w:tcPr>
            <w:tcW w:w="410" w:type="dxa"/>
            <w:tcBorders>
              <w:tl2br w:val="nil"/>
              <w:tr2bl w:val="nil"/>
            </w:tcBorders>
            <w:vAlign w:val="center"/>
          </w:tcPr>
          <w:p w14:paraId="5E99C6D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4.60</w:t>
            </w:r>
          </w:p>
        </w:tc>
        <w:tc>
          <w:tcPr>
            <w:tcW w:w="552" w:type="dxa"/>
            <w:tcBorders>
              <w:tl2br w:val="nil"/>
              <w:tr2bl w:val="nil"/>
            </w:tcBorders>
            <w:vAlign w:val="center"/>
          </w:tcPr>
          <w:p w14:paraId="4C6E9C9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1.37</w:t>
            </w:r>
          </w:p>
        </w:tc>
        <w:tc>
          <w:tcPr>
            <w:tcW w:w="552" w:type="dxa"/>
            <w:tcBorders>
              <w:tl2br w:val="nil"/>
              <w:tr2bl w:val="nil"/>
            </w:tcBorders>
            <w:vAlign w:val="center"/>
          </w:tcPr>
          <w:p w14:paraId="4A7B4A2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58.22</w:t>
            </w:r>
          </w:p>
        </w:tc>
        <w:tc>
          <w:tcPr>
            <w:tcW w:w="410" w:type="dxa"/>
            <w:tcBorders>
              <w:tl2br w:val="nil"/>
              <w:tr2bl w:val="nil"/>
            </w:tcBorders>
            <w:vAlign w:val="center"/>
          </w:tcPr>
          <w:p w14:paraId="76D9154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1.29</w:t>
            </w:r>
          </w:p>
        </w:tc>
        <w:tc>
          <w:tcPr>
            <w:tcW w:w="686" w:type="dxa"/>
            <w:tcBorders>
              <w:tl2br w:val="nil"/>
              <w:tr2bl w:val="nil"/>
            </w:tcBorders>
            <w:vAlign w:val="center"/>
          </w:tcPr>
          <w:p w14:paraId="0111635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365.50</w:t>
            </w:r>
          </w:p>
        </w:tc>
        <w:tc>
          <w:tcPr>
            <w:tcW w:w="617" w:type="dxa"/>
            <w:tcBorders>
              <w:tl2br w:val="nil"/>
              <w:tr2bl w:val="nil"/>
            </w:tcBorders>
            <w:vAlign w:val="center"/>
          </w:tcPr>
          <w:p w14:paraId="131BC1E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64.68</w:t>
            </w:r>
          </w:p>
        </w:tc>
        <w:tc>
          <w:tcPr>
            <w:tcW w:w="617" w:type="dxa"/>
            <w:tcBorders>
              <w:tl2br w:val="nil"/>
              <w:tr2bl w:val="nil"/>
            </w:tcBorders>
            <w:vAlign w:val="center"/>
          </w:tcPr>
          <w:p w14:paraId="2AEAFD4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17.23</w:t>
            </w:r>
          </w:p>
        </w:tc>
        <w:tc>
          <w:tcPr>
            <w:tcW w:w="617" w:type="dxa"/>
            <w:tcBorders>
              <w:tl2br w:val="nil"/>
              <w:tr2bl w:val="nil"/>
            </w:tcBorders>
            <w:vAlign w:val="center"/>
          </w:tcPr>
          <w:p w14:paraId="14039F3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81.91</w:t>
            </w:r>
          </w:p>
        </w:tc>
        <w:tc>
          <w:tcPr>
            <w:tcW w:w="813" w:type="dxa"/>
            <w:tcBorders>
              <w:tl2br w:val="nil"/>
              <w:tr2bl w:val="nil"/>
            </w:tcBorders>
            <w:vAlign w:val="center"/>
          </w:tcPr>
          <w:p w14:paraId="6A00D4D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10.50</w:t>
            </w:r>
          </w:p>
        </w:tc>
      </w:tr>
      <w:tr w:rsidR="002E0859" w14:paraId="6D14A1FB" w14:textId="77777777">
        <w:trPr>
          <w:trHeight w:val="247"/>
        </w:trPr>
        <w:tc>
          <w:tcPr>
            <w:tcW w:w="602" w:type="dxa"/>
            <w:vMerge/>
            <w:tcBorders>
              <w:tl2br w:val="nil"/>
              <w:tr2bl w:val="nil"/>
            </w:tcBorders>
            <w:vAlign w:val="center"/>
          </w:tcPr>
          <w:p w14:paraId="0DA97DFF"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3A534E2B"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斜坡区</w:t>
            </w:r>
          </w:p>
        </w:tc>
        <w:tc>
          <w:tcPr>
            <w:tcW w:w="516" w:type="dxa"/>
            <w:tcBorders>
              <w:tl2br w:val="nil"/>
              <w:tr2bl w:val="nil"/>
            </w:tcBorders>
            <w:vAlign w:val="center"/>
          </w:tcPr>
          <w:p w14:paraId="28EA99B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16.7</w:t>
            </w:r>
          </w:p>
        </w:tc>
        <w:tc>
          <w:tcPr>
            <w:tcW w:w="573" w:type="dxa"/>
            <w:tcBorders>
              <w:tl2br w:val="nil"/>
              <w:tr2bl w:val="nil"/>
            </w:tcBorders>
            <w:vAlign w:val="center"/>
          </w:tcPr>
          <w:p w14:paraId="4B18EAD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83.0</w:t>
            </w:r>
          </w:p>
        </w:tc>
        <w:tc>
          <w:tcPr>
            <w:tcW w:w="628" w:type="dxa"/>
            <w:tcBorders>
              <w:tl2br w:val="nil"/>
              <w:tr2bl w:val="nil"/>
            </w:tcBorders>
            <w:vAlign w:val="center"/>
          </w:tcPr>
          <w:p w14:paraId="15F6D5C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2.58</w:t>
            </w:r>
          </w:p>
        </w:tc>
        <w:tc>
          <w:tcPr>
            <w:tcW w:w="410" w:type="dxa"/>
            <w:tcBorders>
              <w:tl2br w:val="nil"/>
              <w:tr2bl w:val="nil"/>
            </w:tcBorders>
            <w:vAlign w:val="center"/>
          </w:tcPr>
          <w:p w14:paraId="39744E0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4.42</w:t>
            </w:r>
          </w:p>
        </w:tc>
        <w:tc>
          <w:tcPr>
            <w:tcW w:w="552" w:type="dxa"/>
            <w:tcBorders>
              <w:tl2br w:val="nil"/>
              <w:tr2bl w:val="nil"/>
            </w:tcBorders>
            <w:vAlign w:val="center"/>
          </w:tcPr>
          <w:p w14:paraId="3DE1F30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1.28</w:t>
            </w:r>
          </w:p>
        </w:tc>
        <w:tc>
          <w:tcPr>
            <w:tcW w:w="552" w:type="dxa"/>
            <w:tcBorders>
              <w:tl2br w:val="nil"/>
              <w:tr2bl w:val="nil"/>
            </w:tcBorders>
            <w:vAlign w:val="center"/>
          </w:tcPr>
          <w:p w14:paraId="20352BE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57.56</w:t>
            </w:r>
          </w:p>
        </w:tc>
        <w:tc>
          <w:tcPr>
            <w:tcW w:w="410" w:type="dxa"/>
            <w:tcBorders>
              <w:tl2br w:val="nil"/>
              <w:tr2bl w:val="nil"/>
            </w:tcBorders>
            <w:vAlign w:val="center"/>
          </w:tcPr>
          <w:p w14:paraId="32E15CD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1.27</w:t>
            </w:r>
          </w:p>
        </w:tc>
        <w:tc>
          <w:tcPr>
            <w:tcW w:w="686" w:type="dxa"/>
            <w:tcBorders>
              <w:tl2br w:val="nil"/>
              <w:tr2bl w:val="nil"/>
            </w:tcBorders>
            <w:vAlign w:val="center"/>
          </w:tcPr>
          <w:p w14:paraId="0AB4430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352.00</w:t>
            </w:r>
          </w:p>
        </w:tc>
        <w:tc>
          <w:tcPr>
            <w:tcW w:w="617" w:type="dxa"/>
            <w:tcBorders>
              <w:tl2br w:val="nil"/>
              <w:tr2bl w:val="nil"/>
            </w:tcBorders>
            <w:vAlign w:val="center"/>
          </w:tcPr>
          <w:p w14:paraId="407B6A76"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123.14</w:t>
            </w:r>
          </w:p>
        </w:tc>
        <w:tc>
          <w:tcPr>
            <w:tcW w:w="617" w:type="dxa"/>
            <w:tcBorders>
              <w:tl2br w:val="nil"/>
              <w:tr2bl w:val="nil"/>
            </w:tcBorders>
            <w:vAlign w:val="center"/>
          </w:tcPr>
          <w:p w14:paraId="59AFF65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34.29</w:t>
            </w:r>
          </w:p>
        </w:tc>
        <w:tc>
          <w:tcPr>
            <w:tcW w:w="617" w:type="dxa"/>
            <w:tcBorders>
              <w:tl2br w:val="nil"/>
              <w:tr2bl w:val="nil"/>
            </w:tcBorders>
            <w:vAlign w:val="center"/>
          </w:tcPr>
          <w:p w14:paraId="4E89B69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157.44</w:t>
            </w:r>
          </w:p>
        </w:tc>
        <w:tc>
          <w:tcPr>
            <w:tcW w:w="813" w:type="dxa"/>
            <w:tcBorders>
              <w:tl2br w:val="nil"/>
              <w:tr2bl w:val="nil"/>
            </w:tcBorders>
            <w:vAlign w:val="center"/>
          </w:tcPr>
          <w:p w14:paraId="142F13B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9.43</w:t>
            </w:r>
          </w:p>
        </w:tc>
      </w:tr>
      <w:tr w:rsidR="002E0859" w14:paraId="668254E5" w14:textId="77777777">
        <w:trPr>
          <w:trHeight w:val="247"/>
        </w:trPr>
        <w:tc>
          <w:tcPr>
            <w:tcW w:w="602" w:type="dxa"/>
            <w:vMerge/>
            <w:tcBorders>
              <w:tl2br w:val="nil"/>
              <w:tr2bl w:val="nil"/>
            </w:tcBorders>
            <w:vAlign w:val="center"/>
          </w:tcPr>
          <w:p w14:paraId="4B970B1A"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7C91B417"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江中区</w:t>
            </w:r>
          </w:p>
        </w:tc>
        <w:tc>
          <w:tcPr>
            <w:tcW w:w="516" w:type="dxa"/>
            <w:tcBorders>
              <w:tl2br w:val="nil"/>
              <w:tr2bl w:val="nil"/>
            </w:tcBorders>
            <w:vAlign w:val="center"/>
          </w:tcPr>
          <w:p w14:paraId="7CB6D9C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11</w:t>
            </w:r>
          </w:p>
        </w:tc>
        <w:tc>
          <w:tcPr>
            <w:tcW w:w="573" w:type="dxa"/>
            <w:tcBorders>
              <w:tl2br w:val="nil"/>
              <w:tr2bl w:val="nil"/>
            </w:tcBorders>
            <w:vAlign w:val="center"/>
          </w:tcPr>
          <w:p w14:paraId="0DCD983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87.2</w:t>
            </w:r>
          </w:p>
        </w:tc>
        <w:tc>
          <w:tcPr>
            <w:tcW w:w="628" w:type="dxa"/>
            <w:tcBorders>
              <w:tl2br w:val="nil"/>
              <w:tr2bl w:val="nil"/>
            </w:tcBorders>
            <w:vAlign w:val="center"/>
          </w:tcPr>
          <w:p w14:paraId="23551F4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2.60</w:t>
            </w:r>
          </w:p>
        </w:tc>
        <w:tc>
          <w:tcPr>
            <w:tcW w:w="410" w:type="dxa"/>
            <w:tcBorders>
              <w:tl2br w:val="nil"/>
              <w:tr2bl w:val="nil"/>
            </w:tcBorders>
            <w:vAlign w:val="center"/>
          </w:tcPr>
          <w:p w14:paraId="139D50C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4.32</w:t>
            </w:r>
          </w:p>
        </w:tc>
        <w:tc>
          <w:tcPr>
            <w:tcW w:w="552" w:type="dxa"/>
            <w:tcBorders>
              <w:tl2br w:val="nil"/>
              <w:tr2bl w:val="nil"/>
            </w:tcBorders>
            <w:vAlign w:val="center"/>
          </w:tcPr>
          <w:p w14:paraId="1530399C"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1.20</w:t>
            </w:r>
          </w:p>
        </w:tc>
        <w:tc>
          <w:tcPr>
            <w:tcW w:w="552" w:type="dxa"/>
            <w:tcBorders>
              <w:tl2br w:val="nil"/>
              <w:tr2bl w:val="nil"/>
            </w:tcBorders>
            <w:vAlign w:val="center"/>
          </w:tcPr>
          <w:p w14:paraId="761ED74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57.08</w:t>
            </w:r>
          </w:p>
        </w:tc>
        <w:tc>
          <w:tcPr>
            <w:tcW w:w="410" w:type="dxa"/>
            <w:tcBorders>
              <w:tl2br w:val="nil"/>
              <w:tr2bl w:val="nil"/>
            </w:tcBorders>
            <w:vAlign w:val="center"/>
          </w:tcPr>
          <w:p w14:paraId="1836D00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1.09</w:t>
            </w:r>
          </w:p>
        </w:tc>
        <w:tc>
          <w:tcPr>
            <w:tcW w:w="686" w:type="dxa"/>
            <w:tcBorders>
              <w:tl2br w:val="nil"/>
              <w:tr2bl w:val="nil"/>
            </w:tcBorders>
            <w:vAlign w:val="center"/>
          </w:tcPr>
          <w:p w14:paraId="09D7B720"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331.00</w:t>
            </w:r>
          </w:p>
        </w:tc>
        <w:tc>
          <w:tcPr>
            <w:tcW w:w="617" w:type="dxa"/>
            <w:tcBorders>
              <w:tl2br w:val="nil"/>
              <w:tr2bl w:val="nil"/>
            </w:tcBorders>
            <w:vAlign w:val="center"/>
          </w:tcPr>
          <w:p w14:paraId="3398EF8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77.99</w:t>
            </w:r>
          </w:p>
        </w:tc>
        <w:tc>
          <w:tcPr>
            <w:tcW w:w="617" w:type="dxa"/>
            <w:tcBorders>
              <w:tl2br w:val="nil"/>
              <w:tr2bl w:val="nil"/>
            </w:tcBorders>
            <w:vAlign w:val="center"/>
          </w:tcPr>
          <w:p w14:paraId="0D2A3B5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26.70</w:t>
            </w:r>
          </w:p>
        </w:tc>
        <w:tc>
          <w:tcPr>
            <w:tcW w:w="617" w:type="dxa"/>
            <w:tcBorders>
              <w:tl2br w:val="nil"/>
              <w:tr2bl w:val="nil"/>
            </w:tcBorders>
            <w:vAlign w:val="center"/>
          </w:tcPr>
          <w:p w14:paraId="2833CAB5"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104.70</w:t>
            </w:r>
          </w:p>
        </w:tc>
        <w:tc>
          <w:tcPr>
            <w:tcW w:w="813" w:type="dxa"/>
            <w:tcBorders>
              <w:tl2br w:val="nil"/>
              <w:tr2bl w:val="nil"/>
            </w:tcBorders>
            <w:vAlign w:val="center"/>
          </w:tcPr>
          <w:p w14:paraId="65F4418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9.52</w:t>
            </w:r>
          </w:p>
        </w:tc>
      </w:tr>
      <w:tr w:rsidR="002E0859" w14:paraId="3DC06F07" w14:textId="77777777">
        <w:trPr>
          <w:trHeight w:val="249"/>
        </w:trPr>
        <w:tc>
          <w:tcPr>
            <w:tcW w:w="602" w:type="dxa"/>
            <w:vMerge/>
            <w:tcBorders>
              <w:tl2br w:val="nil"/>
              <w:tr2bl w:val="nil"/>
            </w:tcBorders>
            <w:vAlign w:val="center"/>
          </w:tcPr>
          <w:p w14:paraId="30FFBD45" w14:textId="77777777" w:rsidR="002E0859" w:rsidRDefault="002E0859">
            <w:pPr>
              <w:spacing w:line="240" w:lineRule="auto"/>
              <w:ind w:firstLineChars="0" w:firstLine="0"/>
              <w:jc w:val="center"/>
              <w:rPr>
                <w:rFonts w:ascii="Arial"/>
                <w:color w:val="000000" w:themeColor="text1"/>
                <w:sz w:val="21"/>
              </w:rPr>
            </w:pPr>
          </w:p>
        </w:tc>
        <w:tc>
          <w:tcPr>
            <w:tcW w:w="1223" w:type="dxa"/>
            <w:tcBorders>
              <w:tl2br w:val="nil"/>
              <w:tr2bl w:val="nil"/>
            </w:tcBorders>
            <w:vAlign w:val="center"/>
          </w:tcPr>
          <w:p w14:paraId="5E0CBF01"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2"/>
                <w:sz w:val="18"/>
                <w:szCs w:val="18"/>
              </w:rPr>
              <w:t>江南区</w:t>
            </w:r>
          </w:p>
        </w:tc>
        <w:tc>
          <w:tcPr>
            <w:tcW w:w="516" w:type="dxa"/>
            <w:tcBorders>
              <w:tl2br w:val="nil"/>
              <w:tr2bl w:val="nil"/>
            </w:tcBorders>
            <w:vAlign w:val="center"/>
          </w:tcPr>
          <w:p w14:paraId="2A08796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12</w:t>
            </w:r>
          </w:p>
        </w:tc>
        <w:tc>
          <w:tcPr>
            <w:tcW w:w="573" w:type="dxa"/>
            <w:tcBorders>
              <w:tl2br w:val="nil"/>
              <w:tr2bl w:val="nil"/>
            </w:tcBorders>
            <w:vAlign w:val="center"/>
          </w:tcPr>
          <w:p w14:paraId="22256D4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3"/>
                <w:sz w:val="18"/>
                <w:szCs w:val="18"/>
              </w:rPr>
              <w:t>84.2</w:t>
            </w:r>
          </w:p>
        </w:tc>
        <w:tc>
          <w:tcPr>
            <w:tcW w:w="628" w:type="dxa"/>
            <w:tcBorders>
              <w:tl2br w:val="nil"/>
              <w:tr2bl w:val="nil"/>
            </w:tcBorders>
            <w:vAlign w:val="center"/>
          </w:tcPr>
          <w:p w14:paraId="10DE445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2.60</w:t>
            </w:r>
          </w:p>
        </w:tc>
        <w:tc>
          <w:tcPr>
            <w:tcW w:w="410" w:type="dxa"/>
            <w:tcBorders>
              <w:tl2br w:val="nil"/>
              <w:tr2bl w:val="nil"/>
            </w:tcBorders>
            <w:vAlign w:val="center"/>
          </w:tcPr>
          <w:p w14:paraId="39F087A3"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4.62</w:t>
            </w:r>
          </w:p>
        </w:tc>
        <w:tc>
          <w:tcPr>
            <w:tcW w:w="552" w:type="dxa"/>
            <w:tcBorders>
              <w:tl2br w:val="nil"/>
              <w:tr2bl w:val="nil"/>
            </w:tcBorders>
            <w:vAlign w:val="center"/>
          </w:tcPr>
          <w:p w14:paraId="5B903D5F"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1.33</w:t>
            </w:r>
          </w:p>
        </w:tc>
        <w:tc>
          <w:tcPr>
            <w:tcW w:w="552" w:type="dxa"/>
            <w:tcBorders>
              <w:tl2br w:val="nil"/>
              <w:tr2bl w:val="nil"/>
            </w:tcBorders>
            <w:vAlign w:val="center"/>
          </w:tcPr>
          <w:p w14:paraId="478F5874"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57.24</w:t>
            </w:r>
          </w:p>
        </w:tc>
        <w:tc>
          <w:tcPr>
            <w:tcW w:w="410" w:type="dxa"/>
            <w:tcBorders>
              <w:tl2br w:val="nil"/>
              <w:tr2bl w:val="nil"/>
            </w:tcBorders>
            <w:vAlign w:val="center"/>
          </w:tcPr>
          <w:p w14:paraId="6141260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5"/>
                <w:sz w:val="18"/>
                <w:szCs w:val="18"/>
              </w:rPr>
              <w:t>1.09</w:t>
            </w:r>
          </w:p>
        </w:tc>
        <w:tc>
          <w:tcPr>
            <w:tcW w:w="686" w:type="dxa"/>
            <w:tcBorders>
              <w:tl2br w:val="nil"/>
              <w:tr2bl w:val="nil"/>
            </w:tcBorders>
            <w:vAlign w:val="center"/>
          </w:tcPr>
          <w:p w14:paraId="1B5D4DEA"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331.00</w:t>
            </w:r>
          </w:p>
        </w:tc>
        <w:tc>
          <w:tcPr>
            <w:tcW w:w="617" w:type="dxa"/>
            <w:tcBorders>
              <w:tl2br w:val="nil"/>
              <w:tr2bl w:val="nil"/>
            </w:tcBorders>
            <w:vAlign w:val="center"/>
          </w:tcPr>
          <w:p w14:paraId="6582BC48"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87.81</w:t>
            </w:r>
          </w:p>
        </w:tc>
        <w:tc>
          <w:tcPr>
            <w:tcW w:w="617" w:type="dxa"/>
            <w:tcBorders>
              <w:tl2br w:val="nil"/>
              <w:tr2bl w:val="nil"/>
            </w:tcBorders>
            <w:vAlign w:val="center"/>
          </w:tcPr>
          <w:p w14:paraId="637E11C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30.80</w:t>
            </w:r>
          </w:p>
        </w:tc>
        <w:tc>
          <w:tcPr>
            <w:tcW w:w="617" w:type="dxa"/>
            <w:tcBorders>
              <w:tl2br w:val="nil"/>
              <w:tr2bl w:val="nil"/>
            </w:tcBorders>
            <w:vAlign w:val="center"/>
          </w:tcPr>
          <w:p w14:paraId="767D40FB"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118.60</w:t>
            </w:r>
          </w:p>
        </w:tc>
        <w:tc>
          <w:tcPr>
            <w:tcW w:w="813" w:type="dxa"/>
            <w:tcBorders>
              <w:tl2br w:val="nil"/>
              <w:tr2bl w:val="nil"/>
            </w:tcBorders>
            <w:vAlign w:val="center"/>
          </w:tcPr>
          <w:p w14:paraId="3E32CBC7"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9.88</w:t>
            </w:r>
          </w:p>
        </w:tc>
      </w:tr>
      <w:tr w:rsidR="002E0859" w14:paraId="33DDB78B" w14:textId="77777777">
        <w:trPr>
          <w:trHeight w:val="242"/>
        </w:trPr>
        <w:tc>
          <w:tcPr>
            <w:tcW w:w="602" w:type="dxa"/>
            <w:tcBorders>
              <w:tl2br w:val="nil"/>
              <w:tr2bl w:val="nil"/>
            </w:tcBorders>
            <w:vAlign w:val="center"/>
          </w:tcPr>
          <w:p w14:paraId="1A70424D" w14:textId="77777777" w:rsidR="002E0859" w:rsidRDefault="00000000">
            <w:pPr>
              <w:pStyle w:val="TableText"/>
              <w:spacing w:line="240" w:lineRule="auto"/>
              <w:ind w:firstLineChars="0" w:firstLine="0"/>
              <w:jc w:val="center"/>
              <w:rPr>
                <w:color w:val="000000" w:themeColor="text1"/>
                <w:sz w:val="18"/>
                <w:szCs w:val="18"/>
              </w:rPr>
            </w:pPr>
            <w:r>
              <w:rPr>
                <w:color w:val="000000" w:themeColor="text1"/>
                <w:spacing w:val="-3"/>
                <w:sz w:val="18"/>
                <w:szCs w:val="18"/>
              </w:rPr>
              <w:t>①</w:t>
            </w:r>
            <w:r>
              <w:rPr>
                <w:rFonts w:ascii="Times New Roman" w:eastAsia="Times New Roman" w:hAnsi="Times New Roman" w:cs="Times New Roman"/>
                <w:color w:val="000000" w:themeColor="text1"/>
                <w:spacing w:val="-3"/>
                <w:sz w:val="18"/>
                <w:szCs w:val="18"/>
              </w:rPr>
              <w:t>-</w:t>
            </w:r>
            <w:r>
              <w:rPr>
                <w:color w:val="000000" w:themeColor="text1"/>
                <w:spacing w:val="-3"/>
                <w:sz w:val="18"/>
                <w:szCs w:val="18"/>
              </w:rPr>
              <w:t>⑨</w:t>
            </w:r>
          </w:p>
        </w:tc>
        <w:tc>
          <w:tcPr>
            <w:tcW w:w="1223" w:type="dxa"/>
            <w:tcBorders>
              <w:tl2br w:val="nil"/>
              <w:tr2bl w:val="nil"/>
            </w:tcBorders>
            <w:vAlign w:val="center"/>
          </w:tcPr>
          <w:p w14:paraId="5FAC46E2" w14:textId="77777777" w:rsidR="002E0859" w:rsidRDefault="002E0859">
            <w:pPr>
              <w:spacing w:line="240" w:lineRule="auto"/>
              <w:ind w:firstLineChars="0" w:firstLine="0"/>
              <w:jc w:val="center"/>
              <w:rPr>
                <w:rFonts w:ascii="Arial"/>
                <w:color w:val="000000" w:themeColor="text1"/>
                <w:sz w:val="20"/>
              </w:rPr>
            </w:pPr>
          </w:p>
        </w:tc>
        <w:tc>
          <w:tcPr>
            <w:tcW w:w="516" w:type="dxa"/>
            <w:tcBorders>
              <w:tl2br w:val="nil"/>
              <w:tr2bl w:val="nil"/>
            </w:tcBorders>
            <w:vAlign w:val="center"/>
          </w:tcPr>
          <w:p w14:paraId="6F282DCE"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93</w:t>
            </w:r>
          </w:p>
        </w:tc>
        <w:tc>
          <w:tcPr>
            <w:tcW w:w="573" w:type="dxa"/>
            <w:tcBorders>
              <w:tl2br w:val="nil"/>
              <w:tr2bl w:val="nil"/>
            </w:tcBorders>
            <w:vAlign w:val="center"/>
          </w:tcPr>
          <w:p w14:paraId="737232A4" w14:textId="77777777" w:rsidR="002E0859" w:rsidRDefault="002E0859">
            <w:pPr>
              <w:spacing w:line="240" w:lineRule="auto"/>
              <w:ind w:firstLineChars="0" w:firstLine="0"/>
              <w:jc w:val="center"/>
              <w:rPr>
                <w:rFonts w:ascii="Arial"/>
                <w:color w:val="000000" w:themeColor="text1"/>
                <w:sz w:val="20"/>
              </w:rPr>
            </w:pPr>
          </w:p>
        </w:tc>
        <w:tc>
          <w:tcPr>
            <w:tcW w:w="628" w:type="dxa"/>
            <w:tcBorders>
              <w:tl2br w:val="nil"/>
              <w:tr2bl w:val="nil"/>
            </w:tcBorders>
            <w:vAlign w:val="center"/>
          </w:tcPr>
          <w:p w14:paraId="7F0DB2B0" w14:textId="77777777" w:rsidR="002E0859" w:rsidRDefault="002E0859">
            <w:pPr>
              <w:spacing w:line="240" w:lineRule="auto"/>
              <w:ind w:firstLineChars="0" w:firstLine="0"/>
              <w:jc w:val="center"/>
              <w:rPr>
                <w:rFonts w:ascii="Arial"/>
                <w:color w:val="000000" w:themeColor="text1"/>
                <w:sz w:val="20"/>
              </w:rPr>
            </w:pPr>
          </w:p>
        </w:tc>
        <w:tc>
          <w:tcPr>
            <w:tcW w:w="410" w:type="dxa"/>
            <w:tcBorders>
              <w:tl2br w:val="nil"/>
              <w:tr2bl w:val="nil"/>
            </w:tcBorders>
            <w:vAlign w:val="center"/>
          </w:tcPr>
          <w:p w14:paraId="4B8D068B" w14:textId="77777777" w:rsidR="002E0859" w:rsidRDefault="002E0859">
            <w:pPr>
              <w:spacing w:line="240" w:lineRule="auto"/>
              <w:ind w:firstLineChars="0" w:firstLine="0"/>
              <w:jc w:val="center"/>
              <w:rPr>
                <w:rFonts w:ascii="Arial"/>
                <w:color w:val="000000" w:themeColor="text1"/>
                <w:sz w:val="20"/>
              </w:rPr>
            </w:pPr>
          </w:p>
        </w:tc>
        <w:tc>
          <w:tcPr>
            <w:tcW w:w="552" w:type="dxa"/>
            <w:tcBorders>
              <w:tl2br w:val="nil"/>
              <w:tr2bl w:val="nil"/>
            </w:tcBorders>
            <w:vAlign w:val="center"/>
          </w:tcPr>
          <w:p w14:paraId="7C40DF07" w14:textId="77777777" w:rsidR="002E0859" w:rsidRDefault="002E0859">
            <w:pPr>
              <w:spacing w:line="240" w:lineRule="auto"/>
              <w:ind w:firstLineChars="0" w:firstLine="0"/>
              <w:jc w:val="center"/>
              <w:rPr>
                <w:rFonts w:ascii="Arial"/>
                <w:color w:val="000000" w:themeColor="text1"/>
                <w:sz w:val="20"/>
              </w:rPr>
            </w:pPr>
          </w:p>
        </w:tc>
        <w:tc>
          <w:tcPr>
            <w:tcW w:w="552" w:type="dxa"/>
            <w:tcBorders>
              <w:tl2br w:val="nil"/>
              <w:tr2bl w:val="nil"/>
            </w:tcBorders>
            <w:vAlign w:val="center"/>
          </w:tcPr>
          <w:p w14:paraId="5FB91C42" w14:textId="77777777" w:rsidR="002E0859" w:rsidRDefault="002E0859">
            <w:pPr>
              <w:spacing w:line="240" w:lineRule="auto"/>
              <w:ind w:firstLineChars="0" w:firstLine="0"/>
              <w:jc w:val="center"/>
              <w:rPr>
                <w:rFonts w:ascii="Arial"/>
                <w:color w:val="000000" w:themeColor="text1"/>
                <w:sz w:val="20"/>
              </w:rPr>
            </w:pPr>
          </w:p>
        </w:tc>
        <w:tc>
          <w:tcPr>
            <w:tcW w:w="410" w:type="dxa"/>
            <w:tcBorders>
              <w:tl2br w:val="nil"/>
              <w:tr2bl w:val="nil"/>
            </w:tcBorders>
            <w:vAlign w:val="center"/>
          </w:tcPr>
          <w:p w14:paraId="5B7DEE9C" w14:textId="77777777" w:rsidR="002E0859" w:rsidRDefault="002E0859">
            <w:pPr>
              <w:spacing w:line="240" w:lineRule="auto"/>
              <w:ind w:firstLineChars="0" w:firstLine="0"/>
              <w:jc w:val="center"/>
              <w:rPr>
                <w:rFonts w:ascii="Arial"/>
                <w:color w:val="000000" w:themeColor="text1"/>
                <w:sz w:val="20"/>
              </w:rPr>
            </w:pPr>
          </w:p>
        </w:tc>
        <w:tc>
          <w:tcPr>
            <w:tcW w:w="686" w:type="dxa"/>
            <w:tcBorders>
              <w:tl2br w:val="nil"/>
              <w:tr2bl w:val="nil"/>
            </w:tcBorders>
            <w:vAlign w:val="center"/>
          </w:tcPr>
          <w:p w14:paraId="0937C053" w14:textId="77777777" w:rsidR="002E0859" w:rsidRDefault="002E0859">
            <w:pPr>
              <w:spacing w:line="240" w:lineRule="auto"/>
              <w:ind w:firstLineChars="0" w:firstLine="0"/>
              <w:jc w:val="center"/>
              <w:rPr>
                <w:rFonts w:ascii="Arial"/>
                <w:color w:val="000000" w:themeColor="text1"/>
                <w:sz w:val="20"/>
              </w:rPr>
            </w:pPr>
          </w:p>
        </w:tc>
        <w:tc>
          <w:tcPr>
            <w:tcW w:w="617" w:type="dxa"/>
            <w:tcBorders>
              <w:tl2br w:val="nil"/>
              <w:tr2bl w:val="nil"/>
            </w:tcBorders>
            <w:vAlign w:val="center"/>
          </w:tcPr>
          <w:p w14:paraId="3AD9E7F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2"/>
                <w:sz w:val="18"/>
                <w:szCs w:val="18"/>
              </w:rPr>
              <w:t>712</w:t>
            </w:r>
          </w:p>
        </w:tc>
        <w:tc>
          <w:tcPr>
            <w:tcW w:w="617" w:type="dxa"/>
            <w:tcBorders>
              <w:tl2br w:val="nil"/>
              <w:tr2bl w:val="nil"/>
            </w:tcBorders>
            <w:vAlign w:val="center"/>
          </w:tcPr>
          <w:p w14:paraId="54A521A9"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234.14</w:t>
            </w:r>
          </w:p>
        </w:tc>
        <w:tc>
          <w:tcPr>
            <w:tcW w:w="617" w:type="dxa"/>
            <w:tcBorders>
              <w:tl2br w:val="nil"/>
              <w:tr2bl w:val="nil"/>
            </w:tcBorders>
            <w:vAlign w:val="center"/>
          </w:tcPr>
          <w:p w14:paraId="5E0920F1"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1"/>
                <w:sz w:val="18"/>
                <w:szCs w:val="18"/>
              </w:rPr>
              <w:t>946.134</w:t>
            </w:r>
          </w:p>
        </w:tc>
        <w:tc>
          <w:tcPr>
            <w:tcW w:w="813" w:type="dxa"/>
            <w:tcBorders>
              <w:tl2br w:val="nil"/>
              <w:tr2bl w:val="nil"/>
            </w:tcBorders>
            <w:vAlign w:val="center"/>
          </w:tcPr>
          <w:p w14:paraId="1F41A182" w14:textId="77777777" w:rsidR="002E0859" w:rsidRDefault="00000000">
            <w:pPr>
              <w:spacing w:line="240" w:lineRule="auto"/>
              <w:ind w:firstLineChars="0" w:firstLine="0"/>
              <w:jc w:val="center"/>
              <w:rPr>
                <w:rFonts w:eastAsia="Times New Roman"/>
                <w:color w:val="000000" w:themeColor="text1"/>
                <w:sz w:val="18"/>
                <w:szCs w:val="18"/>
              </w:rPr>
            </w:pPr>
            <w:r>
              <w:rPr>
                <w:rFonts w:eastAsia="Times New Roman"/>
                <w:color w:val="000000" w:themeColor="text1"/>
                <w:spacing w:val="-4"/>
                <w:sz w:val="18"/>
                <w:szCs w:val="18"/>
              </w:rPr>
              <w:t>10.17</w:t>
            </w:r>
          </w:p>
        </w:tc>
      </w:tr>
    </w:tbl>
    <w:p w14:paraId="5BD715A1" w14:textId="77777777" w:rsidR="002E0859" w:rsidRDefault="00000000">
      <w:pPr>
        <w:pStyle w:val="2"/>
        <w:keepNext w:val="0"/>
        <w:keepLines w:val="0"/>
        <w:spacing w:before="120" w:after="120" w:line="360" w:lineRule="auto"/>
        <w:jc w:val="center"/>
        <w:rPr>
          <w:color w:val="000000" w:themeColor="text1"/>
        </w:rPr>
      </w:pPr>
      <w:bookmarkStart w:id="27" w:name="_Toc20090"/>
      <w:r>
        <w:rPr>
          <w:rFonts w:hint="eastAsia"/>
          <w:color w:val="000000" w:themeColor="text1"/>
        </w:rPr>
        <w:t>钻井工程</w:t>
      </w:r>
      <w:bookmarkEnd w:id="27"/>
    </w:p>
    <w:p w14:paraId="65659BE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钻井规模及总体要求</w:t>
      </w:r>
    </w:p>
    <w:p w14:paraId="061BB628" w14:textId="77777777" w:rsidR="002E0859" w:rsidRDefault="00000000">
      <w:pPr>
        <w:pStyle w:val="a0"/>
        <w:spacing w:line="360" w:lineRule="auto"/>
        <w:ind w:firstLine="480"/>
        <w:rPr>
          <w:color w:val="000000" w:themeColor="text1"/>
          <w:sz w:val="24"/>
          <w:szCs w:val="24"/>
        </w:rPr>
      </w:pPr>
      <w:r>
        <w:rPr>
          <w:color w:val="000000" w:themeColor="text1"/>
          <w:sz w:val="24"/>
          <w:szCs w:val="24"/>
        </w:rPr>
        <w:t>焦页</w:t>
      </w:r>
      <w:r>
        <w:rPr>
          <w:color w:val="000000" w:themeColor="text1"/>
          <w:sz w:val="24"/>
          <w:szCs w:val="24"/>
        </w:rPr>
        <w:t>90</w:t>
      </w:r>
      <w:r>
        <w:rPr>
          <w:color w:val="000000" w:themeColor="text1"/>
          <w:sz w:val="24"/>
          <w:szCs w:val="24"/>
        </w:rPr>
        <w:t>号评价井组部署平台</w:t>
      </w:r>
      <w:r>
        <w:rPr>
          <w:color w:val="000000" w:themeColor="text1"/>
          <w:sz w:val="24"/>
          <w:szCs w:val="24"/>
        </w:rPr>
        <w:t>1</w:t>
      </w:r>
      <w:r>
        <w:rPr>
          <w:color w:val="000000" w:themeColor="text1"/>
          <w:sz w:val="24"/>
          <w:szCs w:val="24"/>
        </w:rPr>
        <w:t>个，为利用老平台扩建，焦页</w:t>
      </w:r>
      <w:r>
        <w:rPr>
          <w:color w:val="000000" w:themeColor="text1"/>
          <w:sz w:val="24"/>
          <w:szCs w:val="24"/>
        </w:rPr>
        <w:t>90</w:t>
      </w:r>
      <w:r>
        <w:rPr>
          <w:color w:val="000000" w:themeColor="text1"/>
          <w:sz w:val="24"/>
          <w:szCs w:val="24"/>
        </w:rPr>
        <w:t>号平台部署水平井</w:t>
      </w:r>
      <w:r>
        <w:rPr>
          <w:color w:val="000000" w:themeColor="text1"/>
          <w:sz w:val="24"/>
          <w:szCs w:val="24"/>
        </w:rPr>
        <w:t>2</w:t>
      </w:r>
      <w:r>
        <w:rPr>
          <w:color w:val="000000" w:themeColor="text1"/>
          <w:sz w:val="24"/>
          <w:szCs w:val="24"/>
        </w:rPr>
        <w:t>口，总进尺</w:t>
      </w:r>
      <w:r>
        <w:rPr>
          <w:color w:val="000000" w:themeColor="text1"/>
          <w:sz w:val="24"/>
          <w:szCs w:val="24"/>
        </w:rPr>
        <w:t>11720m</w:t>
      </w:r>
      <w:r>
        <w:rPr>
          <w:color w:val="000000" w:themeColor="text1"/>
          <w:sz w:val="24"/>
          <w:szCs w:val="24"/>
        </w:rPr>
        <w:t>，平均完钻井深</w:t>
      </w:r>
      <w:r>
        <w:rPr>
          <w:color w:val="000000" w:themeColor="text1"/>
          <w:sz w:val="24"/>
          <w:szCs w:val="24"/>
        </w:rPr>
        <w:t>5860m</w:t>
      </w:r>
      <w:r>
        <w:rPr>
          <w:color w:val="000000" w:themeColor="text1"/>
          <w:sz w:val="24"/>
          <w:szCs w:val="24"/>
        </w:rPr>
        <w:t>，平均水平段长</w:t>
      </w:r>
      <w:r>
        <w:rPr>
          <w:color w:val="000000" w:themeColor="text1"/>
          <w:sz w:val="24"/>
          <w:szCs w:val="24"/>
        </w:rPr>
        <w:t>1970m</w:t>
      </w:r>
      <w:r>
        <w:rPr>
          <w:color w:val="000000" w:themeColor="text1"/>
          <w:sz w:val="24"/>
          <w:szCs w:val="24"/>
        </w:rPr>
        <w:t>，靶点平均垂深</w:t>
      </w:r>
      <w:r>
        <w:rPr>
          <w:color w:val="000000" w:themeColor="text1"/>
          <w:sz w:val="24"/>
          <w:szCs w:val="24"/>
        </w:rPr>
        <w:t>3770m</w:t>
      </w:r>
      <w:r>
        <w:rPr>
          <w:color w:val="000000" w:themeColor="text1"/>
          <w:sz w:val="24"/>
          <w:szCs w:val="24"/>
        </w:rPr>
        <w:t>，平均钻井周期控制</w:t>
      </w:r>
      <w:r>
        <w:rPr>
          <w:color w:val="000000" w:themeColor="text1"/>
          <w:sz w:val="24"/>
          <w:szCs w:val="24"/>
        </w:rPr>
        <w:t>52d</w:t>
      </w:r>
      <w:r>
        <w:rPr>
          <w:color w:val="000000" w:themeColor="text1"/>
          <w:sz w:val="24"/>
          <w:szCs w:val="24"/>
        </w:rPr>
        <w:t>以内，平均完井周期控制在</w:t>
      </w:r>
      <w:r>
        <w:rPr>
          <w:color w:val="000000" w:themeColor="text1"/>
          <w:sz w:val="24"/>
          <w:szCs w:val="24"/>
        </w:rPr>
        <w:t>62d</w:t>
      </w:r>
      <w:r>
        <w:rPr>
          <w:color w:val="000000" w:themeColor="text1"/>
          <w:sz w:val="24"/>
          <w:szCs w:val="24"/>
        </w:rPr>
        <w:t>以内。</w:t>
      </w:r>
    </w:p>
    <w:p w14:paraId="7027D4F3"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井身结构</w:t>
      </w:r>
    </w:p>
    <w:p w14:paraId="432165DD"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根据平台老井钻井情况，结合出露层位及复杂情况，优化井身结构，本井组采用</w:t>
      </w:r>
      <w:r>
        <w:rPr>
          <w:color w:val="000000" w:themeColor="text1"/>
          <w:sz w:val="24"/>
          <w:szCs w:val="24"/>
        </w:rPr>
        <w:t>“</w:t>
      </w:r>
      <w:r>
        <w:rPr>
          <w:color w:val="000000" w:themeColor="text1"/>
          <w:sz w:val="24"/>
          <w:szCs w:val="24"/>
        </w:rPr>
        <w:t>双导管</w:t>
      </w:r>
      <w:r>
        <w:rPr>
          <w:color w:val="000000" w:themeColor="text1"/>
          <w:sz w:val="24"/>
          <w:szCs w:val="24"/>
        </w:rPr>
        <w:t>+</w:t>
      </w:r>
      <w:r>
        <w:rPr>
          <w:color w:val="000000" w:themeColor="text1"/>
          <w:sz w:val="24"/>
          <w:szCs w:val="24"/>
        </w:rPr>
        <w:t>三开次</w:t>
      </w:r>
      <w:r>
        <w:rPr>
          <w:color w:val="000000" w:themeColor="text1"/>
          <w:sz w:val="24"/>
          <w:szCs w:val="24"/>
        </w:rPr>
        <w:t>”</w:t>
      </w:r>
      <w:r>
        <w:rPr>
          <w:color w:val="000000" w:themeColor="text1"/>
          <w:sz w:val="24"/>
          <w:szCs w:val="24"/>
        </w:rPr>
        <w:t>井身结构。</w:t>
      </w:r>
    </w:p>
    <w:p w14:paraId="734DA53A" w14:textId="77777777" w:rsidR="002E0859" w:rsidRDefault="00000000">
      <w:pPr>
        <w:pStyle w:val="a0"/>
        <w:spacing w:line="360" w:lineRule="auto"/>
        <w:ind w:firstLine="480"/>
        <w:rPr>
          <w:color w:val="000000" w:themeColor="text1"/>
          <w:sz w:val="24"/>
          <w:szCs w:val="24"/>
        </w:rPr>
      </w:pPr>
      <w:r>
        <w:rPr>
          <w:color w:val="000000" w:themeColor="text1"/>
          <w:sz w:val="24"/>
          <w:szCs w:val="24"/>
        </w:rPr>
        <w:t>导管</w:t>
      </w:r>
      <w:r>
        <w:rPr>
          <w:color w:val="000000" w:themeColor="text1"/>
          <w:sz w:val="24"/>
          <w:szCs w:val="24"/>
        </w:rPr>
        <w:t>1</w:t>
      </w:r>
      <w:r>
        <w:rPr>
          <w:color w:val="000000" w:themeColor="text1"/>
          <w:sz w:val="24"/>
          <w:szCs w:val="24"/>
        </w:rPr>
        <w:t>：采用钻前施工提前预埋</w:t>
      </w:r>
      <w:r>
        <w:rPr>
          <w:color w:val="000000" w:themeColor="text1"/>
          <w:sz w:val="24"/>
          <w:szCs w:val="24"/>
        </w:rPr>
        <w:t>Φ508.0mm</w:t>
      </w:r>
      <w:r>
        <w:rPr>
          <w:color w:val="000000" w:themeColor="text1"/>
          <w:sz w:val="24"/>
          <w:szCs w:val="24"/>
        </w:rPr>
        <w:t>螺纹管</w:t>
      </w:r>
      <w:r>
        <w:rPr>
          <w:color w:val="000000" w:themeColor="text1"/>
          <w:sz w:val="24"/>
          <w:szCs w:val="24"/>
        </w:rPr>
        <w:t>30m</w:t>
      </w:r>
      <w:r>
        <w:rPr>
          <w:color w:val="000000" w:themeColor="text1"/>
          <w:sz w:val="24"/>
          <w:szCs w:val="24"/>
        </w:rPr>
        <w:t>（含补心高）左右，要求管鞋必须进入硬地层</w:t>
      </w:r>
      <w:r>
        <w:rPr>
          <w:color w:val="000000" w:themeColor="text1"/>
          <w:sz w:val="24"/>
          <w:szCs w:val="24"/>
        </w:rPr>
        <w:t>5m</w:t>
      </w:r>
      <w:r>
        <w:rPr>
          <w:color w:val="000000" w:themeColor="text1"/>
          <w:sz w:val="24"/>
          <w:szCs w:val="24"/>
        </w:rPr>
        <w:t>以上，建立井口。</w:t>
      </w:r>
    </w:p>
    <w:p w14:paraId="04C88907" w14:textId="77777777" w:rsidR="002E0859" w:rsidRDefault="00000000">
      <w:pPr>
        <w:pStyle w:val="a0"/>
        <w:spacing w:line="360" w:lineRule="auto"/>
        <w:ind w:firstLine="480"/>
        <w:rPr>
          <w:color w:val="000000" w:themeColor="text1"/>
          <w:sz w:val="24"/>
          <w:szCs w:val="24"/>
        </w:rPr>
      </w:pPr>
      <w:r>
        <w:rPr>
          <w:color w:val="000000" w:themeColor="text1"/>
          <w:sz w:val="24"/>
          <w:szCs w:val="24"/>
        </w:rPr>
        <w:t>导管</w:t>
      </w:r>
      <w:r>
        <w:rPr>
          <w:color w:val="000000" w:themeColor="text1"/>
          <w:sz w:val="24"/>
          <w:szCs w:val="24"/>
        </w:rPr>
        <w:t>2</w:t>
      </w:r>
      <w:r>
        <w:rPr>
          <w:color w:val="000000" w:themeColor="text1"/>
          <w:sz w:val="24"/>
          <w:szCs w:val="24"/>
        </w:rPr>
        <w:t>：用</w:t>
      </w:r>
      <w:r>
        <w:rPr>
          <w:color w:val="000000" w:themeColor="text1"/>
          <w:sz w:val="24"/>
          <w:szCs w:val="24"/>
        </w:rPr>
        <w:t>Φ473.1mm</w:t>
      </w:r>
      <w:r>
        <w:rPr>
          <w:color w:val="000000" w:themeColor="text1"/>
          <w:sz w:val="24"/>
          <w:szCs w:val="24"/>
        </w:rPr>
        <w:t>钻头，采用膨润土浆钻进（严禁使用污水），下</w:t>
      </w:r>
      <w:r>
        <w:rPr>
          <w:color w:val="000000" w:themeColor="text1"/>
          <w:sz w:val="24"/>
          <w:szCs w:val="24"/>
        </w:rPr>
        <w:t>406.4mm</w:t>
      </w:r>
      <w:r>
        <w:rPr>
          <w:color w:val="000000" w:themeColor="text1"/>
          <w:sz w:val="24"/>
          <w:szCs w:val="24"/>
        </w:rPr>
        <w:t>导管中完，以封雷二段为原则确定中完深度，若钻遇漏层、适当加深，应保证固井质量，水泥返至地面。</w:t>
      </w:r>
    </w:p>
    <w:p w14:paraId="1C3D74D6" w14:textId="77777777" w:rsidR="002E0859" w:rsidRDefault="00000000">
      <w:pPr>
        <w:pStyle w:val="a0"/>
        <w:spacing w:line="360" w:lineRule="auto"/>
        <w:ind w:firstLine="480"/>
        <w:rPr>
          <w:color w:val="000000" w:themeColor="text1"/>
          <w:sz w:val="24"/>
          <w:szCs w:val="24"/>
        </w:rPr>
      </w:pPr>
      <w:r>
        <w:rPr>
          <w:color w:val="000000" w:themeColor="text1"/>
          <w:sz w:val="24"/>
          <w:szCs w:val="24"/>
        </w:rPr>
        <w:t>一开：用</w:t>
      </w:r>
      <w:r>
        <w:rPr>
          <w:color w:val="000000" w:themeColor="text1"/>
          <w:sz w:val="24"/>
          <w:szCs w:val="24"/>
        </w:rPr>
        <w:t>Φ374.7mm</w:t>
      </w:r>
      <w:r>
        <w:rPr>
          <w:color w:val="000000" w:themeColor="text1"/>
          <w:sz w:val="24"/>
          <w:szCs w:val="24"/>
        </w:rPr>
        <w:t>钻头，采用清水钻进（严禁使用污水）钻穿嘉陵江组地层，下</w:t>
      </w:r>
      <w:r>
        <w:rPr>
          <w:color w:val="000000" w:themeColor="text1"/>
          <w:sz w:val="24"/>
          <w:szCs w:val="24"/>
        </w:rPr>
        <w:t>Φ298.5mm</w:t>
      </w:r>
      <w:r>
        <w:rPr>
          <w:color w:val="000000" w:themeColor="text1"/>
          <w:sz w:val="24"/>
          <w:szCs w:val="24"/>
        </w:rPr>
        <w:t>表层套管中完，以封嘉陵江组等浅表漏失地层为原则确定中完深度，若钻遇漏层、适当加深，应保证固井质量，水泥返至地面。</w:t>
      </w:r>
    </w:p>
    <w:p w14:paraId="7CB7FE6B" w14:textId="77777777" w:rsidR="002E0859" w:rsidRDefault="00000000">
      <w:pPr>
        <w:pStyle w:val="a0"/>
        <w:spacing w:line="360" w:lineRule="auto"/>
        <w:ind w:firstLine="480"/>
        <w:rPr>
          <w:color w:val="000000" w:themeColor="text1"/>
          <w:sz w:val="24"/>
          <w:szCs w:val="24"/>
        </w:rPr>
      </w:pPr>
      <w:r>
        <w:rPr>
          <w:color w:val="000000" w:themeColor="text1"/>
          <w:sz w:val="24"/>
          <w:szCs w:val="24"/>
        </w:rPr>
        <w:t>二开：用</w:t>
      </w:r>
      <w:r>
        <w:rPr>
          <w:color w:val="000000" w:themeColor="text1"/>
          <w:sz w:val="24"/>
          <w:szCs w:val="24"/>
        </w:rPr>
        <w:t>Φ269.9mm</w:t>
      </w:r>
      <w:r>
        <w:rPr>
          <w:color w:val="000000" w:themeColor="text1"/>
          <w:sz w:val="24"/>
          <w:szCs w:val="24"/>
        </w:rPr>
        <w:t>钻头，原则上清水钻井至茅口组底转化为水基钻井液钻井，考虑平台老井钻探情况，优化技套下深，以封固小河坝组为原则，水泥返至地面。</w:t>
      </w:r>
    </w:p>
    <w:p w14:paraId="39A8566B" w14:textId="77777777" w:rsidR="002E0859" w:rsidRDefault="00000000">
      <w:pPr>
        <w:pStyle w:val="a0"/>
        <w:spacing w:line="360" w:lineRule="auto"/>
        <w:ind w:firstLine="480"/>
        <w:rPr>
          <w:color w:val="000000" w:themeColor="text1"/>
          <w:sz w:val="24"/>
          <w:szCs w:val="24"/>
        </w:rPr>
      </w:pPr>
      <w:r>
        <w:rPr>
          <w:color w:val="000000" w:themeColor="text1"/>
          <w:sz w:val="24"/>
          <w:szCs w:val="24"/>
        </w:rPr>
        <w:t>三开：使用</w:t>
      </w:r>
      <w:r>
        <w:rPr>
          <w:color w:val="000000" w:themeColor="text1"/>
          <w:sz w:val="24"/>
          <w:szCs w:val="24"/>
        </w:rPr>
        <w:t>Φ190.5mm</w:t>
      </w:r>
      <w:r>
        <w:rPr>
          <w:color w:val="000000" w:themeColor="text1"/>
          <w:sz w:val="24"/>
          <w:szCs w:val="24"/>
        </w:rPr>
        <w:t>钻头、油基钻井液，完成大斜度井段和水平段钻井作业，下入</w:t>
      </w:r>
      <w:r>
        <w:rPr>
          <w:color w:val="000000" w:themeColor="text1"/>
          <w:sz w:val="24"/>
          <w:szCs w:val="24"/>
        </w:rPr>
        <w:t>Φ139.7mm</w:t>
      </w:r>
      <w:r>
        <w:rPr>
          <w:color w:val="000000" w:themeColor="text1"/>
          <w:sz w:val="24"/>
          <w:szCs w:val="24"/>
        </w:rPr>
        <w:t>套管完井，水泥返地面。</w:t>
      </w:r>
    </w:p>
    <w:p w14:paraId="0A0810FB" w14:textId="77777777" w:rsidR="002E0859" w:rsidRDefault="00000000">
      <w:pPr>
        <w:pStyle w:val="a0"/>
        <w:spacing w:line="360" w:lineRule="auto"/>
        <w:ind w:firstLine="480"/>
        <w:rPr>
          <w:color w:val="000000" w:themeColor="text1"/>
          <w:sz w:val="24"/>
          <w:szCs w:val="24"/>
        </w:rPr>
      </w:pPr>
      <w:r>
        <w:rPr>
          <w:color w:val="000000" w:themeColor="text1"/>
          <w:sz w:val="24"/>
          <w:szCs w:val="24"/>
        </w:rPr>
        <w:t>完井方式：推荐采用带趾端滑套的套管射孔（分段压裂）完井。</w:t>
      </w:r>
    </w:p>
    <w:p w14:paraId="728012F2"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lastRenderedPageBreak/>
        <w:t>表</w:t>
      </w:r>
      <w:r>
        <w:rPr>
          <w:rFonts w:eastAsia="黑体" w:hint="eastAsia"/>
          <w:color w:val="000000" w:themeColor="text1"/>
          <w:sz w:val="21"/>
          <w:szCs w:val="21"/>
        </w:rPr>
        <w:t>2.4</w:t>
      </w:r>
      <w:r>
        <w:rPr>
          <w:rFonts w:eastAsia="黑体"/>
          <w:color w:val="000000" w:themeColor="text1"/>
          <w:sz w:val="21"/>
          <w:szCs w:val="21"/>
        </w:rPr>
        <w:t>-</w:t>
      </w:r>
      <w:r>
        <w:rPr>
          <w:rFonts w:eastAsia="黑体" w:hint="eastAsia"/>
          <w:color w:val="000000" w:themeColor="text1"/>
          <w:sz w:val="21"/>
          <w:szCs w:val="21"/>
        </w:rPr>
        <w:t xml:space="preserve">1 </w:t>
      </w:r>
      <w:r>
        <w:rPr>
          <w:rFonts w:eastAsia="黑体"/>
          <w:color w:val="000000" w:themeColor="text1"/>
          <w:sz w:val="21"/>
          <w:szCs w:val="21"/>
        </w:rPr>
        <w:t>井身结构说明</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081"/>
        <w:gridCol w:w="2230"/>
        <w:gridCol w:w="1999"/>
        <w:gridCol w:w="3840"/>
      </w:tblGrid>
      <w:tr w:rsidR="002E0859" w14:paraId="5406C9C9" w14:textId="77777777">
        <w:trPr>
          <w:trHeight w:val="23"/>
        </w:trPr>
        <w:tc>
          <w:tcPr>
            <w:tcW w:w="618" w:type="pct"/>
            <w:tcBorders>
              <w:tl2br w:val="nil"/>
              <w:tr2bl w:val="nil"/>
            </w:tcBorders>
            <w:vAlign w:val="center"/>
          </w:tcPr>
          <w:p w14:paraId="3663BCBC" w14:textId="77777777" w:rsidR="002E0859" w:rsidRDefault="00000000">
            <w:pPr>
              <w:widowControl/>
              <w:kinsoku w:val="0"/>
              <w:topLinePunct w:val="0"/>
              <w:autoSpaceDE w:val="0"/>
              <w:autoSpaceDN w:val="0"/>
              <w:spacing w:line="240" w:lineRule="auto"/>
              <w:ind w:firstLine="412"/>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2"/>
                <w:kern w:val="0"/>
                <w:sz w:val="21"/>
                <w:szCs w:val="21"/>
                <w:lang w:eastAsia="en-US"/>
              </w:rPr>
              <w:t>开次</w:t>
            </w:r>
          </w:p>
        </w:tc>
        <w:tc>
          <w:tcPr>
            <w:tcW w:w="1246" w:type="pct"/>
            <w:tcBorders>
              <w:tl2br w:val="nil"/>
              <w:tr2bl w:val="nil"/>
            </w:tcBorders>
            <w:vAlign w:val="center"/>
          </w:tcPr>
          <w:p w14:paraId="2B4C44A7" w14:textId="77777777" w:rsidR="002E0859" w:rsidRDefault="00000000">
            <w:pPr>
              <w:widowControl/>
              <w:kinsoku w:val="0"/>
              <w:topLinePunct w:val="0"/>
              <w:autoSpaceDE w:val="0"/>
              <w:autoSpaceDN w:val="0"/>
              <w:spacing w:line="240" w:lineRule="auto"/>
              <w:ind w:firstLine="416"/>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1"/>
                <w:kern w:val="0"/>
                <w:sz w:val="21"/>
                <w:szCs w:val="21"/>
                <w:lang w:eastAsia="en-US"/>
              </w:rPr>
              <w:t>钻头尺寸（mm）</w:t>
            </w:r>
          </w:p>
        </w:tc>
        <w:tc>
          <w:tcPr>
            <w:tcW w:w="1010" w:type="pct"/>
            <w:tcBorders>
              <w:tl2br w:val="nil"/>
              <w:tr2bl w:val="nil"/>
            </w:tcBorders>
            <w:vAlign w:val="center"/>
          </w:tcPr>
          <w:p w14:paraId="27F271AB" w14:textId="77777777" w:rsidR="002E0859" w:rsidRDefault="00000000">
            <w:pPr>
              <w:widowControl/>
              <w:kinsoku w:val="0"/>
              <w:topLinePunct w:val="0"/>
              <w:autoSpaceDE w:val="0"/>
              <w:autoSpaceDN w:val="0"/>
              <w:spacing w:line="240" w:lineRule="auto"/>
              <w:ind w:firstLine="416"/>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1"/>
                <w:kern w:val="0"/>
                <w:sz w:val="21"/>
                <w:szCs w:val="21"/>
                <w:lang w:eastAsia="en-US"/>
              </w:rPr>
              <w:t>套管外径（mm）</w:t>
            </w:r>
          </w:p>
        </w:tc>
        <w:tc>
          <w:tcPr>
            <w:tcW w:w="2124" w:type="pct"/>
            <w:tcBorders>
              <w:tl2br w:val="nil"/>
              <w:tr2bl w:val="nil"/>
            </w:tcBorders>
            <w:vAlign w:val="center"/>
          </w:tcPr>
          <w:p w14:paraId="1AFF6D0A" w14:textId="77777777" w:rsidR="002E0859" w:rsidRDefault="00000000">
            <w:pPr>
              <w:widowControl/>
              <w:kinsoku w:val="0"/>
              <w:topLinePunct w:val="0"/>
              <w:autoSpaceDE w:val="0"/>
              <w:autoSpaceDN w:val="0"/>
              <w:spacing w:line="240" w:lineRule="auto"/>
              <w:ind w:firstLine="408"/>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3"/>
                <w:kern w:val="0"/>
                <w:sz w:val="21"/>
                <w:szCs w:val="21"/>
                <w:lang w:eastAsia="en-US"/>
              </w:rPr>
              <w:t>备注</w:t>
            </w:r>
          </w:p>
        </w:tc>
      </w:tr>
      <w:tr w:rsidR="002E0859" w14:paraId="383160D4" w14:textId="77777777">
        <w:trPr>
          <w:trHeight w:val="23"/>
        </w:trPr>
        <w:tc>
          <w:tcPr>
            <w:tcW w:w="618" w:type="pct"/>
            <w:tcBorders>
              <w:tl2br w:val="nil"/>
              <w:tr2bl w:val="nil"/>
            </w:tcBorders>
            <w:vAlign w:val="center"/>
          </w:tcPr>
          <w:p w14:paraId="237803DB" w14:textId="77777777" w:rsidR="002E0859" w:rsidRDefault="00000000">
            <w:pPr>
              <w:widowControl/>
              <w:kinsoku w:val="0"/>
              <w:topLinePunct w:val="0"/>
              <w:autoSpaceDE w:val="0"/>
              <w:autoSpaceDN w:val="0"/>
              <w:spacing w:line="240" w:lineRule="auto"/>
              <w:ind w:firstLine="408"/>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3"/>
                <w:kern w:val="0"/>
                <w:sz w:val="21"/>
                <w:szCs w:val="21"/>
                <w:lang w:eastAsia="en-US"/>
              </w:rPr>
              <w:t>导管</w:t>
            </w:r>
          </w:p>
        </w:tc>
        <w:tc>
          <w:tcPr>
            <w:tcW w:w="1246" w:type="pct"/>
            <w:tcBorders>
              <w:tl2br w:val="nil"/>
              <w:tr2bl w:val="nil"/>
            </w:tcBorders>
            <w:vAlign w:val="center"/>
          </w:tcPr>
          <w:p w14:paraId="4E38A83F" w14:textId="77777777" w:rsidR="002E0859" w:rsidRDefault="00000000">
            <w:pPr>
              <w:widowControl/>
              <w:kinsoku w:val="0"/>
              <w:topLinePunct w:val="0"/>
              <w:autoSpaceDE w:val="0"/>
              <w:autoSpaceDN w:val="0"/>
              <w:spacing w:line="240" w:lineRule="auto"/>
              <w:ind w:firstLine="416"/>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1"/>
                <w:kern w:val="0"/>
                <w:sz w:val="21"/>
                <w:szCs w:val="21"/>
                <w:lang w:eastAsia="en-US"/>
              </w:rPr>
              <w:t>473.1</w:t>
            </w:r>
          </w:p>
        </w:tc>
        <w:tc>
          <w:tcPr>
            <w:tcW w:w="1010" w:type="pct"/>
            <w:tcBorders>
              <w:tl2br w:val="nil"/>
              <w:tr2bl w:val="nil"/>
            </w:tcBorders>
            <w:vAlign w:val="center"/>
          </w:tcPr>
          <w:p w14:paraId="6E9B61DC" w14:textId="77777777" w:rsidR="002E0859" w:rsidRDefault="00000000">
            <w:pPr>
              <w:widowControl/>
              <w:kinsoku w:val="0"/>
              <w:topLinePunct w:val="0"/>
              <w:autoSpaceDE w:val="0"/>
              <w:autoSpaceDN w:val="0"/>
              <w:spacing w:line="240" w:lineRule="auto"/>
              <w:ind w:firstLine="416"/>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1"/>
                <w:kern w:val="0"/>
                <w:sz w:val="21"/>
                <w:szCs w:val="21"/>
                <w:lang w:eastAsia="en-US"/>
              </w:rPr>
              <w:t>406.4</w:t>
            </w:r>
          </w:p>
        </w:tc>
        <w:tc>
          <w:tcPr>
            <w:tcW w:w="2124" w:type="pct"/>
            <w:tcBorders>
              <w:tl2br w:val="nil"/>
              <w:tr2bl w:val="nil"/>
            </w:tcBorders>
            <w:vAlign w:val="center"/>
          </w:tcPr>
          <w:p w14:paraId="5A06211E" w14:textId="77777777" w:rsidR="002E0859" w:rsidRDefault="00000000">
            <w:pPr>
              <w:widowControl/>
              <w:kinsoku w:val="0"/>
              <w:topLinePunct w:val="0"/>
              <w:autoSpaceDE w:val="0"/>
              <w:autoSpaceDN w:val="0"/>
              <w:spacing w:line="240" w:lineRule="auto"/>
              <w:ind w:firstLine="404"/>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4"/>
                <w:kern w:val="0"/>
                <w:sz w:val="21"/>
                <w:szCs w:val="21"/>
                <w:lang w:eastAsia="en-US"/>
              </w:rPr>
              <w:t>以封雷二段为原则</w:t>
            </w:r>
          </w:p>
        </w:tc>
      </w:tr>
      <w:tr w:rsidR="002E0859" w14:paraId="3C93CF22" w14:textId="77777777">
        <w:trPr>
          <w:trHeight w:val="23"/>
        </w:trPr>
        <w:tc>
          <w:tcPr>
            <w:tcW w:w="618" w:type="pct"/>
            <w:tcBorders>
              <w:tl2br w:val="nil"/>
              <w:tr2bl w:val="nil"/>
            </w:tcBorders>
            <w:vAlign w:val="center"/>
          </w:tcPr>
          <w:p w14:paraId="595C7231" w14:textId="77777777" w:rsidR="002E0859" w:rsidRDefault="00000000">
            <w:pPr>
              <w:widowControl/>
              <w:kinsoku w:val="0"/>
              <w:topLinePunct w:val="0"/>
              <w:autoSpaceDE w:val="0"/>
              <w:autoSpaceDN w:val="0"/>
              <w:spacing w:line="240" w:lineRule="auto"/>
              <w:ind w:firstLine="400"/>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5"/>
                <w:kern w:val="0"/>
                <w:sz w:val="21"/>
                <w:szCs w:val="21"/>
                <w:lang w:eastAsia="en-US"/>
              </w:rPr>
              <w:t>一开</w:t>
            </w:r>
          </w:p>
        </w:tc>
        <w:tc>
          <w:tcPr>
            <w:tcW w:w="1246" w:type="pct"/>
            <w:tcBorders>
              <w:tl2br w:val="nil"/>
              <w:tr2bl w:val="nil"/>
            </w:tcBorders>
            <w:vAlign w:val="center"/>
          </w:tcPr>
          <w:p w14:paraId="4A959F16" w14:textId="77777777" w:rsidR="002E0859" w:rsidRDefault="00000000">
            <w:pPr>
              <w:widowControl/>
              <w:kinsoku w:val="0"/>
              <w:topLinePunct w:val="0"/>
              <w:autoSpaceDE w:val="0"/>
              <w:autoSpaceDN w:val="0"/>
              <w:spacing w:line="240" w:lineRule="auto"/>
              <w:ind w:firstLine="412"/>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2"/>
                <w:kern w:val="0"/>
                <w:sz w:val="21"/>
                <w:szCs w:val="21"/>
                <w:lang w:eastAsia="en-US"/>
              </w:rPr>
              <w:t>374.7</w:t>
            </w:r>
          </w:p>
        </w:tc>
        <w:tc>
          <w:tcPr>
            <w:tcW w:w="1010" w:type="pct"/>
            <w:tcBorders>
              <w:tl2br w:val="nil"/>
              <w:tr2bl w:val="nil"/>
            </w:tcBorders>
            <w:vAlign w:val="center"/>
          </w:tcPr>
          <w:p w14:paraId="6904EE4C" w14:textId="77777777" w:rsidR="002E0859" w:rsidRDefault="00000000">
            <w:pPr>
              <w:widowControl/>
              <w:kinsoku w:val="0"/>
              <w:topLinePunct w:val="0"/>
              <w:autoSpaceDE w:val="0"/>
              <w:autoSpaceDN w:val="0"/>
              <w:spacing w:line="240" w:lineRule="auto"/>
              <w:ind w:firstLine="412"/>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2"/>
                <w:kern w:val="0"/>
                <w:sz w:val="21"/>
                <w:szCs w:val="21"/>
                <w:lang w:eastAsia="en-US"/>
              </w:rPr>
              <w:t>298.5</w:t>
            </w:r>
          </w:p>
        </w:tc>
        <w:tc>
          <w:tcPr>
            <w:tcW w:w="2124" w:type="pct"/>
            <w:tcBorders>
              <w:tl2br w:val="nil"/>
              <w:tr2bl w:val="nil"/>
            </w:tcBorders>
            <w:vAlign w:val="center"/>
          </w:tcPr>
          <w:p w14:paraId="7D36DB9B" w14:textId="77777777" w:rsidR="002E0859" w:rsidRDefault="00000000">
            <w:pPr>
              <w:widowControl/>
              <w:kinsoku w:val="0"/>
              <w:topLinePunct w:val="0"/>
              <w:autoSpaceDE w:val="0"/>
              <w:autoSpaceDN w:val="0"/>
              <w:spacing w:line="240" w:lineRule="auto"/>
              <w:ind w:firstLine="416"/>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1"/>
                <w:kern w:val="0"/>
                <w:sz w:val="21"/>
                <w:szCs w:val="21"/>
                <w:lang w:eastAsia="en-US"/>
              </w:rPr>
              <w:t>封嘉陵江组浅表漏层</w:t>
            </w:r>
          </w:p>
        </w:tc>
      </w:tr>
      <w:tr w:rsidR="002E0859" w14:paraId="776B0000" w14:textId="77777777">
        <w:trPr>
          <w:trHeight w:val="23"/>
        </w:trPr>
        <w:tc>
          <w:tcPr>
            <w:tcW w:w="618" w:type="pct"/>
            <w:tcBorders>
              <w:tl2br w:val="nil"/>
              <w:tr2bl w:val="nil"/>
            </w:tcBorders>
            <w:vAlign w:val="center"/>
          </w:tcPr>
          <w:p w14:paraId="0D7E0EB7" w14:textId="77777777" w:rsidR="002E0859" w:rsidRDefault="00000000">
            <w:pPr>
              <w:widowControl/>
              <w:kinsoku w:val="0"/>
              <w:topLinePunct w:val="0"/>
              <w:autoSpaceDE w:val="0"/>
              <w:autoSpaceDN w:val="0"/>
              <w:spacing w:line="240" w:lineRule="auto"/>
              <w:ind w:firstLine="408"/>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3"/>
                <w:kern w:val="0"/>
                <w:sz w:val="21"/>
                <w:szCs w:val="21"/>
                <w:lang w:eastAsia="en-US"/>
              </w:rPr>
              <w:t>二开</w:t>
            </w:r>
          </w:p>
        </w:tc>
        <w:tc>
          <w:tcPr>
            <w:tcW w:w="1246" w:type="pct"/>
            <w:tcBorders>
              <w:tl2br w:val="nil"/>
              <w:tr2bl w:val="nil"/>
            </w:tcBorders>
            <w:vAlign w:val="center"/>
          </w:tcPr>
          <w:p w14:paraId="38074145" w14:textId="77777777" w:rsidR="002E0859" w:rsidRDefault="00000000">
            <w:pPr>
              <w:widowControl/>
              <w:kinsoku w:val="0"/>
              <w:topLinePunct w:val="0"/>
              <w:autoSpaceDE w:val="0"/>
              <w:autoSpaceDN w:val="0"/>
              <w:spacing w:line="240" w:lineRule="auto"/>
              <w:ind w:firstLine="412"/>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2"/>
                <w:kern w:val="0"/>
                <w:sz w:val="21"/>
                <w:szCs w:val="21"/>
                <w:lang w:eastAsia="en-US"/>
              </w:rPr>
              <w:t>269.9</w:t>
            </w:r>
          </w:p>
        </w:tc>
        <w:tc>
          <w:tcPr>
            <w:tcW w:w="1010" w:type="pct"/>
            <w:tcBorders>
              <w:tl2br w:val="nil"/>
              <w:tr2bl w:val="nil"/>
            </w:tcBorders>
            <w:vAlign w:val="center"/>
          </w:tcPr>
          <w:p w14:paraId="095FD627" w14:textId="77777777" w:rsidR="002E0859" w:rsidRDefault="00000000">
            <w:pPr>
              <w:widowControl/>
              <w:kinsoku w:val="0"/>
              <w:topLinePunct w:val="0"/>
              <w:autoSpaceDE w:val="0"/>
              <w:autoSpaceDN w:val="0"/>
              <w:spacing w:line="240" w:lineRule="auto"/>
              <w:ind w:firstLine="412"/>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2"/>
                <w:kern w:val="0"/>
                <w:sz w:val="21"/>
                <w:szCs w:val="21"/>
                <w:lang w:eastAsia="en-US"/>
              </w:rPr>
              <w:t>219.1</w:t>
            </w:r>
          </w:p>
        </w:tc>
        <w:tc>
          <w:tcPr>
            <w:tcW w:w="2124" w:type="pct"/>
            <w:tcBorders>
              <w:tl2br w:val="nil"/>
              <w:tr2bl w:val="nil"/>
            </w:tcBorders>
            <w:vAlign w:val="center"/>
          </w:tcPr>
          <w:p w14:paraId="3CA740BA" w14:textId="77777777" w:rsidR="002E0859" w:rsidRDefault="00000000">
            <w:pPr>
              <w:widowControl/>
              <w:kinsoku w:val="0"/>
              <w:topLinePunct w:val="0"/>
              <w:autoSpaceDE w:val="0"/>
              <w:autoSpaceDN w:val="0"/>
              <w:spacing w:line="240" w:lineRule="auto"/>
              <w:ind w:firstLine="404"/>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4"/>
                <w:kern w:val="0"/>
                <w:sz w:val="21"/>
                <w:szCs w:val="21"/>
                <w:lang w:eastAsia="en-US"/>
              </w:rPr>
              <w:t>以封小河坝组为原则</w:t>
            </w:r>
          </w:p>
        </w:tc>
      </w:tr>
      <w:tr w:rsidR="002E0859" w14:paraId="12AB9763" w14:textId="77777777">
        <w:trPr>
          <w:trHeight w:val="23"/>
        </w:trPr>
        <w:tc>
          <w:tcPr>
            <w:tcW w:w="618" w:type="pct"/>
            <w:tcBorders>
              <w:tl2br w:val="nil"/>
              <w:tr2bl w:val="nil"/>
            </w:tcBorders>
            <w:vAlign w:val="center"/>
          </w:tcPr>
          <w:p w14:paraId="5EEBF76F" w14:textId="77777777" w:rsidR="002E0859" w:rsidRDefault="00000000">
            <w:pPr>
              <w:widowControl/>
              <w:kinsoku w:val="0"/>
              <w:topLinePunct w:val="0"/>
              <w:autoSpaceDE w:val="0"/>
              <w:autoSpaceDN w:val="0"/>
              <w:spacing w:line="240" w:lineRule="auto"/>
              <w:ind w:firstLine="412"/>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2"/>
                <w:kern w:val="0"/>
                <w:sz w:val="21"/>
                <w:szCs w:val="21"/>
                <w:lang w:eastAsia="en-US"/>
              </w:rPr>
              <w:t>三开</w:t>
            </w:r>
          </w:p>
        </w:tc>
        <w:tc>
          <w:tcPr>
            <w:tcW w:w="1246" w:type="pct"/>
            <w:tcBorders>
              <w:tl2br w:val="nil"/>
              <w:tr2bl w:val="nil"/>
            </w:tcBorders>
            <w:vAlign w:val="center"/>
          </w:tcPr>
          <w:p w14:paraId="1D804BD9" w14:textId="77777777" w:rsidR="002E0859" w:rsidRDefault="00000000">
            <w:pPr>
              <w:widowControl/>
              <w:kinsoku w:val="0"/>
              <w:topLinePunct w:val="0"/>
              <w:autoSpaceDE w:val="0"/>
              <w:autoSpaceDN w:val="0"/>
              <w:spacing w:line="240" w:lineRule="auto"/>
              <w:ind w:firstLine="404"/>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4"/>
                <w:kern w:val="0"/>
                <w:sz w:val="21"/>
                <w:szCs w:val="21"/>
                <w:lang w:eastAsia="en-US"/>
              </w:rPr>
              <w:t>190.5</w:t>
            </w:r>
          </w:p>
        </w:tc>
        <w:tc>
          <w:tcPr>
            <w:tcW w:w="1010" w:type="pct"/>
            <w:tcBorders>
              <w:tl2br w:val="nil"/>
              <w:tr2bl w:val="nil"/>
            </w:tcBorders>
            <w:vAlign w:val="center"/>
          </w:tcPr>
          <w:p w14:paraId="5DEA743C" w14:textId="77777777" w:rsidR="002E0859" w:rsidRDefault="00000000">
            <w:pPr>
              <w:widowControl/>
              <w:kinsoku w:val="0"/>
              <w:topLinePunct w:val="0"/>
              <w:autoSpaceDE w:val="0"/>
              <w:autoSpaceDN w:val="0"/>
              <w:spacing w:line="240" w:lineRule="auto"/>
              <w:ind w:firstLine="404"/>
              <w:jc w:val="center"/>
              <w:textAlignment w:val="baseline"/>
              <w:rPr>
                <w:rFonts w:eastAsia="Times New Roman" w:cs="宋体"/>
                <w:snapToGrid w:val="0"/>
                <w:color w:val="000000" w:themeColor="text1"/>
                <w:kern w:val="0"/>
                <w:sz w:val="21"/>
                <w:szCs w:val="21"/>
                <w:lang w:eastAsia="en-US"/>
              </w:rPr>
            </w:pPr>
            <w:r>
              <w:rPr>
                <w:rFonts w:eastAsia="Times New Roman" w:cs="宋体"/>
                <w:snapToGrid w:val="0"/>
                <w:color w:val="000000" w:themeColor="text1"/>
                <w:spacing w:val="-4"/>
                <w:kern w:val="0"/>
                <w:sz w:val="21"/>
                <w:szCs w:val="21"/>
                <w:lang w:eastAsia="en-US"/>
              </w:rPr>
              <w:t>139.7</w:t>
            </w:r>
          </w:p>
        </w:tc>
        <w:tc>
          <w:tcPr>
            <w:tcW w:w="2124" w:type="pct"/>
            <w:tcBorders>
              <w:tl2br w:val="nil"/>
              <w:tr2bl w:val="nil"/>
            </w:tcBorders>
            <w:vAlign w:val="center"/>
          </w:tcPr>
          <w:p w14:paraId="067A08AD" w14:textId="77777777" w:rsidR="002E0859" w:rsidRDefault="002E0859">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kern w:val="0"/>
                <w:sz w:val="21"/>
                <w:szCs w:val="21"/>
                <w:lang w:eastAsia="en-US"/>
              </w:rPr>
            </w:pPr>
          </w:p>
        </w:tc>
      </w:tr>
    </w:tbl>
    <w:p w14:paraId="5BDB6FD4" w14:textId="77777777" w:rsidR="002E0859" w:rsidRDefault="00000000">
      <w:pPr>
        <w:widowControl/>
        <w:kinsoku w:val="0"/>
        <w:topLinePunct w:val="0"/>
        <w:autoSpaceDE w:val="0"/>
        <w:autoSpaceDN w:val="0"/>
        <w:spacing w:beforeLines="50" w:before="120" w:line="240" w:lineRule="auto"/>
        <w:ind w:firstLine="420"/>
        <w:jc w:val="center"/>
        <w:textAlignment w:val="baseline"/>
        <w:rPr>
          <w:rFonts w:eastAsia="黑体"/>
          <w:color w:val="000000" w:themeColor="text1"/>
          <w:kern w:val="0"/>
          <w:sz w:val="21"/>
          <w:szCs w:val="21"/>
          <w:lang w:eastAsia="en-US"/>
        </w:rPr>
      </w:pPr>
      <w:r>
        <w:rPr>
          <w:rFonts w:eastAsia="黑体"/>
          <w:color w:val="000000" w:themeColor="text1"/>
          <w:kern w:val="0"/>
          <w:sz w:val="21"/>
          <w:szCs w:val="21"/>
          <w:lang w:eastAsia="en-US"/>
        </w:rPr>
        <w:t>表</w:t>
      </w:r>
      <w:r>
        <w:rPr>
          <w:rFonts w:eastAsia="黑体" w:hint="eastAsia"/>
          <w:color w:val="000000" w:themeColor="text1"/>
          <w:kern w:val="0"/>
          <w:sz w:val="21"/>
          <w:szCs w:val="21"/>
        </w:rPr>
        <w:t xml:space="preserve">2.4-2 </w:t>
      </w:r>
      <w:r>
        <w:rPr>
          <w:rFonts w:eastAsia="黑体"/>
          <w:color w:val="000000" w:themeColor="text1"/>
          <w:kern w:val="0"/>
          <w:sz w:val="21"/>
          <w:szCs w:val="21"/>
          <w:lang w:eastAsia="en-US"/>
        </w:rPr>
        <w:t>井身结构设计参数表</w:t>
      </w:r>
    </w:p>
    <w:p w14:paraId="0C5E0112" w14:textId="77777777" w:rsidR="002E0859" w:rsidRDefault="002E0859">
      <w:pPr>
        <w:widowControl/>
        <w:kinsoku w:val="0"/>
        <w:topLinePunct w:val="0"/>
        <w:autoSpaceDE w:val="0"/>
        <w:autoSpaceDN w:val="0"/>
        <w:spacing w:line="46"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9123" w:type="dxa"/>
        <w:tblInd w:w="23"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929"/>
        <w:gridCol w:w="1593"/>
        <w:gridCol w:w="1669"/>
        <w:gridCol w:w="1727"/>
        <w:gridCol w:w="1655"/>
        <w:gridCol w:w="1550"/>
      </w:tblGrid>
      <w:tr w:rsidR="002E0859" w14:paraId="613898A1" w14:textId="77777777">
        <w:trPr>
          <w:trHeight w:val="23"/>
        </w:trPr>
        <w:tc>
          <w:tcPr>
            <w:tcW w:w="929" w:type="dxa"/>
            <w:tcBorders>
              <w:tl2br w:val="nil"/>
              <w:tr2bl w:val="nil"/>
            </w:tcBorders>
            <w:vAlign w:val="center"/>
          </w:tcPr>
          <w:p w14:paraId="0D5BB5FB"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平台</w:t>
            </w:r>
          </w:p>
        </w:tc>
        <w:tc>
          <w:tcPr>
            <w:tcW w:w="1593" w:type="dxa"/>
            <w:tcBorders>
              <w:tl2br w:val="nil"/>
              <w:tr2bl w:val="nil"/>
            </w:tcBorders>
            <w:vAlign w:val="center"/>
          </w:tcPr>
          <w:p w14:paraId="126118A1"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井号</w:t>
            </w:r>
          </w:p>
        </w:tc>
        <w:tc>
          <w:tcPr>
            <w:tcW w:w="1669" w:type="dxa"/>
            <w:tcBorders>
              <w:tl2br w:val="nil"/>
              <w:tr2bl w:val="nil"/>
            </w:tcBorders>
            <w:vAlign w:val="center"/>
          </w:tcPr>
          <w:p w14:paraId="31FAA60A"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水平段长（m）</w:t>
            </w:r>
          </w:p>
        </w:tc>
        <w:tc>
          <w:tcPr>
            <w:tcW w:w="1727" w:type="dxa"/>
            <w:tcBorders>
              <w:tl2br w:val="nil"/>
              <w:tr2bl w:val="nil"/>
            </w:tcBorders>
            <w:vAlign w:val="center"/>
          </w:tcPr>
          <w:p w14:paraId="77C0A765"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表套深度（m）</w:t>
            </w:r>
          </w:p>
        </w:tc>
        <w:tc>
          <w:tcPr>
            <w:tcW w:w="1655" w:type="dxa"/>
            <w:tcBorders>
              <w:tl2br w:val="nil"/>
              <w:tr2bl w:val="nil"/>
            </w:tcBorders>
            <w:vAlign w:val="center"/>
          </w:tcPr>
          <w:p w14:paraId="34E2BEC2"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技套深度（m）</w:t>
            </w:r>
          </w:p>
        </w:tc>
        <w:tc>
          <w:tcPr>
            <w:tcW w:w="1550" w:type="dxa"/>
            <w:tcBorders>
              <w:tl2br w:val="nil"/>
              <w:tr2bl w:val="nil"/>
            </w:tcBorders>
            <w:vAlign w:val="center"/>
          </w:tcPr>
          <w:p w14:paraId="79BCF60F"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技套封固原则</w:t>
            </w:r>
          </w:p>
        </w:tc>
      </w:tr>
      <w:tr w:rsidR="002E0859" w14:paraId="3CEDB376" w14:textId="77777777">
        <w:trPr>
          <w:trHeight w:val="23"/>
        </w:trPr>
        <w:tc>
          <w:tcPr>
            <w:tcW w:w="929" w:type="dxa"/>
            <w:vMerge w:val="restart"/>
            <w:tcBorders>
              <w:tl2br w:val="nil"/>
              <w:tr2bl w:val="nil"/>
            </w:tcBorders>
            <w:vAlign w:val="center"/>
          </w:tcPr>
          <w:p w14:paraId="53444A01"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90号</w:t>
            </w:r>
          </w:p>
        </w:tc>
        <w:tc>
          <w:tcPr>
            <w:tcW w:w="1593" w:type="dxa"/>
            <w:tcBorders>
              <w:tl2br w:val="nil"/>
              <w:tr2bl w:val="nil"/>
            </w:tcBorders>
            <w:vAlign w:val="center"/>
          </w:tcPr>
          <w:p w14:paraId="7DD7E951"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焦页90-5HF</w:t>
            </w:r>
          </w:p>
        </w:tc>
        <w:tc>
          <w:tcPr>
            <w:tcW w:w="1669" w:type="dxa"/>
            <w:tcBorders>
              <w:tl2br w:val="nil"/>
              <w:tr2bl w:val="nil"/>
            </w:tcBorders>
            <w:vAlign w:val="center"/>
          </w:tcPr>
          <w:p w14:paraId="5F1ECA46"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1970</w:t>
            </w:r>
          </w:p>
        </w:tc>
        <w:tc>
          <w:tcPr>
            <w:tcW w:w="1727" w:type="dxa"/>
            <w:tcBorders>
              <w:tl2br w:val="nil"/>
              <w:tr2bl w:val="nil"/>
            </w:tcBorders>
            <w:vAlign w:val="center"/>
          </w:tcPr>
          <w:p w14:paraId="3B42D764"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1350</w:t>
            </w:r>
          </w:p>
        </w:tc>
        <w:tc>
          <w:tcPr>
            <w:tcW w:w="1655" w:type="dxa"/>
            <w:tcBorders>
              <w:tl2br w:val="nil"/>
              <w:tr2bl w:val="nil"/>
            </w:tcBorders>
            <w:vAlign w:val="center"/>
          </w:tcPr>
          <w:p w14:paraId="0E4DE9C1"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3480</w:t>
            </w:r>
          </w:p>
        </w:tc>
        <w:tc>
          <w:tcPr>
            <w:tcW w:w="1550" w:type="dxa"/>
            <w:tcBorders>
              <w:tl2br w:val="nil"/>
              <w:tr2bl w:val="nil"/>
            </w:tcBorders>
            <w:vAlign w:val="center"/>
          </w:tcPr>
          <w:p w14:paraId="5E0D3D18"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封小河坝组</w:t>
            </w:r>
          </w:p>
        </w:tc>
      </w:tr>
      <w:tr w:rsidR="002E0859" w14:paraId="63778B9B" w14:textId="77777777">
        <w:trPr>
          <w:trHeight w:val="23"/>
        </w:trPr>
        <w:tc>
          <w:tcPr>
            <w:tcW w:w="929" w:type="dxa"/>
            <w:vMerge/>
            <w:tcBorders>
              <w:tl2br w:val="nil"/>
              <w:tr2bl w:val="nil"/>
            </w:tcBorders>
            <w:vAlign w:val="center"/>
          </w:tcPr>
          <w:p w14:paraId="060A855F" w14:textId="77777777" w:rsidR="002E0859" w:rsidRDefault="002E0859">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p>
        </w:tc>
        <w:tc>
          <w:tcPr>
            <w:tcW w:w="1593" w:type="dxa"/>
            <w:tcBorders>
              <w:tl2br w:val="nil"/>
              <w:tr2bl w:val="nil"/>
            </w:tcBorders>
            <w:vAlign w:val="center"/>
          </w:tcPr>
          <w:p w14:paraId="5CAB3645"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焦页90-Z1HF</w:t>
            </w:r>
          </w:p>
        </w:tc>
        <w:tc>
          <w:tcPr>
            <w:tcW w:w="1669" w:type="dxa"/>
            <w:tcBorders>
              <w:tl2br w:val="nil"/>
              <w:tr2bl w:val="nil"/>
            </w:tcBorders>
            <w:vAlign w:val="center"/>
          </w:tcPr>
          <w:p w14:paraId="2F4DEE14"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1970</w:t>
            </w:r>
          </w:p>
        </w:tc>
        <w:tc>
          <w:tcPr>
            <w:tcW w:w="1727" w:type="dxa"/>
            <w:tcBorders>
              <w:tl2br w:val="nil"/>
              <w:tr2bl w:val="nil"/>
            </w:tcBorders>
            <w:vAlign w:val="center"/>
          </w:tcPr>
          <w:p w14:paraId="5BB33627"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1350</w:t>
            </w:r>
          </w:p>
        </w:tc>
        <w:tc>
          <w:tcPr>
            <w:tcW w:w="1655" w:type="dxa"/>
            <w:tcBorders>
              <w:tl2br w:val="nil"/>
              <w:tr2bl w:val="nil"/>
            </w:tcBorders>
            <w:vAlign w:val="center"/>
          </w:tcPr>
          <w:p w14:paraId="05315B8D"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3470</w:t>
            </w:r>
          </w:p>
        </w:tc>
        <w:tc>
          <w:tcPr>
            <w:tcW w:w="1550" w:type="dxa"/>
            <w:tcBorders>
              <w:tl2br w:val="nil"/>
              <w:tr2bl w:val="nil"/>
            </w:tcBorders>
            <w:vAlign w:val="center"/>
          </w:tcPr>
          <w:p w14:paraId="5191DA7B" w14:textId="77777777" w:rsidR="002E0859" w:rsidRDefault="00000000">
            <w:pPr>
              <w:widowControl/>
              <w:kinsoku w:val="0"/>
              <w:topLinePunct w:val="0"/>
              <w:autoSpaceDE w:val="0"/>
              <w:autoSpaceDN w:val="0"/>
              <w:spacing w:line="240" w:lineRule="auto"/>
              <w:ind w:firstLineChars="0" w:firstLine="0"/>
              <w:jc w:val="center"/>
              <w:textAlignment w:val="baseline"/>
              <w:rPr>
                <w:rFonts w:eastAsia="Times New Roman" w:cs="宋体"/>
                <w:snapToGrid w:val="0"/>
                <w:color w:val="000000" w:themeColor="text1"/>
                <w:spacing w:val="-2"/>
                <w:kern w:val="0"/>
                <w:sz w:val="21"/>
                <w:szCs w:val="21"/>
                <w:lang w:eastAsia="en-US"/>
              </w:rPr>
            </w:pPr>
            <w:r>
              <w:rPr>
                <w:rFonts w:eastAsia="Times New Roman" w:cs="宋体"/>
                <w:snapToGrid w:val="0"/>
                <w:color w:val="000000" w:themeColor="text1"/>
                <w:spacing w:val="-2"/>
                <w:kern w:val="0"/>
                <w:sz w:val="21"/>
                <w:szCs w:val="21"/>
                <w:lang w:eastAsia="en-US"/>
              </w:rPr>
              <w:t>封小河坝组</w:t>
            </w:r>
          </w:p>
        </w:tc>
      </w:tr>
    </w:tbl>
    <w:p w14:paraId="7C339ADD" w14:textId="77777777" w:rsidR="002E0859" w:rsidRDefault="002E0859">
      <w:pPr>
        <w:spacing w:line="19" w:lineRule="auto"/>
        <w:ind w:firstLine="40"/>
        <w:rPr>
          <w:rFonts w:ascii="Arial"/>
          <w:color w:val="000000" w:themeColor="text1"/>
          <w:sz w:val="2"/>
        </w:rPr>
      </w:pPr>
    </w:p>
    <w:p w14:paraId="62C8FD27" w14:textId="77777777" w:rsidR="002E0859" w:rsidRDefault="00000000">
      <w:pPr>
        <w:pStyle w:val="a8"/>
        <w:spacing w:beforeLines="50" w:before="120" w:line="360" w:lineRule="auto"/>
        <w:ind w:firstLine="42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hint="eastAsia"/>
          <w:color w:val="000000" w:themeColor="text1"/>
          <w:sz w:val="21"/>
          <w:szCs w:val="21"/>
          <w:lang w:eastAsia="zh-CN"/>
        </w:rPr>
        <w:t>表</w:t>
      </w:r>
      <w:r>
        <w:rPr>
          <w:rFonts w:ascii="Times New Roman" w:eastAsia="黑体" w:hAnsi="Times New Roman" w:cs="Times New Roman" w:hint="eastAsia"/>
          <w:color w:val="000000" w:themeColor="text1"/>
          <w:sz w:val="21"/>
          <w:szCs w:val="21"/>
          <w:lang w:eastAsia="zh-CN"/>
        </w:rPr>
        <w:t>2.4-3</w:t>
      </w:r>
      <w:r>
        <w:rPr>
          <w:rFonts w:ascii="Times New Roman" w:eastAsia="黑体" w:hAnsi="Times New Roman" w:cs="Times New Roman" w:hint="eastAsia"/>
          <w:color w:val="000000" w:themeColor="text1"/>
          <w:sz w:val="21"/>
          <w:szCs w:val="21"/>
          <w:lang w:eastAsia="zh-CN"/>
        </w:rPr>
        <w:t>井身结构与地层综合数据（以焦页</w:t>
      </w:r>
      <w:r>
        <w:rPr>
          <w:rFonts w:ascii="Times New Roman" w:eastAsia="黑体" w:hAnsi="Times New Roman" w:cs="Times New Roman" w:hint="eastAsia"/>
          <w:color w:val="000000" w:themeColor="text1"/>
          <w:sz w:val="21"/>
          <w:szCs w:val="21"/>
          <w:lang w:eastAsia="zh-CN"/>
        </w:rPr>
        <w:t>90-5HF</w:t>
      </w:r>
      <w:r>
        <w:rPr>
          <w:rFonts w:ascii="Times New Roman" w:eastAsia="黑体" w:hAnsi="Times New Roman" w:cs="Times New Roman" w:hint="eastAsia"/>
          <w:color w:val="000000" w:themeColor="text1"/>
          <w:sz w:val="21"/>
          <w:szCs w:val="21"/>
          <w:lang w:eastAsia="zh-CN"/>
        </w:rPr>
        <w:t>为例）</w:t>
      </w:r>
    </w:p>
    <w:tbl>
      <w:tblPr>
        <w:tblStyle w:val="TableNormal"/>
        <w:tblW w:w="502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371"/>
        <w:gridCol w:w="589"/>
        <w:gridCol w:w="438"/>
        <w:gridCol w:w="643"/>
        <w:gridCol w:w="674"/>
        <w:gridCol w:w="317"/>
        <w:gridCol w:w="1011"/>
        <w:gridCol w:w="1011"/>
        <w:gridCol w:w="958"/>
        <w:gridCol w:w="3195"/>
      </w:tblGrid>
      <w:tr w:rsidR="002E0859" w14:paraId="56F0675C" w14:textId="77777777">
        <w:trPr>
          <w:trHeight w:val="23"/>
        </w:trPr>
        <w:tc>
          <w:tcPr>
            <w:tcW w:w="1109" w:type="pct"/>
            <w:gridSpan w:val="4"/>
            <w:tcBorders>
              <w:tl2br w:val="nil"/>
              <w:tr2bl w:val="nil"/>
            </w:tcBorders>
            <w:vAlign w:val="center"/>
          </w:tcPr>
          <w:p w14:paraId="53A4BE8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地层</w:t>
            </w:r>
          </w:p>
        </w:tc>
        <w:tc>
          <w:tcPr>
            <w:tcW w:w="366" w:type="pct"/>
            <w:vMerge w:val="restart"/>
            <w:tcBorders>
              <w:tl2br w:val="nil"/>
              <w:tr2bl w:val="nil"/>
            </w:tcBorders>
            <w:vAlign w:val="center"/>
          </w:tcPr>
          <w:p w14:paraId="722DF01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预测地层压</w:t>
            </w:r>
            <w:r>
              <w:rPr>
                <w:snapToGrid w:val="0"/>
                <w:color w:val="000000" w:themeColor="text1"/>
                <w:kern w:val="0"/>
                <w:sz w:val="21"/>
                <w:szCs w:val="21"/>
                <w:lang w:eastAsia="en-US"/>
              </w:rPr>
              <w:t>力</w:t>
            </w:r>
          </w:p>
        </w:tc>
        <w:tc>
          <w:tcPr>
            <w:tcW w:w="172" w:type="pct"/>
            <w:vMerge w:val="restart"/>
            <w:tcBorders>
              <w:tl2br w:val="nil"/>
              <w:tr2bl w:val="nil"/>
            </w:tcBorders>
            <w:vAlign w:val="center"/>
          </w:tcPr>
          <w:p w14:paraId="6760CB9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开钻</w:t>
            </w:r>
            <w:r>
              <w:rPr>
                <w:snapToGrid w:val="0"/>
                <w:color w:val="000000" w:themeColor="text1"/>
                <w:spacing w:val="-6"/>
                <w:kern w:val="0"/>
                <w:sz w:val="21"/>
                <w:szCs w:val="21"/>
                <w:lang w:eastAsia="en-US"/>
              </w:rPr>
              <w:t>次数</w:t>
            </w:r>
          </w:p>
        </w:tc>
        <w:tc>
          <w:tcPr>
            <w:tcW w:w="548" w:type="pct"/>
            <w:vMerge w:val="restart"/>
            <w:tcBorders>
              <w:tl2br w:val="nil"/>
              <w:tr2bl w:val="nil"/>
            </w:tcBorders>
            <w:vAlign w:val="center"/>
          </w:tcPr>
          <w:p w14:paraId="077052D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钻头直径</w:t>
            </w:r>
            <w:r>
              <w:rPr>
                <w:snapToGrid w:val="0"/>
                <w:color w:val="000000" w:themeColor="text1"/>
                <w:spacing w:val="-2"/>
                <w:kern w:val="0"/>
                <w:sz w:val="21"/>
                <w:szCs w:val="21"/>
                <w:lang w:eastAsia="en-US"/>
              </w:rPr>
              <w:t>mm</w:t>
            </w:r>
            <w:r>
              <w:rPr>
                <w:snapToGrid w:val="0"/>
                <w:color w:val="000000" w:themeColor="text1"/>
                <w:spacing w:val="-10"/>
                <w:kern w:val="0"/>
                <w:sz w:val="21"/>
                <w:szCs w:val="21"/>
                <w:lang w:eastAsia="en-US"/>
              </w:rPr>
              <w:t>×</w:t>
            </w:r>
            <w:r>
              <w:rPr>
                <w:snapToGrid w:val="0"/>
                <w:color w:val="000000" w:themeColor="text1"/>
                <w:spacing w:val="-10"/>
                <w:kern w:val="0"/>
                <w:sz w:val="21"/>
                <w:szCs w:val="21"/>
                <w:lang w:eastAsia="en-US"/>
              </w:rPr>
              <w:t>钻深</w:t>
            </w:r>
            <w:r>
              <w:rPr>
                <w:snapToGrid w:val="0"/>
                <w:color w:val="000000" w:themeColor="text1"/>
                <w:spacing w:val="-10"/>
                <w:kern w:val="0"/>
                <w:sz w:val="21"/>
                <w:szCs w:val="21"/>
                <w:lang w:eastAsia="en-US"/>
              </w:rPr>
              <w:t>m</w:t>
            </w:r>
          </w:p>
        </w:tc>
        <w:tc>
          <w:tcPr>
            <w:tcW w:w="548" w:type="pct"/>
            <w:vMerge w:val="restart"/>
            <w:tcBorders>
              <w:tl2br w:val="nil"/>
              <w:tr2bl w:val="nil"/>
            </w:tcBorders>
            <w:vAlign w:val="center"/>
          </w:tcPr>
          <w:p w14:paraId="7B264E1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套管直径</w:t>
            </w:r>
            <w:r>
              <w:rPr>
                <w:snapToGrid w:val="0"/>
                <w:color w:val="000000" w:themeColor="text1"/>
                <w:spacing w:val="-2"/>
                <w:kern w:val="0"/>
                <w:sz w:val="21"/>
                <w:szCs w:val="21"/>
                <w:lang w:eastAsia="en-US"/>
              </w:rPr>
              <w:t>mm</w:t>
            </w:r>
            <w:r>
              <w:rPr>
                <w:snapToGrid w:val="0"/>
                <w:color w:val="000000" w:themeColor="text1"/>
                <w:spacing w:val="-10"/>
                <w:kern w:val="0"/>
                <w:sz w:val="21"/>
                <w:szCs w:val="21"/>
                <w:lang w:eastAsia="en-US"/>
              </w:rPr>
              <w:t>×</w:t>
            </w:r>
            <w:r>
              <w:rPr>
                <w:snapToGrid w:val="0"/>
                <w:color w:val="000000" w:themeColor="text1"/>
                <w:spacing w:val="-10"/>
                <w:kern w:val="0"/>
                <w:sz w:val="21"/>
                <w:szCs w:val="21"/>
                <w:lang w:eastAsia="en-US"/>
              </w:rPr>
              <w:t>下深</w:t>
            </w:r>
            <w:r>
              <w:rPr>
                <w:snapToGrid w:val="0"/>
                <w:color w:val="000000" w:themeColor="text1"/>
                <w:spacing w:val="-10"/>
                <w:kern w:val="0"/>
                <w:sz w:val="21"/>
                <w:szCs w:val="21"/>
                <w:lang w:eastAsia="en-US"/>
              </w:rPr>
              <w:t>m</w:t>
            </w:r>
          </w:p>
        </w:tc>
        <w:tc>
          <w:tcPr>
            <w:tcW w:w="520" w:type="pct"/>
            <w:vMerge w:val="restart"/>
            <w:tcBorders>
              <w:tl2br w:val="nil"/>
              <w:tr2bl w:val="nil"/>
            </w:tcBorders>
            <w:vAlign w:val="center"/>
          </w:tcPr>
          <w:p w14:paraId="078F396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钻井方式</w:t>
            </w:r>
          </w:p>
        </w:tc>
        <w:tc>
          <w:tcPr>
            <w:tcW w:w="1734" w:type="pct"/>
            <w:vMerge w:val="restart"/>
            <w:tcBorders>
              <w:tl2br w:val="nil"/>
              <w:tr2bl w:val="nil"/>
            </w:tcBorders>
            <w:vAlign w:val="center"/>
          </w:tcPr>
          <w:p w14:paraId="1C99E4E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井身结构</w:t>
            </w:r>
          </w:p>
        </w:tc>
      </w:tr>
      <w:tr w:rsidR="002E0859" w14:paraId="5C6ED7C6" w14:textId="77777777">
        <w:trPr>
          <w:trHeight w:val="23"/>
        </w:trPr>
        <w:tc>
          <w:tcPr>
            <w:tcW w:w="202" w:type="pct"/>
            <w:tcBorders>
              <w:tl2br w:val="nil"/>
              <w:tr2bl w:val="nil"/>
            </w:tcBorders>
            <w:vAlign w:val="center"/>
          </w:tcPr>
          <w:p w14:paraId="5FBA19A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系</w:t>
            </w:r>
          </w:p>
        </w:tc>
        <w:tc>
          <w:tcPr>
            <w:tcW w:w="320" w:type="pct"/>
            <w:tcBorders>
              <w:tl2br w:val="nil"/>
              <w:tr2bl w:val="nil"/>
            </w:tcBorders>
            <w:vAlign w:val="center"/>
          </w:tcPr>
          <w:p w14:paraId="0176DE5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组</w:t>
            </w:r>
          </w:p>
        </w:tc>
        <w:tc>
          <w:tcPr>
            <w:tcW w:w="238" w:type="pct"/>
            <w:tcBorders>
              <w:tl2br w:val="nil"/>
              <w:tr2bl w:val="nil"/>
            </w:tcBorders>
            <w:vAlign w:val="center"/>
          </w:tcPr>
          <w:p w14:paraId="483D15DC" w14:textId="77777777" w:rsidR="002E0859" w:rsidRDefault="00000000">
            <w:pPr>
              <w:widowControl/>
              <w:kinsoku w:val="0"/>
              <w:topLinePunct w:val="0"/>
              <w:autoSpaceDE w:val="0"/>
              <w:autoSpaceDN w:val="0"/>
              <w:spacing w:line="240" w:lineRule="auto"/>
              <w:ind w:firstLineChars="0" w:firstLine="0"/>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代号</w:t>
            </w:r>
          </w:p>
        </w:tc>
        <w:tc>
          <w:tcPr>
            <w:tcW w:w="348" w:type="pct"/>
            <w:tcBorders>
              <w:tl2br w:val="nil"/>
              <w:tr2bl w:val="nil"/>
            </w:tcBorders>
            <w:vAlign w:val="center"/>
          </w:tcPr>
          <w:p w14:paraId="6A7C79B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底界深</w:t>
            </w:r>
            <w:r>
              <w:rPr>
                <w:snapToGrid w:val="0"/>
                <w:color w:val="000000" w:themeColor="text1"/>
                <w:spacing w:val="-10"/>
                <w:kern w:val="0"/>
                <w:sz w:val="21"/>
                <w:szCs w:val="21"/>
                <w:lang w:eastAsia="en-US"/>
              </w:rPr>
              <w:t>(m)</w:t>
            </w:r>
          </w:p>
        </w:tc>
        <w:tc>
          <w:tcPr>
            <w:tcW w:w="366" w:type="pct"/>
            <w:vMerge/>
            <w:tcBorders>
              <w:tl2br w:val="nil"/>
              <w:tr2bl w:val="nil"/>
            </w:tcBorders>
            <w:vAlign w:val="center"/>
          </w:tcPr>
          <w:p w14:paraId="4456D3F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520DE30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79CB3D8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0504A13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1DAA6D5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2E32583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1389313" w14:textId="77777777">
        <w:trPr>
          <w:trHeight w:val="23"/>
        </w:trPr>
        <w:tc>
          <w:tcPr>
            <w:tcW w:w="202" w:type="pct"/>
            <w:vMerge w:val="restart"/>
            <w:tcBorders>
              <w:tl2br w:val="nil"/>
              <w:tr2bl w:val="nil"/>
            </w:tcBorders>
            <w:vAlign w:val="center"/>
          </w:tcPr>
          <w:p w14:paraId="23589DB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三叠</w:t>
            </w:r>
          </w:p>
        </w:tc>
        <w:tc>
          <w:tcPr>
            <w:tcW w:w="320" w:type="pct"/>
            <w:vMerge w:val="restart"/>
            <w:tcBorders>
              <w:tl2br w:val="nil"/>
              <w:tr2bl w:val="nil"/>
            </w:tcBorders>
            <w:vAlign w:val="center"/>
          </w:tcPr>
          <w:p w14:paraId="19A69C8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须家河</w:t>
            </w:r>
            <w:r>
              <w:rPr>
                <w:snapToGrid w:val="0"/>
                <w:color w:val="000000" w:themeColor="text1"/>
                <w:kern w:val="0"/>
                <w:sz w:val="21"/>
                <w:szCs w:val="21"/>
                <w:lang w:eastAsia="en-US"/>
              </w:rPr>
              <w:t>组</w:t>
            </w:r>
          </w:p>
        </w:tc>
        <w:tc>
          <w:tcPr>
            <w:tcW w:w="238" w:type="pct"/>
            <w:vMerge w:val="restart"/>
            <w:tcBorders>
              <w:tl2br w:val="nil"/>
              <w:tr2bl w:val="nil"/>
            </w:tcBorders>
            <w:vAlign w:val="center"/>
          </w:tcPr>
          <w:p w14:paraId="27D0430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T</w:t>
            </w:r>
            <w:r>
              <w:rPr>
                <w:snapToGrid w:val="0"/>
                <w:color w:val="000000" w:themeColor="text1"/>
                <w:spacing w:val="-2"/>
                <w:kern w:val="0"/>
                <w:sz w:val="11"/>
                <w:szCs w:val="11"/>
                <w:lang w:eastAsia="en-US"/>
              </w:rPr>
              <w:t>3</w:t>
            </w:r>
            <w:r>
              <w:rPr>
                <w:snapToGrid w:val="0"/>
                <w:color w:val="000000" w:themeColor="text1"/>
                <w:spacing w:val="-2"/>
                <w:kern w:val="0"/>
                <w:sz w:val="21"/>
                <w:szCs w:val="21"/>
                <w:lang w:eastAsia="en-US"/>
              </w:rPr>
              <w:t>x</w:t>
            </w:r>
          </w:p>
        </w:tc>
        <w:tc>
          <w:tcPr>
            <w:tcW w:w="348" w:type="pct"/>
            <w:vMerge w:val="restart"/>
            <w:tcBorders>
              <w:tl2br w:val="nil"/>
              <w:tr2bl w:val="nil"/>
            </w:tcBorders>
            <w:vAlign w:val="center"/>
          </w:tcPr>
          <w:p w14:paraId="7BA86F2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205</w:t>
            </w:r>
          </w:p>
        </w:tc>
        <w:tc>
          <w:tcPr>
            <w:tcW w:w="366" w:type="pct"/>
            <w:vMerge w:val="restart"/>
            <w:tcBorders>
              <w:tl2br w:val="nil"/>
              <w:tr2bl w:val="nil"/>
            </w:tcBorders>
            <w:vAlign w:val="center"/>
          </w:tcPr>
          <w:p w14:paraId="07BC546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0.85</w:t>
            </w:r>
            <w:r>
              <w:rPr>
                <w:snapToGrid w:val="0"/>
                <w:color w:val="000000" w:themeColor="text1"/>
                <w:spacing w:val="-1"/>
                <w:kern w:val="0"/>
                <w:sz w:val="21"/>
                <w:szCs w:val="21"/>
                <w:lang w:eastAsia="en-US"/>
              </w:rPr>
              <w:t>～</w:t>
            </w:r>
            <w:r>
              <w:rPr>
                <w:snapToGrid w:val="0"/>
                <w:color w:val="000000" w:themeColor="text1"/>
                <w:spacing w:val="-1"/>
                <w:kern w:val="0"/>
                <w:sz w:val="21"/>
                <w:szCs w:val="21"/>
                <w:lang w:eastAsia="en-US"/>
              </w:rPr>
              <w:t>0.95</w:t>
            </w:r>
          </w:p>
        </w:tc>
        <w:tc>
          <w:tcPr>
            <w:tcW w:w="172" w:type="pct"/>
            <w:vMerge w:val="restart"/>
            <w:tcBorders>
              <w:tl2br w:val="nil"/>
              <w:tr2bl w:val="nil"/>
            </w:tcBorders>
            <w:vAlign w:val="center"/>
          </w:tcPr>
          <w:p w14:paraId="5EFEC05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导管</w:t>
            </w:r>
          </w:p>
        </w:tc>
        <w:tc>
          <w:tcPr>
            <w:tcW w:w="548" w:type="pct"/>
            <w:tcBorders>
              <w:tl2br w:val="nil"/>
              <w:tr2bl w:val="nil"/>
            </w:tcBorders>
            <w:vAlign w:val="center"/>
          </w:tcPr>
          <w:p w14:paraId="6E26C4E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609.6×30</w:t>
            </w:r>
          </w:p>
        </w:tc>
        <w:tc>
          <w:tcPr>
            <w:tcW w:w="548" w:type="pct"/>
            <w:tcBorders>
              <w:tl2br w:val="nil"/>
              <w:tr2bl w:val="nil"/>
            </w:tcBorders>
            <w:vAlign w:val="center"/>
          </w:tcPr>
          <w:p w14:paraId="605C4A8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508.0×30</w:t>
            </w:r>
          </w:p>
        </w:tc>
        <w:tc>
          <w:tcPr>
            <w:tcW w:w="520" w:type="pct"/>
            <w:vMerge w:val="restart"/>
            <w:tcBorders>
              <w:tl2br w:val="nil"/>
              <w:tr2bl w:val="nil"/>
            </w:tcBorders>
            <w:vAlign w:val="center"/>
          </w:tcPr>
          <w:p w14:paraId="4FA2EB1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膨润土</w:t>
            </w:r>
            <w:r>
              <w:rPr>
                <w:snapToGrid w:val="0"/>
                <w:color w:val="000000" w:themeColor="text1"/>
                <w:kern w:val="0"/>
                <w:sz w:val="21"/>
                <w:szCs w:val="21"/>
                <w:lang w:eastAsia="en-US"/>
              </w:rPr>
              <w:t>浆</w:t>
            </w:r>
          </w:p>
        </w:tc>
        <w:tc>
          <w:tcPr>
            <w:tcW w:w="1734" w:type="pct"/>
            <w:vMerge w:val="restart"/>
            <w:tcBorders>
              <w:tl2br w:val="nil"/>
              <w:tr2bl w:val="nil"/>
            </w:tcBorders>
            <w:vAlign w:val="center"/>
          </w:tcPr>
          <w:p w14:paraId="38219BF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7C69E91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061FE95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11470A9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6D6D285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0FB1F01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3853A14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7B5E15B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noProof/>
                <w:color w:val="000000" w:themeColor="text1"/>
              </w:rPr>
              <w:drawing>
                <wp:anchor distT="0" distB="0" distL="0" distR="0" simplePos="0" relativeHeight="251662336" behindDoc="1" locked="0" layoutInCell="1" allowOverlap="1" wp14:anchorId="01C3D48D" wp14:editId="50BDDB18">
                  <wp:simplePos x="0" y="0"/>
                  <wp:positionH relativeFrom="rightMargin">
                    <wp:posOffset>-1769110</wp:posOffset>
                  </wp:positionH>
                  <wp:positionV relativeFrom="topMargin">
                    <wp:posOffset>111760</wp:posOffset>
                  </wp:positionV>
                  <wp:extent cx="1676400" cy="3110230"/>
                  <wp:effectExtent l="0" t="0" r="0" b="1397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18"/>
                          <a:stretch>
                            <a:fillRect/>
                          </a:stretch>
                        </pic:blipFill>
                        <pic:spPr>
                          <a:xfrm>
                            <a:off x="0" y="0"/>
                            <a:ext cx="1676400" cy="3110230"/>
                          </a:xfrm>
                          <a:prstGeom prst="rect">
                            <a:avLst/>
                          </a:prstGeom>
                        </pic:spPr>
                      </pic:pic>
                    </a:graphicData>
                  </a:graphic>
                </wp:anchor>
              </w:drawing>
            </w:r>
          </w:p>
          <w:p w14:paraId="6374559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0105482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42AE752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39D2649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5768E17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6D9EADC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7B7DAEC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1FA7733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75FB09B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3AB0DFC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2E8528D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457D64C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768FEC7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0A70CBE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244B623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7B03B72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p w14:paraId="5895ADC7" w14:textId="77777777" w:rsidR="002E0859" w:rsidRDefault="00000000">
            <w:pPr>
              <w:widowControl/>
              <w:kinsoku w:val="0"/>
              <w:topLinePunct w:val="0"/>
              <w:autoSpaceDE w:val="0"/>
              <w:autoSpaceDN w:val="0"/>
              <w:spacing w:line="240" w:lineRule="auto"/>
              <w:ind w:firstLineChars="0" w:firstLine="0"/>
              <w:textAlignment w:val="baseline"/>
              <w:rPr>
                <w:snapToGrid w:val="0"/>
                <w:color w:val="000000" w:themeColor="text1"/>
                <w:kern w:val="0"/>
                <w:sz w:val="21"/>
                <w:szCs w:val="21"/>
                <w:lang w:eastAsia="en-US"/>
              </w:rPr>
            </w:pPr>
            <w:r>
              <w:rPr>
                <w:noProof/>
                <w:snapToGrid w:val="0"/>
                <w:color w:val="000000" w:themeColor="text1"/>
                <w:kern w:val="0"/>
                <w:sz w:val="21"/>
                <w:szCs w:val="21"/>
                <w:lang w:eastAsia="en-US"/>
              </w:rPr>
              <mc:AlternateContent>
                <mc:Choice Requires="wps">
                  <w:drawing>
                    <wp:anchor distT="0" distB="0" distL="114300" distR="114300" simplePos="0" relativeHeight="251663360" behindDoc="0" locked="0" layoutInCell="1" allowOverlap="1" wp14:anchorId="1E8B1891" wp14:editId="593A2BEB">
                      <wp:simplePos x="0" y="0"/>
                      <wp:positionH relativeFrom="rightMargin">
                        <wp:posOffset>-838200</wp:posOffset>
                      </wp:positionH>
                      <wp:positionV relativeFrom="page">
                        <wp:posOffset>3296920</wp:posOffset>
                      </wp:positionV>
                      <wp:extent cx="612775" cy="243840"/>
                      <wp:effectExtent l="0" t="0" r="0" b="0"/>
                      <wp:wrapTopAndBottom/>
                      <wp:docPr id="23" name="文本框 23"/>
                      <wp:cNvGraphicFramePr/>
                      <a:graphic xmlns:a="http://schemas.openxmlformats.org/drawingml/2006/main">
                        <a:graphicData uri="http://schemas.microsoft.com/office/word/2010/wordprocessingShape">
                          <wps:wsp>
                            <wps:cNvSpPr txBox="1"/>
                            <wps:spPr>
                              <a:xfrm>
                                <a:off x="0" y="0"/>
                                <a:ext cx="612775" cy="243840"/>
                              </a:xfrm>
                              <a:prstGeom prst="rect">
                                <a:avLst/>
                              </a:prstGeom>
                              <a:noFill/>
                              <a:ln>
                                <a:noFill/>
                              </a:ln>
                            </wps:spPr>
                            <wps:txbx>
                              <w:txbxContent>
                                <w:p w14:paraId="261C2EF7" w14:textId="77777777" w:rsidR="002E0859" w:rsidRDefault="002E0859">
                                  <w:pPr>
                                    <w:widowControl/>
                                    <w:kinsoku w:val="0"/>
                                    <w:topLinePunct w:val="0"/>
                                    <w:autoSpaceDE w:val="0"/>
                                    <w:autoSpaceDN w:val="0"/>
                                    <w:spacing w:line="20" w:lineRule="exact"/>
                                    <w:ind w:firstLineChars="0" w:firstLine="0"/>
                                    <w:jc w:val="left"/>
                                    <w:textAlignment w:val="baseline"/>
                                    <w:rPr>
                                      <w:rFonts w:ascii="Arial" w:eastAsia="Arial" w:hAnsi="Arial" w:cs="Arial"/>
                                      <w:snapToGrid w:val="0"/>
                                      <w:color w:val="000000"/>
                                      <w:kern w:val="0"/>
                                      <w:sz w:val="21"/>
                                      <w:szCs w:val="21"/>
                                      <w:lang w:eastAsia="en-US"/>
                                    </w:rPr>
                                  </w:pPr>
                                </w:p>
                                <w:p w14:paraId="22427527" w14:textId="77777777" w:rsidR="002E0859" w:rsidRDefault="00000000">
                                  <w:pPr>
                                    <w:widowControl/>
                                    <w:kinsoku w:val="0"/>
                                    <w:topLinePunct w:val="0"/>
                                    <w:autoSpaceDE w:val="0"/>
                                    <w:autoSpaceDN w:val="0"/>
                                    <w:spacing w:line="240" w:lineRule="auto"/>
                                    <w:ind w:firstLineChars="0" w:firstLine="0"/>
                                    <w:jc w:val="left"/>
                                    <w:textAlignment w:val="baseline"/>
                                    <w:rPr>
                                      <w:rFonts w:ascii="Arial" w:hAnsi="Arial" w:cs="Arial"/>
                                      <w:snapToGrid w:val="0"/>
                                      <w:color w:val="000000"/>
                                      <w:kern w:val="0"/>
                                      <w:sz w:val="21"/>
                                      <w:szCs w:val="21"/>
                                    </w:rPr>
                                  </w:pPr>
                                  <w:r>
                                    <w:rPr>
                                      <w:rFonts w:ascii="Arial" w:hAnsi="Arial" w:cs="Arial" w:hint="eastAsia"/>
                                      <w:snapToGrid w:val="0"/>
                                      <w:color w:val="000000"/>
                                      <w:kern w:val="0"/>
                                      <w:sz w:val="21"/>
                                      <w:szCs w:val="21"/>
                                    </w:rPr>
                                    <w:t>趾端滑套</w:t>
                                  </w:r>
                                </w:p>
                              </w:txbxContent>
                            </wps:txbx>
                            <wps:bodyPr lIns="0" tIns="0" rIns="0" bIns="0" upright="1"/>
                          </wps:wsp>
                        </a:graphicData>
                      </a:graphic>
                    </wp:anchor>
                  </w:drawing>
                </mc:Choice>
                <mc:Fallback>
                  <w:pict>
                    <v:shapetype w14:anchorId="1E8B1891" id="_x0000_t202" coordsize="21600,21600" o:spt="202" path="m,l,21600r21600,l21600,xe">
                      <v:stroke joinstyle="miter"/>
                      <v:path gradientshapeok="t" o:connecttype="rect"/>
                    </v:shapetype>
                    <v:shape id="文本框 23" o:spid="_x0000_s1026" type="#_x0000_t202" style="position:absolute;left:0;text-align:left;margin-left:-66pt;margin-top:259.6pt;width:48.25pt;height:19.2pt;z-index:251663360;visibility:visible;mso-wrap-style:square;mso-wrap-distance-left:9pt;mso-wrap-distance-top:0;mso-wrap-distance-right:9pt;mso-wrap-distance-bottom:0;mso-position-horizontal:absolute;mso-position-horizontal-relative:right-margin-area;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" filled="f" stroked="f">
                      <v:textbox inset="0,0,0,0">
                        <w:txbxContent>
                          <w:p w14:paraId="261C2EF7" w14:textId="77777777" w:rsidR="002E0859" w:rsidRDefault="002E0859">
                            <w:pPr>
                              <w:widowControl/>
                              <w:kinsoku w:val="0"/>
                              <w:topLinePunct w:val="0"/>
                              <w:autoSpaceDE w:val="0"/>
                              <w:autoSpaceDN w:val="0"/>
                              <w:spacing w:line="20" w:lineRule="exact"/>
                              <w:ind w:firstLineChars="0" w:firstLine="0"/>
                              <w:jc w:val="left"/>
                              <w:textAlignment w:val="baseline"/>
                              <w:rPr>
                                <w:rFonts w:ascii="Arial" w:eastAsia="Arial" w:hAnsi="Arial" w:cs="Arial"/>
                                <w:snapToGrid w:val="0"/>
                                <w:color w:val="000000"/>
                                <w:kern w:val="0"/>
                                <w:sz w:val="21"/>
                                <w:szCs w:val="21"/>
                                <w:lang w:eastAsia="en-US"/>
                              </w:rPr>
                            </w:pPr>
                          </w:p>
                          <w:p w14:paraId="22427527" w14:textId="77777777" w:rsidR="002E0859" w:rsidRDefault="00000000">
                            <w:pPr>
                              <w:widowControl/>
                              <w:kinsoku w:val="0"/>
                              <w:topLinePunct w:val="0"/>
                              <w:autoSpaceDE w:val="0"/>
                              <w:autoSpaceDN w:val="0"/>
                              <w:spacing w:line="240" w:lineRule="auto"/>
                              <w:ind w:firstLineChars="0" w:firstLine="0"/>
                              <w:jc w:val="left"/>
                              <w:textAlignment w:val="baseline"/>
                              <w:rPr>
                                <w:rFonts w:ascii="Arial" w:hAnsi="Arial" w:cs="Arial"/>
                                <w:snapToGrid w:val="0"/>
                                <w:color w:val="000000"/>
                                <w:kern w:val="0"/>
                                <w:sz w:val="21"/>
                                <w:szCs w:val="21"/>
                              </w:rPr>
                            </w:pPr>
                            <w:r>
                              <w:rPr>
                                <w:rFonts w:ascii="Arial" w:hAnsi="Arial" w:cs="Arial" w:hint="eastAsia"/>
                                <w:snapToGrid w:val="0"/>
                                <w:color w:val="000000"/>
                                <w:kern w:val="0"/>
                                <w:sz w:val="21"/>
                                <w:szCs w:val="21"/>
                              </w:rPr>
                              <w:t>趾端滑套</w:t>
                            </w:r>
                          </w:p>
                        </w:txbxContent>
                      </v:textbox>
                      <w10:wrap type="topAndBottom" anchorx="margin" anchory="page"/>
                    </v:shape>
                  </w:pict>
                </mc:Fallback>
              </mc:AlternateContent>
            </w:r>
            <w:r>
              <w:rPr>
                <w:noProof/>
                <w:color w:val="000000" w:themeColor="text1"/>
                <w:position w:val="-18"/>
              </w:rPr>
              <mc:AlternateContent>
                <mc:Choice Requires="wpg">
                  <w:drawing>
                    <wp:anchor distT="0" distB="0" distL="114300" distR="114300" simplePos="0" relativeHeight="251660288" behindDoc="0" locked="0" layoutInCell="1" allowOverlap="1" wp14:anchorId="27B3CDE2" wp14:editId="37EE2614">
                      <wp:simplePos x="0" y="0"/>
                      <wp:positionH relativeFrom="column">
                        <wp:posOffset>1400810</wp:posOffset>
                      </wp:positionH>
                      <wp:positionV relativeFrom="paragraph">
                        <wp:posOffset>56515</wp:posOffset>
                      </wp:positionV>
                      <wp:extent cx="104775" cy="580390"/>
                      <wp:effectExtent l="0" t="0" r="0" b="0"/>
                      <wp:wrapNone/>
                      <wp:docPr id="34" name="组合 34"/>
                      <wp:cNvGraphicFramePr/>
                      <a:graphic xmlns:a="http://schemas.openxmlformats.org/drawingml/2006/main">
                        <a:graphicData uri="http://schemas.microsoft.com/office/word/2010/wordprocessingGroup">
                          <wpg:wgp>
                            <wpg:cNvGrpSpPr/>
                            <wpg:grpSpPr>
                              <a:xfrm>
                                <a:off x="0" y="0"/>
                                <a:ext cx="104775" cy="580390"/>
                                <a:chOff x="0" y="0"/>
                                <a:chExt cx="165" cy="914"/>
                              </a:xfrm>
                            </wpg:grpSpPr>
                            <wps:wsp>
                              <wps:cNvPr id="31" name="任意多边形 31"/>
                              <wps:cNvSpPr/>
                              <wps:spPr>
                                <a:xfrm>
                                  <a:off x="0" y="248"/>
                                  <a:ext cx="140" cy="665"/>
                                </a:xfrm>
                                <a:custGeom>
                                  <a:avLst/>
                                  <a:gdLst/>
                                  <a:ahLst/>
                                  <a:cxnLst/>
                                  <a:rect l="0" t="0" r="0" b="0"/>
                                  <a:pathLst>
                                    <a:path w="140" h="665">
                                      <a:moveTo>
                                        <a:pt x="0" y="175"/>
                                      </a:moveTo>
                                      <a:lnTo>
                                        <a:pt x="125" y="175"/>
                                      </a:lnTo>
                                      <a:lnTo>
                                        <a:pt x="125" y="0"/>
                                      </a:lnTo>
                                      <a:lnTo>
                                        <a:pt x="0" y="0"/>
                                      </a:lnTo>
                                      <a:lnTo>
                                        <a:pt x="0" y="175"/>
                                      </a:lnTo>
                                      <a:close/>
                                    </a:path>
                                    <a:path w="140" h="665">
                                      <a:moveTo>
                                        <a:pt x="15" y="665"/>
                                      </a:moveTo>
                                      <a:lnTo>
                                        <a:pt x="140" y="665"/>
                                      </a:lnTo>
                                      <a:lnTo>
                                        <a:pt x="140" y="490"/>
                                      </a:lnTo>
                                      <a:lnTo>
                                        <a:pt x="15" y="490"/>
                                      </a:lnTo>
                                      <a:lnTo>
                                        <a:pt x="15" y="665"/>
                                      </a:lnTo>
                                      <a:close/>
                                    </a:path>
                                  </a:pathLst>
                                </a:custGeom>
                                <a:solidFill>
                                  <a:srgbClr val="C00000"/>
                                </a:solidFill>
                                <a:ln>
                                  <a:noFill/>
                                </a:ln>
                              </wps:spPr>
                              <wps:bodyPr upright="1"/>
                            </wps:wsp>
                            <wps:wsp>
                              <wps:cNvPr id="32" name="任意多边形 32"/>
                              <wps:cNvSpPr/>
                              <wps:spPr>
                                <a:xfrm>
                                  <a:off x="56" y="0"/>
                                  <a:ext cx="108" cy="252"/>
                                </a:xfrm>
                                <a:custGeom>
                                  <a:avLst/>
                                  <a:gdLst/>
                                  <a:ahLst/>
                                  <a:cxnLst/>
                                  <a:rect l="0" t="0" r="0" b="0"/>
                                  <a:pathLst>
                                    <a:path w="108" h="252">
                                      <a:moveTo>
                                        <a:pt x="6" y="248"/>
                                      </a:moveTo>
                                      <a:lnTo>
                                        <a:pt x="101" y="2"/>
                                      </a:lnTo>
                                    </a:path>
                                  </a:pathLst>
                                </a:custGeom>
                                <a:noFill/>
                                <a:ln w="9525" cap="flat" cmpd="sng">
                                  <a:solidFill>
                                    <a:srgbClr val="C00000"/>
                                  </a:solidFill>
                                  <a:prstDash val="solid"/>
                                  <a:headEnd type="none" w="med" len="med"/>
                                  <a:tailEnd type="none" w="med" len="med"/>
                                </a:ln>
                              </wps:spPr>
                              <wps:bodyPr upright="1"/>
                            </wps:wsp>
                          </wpg:wgp>
                        </a:graphicData>
                      </a:graphic>
                    </wp:anchor>
                  </w:drawing>
                </mc:Choice>
                <mc:Fallback>
                  <w:pict>
                    <v:group w14:anchorId="438FD848" id="组合 34" o:spid="_x0000_s1026" style="position:absolute;left:0;text-align:left;margin-left:110.3pt;margin-top:4.45pt;width:8.25pt;height:45.7pt;z-index:251660288" coordsize="165,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">
                      <v:shape id="任意多边形 31" o:spid="_x0000_s1027" style="position:absolute;top:248;width:140;height:665;visibility:visible;mso-wrap-style:square;v-text-anchor:top" coordsize="140,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" path="m,175r125,l125,,,,,175xem15,665r125,l140,490r-125,l15,665xe" fillcolor="#c00000" stroked="f">
                        <v:path arrowok="t" textboxrect="0,0,140,665"/>
                      </v:shape>
                      <v:shape id="任意多边形 32" o:spid="_x0000_s1028" style="position:absolute;left:56;width:108;height:252;visibility:visible;mso-wrap-style:square;v-text-anchor:top" coordsize="108,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" path="m6,248l101,2e" filled="f" strokecolor="#c00000">
                        <v:path arrowok="t" textboxrect="0,0,108,252"/>
                      </v:shape>
                    </v:group>
                  </w:pict>
                </mc:Fallback>
              </mc:AlternateContent>
            </w:r>
          </w:p>
        </w:tc>
      </w:tr>
      <w:tr w:rsidR="002E0859" w14:paraId="16E2B176" w14:textId="77777777">
        <w:trPr>
          <w:trHeight w:val="312"/>
        </w:trPr>
        <w:tc>
          <w:tcPr>
            <w:tcW w:w="202" w:type="pct"/>
            <w:vMerge/>
            <w:tcBorders>
              <w:tl2br w:val="nil"/>
              <w:tr2bl w:val="nil"/>
            </w:tcBorders>
            <w:textDirection w:val="tbRlV"/>
            <w:vAlign w:val="center"/>
          </w:tcPr>
          <w:p w14:paraId="726EE2F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vMerge/>
            <w:tcBorders>
              <w:tl2br w:val="nil"/>
              <w:tr2bl w:val="nil"/>
            </w:tcBorders>
            <w:vAlign w:val="center"/>
          </w:tcPr>
          <w:p w14:paraId="23061E3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238" w:type="pct"/>
            <w:vMerge/>
            <w:tcBorders>
              <w:tl2br w:val="nil"/>
              <w:tr2bl w:val="nil"/>
            </w:tcBorders>
            <w:vAlign w:val="center"/>
          </w:tcPr>
          <w:p w14:paraId="3CC2B69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48" w:type="pct"/>
            <w:vMerge/>
            <w:tcBorders>
              <w:tl2br w:val="nil"/>
              <w:tr2bl w:val="nil"/>
            </w:tcBorders>
            <w:vAlign w:val="center"/>
          </w:tcPr>
          <w:p w14:paraId="14E3B40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66" w:type="pct"/>
            <w:vMerge/>
            <w:tcBorders>
              <w:tl2br w:val="nil"/>
              <w:tr2bl w:val="nil"/>
            </w:tcBorders>
            <w:vAlign w:val="center"/>
          </w:tcPr>
          <w:p w14:paraId="7E7EE72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6575D4B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val="restart"/>
            <w:tcBorders>
              <w:tl2br w:val="nil"/>
              <w:tr2bl w:val="nil"/>
            </w:tcBorders>
            <w:vAlign w:val="center"/>
          </w:tcPr>
          <w:p w14:paraId="746EA13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473.1×402</w:t>
            </w:r>
          </w:p>
        </w:tc>
        <w:tc>
          <w:tcPr>
            <w:tcW w:w="548" w:type="pct"/>
            <w:vMerge w:val="restart"/>
            <w:tcBorders>
              <w:tl2br w:val="nil"/>
              <w:tr2bl w:val="nil"/>
            </w:tcBorders>
            <w:vAlign w:val="center"/>
          </w:tcPr>
          <w:p w14:paraId="532C677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406.4×400</w:t>
            </w:r>
          </w:p>
        </w:tc>
        <w:tc>
          <w:tcPr>
            <w:tcW w:w="520" w:type="pct"/>
            <w:vMerge/>
            <w:tcBorders>
              <w:tl2br w:val="nil"/>
              <w:tr2bl w:val="nil"/>
            </w:tcBorders>
            <w:vAlign w:val="center"/>
          </w:tcPr>
          <w:p w14:paraId="6989429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51CBEA2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65190DB" w14:textId="77777777">
        <w:trPr>
          <w:trHeight w:val="312"/>
        </w:trPr>
        <w:tc>
          <w:tcPr>
            <w:tcW w:w="202" w:type="pct"/>
            <w:vMerge/>
            <w:tcBorders>
              <w:tl2br w:val="nil"/>
              <w:tr2bl w:val="nil"/>
            </w:tcBorders>
            <w:textDirection w:val="tbRlV"/>
            <w:vAlign w:val="center"/>
          </w:tcPr>
          <w:p w14:paraId="11BEC6C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vMerge w:val="restart"/>
            <w:tcBorders>
              <w:tl2br w:val="nil"/>
              <w:tr2bl w:val="nil"/>
            </w:tcBorders>
            <w:vAlign w:val="center"/>
          </w:tcPr>
          <w:p w14:paraId="5EDD4C2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雷口坡</w:t>
            </w:r>
            <w:r>
              <w:rPr>
                <w:snapToGrid w:val="0"/>
                <w:color w:val="000000" w:themeColor="text1"/>
                <w:kern w:val="0"/>
                <w:sz w:val="21"/>
                <w:szCs w:val="21"/>
                <w:lang w:eastAsia="en-US"/>
              </w:rPr>
              <w:t>组</w:t>
            </w:r>
          </w:p>
        </w:tc>
        <w:tc>
          <w:tcPr>
            <w:tcW w:w="238" w:type="pct"/>
            <w:vMerge w:val="restart"/>
            <w:tcBorders>
              <w:tl2br w:val="nil"/>
              <w:tr2bl w:val="nil"/>
            </w:tcBorders>
            <w:vAlign w:val="center"/>
          </w:tcPr>
          <w:p w14:paraId="6ABFA8B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T</w:t>
            </w:r>
            <w:r>
              <w:rPr>
                <w:snapToGrid w:val="0"/>
                <w:color w:val="000000" w:themeColor="text1"/>
                <w:spacing w:val="5"/>
                <w:kern w:val="0"/>
                <w:sz w:val="11"/>
                <w:szCs w:val="11"/>
                <w:lang w:eastAsia="en-US"/>
              </w:rPr>
              <w:t>2</w:t>
            </w:r>
            <w:r>
              <w:rPr>
                <w:snapToGrid w:val="0"/>
                <w:color w:val="000000" w:themeColor="text1"/>
                <w:spacing w:val="5"/>
                <w:kern w:val="0"/>
                <w:sz w:val="21"/>
                <w:szCs w:val="21"/>
                <w:lang w:eastAsia="en-US"/>
              </w:rPr>
              <w:t>l</w:t>
            </w:r>
          </w:p>
        </w:tc>
        <w:tc>
          <w:tcPr>
            <w:tcW w:w="348" w:type="pct"/>
            <w:vMerge w:val="restart"/>
            <w:tcBorders>
              <w:tl2br w:val="nil"/>
              <w:tr2bl w:val="nil"/>
            </w:tcBorders>
            <w:vAlign w:val="center"/>
          </w:tcPr>
          <w:p w14:paraId="55B977C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605</w:t>
            </w:r>
          </w:p>
        </w:tc>
        <w:tc>
          <w:tcPr>
            <w:tcW w:w="366" w:type="pct"/>
            <w:vMerge/>
            <w:tcBorders>
              <w:tl2br w:val="nil"/>
              <w:tr2bl w:val="nil"/>
            </w:tcBorders>
            <w:vAlign w:val="center"/>
          </w:tcPr>
          <w:p w14:paraId="4735300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5E80B73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0B00983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30DB248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6216417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0ADB337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A34CBDD" w14:textId="77777777">
        <w:trPr>
          <w:trHeight w:val="312"/>
        </w:trPr>
        <w:tc>
          <w:tcPr>
            <w:tcW w:w="202" w:type="pct"/>
            <w:vMerge/>
            <w:tcBorders>
              <w:tl2br w:val="nil"/>
              <w:tr2bl w:val="nil"/>
            </w:tcBorders>
            <w:textDirection w:val="tbRlV"/>
            <w:vAlign w:val="center"/>
          </w:tcPr>
          <w:p w14:paraId="522EDF6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vMerge/>
            <w:tcBorders>
              <w:tl2br w:val="nil"/>
              <w:tr2bl w:val="nil"/>
            </w:tcBorders>
            <w:vAlign w:val="center"/>
          </w:tcPr>
          <w:p w14:paraId="6B3C3A1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238" w:type="pct"/>
            <w:vMerge/>
            <w:tcBorders>
              <w:tl2br w:val="nil"/>
              <w:tr2bl w:val="nil"/>
            </w:tcBorders>
            <w:vAlign w:val="center"/>
          </w:tcPr>
          <w:p w14:paraId="008D8AD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48" w:type="pct"/>
            <w:vMerge/>
            <w:tcBorders>
              <w:tl2br w:val="nil"/>
              <w:tr2bl w:val="nil"/>
            </w:tcBorders>
            <w:vAlign w:val="center"/>
          </w:tcPr>
          <w:p w14:paraId="5114A8D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66" w:type="pct"/>
            <w:vMerge/>
            <w:tcBorders>
              <w:tl2br w:val="nil"/>
              <w:tr2bl w:val="nil"/>
            </w:tcBorders>
            <w:vAlign w:val="center"/>
          </w:tcPr>
          <w:p w14:paraId="209DD2D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val="restart"/>
            <w:tcBorders>
              <w:tl2br w:val="nil"/>
              <w:tr2bl w:val="nil"/>
            </w:tcBorders>
            <w:vAlign w:val="center"/>
          </w:tcPr>
          <w:p w14:paraId="61AE50C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一开</w:t>
            </w:r>
          </w:p>
        </w:tc>
        <w:tc>
          <w:tcPr>
            <w:tcW w:w="548" w:type="pct"/>
            <w:vMerge w:val="restart"/>
            <w:tcBorders>
              <w:tl2br w:val="nil"/>
              <w:tr2bl w:val="nil"/>
            </w:tcBorders>
            <w:vAlign w:val="center"/>
          </w:tcPr>
          <w:p w14:paraId="775DD7D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374.7×1352</w:t>
            </w:r>
          </w:p>
        </w:tc>
        <w:tc>
          <w:tcPr>
            <w:tcW w:w="548" w:type="pct"/>
            <w:vMerge w:val="restart"/>
            <w:tcBorders>
              <w:tl2br w:val="nil"/>
              <w:tr2bl w:val="nil"/>
            </w:tcBorders>
            <w:vAlign w:val="center"/>
          </w:tcPr>
          <w:p w14:paraId="662EC62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298.5×1350</w:t>
            </w:r>
          </w:p>
        </w:tc>
        <w:tc>
          <w:tcPr>
            <w:tcW w:w="520" w:type="pct"/>
            <w:vMerge w:val="restart"/>
            <w:tcBorders>
              <w:tl2br w:val="nil"/>
              <w:tr2bl w:val="nil"/>
            </w:tcBorders>
            <w:vAlign w:val="center"/>
          </w:tcPr>
          <w:p w14:paraId="2B75691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position w:val="7"/>
                <w:sz w:val="21"/>
                <w:szCs w:val="21"/>
                <w:lang w:eastAsia="en-US"/>
              </w:rPr>
              <w:t>清水</w:t>
            </w:r>
          </w:p>
          <w:p w14:paraId="524E634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2350m</w:t>
            </w:r>
          </w:p>
        </w:tc>
        <w:tc>
          <w:tcPr>
            <w:tcW w:w="1734" w:type="pct"/>
            <w:vMerge/>
            <w:tcBorders>
              <w:tl2br w:val="nil"/>
              <w:tr2bl w:val="nil"/>
            </w:tcBorders>
            <w:vAlign w:val="center"/>
          </w:tcPr>
          <w:p w14:paraId="2443DAF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04146B0" w14:textId="77777777">
        <w:trPr>
          <w:trHeight w:val="23"/>
        </w:trPr>
        <w:tc>
          <w:tcPr>
            <w:tcW w:w="202" w:type="pct"/>
            <w:vMerge/>
            <w:tcBorders>
              <w:tl2br w:val="nil"/>
              <w:tr2bl w:val="nil"/>
            </w:tcBorders>
            <w:textDirection w:val="tbRlV"/>
            <w:vAlign w:val="center"/>
          </w:tcPr>
          <w:p w14:paraId="367DC0B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115707B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嘉陵江</w:t>
            </w:r>
            <w:r>
              <w:rPr>
                <w:snapToGrid w:val="0"/>
                <w:color w:val="000000" w:themeColor="text1"/>
                <w:kern w:val="0"/>
                <w:sz w:val="21"/>
                <w:szCs w:val="21"/>
                <w:lang w:eastAsia="en-US"/>
              </w:rPr>
              <w:t>组</w:t>
            </w:r>
          </w:p>
        </w:tc>
        <w:tc>
          <w:tcPr>
            <w:tcW w:w="238" w:type="pct"/>
            <w:tcBorders>
              <w:tl2br w:val="nil"/>
              <w:tr2bl w:val="nil"/>
            </w:tcBorders>
            <w:vAlign w:val="center"/>
          </w:tcPr>
          <w:p w14:paraId="52D0E70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T</w:t>
            </w:r>
            <w:r>
              <w:rPr>
                <w:snapToGrid w:val="0"/>
                <w:color w:val="000000" w:themeColor="text1"/>
                <w:spacing w:val="3"/>
                <w:kern w:val="0"/>
                <w:sz w:val="11"/>
                <w:szCs w:val="11"/>
                <w:lang w:eastAsia="en-US"/>
              </w:rPr>
              <w:t>1</w:t>
            </w:r>
            <w:r>
              <w:rPr>
                <w:snapToGrid w:val="0"/>
                <w:color w:val="000000" w:themeColor="text1"/>
                <w:spacing w:val="3"/>
                <w:kern w:val="0"/>
                <w:sz w:val="21"/>
                <w:szCs w:val="21"/>
                <w:lang w:eastAsia="en-US"/>
              </w:rPr>
              <w:t>j</w:t>
            </w:r>
          </w:p>
        </w:tc>
        <w:tc>
          <w:tcPr>
            <w:tcW w:w="348" w:type="pct"/>
            <w:tcBorders>
              <w:tl2br w:val="nil"/>
              <w:tr2bl w:val="nil"/>
            </w:tcBorders>
            <w:vAlign w:val="center"/>
          </w:tcPr>
          <w:p w14:paraId="333AE92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1300</w:t>
            </w:r>
          </w:p>
        </w:tc>
        <w:tc>
          <w:tcPr>
            <w:tcW w:w="366" w:type="pct"/>
            <w:vMerge/>
            <w:tcBorders>
              <w:tl2br w:val="nil"/>
              <w:tr2bl w:val="nil"/>
            </w:tcBorders>
            <w:vAlign w:val="center"/>
          </w:tcPr>
          <w:p w14:paraId="76105F0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6D1B71A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50E3FE4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559F490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5AC0895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2761067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64C684CA" w14:textId="77777777">
        <w:trPr>
          <w:trHeight w:val="312"/>
        </w:trPr>
        <w:tc>
          <w:tcPr>
            <w:tcW w:w="202" w:type="pct"/>
            <w:vMerge/>
            <w:tcBorders>
              <w:tl2br w:val="nil"/>
              <w:tr2bl w:val="nil"/>
            </w:tcBorders>
            <w:textDirection w:val="tbRlV"/>
            <w:vAlign w:val="center"/>
          </w:tcPr>
          <w:p w14:paraId="7341B0C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vMerge w:val="restart"/>
            <w:tcBorders>
              <w:tl2br w:val="nil"/>
              <w:tr2bl w:val="nil"/>
            </w:tcBorders>
            <w:vAlign w:val="center"/>
          </w:tcPr>
          <w:p w14:paraId="3A273F7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飞仙关</w:t>
            </w:r>
            <w:r>
              <w:rPr>
                <w:snapToGrid w:val="0"/>
                <w:color w:val="000000" w:themeColor="text1"/>
                <w:kern w:val="0"/>
                <w:sz w:val="21"/>
                <w:szCs w:val="21"/>
                <w:lang w:eastAsia="en-US"/>
              </w:rPr>
              <w:t>组</w:t>
            </w:r>
          </w:p>
        </w:tc>
        <w:tc>
          <w:tcPr>
            <w:tcW w:w="238" w:type="pct"/>
            <w:vMerge w:val="restart"/>
            <w:tcBorders>
              <w:tl2br w:val="nil"/>
              <w:tr2bl w:val="nil"/>
            </w:tcBorders>
            <w:vAlign w:val="center"/>
          </w:tcPr>
          <w:p w14:paraId="0EB9D62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T</w:t>
            </w:r>
            <w:r>
              <w:rPr>
                <w:snapToGrid w:val="0"/>
                <w:color w:val="000000" w:themeColor="text1"/>
                <w:spacing w:val="-2"/>
                <w:kern w:val="0"/>
                <w:sz w:val="11"/>
                <w:szCs w:val="11"/>
                <w:lang w:eastAsia="en-US"/>
              </w:rPr>
              <w:t>1</w:t>
            </w:r>
            <w:r>
              <w:rPr>
                <w:snapToGrid w:val="0"/>
                <w:color w:val="000000" w:themeColor="text1"/>
                <w:spacing w:val="-2"/>
                <w:kern w:val="0"/>
                <w:sz w:val="21"/>
                <w:szCs w:val="21"/>
                <w:lang w:eastAsia="en-US"/>
              </w:rPr>
              <w:t>f</w:t>
            </w:r>
          </w:p>
        </w:tc>
        <w:tc>
          <w:tcPr>
            <w:tcW w:w="348" w:type="pct"/>
            <w:vMerge w:val="restart"/>
            <w:tcBorders>
              <w:tl2br w:val="nil"/>
              <w:tr2bl w:val="nil"/>
            </w:tcBorders>
            <w:vAlign w:val="center"/>
          </w:tcPr>
          <w:p w14:paraId="0A59529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1750</w:t>
            </w:r>
          </w:p>
        </w:tc>
        <w:tc>
          <w:tcPr>
            <w:tcW w:w="366" w:type="pct"/>
            <w:vMerge/>
            <w:tcBorders>
              <w:tl2br w:val="nil"/>
              <w:tr2bl w:val="nil"/>
            </w:tcBorders>
            <w:vAlign w:val="center"/>
          </w:tcPr>
          <w:p w14:paraId="1FC1213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4F24696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42ECDBF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13BEEE5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1EC968A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2FBF9BB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49067B6" w14:textId="77777777">
        <w:trPr>
          <w:trHeight w:val="312"/>
        </w:trPr>
        <w:tc>
          <w:tcPr>
            <w:tcW w:w="202" w:type="pct"/>
            <w:vMerge/>
            <w:tcBorders>
              <w:tl2br w:val="nil"/>
              <w:tr2bl w:val="nil"/>
            </w:tcBorders>
            <w:textDirection w:val="tbRlV"/>
            <w:vAlign w:val="center"/>
          </w:tcPr>
          <w:p w14:paraId="2EE11F2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vMerge/>
            <w:tcBorders>
              <w:tl2br w:val="nil"/>
              <w:tr2bl w:val="nil"/>
            </w:tcBorders>
            <w:vAlign w:val="center"/>
          </w:tcPr>
          <w:p w14:paraId="0D744ED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238" w:type="pct"/>
            <w:vMerge/>
            <w:tcBorders>
              <w:tl2br w:val="nil"/>
              <w:tr2bl w:val="nil"/>
            </w:tcBorders>
            <w:vAlign w:val="center"/>
          </w:tcPr>
          <w:p w14:paraId="42007E3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48" w:type="pct"/>
            <w:vMerge/>
            <w:tcBorders>
              <w:tl2br w:val="nil"/>
              <w:tr2bl w:val="nil"/>
            </w:tcBorders>
            <w:vAlign w:val="center"/>
          </w:tcPr>
          <w:p w14:paraId="27F7F3F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66" w:type="pct"/>
            <w:vMerge/>
            <w:tcBorders>
              <w:tl2br w:val="nil"/>
              <w:tr2bl w:val="nil"/>
            </w:tcBorders>
            <w:vAlign w:val="center"/>
          </w:tcPr>
          <w:p w14:paraId="6E56B2E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val="restart"/>
            <w:tcBorders>
              <w:tl2br w:val="nil"/>
              <w:tr2bl w:val="nil"/>
            </w:tcBorders>
            <w:vAlign w:val="center"/>
          </w:tcPr>
          <w:p w14:paraId="0F1A2AE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二开</w:t>
            </w:r>
          </w:p>
        </w:tc>
        <w:tc>
          <w:tcPr>
            <w:tcW w:w="548" w:type="pct"/>
            <w:vMerge w:val="restart"/>
            <w:tcBorders>
              <w:tl2br w:val="nil"/>
              <w:tr2bl w:val="nil"/>
            </w:tcBorders>
            <w:vAlign w:val="center"/>
          </w:tcPr>
          <w:p w14:paraId="79EC917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269.9×3482</w:t>
            </w:r>
          </w:p>
        </w:tc>
        <w:tc>
          <w:tcPr>
            <w:tcW w:w="548" w:type="pct"/>
            <w:vMerge w:val="restart"/>
            <w:tcBorders>
              <w:tl2br w:val="nil"/>
              <w:tr2bl w:val="nil"/>
            </w:tcBorders>
            <w:vAlign w:val="center"/>
          </w:tcPr>
          <w:p w14:paraId="03949E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219.1×3480</w:t>
            </w:r>
          </w:p>
        </w:tc>
        <w:tc>
          <w:tcPr>
            <w:tcW w:w="520" w:type="pct"/>
            <w:vMerge/>
            <w:tcBorders>
              <w:tl2br w:val="nil"/>
              <w:tr2bl w:val="nil"/>
            </w:tcBorders>
            <w:vAlign w:val="center"/>
          </w:tcPr>
          <w:p w14:paraId="779A170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6D71DF4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BCA641A" w14:textId="77777777">
        <w:trPr>
          <w:trHeight w:val="23"/>
        </w:trPr>
        <w:tc>
          <w:tcPr>
            <w:tcW w:w="202" w:type="pct"/>
            <w:vMerge w:val="restart"/>
            <w:tcBorders>
              <w:tl2br w:val="nil"/>
              <w:tr2bl w:val="nil"/>
            </w:tcBorders>
            <w:vAlign w:val="center"/>
          </w:tcPr>
          <w:p w14:paraId="72E789C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二叠</w:t>
            </w:r>
          </w:p>
        </w:tc>
        <w:tc>
          <w:tcPr>
            <w:tcW w:w="320" w:type="pct"/>
            <w:tcBorders>
              <w:tl2br w:val="nil"/>
              <w:tr2bl w:val="nil"/>
            </w:tcBorders>
            <w:vAlign w:val="center"/>
          </w:tcPr>
          <w:p w14:paraId="379CACB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长兴组</w:t>
            </w:r>
          </w:p>
        </w:tc>
        <w:tc>
          <w:tcPr>
            <w:tcW w:w="238" w:type="pct"/>
            <w:tcBorders>
              <w:tl2br w:val="nil"/>
              <w:tr2bl w:val="nil"/>
            </w:tcBorders>
            <w:vAlign w:val="center"/>
          </w:tcPr>
          <w:p w14:paraId="109BEA2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P</w:t>
            </w:r>
            <w:r>
              <w:rPr>
                <w:snapToGrid w:val="0"/>
                <w:color w:val="000000" w:themeColor="text1"/>
                <w:spacing w:val="-1"/>
                <w:kern w:val="0"/>
                <w:sz w:val="11"/>
                <w:szCs w:val="11"/>
                <w:lang w:eastAsia="en-US"/>
              </w:rPr>
              <w:t>2</w:t>
            </w:r>
            <w:r>
              <w:rPr>
                <w:snapToGrid w:val="0"/>
                <w:color w:val="000000" w:themeColor="text1"/>
                <w:spacing w:val="-1"/>
                <w:kern w:val="0"/>
                <w:sz w:val="21"/>
                <w:szCs w:val="21"/>
                <w:lang w:eastAsia="en-US"/>
              </w:rPr>
              <w:t>ch</w:t>
            </w:r>
          </w:p>
        </w:tc>
        <w:tc>
          <w:tcPr>
            <w:tcW w:w="348" w:type="pct"/>
            <w:tcBorders>
              <w:tl2br w:val="nil"/>
              <w:tr2bl w:val="nil"/>
            </w:tcBorders>
            <w:vAlign w:val="center"/>
          </w:tcPr>
          <w:p w14:paraId="487216E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1935</w:t>
            </w:r>
          </w:p>
        </w:tc>
        <w:tc>
          <w:tcPr>
            <w:tcW w:w="366" w:type="pct"/>
            <w:vMerge/>
            <w:tcBorders>
              <w:tl2br w:val="nil"/>
              <w:tr2bl w:val="nil"/>
            </w:tcBorders>
            <w:vAlign w:val="center"/>
          </w:tcPr>
          <w:p w14:paraId="5BE4B19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6F7DF7B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4E95567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5221E59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7972E3E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479EA26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390383A7" w14:textId="77777777">
        <w:trPr>
          <w:trHeight w:val="23"/>
        </w:trPr>
        <w:tc>
          <w:tcPr>
            <w:tcW w:w="202" w:type="pct"/>
            <w:vMerge/>
            <w:tcBorders>
              <w:tl2br w:val="nil"/>
              <w:tr2bl w:val="nil"/>
            </w:tcBorders>
            <w:vAlign w:val="center"/>
          </w:tcPr>
          <w:p w14:paraId="0E6F02E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53CE258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龙潭组</w:t>
            </w:r>
          </w:p>
        </w:tc>
        <w:tc>
          <w:tcPr>
            <w:tcW w:w="238" w:type="pct"/>
            <w:tcBorders>
              <w:tl2br w:val="nil"/>
              <w:tr2bl w:val="nil"/>
            </w:tcBorders>
            <w:vAlign w:val="center"/>
          </w:tcPr>
          <w:p w14:paraId="2682002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P</w:t>
            </w:r>
            <w:r>
              <w:rPr>
                <w:snapToGrid w:val="0"/>
                <w:color w:val="000000" w:themeColor="text1"/>
                <w:spacing w:val="5"/>
                <w:kern w:val="0"/>
                <w:sz w:val="11"/>
                <w:szCs w:val="11"/>
                <w:lang w:eastAsia="en-US"/>
              </w:rPr>
              <w:t>2</w:t>
            </w:r>
            <w:r>
              <w:rPr>
                <w:snapToGrid w:val="0"/>
                <w:color w:val="000000" w:themeColor="text1"/>
                <w:spacing w:val="5"/>
                <w:kern w:val="0"/>
                <w:sz w:val="21"/>
                <w:szCs w:val="21"/>
                <w:lang w:eastAsia="en-US"/>
              </w:rPr>
              <w:t>l</w:t>
            </w:r>
          </w:p>
        </w:tc>
        <w:tc>
          <w:tcPr>
            <w:tcW w:w="348" w:type="pct"/>
            <w:tcBorders>
              <w:tl2br w:val="nil"/>
              <w:tr2bl w:val="nil"/>
            </w:tcBorders>
            <w:vAlign w:val="center"/>
          </w:tcPr>
          <w:p w14:paraId="644C079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2050</w:t>
            </w:r>
          </w:p>
        </w:tc>
        <w:tc>
          <w:tcPr>
            <w:tcW w:w="366" w:type="pct"/>
            <w:vMerge/>
            <w:tcBorders>
              <w:tl2br w:val="nil"/>
              <w:tr2bl w:val="nil"/>
            </w:tcBorders>
            <w:vAlign w:val="center"/>
          </w:tcPr>
          <w:p w14:paraId="53CD2E7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017D2F1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3A83D88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6F175B3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6E13F31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0E60F77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73BA34B9" w14:textId="77777777">
        <w:trPr>
          <w:trHeight w:val="23"/>
        </w:trPr>
        <w:tc>
          <w:tcPr>
            <w:tcW w:w="202" w:type="pct"/>
            <w:vMerge/>
            <w:tcBorders>
              <w:tl2br w:val="nil"/>
              <w:tr2bl w:val="nil"/>
            </w:tcBorders>
            <w:vAlign w:val="center"/>
          </w:tcPr>
          <w:p w14:paraId="56DE603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2C1D901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茅口组</w:t>
            </w:r>
          </w:p>
        </w:tc>
        <w:tc>
          <w:tcPr>
            <w:tcW w:w="238" w:type="pct"/>
            <w:tcBorders>
              <w:tl2br w:val="nil"/>
              <w:tr2bl w:val="nil"/>
            </w:tcBorders>
            <w:vAlign w:val="center"/>
          </w:tcPr>
          <w:p w14:paraId="052EB7F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P</w:t>
            </w:r>
            <w:r>
              <w:rPr>
                <w:snapToGrid w:val="0"/>
                <w:color w:val="000000" w:themeColor="text1"/>
                <w:spacing w:val="-2"/>
                <w:kern w:val="0"/>
                <w:sz w:val="11"/>
                <w:szCs w:val="11"/>
                <w:lang w:eastAsia="en-US"/>
              </w:rPr>
              <w:t>1</w:t>
            </w:r>
            <w:r>
              <w:rPr>
                <w:snapToGrid w:val="0"/>
                <w:color w:val="000000" w:themeColor="text1"/>
                <w:spacing w:val="-2"/>
                <w:kern w:val="0"/>
                <w:sz w:val="21"/>
                <w:szCs w:val="21"/>
                <w:lang w:eastAsia="en-US"/>
              </w:rPr>
              <w:t>m</w:t>
            </w:r>
          </w:p>
        </w:tc>
        <w:tc>
          <w:tcPr>
            <w:tcW w:w="348" w:type="pct"/>
            <w:tcBorders>
              <w:tl2br w:val="nil"/>
              <w:tr2bl w:val="nil"/>
            </w:tcBorders>
            <w:vAlign w:val="center"/>
          </w:tcPr>
          <w:p w14:paraId="6C53B21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2350</w:t>
            </w:r>
          </w:p>
        </w:tc>
        <w:tc>
          <w:tcPr>
            <w:tcW w:w="366" w:type="pct"/>
            <w:vMerge/>
            <w:tcBorders>
              <w:tl2br w:val="nil"/>
              <w:tr2bl w:val="nil"/>
            </w:tcBorders>
            <w:vAlign w:val="center"/>
          </w:tcPr>
          <w:p w14:paraId="61E38A1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7134C87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10FAE3E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0406062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762631C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32514B1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B1296AC" w14:textId="77777777">
        <w:trPr>
          <w:trHeight w:val="23"/>
        </w:trPr>
        <w:tc>
          <w:tcPr>
            <w:tcW w:w="202" w:type="pct"/>
            <w:vMerge/>
            <w:tcBorders>
              <w:tl2br w:val="nil"/>
              <w:tr2bl w:val="nil"/>
            </w:tcBorders>
            <w:vAlign w:val="center"/>
          </w:tcPr>
          <w:p w14:paraId="4985A41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26F46B4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栖霞组</w:t>
            </w:r>
          </w:p>
        </w:tc>
        <w:tc>
          <w:tcPr>
            <w:tcW w:w="238" w:type="pct"/>
            <w:tcBorders>
              <w:tl2br w:val="nil"/>
              <w:tr2bl w:val="nil"/>
            </w:tcBorders>
            <w:vAlign w:val="center"/>
          </w:tcPr>
          <w:p w14:paraId="09C5799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P</w:t>
            </w:r>
            <w:r>
              <w:rPr>
                <w:snapToGrid w:val="0"/>
                <w:color w:val="000000" w:themeColor="text1"/>
                <w:spacing w:val="-2"/>
                <w:kern w:val="0"/>
                <w:sz w:val="11"/>
                <w:szCs w:val="11"/>
                <w:lang w:eastAsia="en-US"/>
              </w:rPr>
              <w:t>1</w:t>
            </w:r>
            <w:r>
              <w:rPr>
                <w:snapToGrid w:val="0"/>
                <w:color w:val="000000" w:themeColor="text1"/>
                <w:spacing w:val="-2"/>
                <w:kern w:val="0"/>
                <w:sz w:val="21"/>
                <w:szCs w:val="21"/>
                <w:lang w:eastAsia="en-US"/>
              </w:rPr>
              <w:t>q</w:t>
            </w:r>
          </w:p>
        </w:tc>
        <w:tc>
          <w:tcPr>
            <w:tcW w:w="348" w:type="pct"/>
            <w:tcBorders>
              <w:tl2br w:val="nil"/>
              <w:tr2bl w:val="nil"/>
            </w:tcBorders>
            <w:vAlign w:val="center"/>
          </w:tcPr>
          <w:p w14:paraId="77D638B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2470</w:t>
            </w:r>
          </w:p>
        </w:tc>
        <w:tc>
          <w:tcPr>
            <w:tcW w:w="366" w:type="pct"/>
            <w:vMerge w:val="restart"/>
            <w:tcBorders>
              <w:tl2br w:val="nil"/>
              <w:tr2bl w:val="nil"/>
            </w:tcBorders>
            <w:vAlign w:val="center"/>
          </w:tcPr>
          <w:p w14:paraId="7049F04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1.10</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1.20</w:t>
            </w:r>
          </w:p>
        </w:tc>
        <w:tc>
          <w:tcPr>
            <w:tcW w:w="172" w:type="pct"/>
            <w:vMerge/>
            <w:tcBorders>
              <w:tl2br w:val="nil"/>
              <w:tr2bl w:val="nil"/>
            </w:tcBorders>
            <w:vAlign w:val="center"/>
          </w:tcPr>
          <w:p w14:paraId="5F930DE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2788855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3B6F7C0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val="restart"/>
            <w:tcBorders>
              <w:tl2br w:val="nil"/>
              <w:tr2bl w:val="nil"/>
            </w:tcBorders>
            <w:vAlign w:val="center"/>
          </w:tcPr>
          <w:p w14:paraId="3EF6A95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钻井液</w:t>
            </w:r>
          </w:p>
          <w:p w14:paraId="17CBEF7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1"/>
                <w:kern w:val="0"/>
                <w:sz w:val="21"/>
                <w:szCs w:val="21"/>
                <w:lang w:eastAsia="en-US"/>
              </w:rPr>
              <w:t>(</w:t>
            </w:r>
            <w:r>
              <w:rPr>
                <w:snapToGrid w:val="0"/>
                <w:color w:val="000000" w:themeColor="text1"/>
                <w:spacing w:val="-11"/>
                <w:kern w:val="0"/>
                <w:sz w:val="21"/>
                <w:szCs w:val="21"/>
                <w:lang w:eastAsia="en-US"/>
              </w:rPr>
              <w:t>水基</w:t>
            </w:r>
            <w:r>
              <w:rPr>
                <w:snapToGrid w:val="0"/>
                <w:color w:val="000000" w:themeColor="text1"/>
                <w:spacing w:val="-11"/>
                <w:kern w:val="0"/>
                <w:sz w:val="21"/>
                <w:szCs w:val="21"/>
                <w:lang w:eastAsia="en-US"/>
              </w:rPr>
              <w:t>)</w:t>
            </w:r>
          </w:p>
        </w:tc>
        <w:tc>
          <w:tcPr>
            <w:tcW w:w="1734" w:type="pct"/>
            <w:vMerge/>
            <w:tcBorders>
              <w:tl2br w:val="nil"/>
              <w:tr2bl w:val="nil"/>
            </w:tcBorders>
            <w:vAlign w:val="center"/>
          </w:tcPr>
          <w:p w14:paraId="05AE4ED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86E4032" w14:textId="77777777">
        <w:trPr>
          <w:trHeight w:val="23"/>
        </w:trPr>
        <w:tc>
          <w:tcPr>
            <w:tcW w:w="202" w:type="pct"/>
            <w:vMerge/>
            <w:tcBorders>
              <w:tl2br w:val="nil"/>
              <w:tr2bl w:val="nil"/>
            </w:tcBorders>
            <w:vAlign w:val="center"/>
          </w:tcPr>
          <w:p w14:paraId="632B09C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05238B4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梁山组</w:t>
            </w:r>
          </w:p>
        </w:tc>
        <w:tc>
          <w:tcPr>
            <w:tcW w:w="238" w:type="pct"/>
            <w:tcBorders>
              <w:tl2br w:val="nil"/>
              <w:tr2bl w:val="nil"/>
            </w:tcBorders>
            <w:vAlign w:val="center"/>
          </w:tcPr>
          <w:p w14:paraId="3FA24D0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P</w:t>
            </w:r>
            <w:r>
              <w:rPr>
                <w:snapToGrid w:val="0"/>
                <w:color w:val="000000" w:themeColor="text1"/>
                <w:spacing w:val="5"/>
                <w:kern w:val="0"/>
                <w:sz w:val="11"/>
                <w:szCs w:val="11"/>
                <w:lang w:eastAsia="en-US"/>
              </w:rPr>
              <w:t>1</w:t>
            </w:r>
            <w:r>
              <w:rPr>
                <w:snapToGrid w:val="0"/>
                <w:color w:val="000000" w:themeColor="text1"/>
                <w:spacing w:val="5"/>
                <w:kern w:val="0"/>
                <w:sz w:val="21"/>
                <w:szCs w:val="21"/>
                <w:lang w:eastAsia="en-US"/>
              </w:rPr>
              <w:t>l</w:t>
            </w:r>
          </w:p>
        </w:tc>
        <w:tc>
          <w:tcPr>
            <w:tcW w:w="348" w:type="pct"/>
            <w:tcBorders>
              <w:tl2br w:val="nil"/>
              <w:tr2bl w:val="nil"/>
            </w:tcBorders>
            <w:vAlign w:val="center"/>
          </w:tcPr>
          <w:p w14:paraId="5070D3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2475</w:t>
            </w:r>
          </w:p>
        </w:tc>
        <w:tc>
          <w:tcPr>
            <w:tcW w:w="366" w:type="pct"/>
            <w:vMerge/>
            <w:tcBorders>
              <w:tl2br w:val="nil"/>
              <w:tr2bl w:val="nil"/>
            </w:tcBorders>
            <w:vAlign w:val="center"/>
          </w:tcPr>
          <w:p w14:paraId="1374F25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08825F7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0C95C40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688E324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322BEA0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59BD90F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D550EA0" w14:textId="77777777">
        <w:trPr>
          <w:trHeight w:val="23"/>
        </w:trPr>
        <w:tc>
          <w:tcPr>
            <w:tcW w:w="202" w:type="pct"/>
            <w:tcBorders>
              <w:tl2br w:val="nil"/>
              <w:tr2bl w:val="nil"/>
            </w:tcBorders>
            <w:vAlign w:val="center"/>
          </w:tcPr>
          <w:p w14:paraId="18A1A56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石炭</w:t>
            </w:r>
          </w:p>
        </w:tc>
        <w:tc>
          <w:tcPr>
            <w:tcW w:w="320" w:type="pct"/>
            <w:tcBorders>
              <w:tl2br w:val="nil"/>
              <w:tr2bl w:val="nil"/>
            </w:tcBorders>
            <w:vAlign w:val="center"/>
          </w:tcPr>
          <w:p w14:paraId="0C53B8E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黄龙组</w:t>
            </w:r>
          </w:p>
        </w:tc>
        <w:tc>
          <w:tcPr>
            <w:tcW w:w="238" w:type="pct"/>
            <w:tcBorders>
              <w:tl2br w:val="nil"/>
              <w:tr2bl w:val="nil"/>
            </w:tcBorders>
            <w:vAlign w:val="center"/>
          </w:tcPr>
          <w:p w14:paraId="02E8AD1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C</w:t>
            </w:r>
            <w:r>
              <w:rPr>
                <w:snapToGrid w:val="0"/>
                <w:color w:val="000000" w:themeColor="text1"/>
                <w:spacing w:val="-2"/>
                <w:kern w:val="0"/>
                <w:sz w:val="11"/>
                <w:szCs w:val="11"/>
                <w:lang w:eastAsia="en-US"/>
              </w:rPr>
              <w:t>2</w:t>
            </w:r>
            <w:r>
              <w:rPr>
                <w:snapToGrid w:val="0"/>
                <w:color w:val="000000" w:themeColor="text1"/>
                <w:spacing w:val="-2"/>
                <w:kern w:val="0"/>
                <w:sz w:val="21"/>
                <w:szCs w:val="21"/>
                <w:lang w:eastAsia="en-US"/>
              </w:rPr>
              <w:t>h</w:t>
            </w:r>
          </w:p>
        </w:tc>
        <w:tc>
          <w:tcPr>
            <w:tcW w:w="348" w:type="pct"/>
            <w:tcBorders>
              <w:tl2br w:val="nil"/>
              <w:tr2bl w:val="nil"/>
            </w:tcBorders>
            <w:vAlign w:val="center"/>
          </w:tcPr>
          <w:p w14:paraId="33450FE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缺失</w:t>
            </w:r>
          </w:p>
        </w:tc>
        <w:tc>
          <w:tcPr>
            <w:tcW w:w="366" w:type="pct"/>
            <w:vMerge/>
            <w:tcBorders>
              <w:tl2br w:val="nil"/>
              <w:tr2bl w:val="nil"/>
            </w:tcBorders>
            <w:vAlign w:val="center"/>
          </w:tcPr>
          <w:p w14:paraId="7B80659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2" w:type="pct"/>
            <w:vMerge/>
            <w:tcBorders>
              <w:tl2br w:val="nil"/>
              <w:tr2bl w:val="nil"/>
            </w:tcBorders>
            <w:vAlign w:val="center"/>
          </w:tcPr>
          <w:p w14:paraId="07C5493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3695844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2100DA2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38BE111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6EA3648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14B00AB" w14:textId="77777777">
        <w:trPr>
          <w:trHeight w:val="23"/>
        </w:trPr>
        <w:tc>
          <w:tcPr>
            <w:tcW w:w="202" w:type="pct"/>
            <w:vMerge w:val="restart"/>
            <w:tcBorders>
              <w:tl2br w:val="nil"/>
              <w:tr2bl w:val="nil"/>
            </w:tcBorders>
            <w:vAlign w:val="center"/>
          </w:tcPr>
          <w:p w14:paraId="131ED9C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志留</w:t>
            </w:r>
          </w:p>
        </w:tc>
        <w:tc>
          <w:tcPr>
            <w:tcW w:w="320" w:type="pct"/>
            <w:tcBorders>
              <w:tl2br w:val="nil"/>
              <w:tr2bl w:val="nil"/>
            </w:tcBorders>
            <w:vAlign w:val="center"/>
          </w:tcPr>
          <w:p w14:paraId="2195965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韩家店</w:t>
            </w:r>
            <w:r>
              <w:rPr>
                <w:snapToGrid w:val="0"/>
                <w:color w:val="000000" w:themeColor="text1"/>
                <w:kern w:val="0"/>
                <w:sz w:val="21"/>
                <w:szCs w:val="21"/>
                <w:lang w:eastAsia="en-US"/>
              </w:rPr>
              <w:t>组</w:t>
            </w:r>
          </w:p>
        </w:tc>
        <w:tc>
          <w:tcPr>
            <w:tcW w:w="238" w:type="pct"/>
            <w:tcBorders>
              <w:tl2br w:val="nil"/>
              <w:tr2bl w:val="nil"/>
            </w:tcBorders>
            <w:vAlign w:val="center"/>
          </w:tcPr>
          <w:p w14:paraId="02B5426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9"/>
                <w:kern w:val="0"/>
                <w:sz w:val="21"/>
                <w:szCs w:val="21"/>
                <w:lang w:eastAsia="en-US"/>
              </w:rPr>
              <w:t>S</w:t>
            </w:r>
            <w:r>
              <w:rPr>
                <w:snapToGrid w:val="0"/>
                <w:color w:val="000000" w:themeColor="text1"/>
                <w:kern w:val="0"/>
                <w:sz w:val="11"/>
                <w:szCs w:val="11"/>
                <w:lang w:eastAsia="en-US"/>
              </w:rPr>
              <w:t>2</w:t>
            </w:r>
            <w:r>
              <w:rPr>
                <w:snapToGrid w:val="0"/>
                <w:color w:val="000000" w:themeColor="text1"/>
                <w:kern w:val="0"/>
                <w:sz w:val="21"/>
                <w:szCs w:val="21"/>
                <w:lang w:eastAsia="en-US"/>
              </w:rPr>
              <w:t>h</w:t>
            </w:r>
          </w:p>
        </w:tc>
        <w:tc>
          <w:tcPr>
            <w:tcW w:w="348" w:type="pct"/>
            <w:tcBorders>
              <w:tl2br w:val="nil"/>
              <w:tr2bl w:val="nil"/>
            </w:tcBorders>
            <w:vAlign w:val="center"/>
          </w:tcPr>
          <w:p w14:paraId="7EC219A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3315</w:t>
            </w:r>
          </w:p>
        </w:tc>
        <w:tc>
          <w:tcPr>
            <w:tcW w:w="366" w:type="pct"/>
            <w:tcBorders>
              <w:tl2br w:val="nil"/>
              <w:tr2bl w:val="nil"/>
            </w:tcBorders>
            <w:vAlign w:val="center"/>
          </w:tcPr>
          <w:p w14:paraId="775DFAA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1.20</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1.30</w:t>
            </w:r>
          </w:p>
        </w:tc>
        <w:tc>
          <w:tcPr>
            <w:tcW w:w="172" w:type="pct"/>
            <w:vMerge/>
            <w:tcBorders>
              <w:tl2br w:val="nil"/>
              <w:tr2bl w:val="nil"/>
            </w:tcBorders>
            <w:vAlign w:val="center"/>
          </w:tcPr>
          <w:p w14:paraId="6B6595E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3333E86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69668CA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1E2EE47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07FEB3F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EC19E78" w14:textId="77777777">
        <w:trPr>
          <w:trHeight w:val="23"/>
        </w:trPr>
        <w:tc>
          <w:tcPr>
            <w:tcW w:w="202" w:type="pct"/>
            <w:vMerge/>
            <w:tcBorders>
              <w:tl2br w:val="nil"/>
              <w:tr2bl w:val="nil"/>
            </w:tcBorders>
            <w:textDirection w:val="tbRlV"/>
            <w:vAlign w:val="center"/>
          </w:tcPr>
          <w:p w14:paraId="4565763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6074EA8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小河坝</w:t>
            </w:r>
            <w:r>
              <w:rPr>
                <w:snapToGrid w:val="0"/>
                <w:color w:val="000000" w:themeColor="text1"/>
                <w:kern w:val="0"/>
                <w:sz w:val="21"/>
                <w:szCs w:val="21"/>
                <w:lang w:eastAsia="en-US"/>
              </w:rPr>
              <w:t>组</w:t>
            </w:r>
          </w:p>
        </w:tc>
        <w:tc>
          <w:tcPr>
            <w:tcW w:w="238" w:type="pct"/>
            <w:tcBorders>
              <w:tl2br w:val="nil"/>
              <w:tr2bl w:val="nil"/>
            </w:tcBorders>
            <w:vAlign w:val="center"/>
          </w:tcPr>
          <w:p w14:paraId="00553E7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9"/>
                <w:kern w:val="0"/>
                <w:sz w:val="21"/>
                <w:szCs w:val="21"/>
                <w:lang w:eastAsia="en-US"/>
              </w:rPr>
              <w:t>S</w:t>
            </w:r>
            <w:r>
              <w:rPr>
                <w:snapToGrid w:val="0"/>
                <w:color w:val="000000" w:themeColor="text1"/>
                <w:kern w:val="0"/>
                <w:sz w:val="11"/>
                <w:szCs w:val="11"/>
                <w:lang w:eastAsia="en-US"/>
              </w:rPr>
              <w:t>1</w:t>
            </w:r>
            <w:r>
              <w:rPr>
                <w:snapToGrid w:val="0"/>
                <w:color w:val="000000" w:themeColor="text1"/>
                <w:kern w:val="0"/>
                <w:sz w:val="21"/>
                <w:szCs w:val="21"/>
                <w:lang w:eastAsia="en-US"/>
              </w:rPr>
              <w:t>x</w:t>
            </w:r>
          </w:p>
        </w:tc>
        <w:tc>
          <w:tcPr>
            <w:tcW w:w="348" w:type="pct"/>
            <w:tcBorders>
              <w:tl2br w:val="nil"/>
              <w:tr2bl w:val="nil"/>
            </w:tcBorders>
            <w:vAlign w:val="center"/>
          </w:tcPr>
          <w:p w14:paraId="614B234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3440</w:t>
            </w:r>
          </w:p>
        </w:tc>
        <w:tc>
          <w:tcPr>
            <w:tcW w:w="366" w:type="pct"/>
            <w:tcBorders>
              <w:tl2br w:val="nil"/>
              <w:tr2bl w:val="nil"/>
            </w:tcBorders>
            <w:vAlign w:val="center"/>
          </w:tcPr>
          <w:p w14:paraId="1A94CA1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1.30</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1.40</w:t>
            </w:r>
          </w:p>
        </w:tc>
        <w:tc>
          <w:tcPr>
            <w:tcW w:w="172" w:type="pct"/>
            <w:vMerge/>
            <w:tcBorders>
              <w:tl2br w:val="nil"/>
              <w:tr2bl w:val="nil"/>
            </w:tcBorders>
            <w:vAlign w:val="center"/>
          </w:tcPr>
          <w:p w14:paraId="591982C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42BC30B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vMerge/>
            <w:tcBorders>
              <w:tl2br w:val="nil"/>
              <w:tr2bl w:val="nil"/>
            </w:tcBorders>
            <w:vAlign w:val="center"/>
          </w:tcPr>
          <w:p w14:paraId="48A5BD7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20" w:type="pct"/>
            <w:vMerge/>
            <w:tcBorders>
              <w:tl2br w:val="nil"/>
              <w:tr2bl w:val="nil"/>
            </w:tcBorders>
            <w:vAlign w:val="center"/>
          </w:tcPr>
          <w:p w14:paraId="19614D2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734" w:type="pct"/>
            <w:vMerge/>
            <w:tcBorders>
              <w:tl2br w:val="nil"/>
              <w:tr2bl w:val="nil"/>
            </w:tcBorders>
            <w:vAlign w:val="center"/>
          </w:tcPr>
          <w:p w14:paraId="44DA88D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FFB89AC" w14:textId="77777777">
        <w:trPr>
          <w:trHeight w:val="23"/>
        </w:trPr>
        <w:tc>
          <w:tcPr>
            <w:tcW w:w="202" w:type="pct"/>
            <w:vMerge/>
            <w:tcBorders>
              <w:tl2br w:val="nil"/>
              <w:tr2bl w:val="nil"/>
            </w:tcBorders>
            <w:textDirection w:val="tbRlV"/>
            <w:vAlign w:val="center"/>
          </w:tcPr>
          <w:p w14:paraId="34E911B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20" w:type="pct"/>
            <w:tcBorders>
              <w:tl2br w:val="nil"/>
              <w:tr2bl w:val="nil"/>
            </w:tcBorders>
            <w:vAlign w:val="center"/>
          </w:tcPr>
          <w:p w14:paraId="6C58CB0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龙马溪</w:t>
            </w:r>
            <w:r>
              <w:rPr>
                <w:snapToGrid w:val="0"/>
                <w:color w:val="000000" w:themeColor="text1"/>
                <w:kern w:val="0"/>
                <w:sz w:val="21"/>
                <w:szCs w:val="21"/>
                <w:lang w:eastAsia="en-US"/>
              </w:rPr>
              <w:t>组</w:t>
            </w:r>
          </w:p>
        </w:tc>
        <w:tc>
          <w:tcPr>
            <w:tcW w:w="238" w:type="pct"/>
            <w:tcBorders>
              <w:tl2br w:val="nil"/>
              <w:tr2bl w:val="nil"/>
            </w:tcBorders>
            <w:vAlign w:val="center"/>
          </w:tcPr>
          <w:p w14:paraId="2571C4E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S</w:t>
            </w:r>
            <w:r>
              <w:rPr>
                <w:snapToGrid w:val="0"/>
                <w:color w:val="000000" w:themeColor="text1"/>
                <w:spacing w:val="4"/>
                <w:kern w:val="0"/>
                <w:sz w:val="11"/>
                <w:szCs w:val="11"/>
                <w:lang w:eastAsia="en-US"/>
              </w:rPr>
              <w:t>1</w:t>
            </w:r>
            <w:r>
              <w:rPr>
                <w:snapToGrid w:val="0"/>
                <w:color w:val="000000" w:themeColor="text1"/>
                <w:spacing w:val="4"/>
                <w:kern w:val="0"/>
                <w:sz w:val="21"/>
                <w:szCs w:val="21"/>
                <w:lang w:eastAsia="en-US"/>
              </w:rPr>
              <w:t>l</w:t>
            </w:r>
          </w:p>
        </w:tc>
        <w:tc>
          <w:tcPr>
            <w:tcW w:w="348" w:type="pct"/>
            <w:tcBorders>
              <w:tl2br w:val="nil"/>
              <w:tr2bl w:val="nil"/>
            </w:tcBorders>
            <w:vAlign w:val="center"/>
          </w:tcPr>
          <w:p w14:paraId="189C9BD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A:3675</w:t>
            </w:r>
          </w:p>
          <w:p w14:paraId="4B12E4C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B:3915</w:t>
            </w:r>
          </w:p>
        </w:tc>
        <w:tc>
          <w:tcPr>
            <w:tcW w:w="366" w:type="pct"/>
            <w:tcBorders>
              <w:tl2br w:val="nil"/>
              <w:tr2bl w:val="nil"/>
            </w:tcBorders>
            <w:vAlign w:val="center"/>
          </w:tcPr>
          <w:p w14:paraId="2EDFEBE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1.40</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1.50</w:t>
            </w:r>
          </w:p>
        </w:tc>
        <w:tc>
          <w:tcPr>
            <w:tcW w:w="172" w:type="pct"/>
            <w:tcBorders>
              <w:tl2br w:val="nil"/>
              <w:tr2bl w:val="nil"/>
            </w:tcBorders>
            <w:vAlign w:val="center"/>
          </w:tcPr>
          <w:p w14:paraId="5F68F00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三开</w:t>
            </w:r>
          </w:p>
        </w:tc>
        <w:tc>
          <w:tcPr>
            <w:tcW w:w="548" w:type="pct"/>
            <w:tcBorders>
              <w:tl2br w:val="nil"/>
              <w:tr2bl w:val="nil"/>
            </w:tcBorders>
            <w:vAlign w:val="center"/>
          </w:tcPr>
          <w:p w14:paraId="57CE105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190.5×5900</w:t>
            </w:r>
          </w:p>
        </w:tc>
        <w:tc>
          <w:tcPr>
            <w:tcW w:w="548" w:type="pct"/>
            <w:tcBorders>
              <w:tl2br w:val="nil"/>
              <w:tr2bl w:val="nil"/>
            </w:tcBorders>
            <w:vAlign w:val="center"/>
          </w:tcPr>
          <w:p w14:paraId="1755CFD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139.7×5890</w:t>
            </w:r>
          </w:p>
        </w:tc>
        <w:tc>
          <w:tcPr>
            <w:tcW w:w="520" w:type="pct"/>
            <w:tcBorders>
              <w:tl2br w:val="nil"/>
              <w:tr2bl w:val="nil"/>
            </w:tcBorders>
            <w:vAlign w:val="center"/>
          </w:tcPr>
          <w:p w14:paraId="52135D1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油基</w:t>
            </w:r>
            <w:r>
              <w:rPr>
                <w:snapToGrid w:val="0"/>
                <w:color w:val="000000" w:themeColor="text1"/>
                <w:spacing w:val="-2"/>
                <w:kern w:val="0"/>
                <w:sz w:val="21"/>
                <w:szCs w:val="21"/>
                <w:lang w:eastAsia="en-US"/>
              </w:rPr>
              <w:t>钻井液</w:t>
            </w:r>
          </w:p>
        </w:tc>
        <w:tc>
          <w:tcPr>
            <w:tcW w:w="1734" w:type="pct"/>
            <w:vMerge/>
            <w:tcBorders>
              <w:tl2br w:val="nil"/>
              <w:tr2bl w:val="nil"/>
            </w:tcBorders>
            <w:vAlign w:val="center"/>
          </w:tcPr>
          <w:p w14:paraId="4BE65FF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4FDD859E"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井眼轨道</w:t>
      </w:r>
    </w:p>
    <w:p w14:paraId="005BDB17" w14:textId="23FF0296" w:rsidR="002E0859" w:rsidRDefault="00000000">
      <w:pPr>
        <w:pStyle w:val="a0"/>
        <w:spacing w:line="360" w:lineRule="auto"/>
        <w:ind w:firstLine="480"/>
        <w:rPr>
          <w:color w:val="000000" w:themeColor="text1"/>
          <w:sz w:val="24"/>
          <w:szCs w:val="24"/>
        </w:rPr>
      </w:pPr>
      <w:hyperlink r:id="rId19" w:history="1">
        <w:r>
          <w:rPr>
            <w:color w:val="000000" w:themeColor="text1"/>
            <w:sz w:val="24"/>
            <w:szCs w:val="24"/>
          </w:rPr>
          <w:t>1</w:t>
        </w:r>
      </w:hyperlink>
      <w:r>
        <w:rPr>
          <w:rFonts w:hint="eastAsia"/>
          <w:color w:val="000000" w:themeColor="text1"/>
          <w:sz w:val="24"/>
          <w:szCs w:val="24"/>
        </w:rPr>
        <w:t>、</w:t>
      </w:r>
      <w:r>
        <w:rPr>
          <w:color w:val="000000" w:themeColor="text1"/>
          <w:sz w:val="24"/>
          <w:szCs w:val="24"/>
        </w:rPr>
        <w:t>轨道设计原则与依据</w:t>
      </w:r>
    </w:p>
    <w:p w14:paraId="5EF0A8EB"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1</w:t>
      </w:r>
      <w:r>
        <w:rPr>
          <w:color w:val="000000" w:themeColor="text1"/>
          <w:sz w:val="24"/>
          <w:szCs w:val="24"/>
        </w:rPr>
        <w:t>）充分考虑现有的装备条件和技术能力，确保实现钻井的目的。</w:t>
      </w:r>
    </w:p>
    <w:p w14:paraId="518D159D" w14:textId="77777777" w:rsidR="002E0859" w:rsidRDefault="00000000">
      <w:pPr>
        <w:pStyle w:val="a0"/>
        <w:spacing w:line="360" w:lineRule="auto"/>
        <w:ind w:firstLine="480"/>
        <w:rPr>
          <w:rFonts w:ascii="宋体" w:hAnsi="宋体" w:cs="宋体"/>
          <w:color w:val="000000" w:themeColor="text1"/>
          <w:sz w:val="24"/>
          <w:szCs w:val="24"/>
        </w:rPr>
      </w:pPr>
      <w:r>
        <w:rPr>
          <w:color w:val="000000" w:themeColor="text1"/>
          <w:sz w:val="24"/>
          <w:szCs w:val="24"/>
        </w:rPr>
        <w:lastRenderedPageBreak/>
        <w:t>（</w:t>
      </w:r>
      <w:r>
        <w:rPr>
          <w:color w:val="000000" w:themeColor="text1"/>
          <w:sz w:val="24"/>
          <w:szCs w:val="24"/>
        </w:rPr>
        <w:t>2</w:t>
      </w:r>
      <w:r>
        <w:rPr>
          <w:color w:val="000000" w:themeColor="text1"/>
          <w:sz w:val="24"/>
          <w:szCs w:val="24"/>
        </w:rPr>
        <w:t>）根据气田的</w:t>
      </w:r>
      <w:r>
        <w:rPr>
          <w:rFonts w:ascii="宋体" w:hAnsi="宋体" w:cs="宋体"/>
          <w:color w:val="000000" w:themeColor="text1"/>
          <w:spacing w:val="-2"/>
          <w:sz w:val="24"/>
          <w:szCs w:val="24"/>
        </w:rPr>
        <w:t>构造特征，考虑地层对轨迹控制的影响。</w:t>
      </w:r>
    </w:p>
    <w:p w14:paraId="2C8312E2"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3</w:t>
      </w:r>
      <w:r>
        <w:rPr>
          <w:color w:val="000000" w:themeColor="text1"/>
          <w:sz w:val="24"/>
          <w:szCs w:val="24"/>
        </w:rPr>
        <w:t>）选择造斜点、造斜率等参数时，应满足钻井、采气和修井作业要求。</w:t>
      </w:r>
    </w:p>
    <w:p w14:paraId="3B7842B1"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4</w:t>
      </w:r>
      <w:r>
        <w:rPr>
          <w:color w:val="000000" w:themeColor="text1"/>
          <w:sz w:val="24"/>
          <w:szCs w:val="24"/>
        </w:rPr>
        <w:t>）在满足钻井目的的前提下，尽可能选择比较简单的轨道类型，以有利于安全、快速钻井，降低钻井成本。</w:t>
      </w:r>
    </w:p>
    <w:p w14:paraId="0FA34AEF" w14:textId="1D6CDB1A" w:rsidR="002E0859" w:rsidRDefault="00000000">
      <w:pPr>
        <w:pStyle w:val="a0"/>
        <w:spacing w:line="360" w:lineRule="auto"/>
        <w:ind w:firstLine="480"/>
        <w:rPr>
          <w:color w:val="000000" w:themeColor="text1"/>
          <w:sz w:val="24"/>
          <w:szCs w:val="24"/>
        </w:rPr>
      </w:pPr>
      <w:hyperlink r:id="rId20" w:history="1">
        <w:r>
          <w:rPr>
            <w:color w:val="000000" w:themeColor="text1"/>
            <w:sz w:val="24"/>
            <w:szCs w:val="24"/>
          </w:rPr>
          <w:t>2</w:t>
        </w:r>
      </w:hyperlink>
      <w:r>
        <w:rPr>
          <w:rFonts w:hint="eastAsia"/>
          <w:color w:val="000000" w:themeColor="text1"/>
          <w:sz w:val="24"/>
          <w:szCs w:val="24"/>
        </w:rPr>
        <w:t>、</w:t>
      </w:r>
      <w:r>
        <w:rPr>
          <w:color w:val="000000" w:themeColor="text1"/>
          <w:sz w:val="24"/>
          <w:szCs w:val="24"/>
        </w:rPr>
        <w:t>轨道类型</w:t>
      </w:r>
    </w:p>
    <w:p w14:paraId="067E6302"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1</w:t>
      </w:r>
      <w:r>
        <w:rPr>
          <w:color w:val="000000" w:themeColor="text1"/>
          <w:sz w:val="24"/>
          <w:szCs w:val="24"/>
        </w:rPr>
        <w:t>）选择中曲率半径水平井</w:t>
      </w:r>
    </w:p>
    <w:p w14:paraId="39A8EF56" w14:textId="77777777" w:rsidR="002E0859" w:rsidRDefault="00000000">
      <w:pPr>
        <w:pStyle w:val="a0"/>
        <w:spacing w:line="360" w:lineRule="auto"/>
        <w:ind w:firstLine="480"/>
        <w:rPr>
          <w:color w:val="000000" w:themeColor="text1"/>
          <w:sz w:val="24"/>
          <w:szCs w:val="24"/>
        </w:rPr>
      </w:pPr>
      <w:r>
        <w:rPr>
          <w:color w:val="000000" w:themeColor="text1"/>
          <w:sz w:val="24"/>
          <w:szCs w:val="24"/>
        </w:rPr>
        <w:t>地面允许的情况下，靶前位移宜不小于</w:t>
      </w:r>
      <w:r>
        <w:rPr>
          <w:color w:val="000000" w:themeColor="text1"/>
          <w:sz w:val="24"/>
          <w:szCs w:val="24"/>
        </w:rPr>
        <w:t>350m</w:t>
      </w:r>
      <w:r>
        <w:rPr>
          <w:color w:val="000000" w:themeColor="text1"/>
          <w:sz w:val="24"/>
          <w:szCs w:val="24"/>
        </w:rPr>
        <w:t>，设计的造斜率适中，范围在</w:t>
      </w:r>
      <w:r>
        <w:rPr>
          <w:color w:val="000000" w:themeColor="text1"/>
          <w:sz w:val="24"/>
          <w:szCs w:val="24"/>
        </w:rPr>
        <w:t>0.15-0.22°/m</w:t>
      </w:r>
      <w:r>
        <w:rPr>
          <w:color w:val="000000" w:themeColor="text1"/>
          <w:sz w:val="24"/>
          <w:szCs w:val="24"/>
        </w:rPr>
        <w:t>之间。</w:t>
      </w:r>
    </w:p>
    <w:p w14:paraId="20F28525"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2</w:t>
      </w:r>
      <w:r>
        <w:rPr>
          <w:color w:val="000000" w:themeColor="text1"/>
          <w:sz w:val="24"/>
          <w:szCs w:val="24"/>
        </w:rPr>
        <w:t>）双增剖面设计，即</w:t>
      </w:r>
      <w:r>
        <w:rPr>
          <w:color w:val="000000" w:themeColor="text1"/>
          <w:sz w:val="24"/>
          <w:szCs w:val="24"/>
        </w:rPr>
        <w:t>“</w:t>
      </w:r>
      <w:r>
        <w:rPr>
          <w:color w:val="000000" w:themeColor="text1"/>
          <w:sz w:val="24"/>
          <w:szCs w:val="24"/>
        </w:rPr>
        <w:t>直</w:t>
      </w:r>
      <w:r>
        <w:rPr>
          <w:color w:val="000000" w:themeColor="text1"/>
          <w:sz w:val="24"/>
          <w:szCs w:val="24"/>
        </w:rPr>
        <w:t>—</w:t>
      </w:r>
      <w:r>
        <w:rPr>
          <w:color w:val="000000" w:themeColor="text1"/>
          <w:sz w:val="24"/>
          <w:szCs w:val="24"/>
        </w:rPr>
        <w:t>增</w:t>
      </w:r>
      <w:r>
        <w:rPr>
          <w:color w:val="000000" w:themeColor="text1"/>
          <w:sz w:val="24"/>
          <w:szCs w:val="24"/>
        </w:rPr>
        <w:t>—</w:t>
      </w:r>
      <w:r>
        <w:rPr>
          <w:color w:val="000000" w:themeColor="text1"/>
          <w:sz w:val="24"/>
          <w:szCs w:val="24"/>
        </w:rPr>
        <w:t>稳</w:t>
      </w:r>
      <w:r>
        <w:rPr>
          <w:color w:val="000000" w:themeColor="text1"/>
          <w:sz w:val="24"/>
          <w:szCs w:val="24"/>
        </w:rPr>
        <w:t>—</w:t>
      </w:r>
      <w:r>
        <w:rPr>
          <w:color w:val="000000" w:themeColor="text1"/>
          <w:sz w:val="24"/>
          <w:szCs w:val="24"/>
        </w:rPr>
        <w:t>增</w:t>
      </w:r>
      <w:r>
        <w:rPr>
          <w:color w:val="000000" w:themeColor="text1"/>
          <w:sz w:val="24"/>
          <w:szCs w:val="24"/>
        </w:rPr>
        <w:t>—</w:t>
      </w:r>
      <w:r>
        <w:rPr>
          <w:color w:val="000000" w:themeColor="text1"/>
          <w:sz w:val="24"/>
          <w:szCs w:val="24"/>
        </w:rPr>
        <w:t>平</w:t>
      </w:r>
      <w:r>
        <w:rPr>
          <w:color w:val="000000" w:themeColor="text1"/>
          <w:sz w:val="24"/>
          <w:szCs w:val="24"/>
        </w:rPr>
        <w:t>”</w:t>
      </w:r>
      <w:r>
        <w:rPr>
          <w:color w:val="000000" w:themeColor="text1"/>
          <w:sz w:val="24"/>
          <w:szCs w:val="24"/>
        </w:rPr>
        <w:t>剖面</w:t>
      </w:r>
    </w:p>
    <w:p w14:paraId="12EA9A2F" w14:textId="77777777" w:rsidR="002E0859" w:rsidRDefault="00000000">
      <w:pPr>
        <w:pStyle w:val="a0"/>
        <w:spacing w:line="360" w:lineRule="auto"/>
        <w:ind w:firstLine="480"/>
        <w:rPr>
          <w:color w:val="000000" w:themeColor="text1"/>
          <w:sz w:val="24"/>
          <w:szCs w:val="24"/>
        </w:rPr>
      </w:pPr>
      <w:r>
        <w:rPr>
          <w:color w:val="000000" w:themeColor="text1"/>
          <w:sz w:val="24"/>
          <w:szCs w:val="24"/>
        </w:rPr>
        <w:t>双增剖面，它由直井段、第一增斜段、稳斜段、第二增斜段和水平段组成，其突出特点是在两段增斜段之间设计了一段较短的稳斜调整段，一方面是为了适应在实钻中目的层深度发生变化时，改变调整方案而不致于使轨迹控制处于被动地位；另一方面可通过调整段来补偿工具造斜率误差所造成的轨道偏差，使轨迹在最终着陆时进靶更准确、更顺利。</w:t>
      </w:r>
    </w:p>
    <w:p w14:paraId="4D29CA53" w14:textId="301A4DA3" w:rsidR="002E0859" w:rsidRDefault="00000000">
      <w:pPr>
        <w:pStyle w:val="a0"/>
        <w:spacing w:line="360" w:lineRule="auto"/>
        <w:ind w:firstLine="480"/>
        <w:rPr>
          <w:color w:val="000000" w:themeColor="text1"/>
          <w:sz w:val="24"/>
          <w:szCs w:val="24"/>
        </w:rPr>
      </w:pPr>
      <w:hyperlink r:id="rId21" w:history="1">
        <w:r>
          <w:rPr>
            <w:color w:val="000000" w:themeColor="text1"/>
            <w:sz w:val="24"/>
            <w:szCs w:val="24"/>
          </w:rPr>
          <w:t>3</w:t>
        </w:r>
      </w:hyperlink>
      <w:r>
        <w:rPr>
          <w:rFonts w:hint="eastAsia"/>
          <w:color w:val="000000" w:themeColor="text1"/>
          <w:sz w:val="24"/>
          <w:szCs w:val="24"/>
        </w:rPr>
        <w:t>、</w:t>
      </w:r>
      <w:r>
        <w:rPr>
          <w:color w:val="000000" w:themeColor="text1"/>
          <w:sz w:val="24"/>
          <w:szCs w:val="24"/>
        </w:rPr>
        <w:t>轨道参数选择</w:t>
      </w:r>
    </w:p>
    <w:p w14:paraId="5743B668"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1</w:t>
      </w:r>
      <w:r>
        <w:rPr>
          <w:color w:val="000000" w:themeColor="text1"/>
          <w:sz w:val="24"/>
          <w:szCs w:val="24"/>
        </w:rPr>
        <w:t>）造斜点：由于造斜率受井眼大小和地层情况影响，为了有利于造斜和方位控制，造斜点一般选在地层较稳定、可钻性好的井段。</w:t>
      </w:r>
    </w:p>
    <w:p w14:paraId="5BB98EF8" w14:textId="77777777" w:rsidR="002E0859" w:rsidRDefault="00000000">
      <w:pPr>
        <w:pStyle w:val="a0"/>
        <w:spacing w:line="360" w:lineRule="auto"/>
        <w:ind w:firstLine="480"/>
        <w:rPr>
          <w:color w:val="000000" w:themeColor="text1"/>
          <w:sz w:val="24"/>
          <w:szCs w:val="24"/>
        </w:rPr>
      </w:pPr>
      <w:r>
        <w:rPr>
          <w:color w:val="000000" w:themeColor="text1"/>
          <w:sz w:val="24"/>
          <w:szCs w:val="24"/>
        </w:rPr>
        <w:t>（</w:t>
      </w:r>
      <w:r>
        <w:rPr>
          <w:color w:val="000000" w:themeColor="text1"/>
          <w:sz w:val="24"/>
          <w:szCs w:val="24"/>
        </w:rPr>
        <w:t>2</w:t>
      </w:r>
      <w:r>
        <w:rPr>
          <w:color w:val="000000" w:themeColor="text1"/>
          <w:sz w:val="24"/>
          <w:szCs w:val="24"/>
        </w:rPr>
        <w:t>）造斜率：考虑采气工艺的要求，在不影响生产管柱下入和满足管材抗弯能力前提下，结合地层影响因素，水平井造斜率设计</w:t>
      </w:r>
      <w:r>
        <w:rPr>
          <w:color w:val="000000" w:themeColor="text1"/>
          <w:sz w:val="24"/>
          <w:szCs w:val="24"/>
        </w:rPr>
        <w:t>16°/100m</w:t>
      </w:r>
      <w:r>
        <w:rPr>
          <w:color w:val="000000" w:themeColor="text1"/>
          <w:sz w:val="24"/>
          <w:szCs w:val="24"/>
        </w:rPr>
        <w:t>，实际操作应控制在</w:t>
      </w:r>
      <w:r>
        <w:rPr>
          <w:color w:val="000000" w:themeColor="text1"/>
          <w:sz w:val="24"/>
          <w:szCs w:val="24"/>
        </w:rPr>
        <w:t>22°/100m</w:t>
      </w:r>
      <w:r>
        <w:rPr>
          <w:color w:val="000000" w:themeColor="text1"/>
          <w:sz w:val="24"/>
          <w:szCs w:val="24"/>
        </w:rPr>
        <w:t>以内，根据偏移距情况，为实现</w:t>
      </w:r>
      <w:r>
        <w:rPr>
          <w:color w:val="000000" w:themeColor="text1"/>
          <w:sz w:val="24"/>
          <w:szCs w:val="24"/>
        </w:rPr>
        <w:t>“135”</w:t>
      </w:r>
      <w:r>
        <w:rPr>
          <w:color w:val="000000" w:themeColor="text1"/>
          <w:sz w:val="24"/>
          <w:szCs w:val="24"/>
        </w:rPr>
        <w:t>趟钻，尽量提高二开第一趟钻进尺，可通过优化造斜率下移造斜点，单个点最大不超过</w:t>
      </w:r>
      <w:r>
        <w:rPr>
          <w:color w:val="000000" w:themeColor="text1"/>
          <w:sz w:val="24"/>
          <w:szCs w:val="24"/>
        </w:rPr>
        <w:t>25°/100m</w:t>
      </w:r>
      <w:r>
        <w:rPr>
          <w:color w:val="000000" w:themeColor="text1"/>
          <w:sz w:val="24"/>
          <w:szCs w:val="24"/>
        </w:rPr>
        <w:t>。</w:t>
      </w:r>
    </w:p>
    <w:p w14:paraId="78AE9C1A" w14:textId="436BE3BE" w:rsidR="002E0859" w:rsidRDefault="00000000">
      <w:pPr>
        <w:pStyle w:val="a0"/>
        <w:spacing w:line="360" w:lineRule="auto"/>
        <w:ind w:firstLine="480"/>
        <w:rPr>
          <w:color w:val="000000" w:themeColor="text1"/>
          <w:sz w:val="24"/>
          <w:szCs w:val="24"/>
        </w:rPr>
      </w:pPr>
      <w:hyperlink r:id="rId22" w:history="1">
        <w:r>
          <w:rPr>
            <w:color w:val="000000" w:themeColor="text1"/>
            <w:sz w:val="24"/>
            <w:szCs w:val="24"/>
          </w:rPr>
          <w:t>4</w:t>
        </w:r>
      </w:hyperlink>
      <w:r>
        <w:rPr>
          <w:rFonts w:hint="eastAsia"/>
          <w:color w:val="000000" w:themeColor="text1"/>
          <w:sz w:val="24"/>
          <w:szCs w:val="24"/>
        </w:rPr>
        <w:t>、</w:t>
      </w:r>
      <w:r>
        <w:rPr>
          <w:color w:val="000000" w:themeColor="text1"/>
          <w:sz w:val="24"/>
          <w:szCs w:val="24"/>
        </w:rPr>
        <w:t>轨道设计方案</w:t>
      </w:r>
    </w:p>
    <w:p w14:paraId="5DA793BE" w14:textId="77777777" w:rsidR="002E0859" w:rsidRDefault="00000000">
      <w:pPr>
        <w:pStyle w:val="a0"/>
        <w:spacing w:line="360" w:lineRule="auto"/>
        <w:ind w:firstLine="480"/>
        <w:rPr>
          <w:color w:val="000000" w:themeColor="text1"/>
          <w:sz w:val="24"/>
          <w:szCs w:val="24"/>
        </w:rPr>
      </w:pPr>
      <w:r>
        <w:rPr>
          <w:color w:val="000000" w:themeColor="text1"/>
          <w:sz w:val="24"/>
          <w:szCs w:val="24"/>
        </w:rPr>
        <w:t>轨道设计参数如下：</w:t>
      </w:r>
    </w:p>
    <w:p w14:paraId="00DBDB6F" w14:textId="77777777" w:rsidR="002E0859" w:rsidRDefault="00000000">
      <w:pPr>
        <w:pStyle w:val="a8"/>
        <w:spacing w:line="240" w:lineRule="auto"/>
        <w:ind w:firstLineChars="0" w:firstLine="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hint="eastAsia"/>
          <w:color w:val="000000" w:themeColor="text1"/>
          <w:sz w:val="21"/>
          <w:szCs w:val="21"/>
          <w:lang w:eastAsia="zh-CN"/>
        </w:rPr>
        <w:t>表</w:t>
      </w:r>
      <w:r>
        <w:rPr>
          <w:rFonts w:ascii="Times New Roman" w:eastAsia="黑体" w:hAnsi="Times New Roman" w:cs="Times New Roman" w:hint="eastAsia"/>
          <w:color w:val="000000" w:themeColor="text1"/>
          <w:sz w:val="21"/>
          <w:szCs w:val="21"/>
          <w:lang w:eastAsia="zh-CN"/>
        </w:rPr>
        <w:t xml:space="preserve">2.4-4 </w:t>
      </w:r>
      <w:r>
        <w:rPr>
          <w:rFonts w:ascii="Times New Roman" w:eastAsia="黑体" w:hAnsi="Times New Roman" w:cs="Times New Roman" w:hint="eastAsia"/>
          <w:color w:val="000000" w:themeColor="text1"/>
          <w:sz w:val="21"/>
          <w:szCs w:val="21"/>
          <w:lang w:eastAsia="zh-CN"/>
        </w:rPr>
        <w:t>焦页</w:t>
      </w:r>
      <w:r>
        <w:rPr>
          <w:rFonts w:ascii="Times New Roman" w:eastAsia="黑体" w:hAnsi="Times New Roman" w:cs="Times New Roman" w:hint="eastAsia"/>
          <w:color w:val="000000" w:themeColor="text1"/>
          <w:sz w:val="21"/>
          <w:szCs w:val="21"/>
          <w:lang w:eastAsia="zh-CN"/>
        </w:rPr>
        <w:t>90-5HF</w:t>
      </w:r>
      <w:r>
        <w:rPr>
          <w:rFonts w:ascii="Times New Roman" w:eastAsia="黑体" w:hAnsi="Times New Roman" w:cs="Times New Roman" w:hint="eastAsia"/>
          <w:color w:val="000000" w:themeColor="text1"/>
          <w:sz w:val="21"/>
          <w:szCs w:val="21"/>
          <w:lang w:eastAsia="zh-CN"/>
        </w:rPr>
        <w:t>井井身剖面分段数据表</w:t>
      </w:r>
    </w:p>
    <w:tbl>
      <w:tblPr>
        <w:tblStyle w:val="TableNormal"/>
        <w:tblW w:w="4997"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017"/>
        <w:gridCol w:w="978"/>
        <w:gridCol w:w="980"/>
        <w:gridCol w:w="985"/>
        <w:gridCol w:w="1015"/>
        <w:gridCol w:w="1017"/>
        <w:gridCol w:w="1032"/>
        <w:gridCol w:w="1014"/>
        <w:gridCol w:w="1111"/>
      </w:tblGrid>
      <w:tr w:rsidR="002E0859" w14:paraId="56F340F3" w14:textId="77777777">
        <w:trPr>
          <w:trHeight w:val="23"/>
        </w:trPr>
        <w:tc>
          <w:tcPr>
            <w:tcW w:w="555" w:type="pct"/>
            <w:tcBorders>
              <w:tl2br w:val="nil"/>
              <w:tr2bl w:val="nil"/>
            </w:tcBorders>
            <w:vAlign w:val="center"/>
          </w:tcPr>
          <w:p w14:paraId="0D7DEB06"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井深</w:t>
            </w:r>
            <w:r>
              <w:rPr>
                <w:rFonts w:ascii="Times New Roman" w:hAnsi="Times New Roman" w:cs="Times New Roman"/>
                <w:color w:val="000000" w:themeColor="text1"/>
                <w:spacing w:val="-10"/>
              </w:rPr>
              <w:t>(m)</w:t>
            </w:r>
          </w:p>
        </w:tc>
        <w:tc>
          <w:tcPr>
            <w:tcW w:w="534" w:type="pct"/>
            <w:tcBorders>
              <w:tl2br w:val="nil"/>
              <w:tr2bl w:val="nil"/>
            </w:tcBorders>
            <w:vAlign w:val="center"/>
          </w:tcPr>
          <w:p w14:paraId="32ADF36A"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井斜</w:t>
            </w:r>
            <w:r>
              <w:rPr>
                <w:rFonts w:ascii="Times New Roman" w:hAnsi="Times New Roman" w:cs="Times New Roman"/>
                <w:color w:val="000000" w:themeColor="text1"/>
                <w:spacing w:val="-24"/>
              </w:rPr>
              <w:t>(°)</w:t>
            </w:r>
          </w:p>
        </w:tc>
        <w:tc>
          <w:tcPr>
            <w:tcW w:w="535" w:type="pct"/>
            <w:tcBorders>
              <w:tl2br w:val="nil"/>
              <w:tr2bl w:val="nil"/>
            </w:tcBorders>
            <w:vAlign w:val="center"/>
          </w:tcPr>
          <w:p w14:paraId="565FEB42"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方位</w:t>
            </w:r>
            <w:r>
              <w:rPr>
                <w:rFonts w:ascii="Times New Roman" w:hAnsi="Times New Roman" w:cs="Times New Roman"/>
                <w:color w:val="000000" w:themeColor="text1"/>
                <w:spacing w:val="-24"/>
              </w:rPr>
              <w:t>(°)</w:t>
            </w:r>
          </w:p>
        </w:tc>
        <w:tc>
          <w:tcPr>
            <w:tcW w:w="538" w:type="pct"/>
            <w:tcBorders>
              <w:tl2br w:val="nil"/>
              <w:tr2bl w:val="nil"/>
            </w:tcBorders>
            <w:vAlign w:val="center"/>
          </w:tcPr>
          <w:p w14:paraId="38D11895"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7"/>
              </w:rPr>
              <w:t>闭合方位</w:t>
            </w:r>
            <w:r>
              <w:rPr>
                <w:rFonts w:ascii="Times New Roman" w:hAnsi="Times New Roman" w:cs="Times New Roman"/>
                <w:color w:val="000000" w:themeColor="text1"/>
                <w:spacing w:val="-24"/>
              </w:rPr>
              <w:t>(°)</w:t>
            </w:r>
          </w:p>
        </w:tc>
        <w:tc>
          <w:tcPr>
            <w:tcW w:w="554" w:type="pct"/>
            <w:tcBorders>
              <w:tl2br w:val="nil"/>
              <w:tr2bl w:val="nil"/>
            </w:tcBorders>
            <w:vAlign w:val="center"/>
          </w:tcPr>
          <w:p w14:paraId="48A8E6F1"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垂深</w:t>
            </w:r>
          </w:p>
          <w:p w14:paraId="12B08B16"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0"/>
              </w:rPr>
              <w:t>(m)</w:t>
            </w:r>
          </w:p>
        </w:tc>
        <w:tc>
          <w:tcPr>
            <w:tcW w:w="555" w:type="pct"/>
            <w:tcBorders>
              <w:tl2br w:val="nil"/>
              <w:tr2bl w:val="nil"/>
            </w:tcBorders>
            <w:vAlign w:val="center"/>
          </w:tcPr>
          <w:p w14:paraId="19D4952D"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7"/>
              </w:rPr>
              <w:t>闭合位移</w:t>
            </w:r>
          </w:p>
          <w:p w14:paraId="0B6B8C15"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0"/>
              </w:rPr>
              <w:t>(m)</w:t>
            </w:r>
          </w:p>
        </w:tc>
        <w:tc>
          <w:tcPr>
            <w:tcW w:w="564" w:type="pct"/>
            <w:tcBorders>
              <w:tl2br w:val="nil"/>
              <w:tr2bl w:val="nil"/>
            </w:tcBorders>
            <w:vAlign w:val="center"/>
          </w:tcPr>
          <w:p w14:paraId="37E9C5F7"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南北坐标</w:t>
            </w:r>
          </w:p>
          <w:p w14:paraId="1E5C6162"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0"/>
              </w:rPr>
              <w:t>(m)</w:t>
            </w:r>
          </w:p>
        </w:tc>
        <w:tc>
          <w:tcPr>
            <w:tcW w:w="554" w:type="pct"/>
            <w:tcBorders>
              <w:tl2br w:val="nil"/>
              <w:tr2bl w:val="nil"/>
            </w:tcBorders>
            <w:vAlign w:val="center"/>
          </w:tcPr>
          <w:p w14:paraId="5910BF79"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4"/>
              </w:rPr>
              <w:t>东西坐标</w:t>
            </w:r>
          </w:p>
          <w:p w14:paraId="728E5AB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0"/>
              </w:rPr>
              <w:t>(m)</w:t>
            </w:r>
          </w:p>
        </w:tc>
        <w:tc>
          <w:tcPr>
            <w:tcW w:w="607" w:type="pct"/>
            <w:tcBorders>
              <w:tl2br w:val="nil"/>
              <w:tr2bl w:val="nil"/>
            </w:tcBorders>
            <w:vAlign w:val="center"/>
          </w:tcPr>
          <w:p w14:paraId="5A3C50C3"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造斜率</w:t>
            </w:r>
            <w:r>
              <w:rPr>
                <w:rFonts w:ascii="Times New Roman" w:hAnsi="Times New Roman" w:cs="Times New Roman"/>
                <w:color w:val="000000" w:themeColor="text1"/>
                <w:spacing w:val="-9"/>
              </w:rPr>
              <w:t>(°/100m)</w:t>
            </w:r>
          </w:p>
        </w:tc>
      </w:tr>
      <w:tr w:rsidR="002E0859" w14:paraId="759F07FE" w14:textId="77777777">
        <w:trPr>
          <w:trHeight w:val="23"/>
        </w:trPr>
        <w:tc>
          <w:tcPr>
            <w:tcW w:w="555" w:type="pct"/>
            <w:tcBorders>
              <w:tl2br w:val="nil"/>
              <w:tr2bl w:val="nil"/>
            </w:tcBorders>
            <w:vAlign w:val="center"/>
          </w:tcPr>
          <w:p w14:paraId="4D0F8AA2"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34" w:type="pct"/>
            <w:tcBorders>
              <w:tl2br w:val="nil"/>
              <w:tr2bl w:val="nil"/>
            </w:tcBorders>
            <w:vAlign w:val="center"/>
          </w:tcPr>
          <w:p w14:paraId="68465951"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35" w:type="pct"/>
            <w:tcBorders>
              <w:tl2br w:val="nil"/>
              <w:tr2bl w:val="nil"/>
            </w:tcBorders>
            <w:vAlign w:val="center"/>
          </w:tcPr>
          <w:p w14:paraId="6DDD6AEA"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290.58</w:t>
            </w:r>
          </w:p>
        </w:tc>
        <w:tc>
          <w:tcPr>
            <w:tcW w:w="538" w:type="pct"/>
            <w:tcBorders>
              <w:tl2br w:val="nil"/>
              <w:tr2bl w:val="nil"/>
            </w:tcBorders>
            <w:vAlign w:val="center"/>
          </w:tcPr>
          <w:p w14:paraId="625B81D3"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54" w:type="pct"/>
            <w:tcBorders>
              <w:tl2br w:val="nil"/>
              <w:tr2bl w:val="nil"/>
            </w:tcBorders>
            <w:vAlign w:val="center"/>
          </w:tcPr>
          <w:p w14:paraId="6B906E5D"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55" w:type="pct"/>
            <w:tcBorders>
              <w:tl2br w:val="nil"/>
              <w:tr2bl w:val="nil"/>
            </w:tcBorders>
            <w:vAlign w:val="center"/>
          </w:tcPr>
          <w:p w14:paraId="1EE6E983"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64" w:type="pct"/>
            <w:tcBorders>
              <w:tl2br w:val="nil"/>
              <w:tr2bl w:val="nil"/>
            </w:tcBorders>
            <w:vAlign w:val="center"/>
          </w:tcPr>
          <w:p w14:paraId="1B9906A8"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54" w:type="pct"/>
            <w:tcBorders>
              <w:tl2br w:val="nil"/>
              <w:tr2bl w:val="nil"/>
            </w:tcBorders>
            <w:vAlign w:val="center"/>
          </w:tcPr>
          <w:p w14:paraId="58A11A1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607" w:type="pct"/>
            <w:tcBorders>
              <w:tl2br w:val="nil"/>
              <w:tr2bl w:val="nil"/>
            </w:tcBorders>
            <w:vAlign w:val="center"/>
          </w:tcPr>
          <w:p w14:paraId="3773EED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r>
      <w:tr w:rsidR="002E0859" w14:paraId="6099854F" w14:textId="77777777">
        <w:trPr>
          <w:trHeight w:val="23"/>
        </w:trPr>
        <w:tc>
          <w:tcPr>
            <w:tcW w:w="555" w:type="pct"/>
            <w:tcBorders>
              <w:tl2br w:val="nil"/>
              <w:tr2bl w:val="nil"/>
            </w:tcBorders>
            <w:vAlign w:val="center"/>
          </w:tcPr>
          <w:p w14:paraId="7102A391"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2800.00</w:t>
            </w:r>
          </w:p>
        </w:tc>
        <w:tc>
          <w:tcPr>
            <w:tcW w:w="534" w:type="pct"/>
            <w:tcBorders>
              <w:tl2br w:val="nil"/>
              <w:tr2bl w:val="nil"/>
            </w:tcBorders>
            <w:vAlign w:val="center"/>
          </w:tcPr>
          <w:p w14:paraId="0D49DB1A"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35" w:type="pct"/>
            <w:tcBorders>
              <w:tl2br w:val="nil"/>
              <w:tr2bl w:val="nil"/>
            </w:tcBorders>
            <w:vAlign w:val="center"/>
          </w:tcPr>
          <w:p w14:paraId="65673DCC"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290.58</w:t>
            </w:r>
          </w:p>
        </w:tc>
        <w:tc>
          <w:tcPr>
            <w:tcW w:w="538" w:type="pct"/>
            <w:tcBorders>
              <w:tl2br w:val="nil"/>
              <w:tr2bl w:val="nil"/>
            </w:tcBorders>
            <w:vAlign w:val="center"/>
          </w:tcPr>
          <w:p w14:paraId="44BAB4A5"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54" w:type="pct"/>
            <w:tcBorders>
              <w:tl2br w:val="nil"/>
              <w:tr2bl w:val="nil"/>
            </w:tcBorders>
            <w:vAlign w:val="center"/>
          </w:tcPr>
          <w:p w14:paraId="49B0E93E"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2800.00</w:t>
            </w:r>
          </w:p>
        </w:tc>
        <w:tc>
          <w:tcPr>
            <w:tcW w:w="555" w:type="pct"/>
            <w:tcBorders>
              <w:tl2br w:val="nil"/>
              <w:tr2bl w:val="nil"/>
            </w:tcBorders>
            <w:vAlign w:val="center"/>
          </w:tcPr>
          <w:p w14:paraId="22F0DE6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64" w:type="pct"/>
            <w:tcBorders>
              <w:tl2br w:val="nil"/>
              <w:tr2bl w:val="nil"/>
            </w:tcBorders>
            <w:vAlign w:val="center"/>
          </w:tcPr>
          <w:p w14:paraId="0D91821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554" w:type="pct"/>
            <w:tcBorders>
              <w:tl2br w:val="nil"/>
              <w:tr2bl w:val="nil"/>
            </w:tcBorders>
            <w:vAlign w:val="center"/>
          </w:tcPr>
          <w:p w14:paraId="22398B2C"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c>
          <w:tcPr>
            <w:tcW w:w="607" w:type="pct"/>
            <w:tcBorders>
              <w:tl2br w:val="nil"/>
              <w:tr2bl w:val="nil"/>
            </w:tcBorders>
            <w:vAlign w:val="center"/>
          </w:tcPr>
          <w:p w14:paraId="149CDB66"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r>
      <w:tr w:rsidR="002E0859" w14:paraId="3D15A1C5" w14:textId="77777777">
        <w:trPr>
          <w:trHeight w:val="23"/>
        </w:trPr>
        <w:tc>
          <w:tcPr>
            <w:tcW w:w="555" w:type="pct"/>
            <w:tcBorders>
              <w:tl2br w:val="nil"/>
              <w:tr2bl w:val="nil"/>
            </w:tcBorders>
            <w:vAlign w:val="center"/>
          </w:tcPr>
          <w:p w14:paraId="7C9C1CC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2923.40</w:t>
            </w:r>
          </w:p>
        </w:tc>
        <w:tc>
          <w:tcPr>
            <w:tcW w:w="534" w:type="pct"/>
            <w:tcBorders>
              <w:tl2br w:val="nil"/>
              <w:tr2bl w:val="nil"/>
            </w:tcBorders>
            <w:vAlign w:val="center"/>
          </w:tcPr>
          <w:p w14:paraId="0C0A2DBC"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4"/>
              </w:rPr>
              <w:t>19.74</w:t>
            </w:r>
          </w:p>
        </w:tc>
        <w:tc>
          <w:tcPr>
            <w:tcW w:w="535" w:type="pct"/>
            <w:tcBorders>
              <w:tl2br w:val="nil"/>
              <w:tr2bl w:val="nil"/>
            </w:tcBorders>
            <w:vAlign w:val="center"/>
          </w:tcPr>
          <w:p w14:paraId="7D893493"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290.58</w:t>
            </w:r>
          </w:p>
        </w:tc>
        <w:tc>
          <w:tcPr>
            <w:tcW w:w="538" w:type="pct"/>
            <w:tcBorders>
              <w:tl2br w:val="nil"/>
              <w:tr2bl w:val="nil"/>
            </w:tcBorders>
            <w:vAlign w:val="center"/>
          </w:tcPr>
          <w:p w14:paraId="13B2DCD9"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290.58</w:t>
            </w:r>
          </w:p>
        </w:tc>
        <w:tc>
          <w:tcPr>
            <w:tcW w:w="554" w:type="pct"/>
            <w:tcBorders>
              <w:tl2br w:val="nil"/>
              <w:tr2bl w:val="nil"/>
            </w:tcBorders>
            <w:vAlign w:val="center"/>
          </w:tcPr>
          <w:p w14:paraId="4FCF249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2920.97</w:t>
            </w:r>
          </w:p>
        </w:tc>
        <w:tc>
          <w:tcPr>
            <w:tcW w:w="555" w:type="pct"/>
            <w:tcBorders>
              <w:tl2br w:val="nil"/>
              <w:tr2bl w:val="nil"/>
            </w:tcBorders>
            <w:vAlign w:val="center"/>
          </w:tcPr>
          <w:p w14:paraId="58BC3BDA"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21.05</w:t>
            </w:r>
          </w:p>
        </w:tc>
        <w:tc>
          <w:tcPr>
            <w:tcW w:w="564" w:type="pct"/>
            <w:tcBorders>
              <w:tl2br w:val="nil"/>
              <w:tr2bl w:val="nil"/>
            </w:tcBorders>
            <w:vAlign w:val="center"/>
          </w:tcPr>
          <w:p w14:paraId="48510977"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7.40</w:t>
            </w:r>
          </w:p>
        </w:tc>
        <w:tc>
          <w:tcPr>
            <w:tcW w:w="554" w:type="pct"/>
            <w:tcBorders>
              <w:tl2br w:val="nil"/>
              <w:tr2bl w:val="nil"/>
            </w:tcBorders>
            <w:vAlign w:val="center"/>
          </w:tcPr>
          <w:p w14:paraId="67E4E9F4"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rPr>
              <w:t>-19.71</w:t>
            </w:r>
          </w:p>
        </w:tc>
        <w:tc>
          <w:tcPr>
            <w:tcW w:w="607" w:type="pct"/>
            <w:tcBorders>
              <w:tl2br w:val="nil"/>
              <w:tr2bl w:val="nil"/>
            </w:tcBorders>
            <w:vAlign w:val="center"/>
          </w:tcPr>
          <w:p w14:paraId="53F019A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4"/>
              </w:rPr>
              <w:t>16.00</w:t>
            </w:r>
          </w:p>
        </w:tc>
      </w:tr>
      <w:tr w:rsidR="002E0859" w14:paraId="6EDF6699" w14:textId="77777777">
        <w:trPr>
          <w:trHeight w:val="23"/>
        </w:trPr>
        <w:tc>
          <w:tcPr>
            <w:tcW w:w="555" w:type="pct"/>
            <w:tcBorders>
              <w:tl2br w:val="nil"/>
              <w:tr2bl w:val="nil"/>
            </w:tcBorders>
            <w:vAlign w:val="center"/>
          </w:tcPr>
          <w:p w14:paraId="01EBC495"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3325.25</w:t>
            </w:r>
          </w:p>
        </w:tc>
        <w:tc>
          <w:tcPr>
            <w:tcW w:w="534" w:type="pct"/>
            <w:tcBorders>
              <w:tl2br w:val="nil"/>
              <w:tr2bl w:val="nil"/>
            </w:tcBorders>
            <w:vAlign w:val="center"/>
          </w:tcPr>
          <w:p w14:paraId="4CE13C94"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4"/>
              </w:rPr>
              <w:t>19.74</w:t>
            </w:r>
          </w:p>
        </w:tc>
        <w:tc>
          <w:tcPr>
            <w:tcW w:w="535" w:type="pct"/>
            <w:tcBorders>
              <w:tl2br w:val="nil"/>
              <w:tr2bl w:val="nil"/>
            </w:tcBorders>
            <w:vAlign w:val="center"/>
          </w:tcPr>
          <w:p w14:paraId="77DDD94C"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290.58</w:t>
            </w:r>
          </w:p>
        </w:tc>
        <w:tc>
          <w:tcPr>
            <w:tcW w:w="538" w:type="pct"/>
            <w:tcBorders>
              <w:tl2br w:val="nil"/>
              <w:tr2bl w:val="nil"/>
            </w:tcBorders>
            <w:vAlign w:val="center"/>
          </w:tcPr>
          <w:p w14:paraId="14E64028"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290.58</w:t>
            </w:r>
          </w:p>
        </w:tc>
        <w:tc>
          <w:tcPr>
            <w:tcW w:w="554" w:type="pct"/>
            <w:tcBorders>
              <w:tl2br w:val="nil"/>
              <w:tr2bl w:val="nil"/>
            </w:tcBorders>
            <w:vAlign w:val="center"/>
          </w:tcPr>
          <w:p w14:paraId="603808A2"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3299.20</w:t>
            </w:r>
          </w:p>
        </w:tc>
        <w:tc>
          <w:tcPr>
            <w:tcW w:w="555" w:type="pct"/>
            <w:tcBorders>
              <w:tl2br w:val="nil"/>
              <w:tr2bl w:val="nil"/>
            </w:tcBorders>
            <w:vAlign w:val="center"/>
          </w:tcPr>
          <w:p w14:paraId="60B02157"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156.80</w:t>
            </w:r>
          </w:p>
        </w:tc>
        <w:tc>
          <w:tcPr>
            <w:tcW w:w="564" w:type="pct"/>
            <w:tcBorders>
              <w:tl2br w:val="nil"/>
              <w:tr2bl w:val="nil"/>
            </w:tcBorders>
            <w:vAlign w:val="center"/>
          </w:tcPr>
          <w:p w14:paraId="5FFBF56C"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55.12</w:t>
            </w:r>
          </w:p>
        </w:tc>
        <w:tc>
          <w:tcPr>
            <w:tcW w:w="554" w:type="pct"/>
            <w:tcBorders>
              <w:tl2br w:val="nil"/>
              <w:tr2bl w:val="nil"/>
            </w:tcBorders>
            <w:vAlign w:val="center"/>
          </w:tcPr>
          <w:p w14:paraId="600322D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-146.79</w:t>
            </w:r>
          </w:p>
        </w:tc>
        <w:tc>
          <w:tcPr>
            <w:tcW w:w="607" w:type="pct"/>
            <w:tcBorders>
              <w:tl2br w:val="nil"/>
              <w:tr2bl w:val="nil"/>
            </w:tcBorders>
            <w:vAlign w:val="center"/>
          </w:tcPr>
          <w:p w14:paraId="735DC1C4"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r>
      <w:tr w:rsidR="002E0859" w14:paraId="3822C281" w14:textId="77777777">
        <w:trPr>
          <w:trHeight w:val="23"/>
        </w:trPr>
        <w:tc>
          <w:tcPr>
            <w:tcW w:w="555" w:type="pct"/>
            <w:tcBorders>
              <w:tl2br w:val="nil"/>
              <w:tr2bl w:val="nil"/>
            </w:tcBorders>
            <w:vAlign w:val="center"/>
          </w:tcPr>
          <w:p w14:paraId="0B6FF917"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3883.43</w:t>
            </w:r>
          </w:p>
        </w:tc>
        <w:tc>
          <w:tcPr>
            <w:tcW w:w="534" w:type="pct"/>
            <w:tcBorders>
              <w:tl2br w:val="nil"/>
              <w:tr2bl w:val="nil"/>
            </w:tcBorders>
            <w:vAlign w:val="center"/>
          </w:tcPr>
          <w:p w14:paraId="61B3A46C"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83.05</w:t>
            </w:r>
          </w:p>
        </w:tc>
        <w:tc>
          <w:tcPr>
            <w:tcW w:w="535" w:type="pct"/>
            <w:tcBorders>
              <w:tl2br w:val="nil"/>
              <w:tr2bl w:val="nil"/>
            </w:tcBorders>
            <w:vAlign w:val="center"/>
          </w:tcPr>
          <w:p w14:paraId="43B79E7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182.91</w:t>
            </w:r>
          </w:p>
        </w:tc>
        <w:tc>
          <w:tcPr>
            <w:tcW w:w="538" w:type="pct"/>
            <w:tcBorders>
              <w:tl2br w:val="nil"/>
              <w:tr2bl w:val="nil"/>
            </w:tcBorders>
            <w:vAlign w:val="center"/>
          </w:tcPr>
          <w:p w14:paraId="7648511D"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227.47</w:t>
            </w:r>
          </w:p>
        </w:tc>
        <w:tc>
          <w:tcPr>
            <w:tcW w:w="554" w:type="pct"/>
            <w:tcBorders>
              <w:tl2br w:val="nil"/>
              <w:tr2bl w:val="nil"/>
            </w:tcBorders>
            <w:vAlign w:val="center"/>
          </w:tcPr>
          <w:p w14:paraId="4F5CC3B7"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3675.00</w:t>
            </w:r>
          </w:p>
        </w:tc>
        <w:tc>
          <w:tcPr>
            <w:tcW w:w="555" w:type="pct"/>
            <w:tcBorders>
              <w:tl2br w:val="nil"/>
              <w:tr2bl w:val="nil"/>
            </w:tcBorders>
            <w:vAlign w:val="center"/>
          </w:tcPr>
          <w:p w14:paraId="34CD18D3"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375.21</w:t>
            </w:r>
          </w:p>
        </w:tc>
        <w:tc>
          <w:tcPr>
            <w:tcW w:w="564" w:type="pct"/>
            <w:tcBorders>
              <w:tl2br w:val="nil"/>
              <w:tr2bl w:val="nil"/>
            </w:tcBorders>
            <w:vAlign w:val="center"/>
          </w:tcPr>
          <w:p w14:paraId="3B3E2C39"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-253.62</w:t>
            </w:r>
          </w:p>
        </w:tc>
        <w:tc>
          <w:tcPr>
            <w:tcW w:w="554" w:type="pct"/>
            <w:tcBorders>
              <w:tl2br w:val="nil"/>
              <w:tr2bl w:val="nil"/>
            </w:tcBorders>
            <w:vAlign w:val="center"/>
          </w:tcPr>
          <w:p w14:paraId="5B334AD1"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-276.52</w:t>
            </w:r>
          </w:p>
        </w:tc>
        <w:tc>
          <w:tcPr>
            <w:tcW w:w="607" w:type="pct"/>
            <w:tcBorders>
              <w:tl2br w:val="nil"/>
              <w:tr2bl w:val="nil"/>
            </w:tcBorders>
            <w:vAlign w:val="center"/>
          </w:tcPr>
          <w:p w14:paraId="59CA1209"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4"/>
              </w:rPr>
              <w:t>16.00</w:t>
            </w:r>
          </w:p>
        </w:tc>
      </w:tr>
      <w:tr w:rsidR="002E0859" w14:paraId="2F7577C4" w14:textId="77777777">
        <w:trPr>
          <w:trHeight w:val="23"/>
        </w:trPr>
        <w:tc>
          <w:tcPr>
            <w:tcW w:w="555" w:type="pct"/>
            <w:tcBorders>
              <w:tl2br w:val="nil"/>
              <w:tr2bl w:val="nil"/>
            </w:tcBorders>
            <w:vAlign w:val="center"/>
          </w:tcPr>
          <w:p w14:paraId="288CA389"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5867.54</w:t>
            </w:r>
          </w:p>
        </w:tc>
        <w:tc>
          <w:tcPr>
            <w:tcW w:w="534" w:type="pct"/>
            <w:tcBorders>
              <w:tl2br w:val="nil"/>
              <w:tr2bl w:val="nil"/>
            </w:tcBorders>
            <w:vAlign w:val="center"/>
          </w:tcPr>
          <w:p w14:paraId="366A7BFD"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83.05</w:t>
            </w:r>
          </w:p>
        </w:tc>
        <w:tc>
          <w:tcPr>
            <w:tcW w:w="535" w:type="pct"/>
            <w:tcBorders>
              <w:tl2br w:val="nil"/>
              <w:tr2bl w:val="nil"/>
            </w:tcBorders>
            <w:vAlign w:val="center"/>
          </w:tcPr>
          <w:p w14:paraId="2E235BBF"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182.91</w:t>
            </w:r>
          </w:p>
        </w:tc>
        <w:tc>
          <w:tcPr>
            <w:tcW w:w="538" w:type="pct"/>
            <w:tcBorders>
              <w:tl2br w:val="nil"/>
              <w:tr2bl w:val="nil"/>
            </w:tcBorders>
            <w:vAlign w:val="center"/>
          </w:tcPr>
          <w:p w14:paraId="1D838921"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189.62</w:t>
            </w:r>
          </w:p>
        </w:tc>
        <w:tc>
          <w:tcPr>
            <w:tcW w:w="554" w:type="pct"/>
            <w:tcBorders>
              <w:tl2br w:val="nil"/>
              <w:tr2bl w:val="nil"/>
            </w:tcBorders>
            <w:vAlign w:val="center"/>
          </w:tcPr>
          <w:p w14:paraId="5A306930"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3915.00</w:t>
            </w:r>
          </w:p>
        </w:tc>
        <w:tc>
          <w:tcPr>
            <w:tcW w:w="555" w:type="pct"/>
            <w:tcBorders>
              <w:tl2br w:val="nil"/>
              <w:tr2bl w:val="nil"/>
            </w:tcBorders>
            <w:vAlign w:val="center"/>
          </w:tcPr>
          <w:p w14:paraId="0E404B1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2252.31</w:t>
            </w:r>
          </w:p>
        </w:tc>
        <w:tc>
          <w:tcPr>
            <w:tcW w:w="564" w:type="pct"/>
            <w:tcBorders>
              <w:tl2br w:val="nil"/>
              <w:tr2bl w:val="nil"/>
            </w:tcBorders>
            <w:vAlign w:val="center"/>
          </w:tcPr>
          <w:p w14:paraId="538DF72A"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-2220.62</w:t>
            </w:r>
          </w:p>
        </w:tc>
        <w:tc>
          <w:tcPr>
            <w:tcW w:w="554" w:type="pct"/>
            <w:tcBorders>
              <w:tl2br w:val="nil"/>
              <w:tr2bl w:val="nil"/>
            </w:tcBorders>
            <w:vAlign w:val="center"/>
          </w:tcPr>
          <w:p w14:paraId="084FF47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-376.52</w:t>
            </w:r>
          </w:p>
        </w:tc>
        <w:tc>
          <w:tcPr>
            <w:tcW w:w="607" w:type="pct"/>
            <w:tcBorders>
              <w:tl2br w:val="nil"/>
              <w:tr2bl w:val="nil"/>
            </w:tcBorders>
            <w:vAlign w:val="center"/>
          </w:tcPr>
          <w:p w14:paraId="7E62CD93"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r>
      <w:tr w:rsidR="002E0859" w14:paraId="1335B178" w14:textId="77777777">
        <w:trPr>
          <w:trHeight w:val="23"/>
        </w:trPr>
        <w:tc>
          <w:tcPr>
            <w:tcW w:w="555" w:type="pct"/>
            <w:tcBorders>
              <w:tl2br w:val="nil"/>
              <w:tr2bl w:val="nil"/>
            </w:tcBorders>
            <w:vAlign w:val="center"/>
          </w:tcPr>
          <w:p w14:paraId="48805B51"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5900.00</w:t>
            </w:r>
          </w:p>
        </w:tc>
        <w:tc>
          <w:tcPr>
            <w:tcW w:w="534" w:type="pct"/>
            <w:tcBorders>
              <w:tl2br w:val="nil"/>
              <w:tr2bl w:val="nil"/>
            </w:tcBorders>
            <w:vAlign w:val="center"/>
          </w:tcPr>
          <w:p w14:paraId="7F3C0658"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83.05</w:t>
            </w:r>
          </w:p>
        </w:tc>
        <w:tc>
          <w:tcPr>
            <w:tcW w:w="535" w:type="pct"/>
            <w:tcBorders>
              <w:tl2br w:val="nil"/>
              <w:tr2bl w:val="nil"/>
            </w:tcBorders>
            <w:vAlign w:val="center"/>
          </w:tcPr>
          <w:p w14:paraId="3CCC4898"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182.91</w:t>
            </w:r>
          </w:p>
        </w:tc>
        <w:tc>
          <w:tcPr>
            <w:tcW w:w="538" w:type="pct"/>
            <w:tcBorders>
              <w:tl2br w:val="nil"/>
              <w:tr2bl w:val="nil"/>
            </w:tcBorders>
            <w:vAlign w:val="center"/>
          </w:tcPr>
          <w:p w14:paraId="0409B4FB"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3"/>
              </w:rPr>
              <w:t>189.53</w:t>
            </w:r>
          </w:p>
        </w:tc>
        <w:tc>
          <w:tcPr>
            <w:tcW w:w="554" w:type="pct"/>
            <w:tcBorders>
              <w:tl2br w:val="nil"/>
              <w:tr2bl w:val="nil"/>
            </w:tcBorders>
            <w:vAlign w:val="center"/>
          </w:tcPr>
          <w:p w14:paraId="0370B8C9"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3918.93</w:t>
            </w:r>
          </w:p>
        </w:tc>
        <w:tc>
          <w:tcPr>
            <w:tcW w:w="555" w:type="pct"/>
            <w:tcBorders>
              <w:tl2br w:val="nil"/>
              <w:tr2bl w:val="nil"/>
            </w:tcBorders>
            <w:vAlign w:val="center"/>
          </w:tcPr>
          <w:p w14:paraId="166DA1F5"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2284.32</w:t>
            </w:r>
          </w:p>
        </w:tc>
        <w:tc>
          <w:tcPr>
            <w:tcW w:w="564" w:type="pct"/>
            <w:tcBorders>
              <w:tl2br w:val="nil"/>
              <w:tr2bl w:val="nil"/>
            </w:tcBorders>
            <w:vAlign w:val="center"/>
          </w:tcPr>
          <w:p w14:paraId="06EAEA8E"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-2252.80</w:t>
            </w:r>
          </w:p>
        </w:tc>
        <w:tc>
          <w:tcPr>
            <w:tcW w:w="554" w:type="pct"/>
            <w:tcBorders>
              <w:tl2br w:val="nil"/>
              <w:tr2bl w:val="nil"/>
            </w:tcBorders>
            <w:vAlign w:val="center"/>
          </w:tcPr>
          <w:p w14:paraId="7D35060D"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1"/>
              </w:rPr>
              <w:t>-378.16</w:t>
            </w:r>
          </w:p>
        </w:tc>
        <w:tc>
          <w:tcPr>
            <w:tcW w:w="607" w:type="pct"/>
            <w:tcBorders>
              <w:tl2br w:val="nil"/>
              <w:tr2bl w:val="nil"/>
            </w:tcBorders>
            <w:vAlign w:val="center"/>
          </w:tcPr>
          <w:p w14:paraId="763610F6" w14:textId="77777777" w:rsidR="002E0859" w:rsidRDefault="00000000">
            <w:pPr>
              <w:pStyle w:val="TableText"/>
              <w:spacing w:line="240" w:lineRule="auto"/>
              <w:ind w:firstLineChars="0" w:firstLine="0"/>
              <w:jc w:val="center"/>
              <w:rPr>
                <w:rFonts w:ascii="Times New Roman" w:hAnsi="Times New Roman" w:cs="Times New Roman"/>
                <w:color w:val="000000" w:themeColor="text1"/>
              </w:rPr>
            </w:pPr>
            <w:r>
              <w:rPr>
                <w:rFonts w:ascii="Times New Roman" w:hAnsi="Times New Roman" w:cs="Times New Roman"/>
                <w:color w:val="000000" w:themeColor="text1"/>
                <w:spacing w:val="-2"/>
              </w:rPr>
              <w:t>0.00</w:t>
            </w:r>
          </w:p>
        </w:tc>
      </w:tr>
    </w:tbl>
    <w:p w14:paraId="0DE60510" w14:textId="77777777" w:rsidR="002E0859" w:rsidRDefault="00000000">
      <w:pPr>
        <w:pStyle w:val="a8"/>
        <w:spacing w:beforeLines="50" w:before="120" w:line="240" w:lineRule="auto"/>
        <w:ind w:firstLine="42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hint="eastAsia"/>
          <w:color w:val="000000" w:themeColor="text1"/>
          <w:sz w:val="21"/>
          <w:szCs w:val="21"/>
          <w:lang w:eastAsia="zh-CN"/>
        </w:rPr>
        <w:t>表</w:t>
      </w:r>
      <w:r>
        <w:rPr>
          <w:rFonts w:ascii="Times New Roman" w:eastAsia="黑体" w:hAnsi="Times New Roman" w:cs="Times New Roman" w:hint="eastAsia"/>
          <w:color w:val="000000" w:themeColor="text1"/>
          <w:sz w:val="21"/>
          <w:szCs w:val="21"/>
          <w:lang w:eastAsia="zh-CN"/>
        </w:rPr>
        <w:t xml:space="preserve">2.4-5 </w:t>
      </w:r>
      <w:r>
        <w:rPr>
          <w:rFonts w:ascii="Times New Roman" w:eastAsia="黑体" w:hAnsi="Times New Roman" w:cs="Times New Roman" w:hint="eastAsia"/>
          <w:color w:val="000000" w:themeColor="text1"/>
          <w:sz w:val="21"/>
          <w:szCs w:val="21"/>
          <w:lang w:eastAsia="zh-CN"/>
        </w:rPr>
        <w:t>焦页</w:t>
      </w:r>
      <w:r>
        <w:rPr>
          <w:rFonts w:ascii="Times New Roman" w:eastAsia="黑体" w:hAnsi="Times New Roman" w:cs="Times New Roman" w:hint="eastAsia"/>
          <w:color w:val="000000" w:themeColor="text1"/>
          <w:sz w:val="21"/>
          <w:szCs w:val="21"/>
          <w:lang w:eastAsia="zh-CN"/>
        </w:rPr>
        <w:t>90-Z1HF</w:t>
      </w:r>
      <w:r>
        <w:rPr>
          <w:rFonts w:ascii="Times New Roman" w:eastAsia="黑体" w:hAnsi="Times New Roman" w:cs="Times New Roman" w:hint="eastAsia"/>
          <w:color w:val="000000" w:themeColor="text1"/>
          <w:sz w:val="21"/>
          <w:szCs w:val="21"/>
          <w:lang w:eastAsia="zh-CN"/>
        </w:rPr>
        <w:t>井井身剖面分段数据表</w:t>
      </w:r>
    </w:p>
    <w:p w14:paraId="4C5D00B1" w14:textId="77777777" w:rsidR="002E0859" w:rsidRDefault="002E0859">
      <w:pPr>
        <w:spacing w:line="46" w:lineRule="auto"/>
        <w:ind w:firstLine="40"/>
        <w:rPr>
          <w:rFonts w:ascii="Arial"/>
          <w:color w:val="000000" w:themeColor="text1"/>
          <w:sz w:val="2"/>
        </w:rPr>
      </w:pPr>
    </w:p>
    <w:tbl>
      <w:tblPr>
        <w:tblStyle w:val="TableNormal"/>
        <w:tblW w:w="9327" w:type="dxa"/>
        <w:tblInd w:w="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036"/>
        <w:gridCol w:w="993"/>
        <w:gridCol w:w="1001"/>
        <w:gridCol w:w="1005"/>
        <w:gridCol w:w="1034"/>
        <w:gridCol w:w="1034"/>
        <w:gridCol w:w="1055"/>
        <w:gridCol w:w="1034"/>
        <w:gridCol w:w="1135"/>
      </w:tblGrid>
      <w:tr w:rsidR="002E0859" w14:paraId="2777053E" w14:textId="77777777">
        <w:trPr>
          <w:trHeight w:val="23"/>
        </w:trPr>
        <w:tc>
          <w:tcPr>
            <w:tcW w:w="1036" w:type="dxa"/>
            <w:tcBorders>
              <w:tl2br w:val="nil"/>
              <w:tr2bl w:val="nil"/>
            </w:tcBorders>
            <w:vAlign w:val="center"/>
          </w:tcPr>
          <w:p w14:paraId="26F063E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lastRenderedPageBreak/>
              <w:t>井深</w:t>
            </w:r>
          </w:p>
          <w:p w14:paraId="6F34D04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(m)</w:t>
            </w:r>
          </w:p>
        </w:tc>
        <w:tc>
          <w:tcPr>
            <w:tcW w:w="993" w:type="dxa"/>
            <w:tcBorders>
              <w:tl2br w:val="nil"/>
              <w:tr2bl w:val="nil"/>
            </w:tcBorders>
            <w:vAlign w:val="center"/>
          </w:tcPr>
          <w:p w14:paraId="58274BA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井斜</w:t>
            </w:r>
          </w:p>
          <w:p w14:paraId="768EE68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w:t>
            </w:r>
          </w:p>
        </w:tc>
        <w:tc>
          <w:tcPr>
            <w:tcW w:w="1001" w:type="dxa"/>
            <w:tcBorders>
              <w:tl2br w:val="nil"/>
              <w:tr2bl w:val="nil"/>
            </w:tcBorders>
            <w:vAlign w:val="center"/>
          </w:tcPr>
          <w:p w14:paraId="632E386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方位</w:t>
            </w:r>
          </w:p>
          <w:p w14:paraId="7F36E1B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w:t>
            </w:r>
          </w:p>
        </w:tc>
        <w:tc>
          <w:tcPr>
            <w:tcW w:w="1005" w:type="dxa"/>
            <w:tcBorders>
              <w:tl2br w:val="nil"/>
              <w:tr2bl w:val="nil"/>
            </w:tcBorders>
            <w:vAlign w:val="center"/>
          </w:tcPr>
          <w:p w14:paraId="777D436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闭合方位</w:t>
            </w:r>
          </w:p>
          <w:p w14:paraId="1B909DD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w:t>
            </w:r>
          </w:p>
        </w:tc>
        <w:tc>
          <w:tcPr>
            <w:tcW w:w="1034" w:type="dxa"/>
            <w:tcBorders>
              <w:tl2br w:val="nil"/>
              <w:tr2bl w:val="nil"/>
            </w:tcBorders>
            <w:vAlign w:val="center"/>
          </w:tcPr>
          <w:p w14:paraId="1603201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垂深</w:t>
            </w:r>
          </w:p>
          <w:p w14:paraId="10F2B89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(m)</w:t>
            </w:r>
          </w:p>
        </w:tc>
        <w:tc>
          <w:tcPr>
            <w:tcW w:w="1034" w:type="dxa"/>
            <w:tcBorders>
              <w:tl2br w:val="nil"/>
              <w:tr2bl w:val="nil"/>
            </w:tcBorders>
            <w:vAlign w:val="center"/>
          </w:tcPr>
          <w:p w14:paraId="4A9F84F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闭合位移</w:t>
            </w:r>
          </w:p>
          <w:p w14:paraId="64BBEB7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(m)</w:t>
            </w:r>
          </w:p>
        </w:tc>
        <w:tc>
          <w:tcPr>
            <w:tcW w:w="1055" w:type="dxa"/>
            <w:tcBorders>
              <w:tl2br w:val="nil"/>
              <w:tr2bl w:val="nil"/>
            </w:tcBorders>
            <w:vAlign w:val="center"/>
          </w:tcPr>
          <w:p w14:paraId="18450CE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南北坐标</w:t>
            </w:r>
          </w:p>
          <w:p w14:paraId="2C0B9C4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(m)</w:t>
            </w:r>
          </w:p>
        </w:tc>
        <w:tc>
          <w:tcPr>
            <w:tcW w:w="1034" w:type="dxa"/>
            <w:tcBorders>
              <w:tl2br w:val="nil"/>
              <w:tr2bl w:val="nil"/>
            </w:tcBorders>
            <w:vAlign w:val="center"/>
          </w:tcPr>
          <w:p w14:paraId="547744C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东西坐标</w:t>
            </w:r>
          </w:p>
          <w:p w14:paraId="7E958EB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(m)</w:t>
            </w:r>
          </w:p>
        </w:tc>
        <w:tc>
          <w:tcPr>
            <w:tcW w:w="1135" w:type="dxa"/>
            <w:tcBorders>
              <w:tl2br w:val="nil"/>
              <w:tr2bl w:val="nil"/>
            </w:tcBorders>
            <w:vAlign w:val="center"/>
          </w:tcPr>
          <w:p w14:paraId="4A90937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造斜率</w:t>
            </w:r>
            <w:r>
              <w:rPr>
                <w:rFonts w:ascii="Times New Roman" w:hAnsi="Times New Roman" w:cs="Times New Roman"/>
                <w:color w:val="000000" w:themeColor="text1"/>
                <w:spacing w:val="-2"/>
              </w:rPr>
              <w:t>(°/100m)</w:t>
            </w:r>
          </w:p>
        </w:tc>
      </w:tr>
      <w:tr w:rsidR="002E0859" w14:paraId="62C7A2A7" w14:textId="77777777">
        <w:trPr>
          <w:trHeight w:val="23"/>
        </w:trPr>
        <w:tc>
          <w:tcPr>
            <w:tcW w:w="1036" w:type="dxa"/>
            <w:tcBorders>
              <w:tl2br w:val="nil"/>
              <w:tr2bl w:val="nil"/>
            </w:tcBorders>
            <w:vAlign w:val="center"/>
          </w:tcPr>
          <w:p w14:paraId="1C10E56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993" w:type="dxa"/>
            <w:tcBorders>
              <w:tl2br w:val="nil"/>
              <w:tr2bl w:val="nil"/>
            </w:tcBorders>
            <w:vAlign w:val="center"/>
          </w:tcPr>
          <w:p w14:paraId="4F3D7E0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01" w:type="dxa"/>
            <w:tcBorders>
              <w:tl2br w:val="nil"/>
              <w:tr2bl w:val="nil"/>
            </w:tcBorders>
            <w:vAlign w:val="center"/>
          </w:tcPr>
          <w:p w14:paraId="0517C13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299.02</w:t>
            </w:r>
          </w:p>
        </w:tc>
        <w:tc>
          <w:tcPr>
            <w:tcW w:w="1005" w:type="dxa"/>
            <w:tcBorders>
              <w:tl2br w:val="nil"/>
              <w:tr2bl w:val="nil"/>
            </w:tcBorders>
            <w:vAlign w:val="center"/>
          </w:tcPr>
          <w:p w14:paraId="7B5AF33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34" w:type="dxa"/>
            <w:tcBorders>
              <w:tl2br w:val="nil"/>
              <w:tr2bl w:val="nil"/>
            </w:tcBorders>
            <w:vAlign w:val="center"/>
          </w:tcPr>
          <w:p w14:paraId="6B31D90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34" w:type="dxa"/>
            <w:tcBorders>
              <w:tl2br w:val="nil"/>
              <w:tr2bl w:val="nil"/>
            </w:tcBorders>
            <w:vAlign w:val="center"/>
          </w:tcPr>
          <w:p w14:paraId="725FBD2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55" w:type="dxa"/>
            <w:tcBorders>
              <w:tl2br w:val="nil"/>
              <w:tr2bl w:val="nil"/>
            </w:tcBorders>
            <w:vAlign w:val="center"/>
          </w:tcPr>
          <w:p w14:paraId="5DE96D3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34" w:type="dxa"/>
            <w:tcBorders>
              <w:tl2br w:val="nil"/>
              <w:tr2bl w:val="nil"/>
            </w:tcBorders>
            <w:vAlign w:val="center"/>
          </w:tcPr>
          <w:p w14:paraId="5F10D42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135" w:type="dxa"/>
            <w:tcBorders>
              <w:tl2br w:val="nil"/>
              <w:tr2bl w:val="nil"/>
            </w:tcBorders>
            <w:vAlign w:val="center"/>
          </w:tcPr>
          <w:p w14:paraId="23A7432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r>
      <w:tr w:rsidR="002E0859" w14:paraId="24D5372D" w14:textId="77777777">
        <w:trPr>
          <w:trHeight w:val="23"/>
        </w:trPr>
        <w:tc>
          <w:tcPr>
            <w:tcW w:w="1036" w:type="dxa"/>
            <w:tcBorders>
              <w:tl2br w:val="nil"/>
              <w:tr2bl w:val="nil"/>
            </w:tcBorders>
            <w:vAlign w:val="center"/>
          </w:tcPr>
          <w:p w14:paraId="1FB7D40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2600.00</w:t>
            </w:r>
          </w:p>
        </w:tc>
        <w:tc>
          <w:tcPr>
            <w:tcW w:w="993" w:type="dxa"/>
            <w:tcBorders>
              <w:tl2br w:val="nil"/>
              <w:tr2bl w:val="nil"/>
            </w:tcBorders>
            <w:vAlign w:val="center"/>
          </w:tcPr>
          <w:p w14:paraId="6A4F12C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01" w:type="dxa"/>
            <w:tcBorders>
              <w:tl2br w:val="nil"/>
              <w:tr2bl w:val="nil"/>
            </w:tcBorders>
            <w:vAlign w:val="center"/>
          </w:tcPr>
          <w:p w14:paraId="769103A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299.02</w:t>
            </w:r>
          </w:p>
        </w:tc>
        <w:tc>
          <w:tcPr>
            <w:tcW w:w="1005" w:type="dxa"/>
            <w:tcBorders>
              <w:tl2br w:val="nil"/>
              <w:tr2bl w:val="nil"/>
            </w:tcBorders>
            <w:vAlign w:val="center"/>
          </w:tcPr>
          <w:p w14:paraId="3446454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34" w:type="dxa"/>
            <w:tcBorders>
              <w:tl2br w:val="nil"/>
              <w:tr2bl w:val="nil"/>
            </w:tcBorders>
            <w:vAlign w:val="center"/>
          </w:tcPr>
          <w:p w14:paraId="06DCC1B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2600.00</w:t>
            </w:r>
          </w:p>
        </w:tc>
        <w:tc>
          <w:tcPr>
            <w:tcW w:w="1034" w:type="dxa"/>
            <w:tcBorders>
              <w:tl2br w:val="nil"/>
              <w:tr2bl w:val="nil"/>
            </w:tcBorders>
            <w:vAlign w:val="center"/>
          </w:tcPr>
          <w:p w14:paraId="5E01165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55" w:type="dxa"/>
            <w:tcBorders>
              <w:tl2br w:val="nil"/>
              <w:tr2bl w:val="nil"/>
            </w:tcBorders>
            <w:vAlign w:val="center"/>
          </w:tcPr>
          <w:p w14:paraId="6AC23D8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034" w:type="dxa"/>
            <w:tcBorders>
              <w:tl2br w:val="nil"/>
              <w:tr2bl w:val="nil"/>
            </w:tcBorders>
            <w:vAlign w:val="center"/>
          </w:tcPr>
          <w:p w14:paraId="38BE3F0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c>
          <w:tcPr>
            <w:tcW w:w="1135" w:type="dxa"/>
            <w:tcBorders>
              <w:tl2br w:val="nil"/>
              <w:tr2bl w:val="nil"/>
            </w:tcBorders>
            <w:vAlign w:val="center"/>
          </w:tcPr>
          <w:p w14:paraId="7585B09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r>
      <w:tr w:rsidR="002E0859" w14:paraId="19B835C1" w14:textId="77777777">
        <w:trPr>
          <w:trHeight w:val="23"/>
        </w:trPr>
        <w:tc>
          <w:tcPr>
            <w:tcW w:w="1036" w:type="dxa"/>
            <w:tcBorders>
              <w:tl2br w:val="nil"/>
              <w:tr2bl w:val="nil"/>
            </w:tcBorders>
            <w:vAlign w:val="center"/>
          </w:tcPr>
          <w:p w14:paraId="22B27F6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2668.94</w:t>
            </w:r>
          </w:p>
        </w:tc>
        <w:tc>
          <w:tcPr>
            <w:tcW w:w="993" w:type="dxa"/>
            <w:tcBorders>
              <w:tl2br w:val="nil"/>
              <w:tr2bl w:val="nil"/>
            </w:tcBorders>
            <w:vAlign w:val="center"/>
          </w:tcPr>
          <w:p w14:paraId="34CE8C4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11.03</w:t>
            </w:r>
          </w:p>
        </w:tc>
        <w:tc>
          <w:tcPr>
            <w:tcW w:w="1001" w:type="dxa"/>
            <w:tcBorders>
              <w:tl2br w:val="nil"/>
              <w:tr2bl w:val="nil"/>
            </w:tcBorders>
            <w:vAlign w:val="center"/>
          </w:tcPr>
          <w:p w14:paraId="72E75A6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299.02</w:t>
            </w:r>
          </w:p>
        </w:tc>
        <w:tc>
          <w:tcPr>
            <w:tcW w:w="1005" w:type="dxa"/>
            <w:tcBorders>
              <w:tl2br w:val="nil"/>
              <w:tr2bl w:val="nil"/>
            </w:tcBorders>
            <w:vAlign w:val="center"/>
          </w:tcPr>
          <w:p w14:paraId="3084E60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299.02</w:t>
            </w:r>
          </w:p>
        </w:tc>
        <w:tc>
          <w:tcPr>
            <w:tcW w:w="1034" w:type="dxa"/>
            <w:tcBorders>
              <w:tl2br w:val="nil"/>
              <w:tr2bl w:val="nil"/>
            </w:tcBorders>
            <w:vAlign w:val="center"/>
          </w:tcPr>
          <w:p w14:paraId="7578AF7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2668.52</w:t>
            </w:r>
          </w:p>
        </w:tc>
        <w:tc>
          <w:tcPr>
            <w:tcW w:w="1034" w:type="dxa"/>
            <w:tcBorders>
              <w:tl2br w:val="nil"/>
              <w:tr2bl w:val="nil"/>
            </w:tcBorders>
            <w:vAlign w:val="center"/>
          </w:tcPr>
          <w:p w14:paraId="31F0792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6.62</w:t>
            </w:r>
          </w:p>
        </w:tc>
        <w:tc>
          <w:tcPr>
            <w:tcW w:w="1055" w:type="dxa"/>
            <w:tcBorders>
              <w:tl2br w:val="nil"/>
              <w:tr2bl w:val="nil"/>
            </w:tcBorders>
            <w:vAlign w:val="center"/>
          </w:tcPr>
          <w:p w14:paraId="71643F4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3.21</w:t>
            </w:r>
          </w:p>
        </w:tc>
        <w:tc>
          <w:tcPr>
            <w:tcW w:w="1034" w:type="dxa"/>
            <w:tcBorders>
              <w:tl2br w:val="nil"/>
              <w:tr2bl w:val="nil"/>
            </w:tcBorders>
            <w:vAlign w:val="center"/>
          </w:tcPr>
          <w:p w14:paraId="2DDD7C6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-5.79</w:t>
            </w:r>
          </w:p>
        </w:tc>
        <w:tc>
          <w:tcPr>
            <w:tcW w:w="1135" w:type="dxa"/>
            <w:tcBorders>
              <w:tl2br w:val="nil"/>
              <w:tr2bl w:val="nil"/>
            </w:tcBorders>
            <w:vAlign w:val="center"/>
          </w:tcPr>
          <w:p w14:paraId="24F9AEE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16.00</w:t>
            </w:r>
          </w:p>
        </w:tc>
      </w:tr>
      <w:tr w:rsidR="002E0859" w14:paraId="0924BF8F" w14:textId="77777777">
        <w:trPr>
          <w:trHeight w:val="23"/>
        </w:trPr>
        <w:tc>
          <w:tcPr>
            <w:tcW w:w="1036" w:type="dxa"/>
            <w:tcBorders>
              <w:tl2br w:val="nil"/>
              <w:tr2bl w:val="nil"/>
            </w:tcBorders>
            <w:vAlign w:val="center"/>
          </w:tcPr>
          <w:p w14:paraId="4AF2F26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3254.58</w:t>
            </w:r>
          </w:p>
        </w:tc>
        <w:tc>
          <w:tcPr>
            <w:tcW w:w="993" w:type="dxa"/>
            <w:tcBorders>
              <w:tl2br w:val="nil"/>
              <w:tr2bl w:val="nil"/>
            </w:tcBorders>
            <w:vAlign w:val="center"/>
          </w:tcPr>
          <w:p w14:paraId="654AF3B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11.03</w:t>
            </w:r>
          </w:p>
        </w:tc>
        <w:tc>
          <w:tcPr>
            <w:tcW w:w="1001" w:type="dxa"/>
            <w:tcBorders>
              <w:tl2br w:val="nil"/>
              <w:tr2bl w:val="nil"/>
            </w:tcBorders>
            <w:vAlign w:val="center"/>
          </w:tcPr>
          <w:p w14:paraId="0775D06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299.02</w:t>
            </w:r>
          </w:p>
        </w:tc>
        <w:tc>
          <w:tcPr>
            <w:tcW w:w="1005" w:type="dxa"/>
            <w:tcBorders>
              <w:tl2br w:val="nil"/>
              <w:tr2bl w:val="nil"/>
            </w:tcBorders>
            <w:vAlign w:val="center"/>
          </w:tcPr>
          <w:p w14:paraId="4DC926C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299.02</w:t>
            </w:r>
          </w:p>
        </w:tc>
        <w:tc>
          <w:tcPr>
            <w:tcW w:w="1034" w:type="dxa"/>
            <w:tcBorders>
              <w:tl2br w:val="nil"/>
              <w:tr2bl w:val="nil"/>
            </w:tcBorders>
            <w:vAlign w:val="center"/>
          </w:tcPr>
          <w:p w14:paraId="38E2A4C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3243.34</w:t>
            </w:r>
          </w:p>
        </w:tc>
        <w:tc>
          <w:tcPr>
            <w:tcW w:w="1034" w:type="dxa"/>
            <w:tcBorders>
              <w:tl2br w:val="nil"/>
              <w:tr2bl w:val="nil"/>
            </w:tcBorders>
            <w:vAlign w:val="center"/>
          </w:tcPr>
          <w:p w14:paraId="69D8F88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118.67</w:t>
            </w:r>
          </w:p>
        </w:tc>
        <w:tc>
          <w:tcPr>
            <w:tcW w:w="1055" w:type="dxa"/>
            <w:tcBorders>
              <w:tl2br w:val="nil"/>
              <w:tr2bl w:val="nil"/>
            </w:tcBorders>
            <w:vAlign w:val="center"/>
          </w:tcPr>
          <w:p w14:paraId="43C34BC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57.57</w:t>
            </w:r>
          </w:p>
        </w:tc>
        <w:tc>
          <w:tcPr>
            <w:tcW w:w="1034" w:type="dxa"/>
            <w:tcBorders>
              <w:tl2br w:val="nil"/>
              <w:tr2bl w:val="nil"/>
            </w:tcBorders>
            <w:vAlign w:val="center"/>
          </w:tcPr>
          <w:p w14:paraId="363DF67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-103.77</w:t>
            </w:r>
          </w:p>
        </w:tc>
        <w:tc>
          <w:tcPr>
            <w:tcW w:w="1135" w:type="dxa"/>
            <w:tcBorders>
              <w:tl2br w:val="nil"/>
              <w:tr2bl w:val="nil"/>
            </w:tcBorders>
            <w:vAlign w:val="center"/>
          </w:tcPr>
          <w:p w14:paraId="02260F4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r>
      <w:tr w:rsidR="002E0859" w14:paraId="37391E9F" w14:textId="77777777">
        <w:trPr>
          <w:trHeight w:val="23"/>
        </w:trPr>
        <w:tc>
          <w:tcPr>
            <w:tcW w:w="1036" w:type="dxa"/>
            <w:tcBorders>
              <w:tl2br w:val="nil"/>
              <w:tr2bl w:val="nil"/>
            </w:tcBorders>
            <w:vAlign w:val="center"/>
          </w:tcPr>
          <w:p w14:paraId="61D57D3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3804.97</w:t>
            </w:r>
          </w:p>
        </w:tc>
        <w:tc>
          <w:tcPr>
            <w:tcW w:w="993" w:type="dxa"/>
            <w:tcBorders>
              <w:tl2br w:val="nil"/>
              <w:tr2bl w:val="nil"/>
            </w:tcBorders>
            <w:vAlign w:val="center"/>
          </w:tcPr>
          <w:p w14:paraId="56323EA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83.05</w:t>
            </w:r>
          </w:p>
        </w:tc>
        <w:tc>
          <w:tcPr>
            <w:tcW w:w="1001" w:type="dxa"/>
            <w:tcBorders>
              <w:tl2br w:val="nil"/>
              <w:tr2bl w:val="nil"/>
            </w:tcBorders>
            <w:vAlign w:val="center"/>
          </w:tcPr>
          <w:p w14:paraId="609B663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182.47</w:t>
            </w:r>
          </w:p>
        </w:tc>
        <w:tc>
          <w:tcPr>
            <w:tcW w:w="1005" w:type="dxa"/>
            <w:tcBorders>
              <w:tl2br w:val="nil"/>
              <w:tr2bl w:val="nil"/>
            </w:tcBorders>
            <w:vAlign w:val="center"/>
          </w:tcPr>
          <w:p w14:paraId="44AE018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214.84</w:t>
            </w:r>
          </w:p>
        </w:tc>
        <w:tc>
          <w:tcPr>
            <w:tcW w:w="1034" w:type="dxa"/>
            <w:tcBorders>
              <w:tl2br w:val="nil"/>
              <w:tr2bl w:val="nil"/>
            </w:tcBorders>
            <w:vAlign w:val="center"/>
          </w:tcPr>
          <w:p w14:paraId="627CBFC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3625.00</w:t>
            </w:r>
          </w:p>
        </w:tc>
        <w:tc>
          <w:tcPr>
            <w:tcW w:w="1034" w:type="dxa"/>
            <w:tcBorders>
              <w:tl2br w:val="nil"/>
              <w:tr2bl w:val="nil"/>
            </w:tcBorders>
            <w:vAlign w:val="center"/>
          </w:tcPr>
          <w:p w14:paraId="66D6102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309.00</w:t>
            </w:r>
          </w:p>
        </w:tc>
        <w:tc>
          <w:tcPr>
            <w:tcW w:w="1055" w:type="dxa"/>
            <w:tcBorders>
              <w:tl2br w:val="nil"/>
              <w:tr2bl w:val="nil"/>
            </w:tcBorders>
            <w:vAlign w:val="center"/>
          </w:tcPr>
          <w:p w14:paraId="3D379B3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-253.62</w:t>
            </w:r>
          </w:p>
        </w:tc>
        <w:tc>
          <w:tcPr>
            <w:tcW w:w="1034" w:type="dxa"/>
            <w:tcBorders>
              <w:tl2br w:val="nil"/>
              <w:tr2bl w:val="nil"/>
            </w:tcBorders>
            <w:vAlign w:val="center"/>
          </w:tcPr>
          <w:p w14:paraId="194A530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-176.52</w:t>
            </w:r>
          </w:p>
        </w:tc>
        <w:tc>
          <w:tcPr>
            <w:tcW w:w="1135" w:type="dxa"/>
            <w:tcBorders>
              <w:tl2br w:val="nil"/>
              <w:tr2bl w:val="nil"/>
            </w:tcBorders>
            <w:vAlign w:val="center"/>
          </w:tcPr>
          <w:p w14:paraId="53607A1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16.00</w:t>
            </w:r>
          </w:p>
        </w:tc>
      </w:tr>
      <w:tr w:rsidR="002E0859" w14:paraId="31898A05" w14:textId="77777777">
        <w:trPr>
          <w:trHeight w:val="23"/>
        </w:trPr>
        <w:tc>
          <w:tcPr>
            <w:tcW w:w="1036" w:type="dxa"/>
            <w:tcBorders>
              <w:tl2br w:val="nil"/>
              <w:tr2bl w:val="nil"/>
            </w:tcBorders>
            <w:vAlign w:val="center"/>
          </w:tcPr>
          <w:p w14:paraId="2558982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5789.37</w:t>
            </w:r>
          </w:p>
        </w:tc>
        <w:tc>
          <w:tcPr>
            <w:tcW w:w="993" w:type="dxa"/>
            <w:tcBorders>
              <w:tl2br w:val="nil"/>
              <w:tr2bl w:val="nil"/>
            </w:tcBorders>
            <w:vAlign w:val="center"/>
          </w:tcPr>
          <w:p w14:paraId="52D2A4B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83.05</w:t>
            </w:r>
          </w:p>
        </w:tc>
        <w:tc>
          <w:tcPr>
            <w:tcW w:w="1001" w:type="dxa"/>
            <w:tcBorders>
              <w:tl2br w:val="nil"/>
              <w:tr2bl w:val="nil"/>
            </w:tcBorders>
            <w:vAlign w:val="center"/>
          </w:tcPr>
          <w:p w14:paraId="76065E1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182.47</w:t>
            </w:r>
          </w:p>
        </w:tc>
        <w:tc>
          <w:tcPr>
            <w:tcW w:w="1005" w:type="dxa"/>
            <w:tcBorders>
              <w:tl2br w:val="nil"/>
              <w:tr2bl w:val="nil"/>
            </w:tcBorders>
            <w:vAlign w:val="center"/>
          </w:tcPr>
          <w:p w14:paraId="6D5589F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186.71</w:t>
            </w:r>
          </w:p>
        </w:tc>
        <w:tc>
          <w:tcPr>
            <w:tcW w:w="1034" w:type="dxa"/>
            <w:tcBorders>
              <w:tl2br w:val="nil"/>
              <w:tr2bl w:val="nil"/>
            </w:tcBorders>
            <w:vAlign w:val="center"/>
          </w:tcPr>
          <w:p w14:paraId="059B170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3865.00</w:t>
            </w:r>
          </w:p>
        </w:tc>
        <w:tc>
          <w:tcPr>
            <w:tcW w:w="1034" w:type="dxa"/>
            <w:tcBorders>
              <w:tl2br w:val="nil"/>
              <w:tr2bl w:val="nil"/>
            </w:tcBorders>
            <w:vAlign w:val="center"/>
          </w:tcPr>
          <w:p w14:paraId="29CE83D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2236.96</w:t>
            </w:r>
          </w:p>
        </w:tc>
        <w:tc>
          <w:tcPr>
            <w:tcW w:w="1055" w:type="dxa"/>
            <w:tcBorders>
              <w:tl2br w:val="nil"/>
              <w:tr2bl w:val="nil"/>
            </w:tcBorders>
            <w:vAlign w:val="center"/>
          </w:tcPr>
          <w:p w14:paraId="72A3A57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-2221.62</w:t>
            </w:r>
          </w:p>
        </w:tc>
        <w:tc>
          <w:tcPr>
            <w:tcW w:w="1034" w:type="dxa"/>
            <w:tcBorders>
              <w:tl2br w:val="nil"/>
              <w:tr2bl w:val="nil"/>
            </w:tcBorders>
            <w:vAlign w:val="center"/>
          </w:tcPr>
          <w:p w14:paraId="0B0FBD7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-261.52</w:t>
            </w:r>
          </w:p>
        </w:tc>
        <w:tc>
          <w:tcPr>
            <w:tcW w:w="1135" w:type="dxa"/>
            <w:tcBorders>
              <w:tl2br w:val="nil"/>
              <w:tr2bl w:val="nil"/>
            </w:tcBorders>
            <w:vAlign w:val="center"/>
          </w:tcPr>
          <w:p w14:paraId="75E3719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r>
      <w:tr w:rsidR="002E0859" w14:paraId="1711E965" w14:textId="77777777">
        <w:trPr>
          <w:trHeight w:val="23"/>
        </w:trPr>
        <w:tc>
          <w:tcPr>
            <w:tcW w:w="1036" w:type="dxa"/>
            <w:tcBorders>
              <w:tl2br w:val="nil"/>
              <w:tr2bl w:val="nil"/>
            </w:tcBorders>
            <w:vAlign w:val="center"/>
          </w:tcPr>
          <w:p w14:paraId="0480A57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5820.00</w:t>
            </w:r>
          </w:p>
        </w:tc>
        <w:tc>
          <w:tcPr>
            <w:tcW w:w="993" w:type="dxa"/>
            <w:tcBorders>
              <w:tl2br w:val="nil"/>
              <w:tr2bl w:val="nil"/>
            </w:tcBorders>
            <w:vAlign w:val="center"/>
          </w:tcPr>
          <w:p w14:paraId="565913F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83.05</w:t>
            </w:r>
          </w:p>
        </w:tc>
        <w:tc>
          <w:tcPr>
            <w:tcW w:w="1001" w:type="dxa"/>
            <w:tcBorders>
              <w:tl2br w:val="nil"/>
              <w:tr2bl w:val="nil"/>
            </w:tcBorders>
            <w:vAlign w:val="center"/>
          </w:tcPr>
          <w:p w14:paraId="32607C2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182.47</w:t>
            </w:r>
          </w:p>
        </w:tc>
        <w:tc>
          <w:tcPr>
            <w:tcW w:w="1005" w:type="dxa"/>
            <w:tcBorders>
              <w:tl2br w:val="nil"/>
              <w:tr2bl w:val="nil"/>
            </w:tcBorders>
            <w:vAlign w:val="center"/>
          </w:tcPr>
          <w:p w14:paraId="3A8769D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186.66</w:t>
            </w:r>
          </w:p>
        </w:tc>
        <w:tc>
          <w:tcPr>
            <w:tcW w:w="1034" w:type="dxa"/>
            <w:tcBorders>
              <w:tl2br w:val="nil"/>
              <w:tr2bl w:val="nil"/>
            </w:tcBorders>
            <w:vAlign w:val="center"/>
          </w:tcPr>
          <w:p w14:paraId="77F515A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3868.70</w:t>
            </w:r>
          </w:p>
        </w:tc>
        <w:tc>
          <w:tcPr>
            <w:tcW w:w="1034" w:type="dxa"/>
            <w:tcBorders>
              <w:tl2br w:val="nil"/>
              <w:tr2bl w:val="nil"/>
            </w:tcBorders>
            <w:vAlign w:val="center"/>
          </w:tcPr>
          <w:p w14:paraId="104BB33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2267.27</w:t>
            </w:r>
          </w:p>
        </w:tc>
        <w:tc>
          <w:tcPr>
            <w:tcW w:w="1055" w:type="dxa"/>
            <w:tcBorders>
              <w:tl2br w:val="nil"/>
              <w:tr2bl w:val="nil"/>
            </w:tcBorders>
            <w:vAlign w:val="center"/>
          </w:tcPr>
          <w:p w14:paraId="4327AE1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-2251.99</w:t>
            </w:r>
          </w:p>
        </w:tc>
        <w:tc>
          <w:tcPr>
            <w:tcW w:w="1034" w:type="dxa"/>
            <w:tcBorders>
              <w:tl2br w:val="nil"/>
              <w:tr2bl w:val="nil"/>
            </w:tcBorders>
            <w:vAlign w:val="center"/>
          </w:tcPr>
          <w:p w14:paraId="644E38B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-262.83</w:t>
            </w:r>
          </w:p>
        </w:tc>
        <w:tc>
          <w:tcPr>
            <w:tcW w:w="1135" w:type="dxa"/>
            <w:tcBorders>
              <w:tl2br w:val="nil"/>
              <w:tr2bl w:val="nil"/>
            </w:tcBorders>
            <w:vAlign w:val="center"/>
          </w:tcPr>
          <w:p w14:paraId="27E1A8B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0.00</w:t>
            </w:r>
          </w:p>
        </w:tc>
      </w:tr>
    </w:tbl>
    <w:p w14:paraId="25337FAA" w14:textId="77777777" w:rsidR="002E0859" w:rsidRDefault="00000000">
      <w:pPr>
        <w:pStyle w:val="a8"/>
        <w:spacing w:beforeLines="50" w:before="120" w:line="240" w:lineRule="auto"/>
        <w:ind w:firstLineChars="0" w:firstLine="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hint="eastAsia"/>
          <w:color w:val="000000" w:themeColor="text1"/>
          <w:sz w:val="21"/>
          <w:szCs w:val="21"/>
          <w:lang w:eastAsia="zh-CN"/>
        </w:rPr>
        <w:t>表</w:t>
      </w:r>
      <w:r>
        <w:rPr>
          <w:rFonts w:ascii="Times New Roman" w:eastAsia="黑体" w:hAnsi="Times New Roman" w:cs="Times New Roman" w:hint="eastAsia"/>
          <w:color w:val="000000" w:themeColor="text1"/>
          <w:sz w:val="21"/>
          <w:szCs w:val="21"/>
          <w:lang w:eastAsia="zh-CN"/>
        </w:rPr>
        <w:t xml:space="preserve">2.4-6 </w:t>
      </w:r>
      <w:r>
        <w:rPr>
          <w:rFonts w:ascii="Times New Roman" w:eastAsia="黑体" w:hAnsi="Times New Roman" w:cs="Times New Roman" w:hint="eastAsia"/>
          <w:color w:val="000000" w:themeColor="text1"/>
          <w:sz w:val="21"/>
          <w:szCs w:val="21"/>
          <w:lang w:eastAsia="zh-CN"/>
        </w:rPr>
        <w:t>焦页</w:t>
      </w:r>
      <w:r>
        <w:rPr>
          <w:rFonts w:ascii="Times New Roman" w:eastAsia="黑体" w:hAnsi="Times New Roman" w:cs="Times New Roman" w:hint="eastAsia"/>
          <w:color w:val="000000" w:themeColor="text1"/>
          <w:sz w:val="21"/>
          <w:szCs w:val="21"/>
          <w:lang w:eastAsia="zh-CN"/>
        </w:rPr>
        <w:t>90</w:t>
      </w:r>
      <w:r>
        <w:rPr>
          <w:rFonts w:ascii="Times New Roman" w:eastAsia="黑体" w:hAnsi="Times New Roman" w:cs="Times New Roman" w:hint="eastAsia"/>
          <w:color w:val="000000" w:themeColor="text1"/>
          <w:sz w:val="21"/>
          <w:szCs w:val="21"/>
          <w:lang w:eastAsia="zh-CN"/>
        </w:rPr>
        <w:t>号平台轨道设计要点</w:t>
      </w:r>
    </w:p>
    <w:p w14:paraId="43B56A89" w14:textId="77777777" w:rsidR="002E0859" w:rsidRDefault="002E0859">
      <w:pPr>
        <w:spacing w:line="23" w:lineRule="auto"/>
        <w:ind w:firstLine="40"/>
        <w:rPr>
          <w:rFonts w:ascii="Arial"/>
          <w:color w:val="000000" w:themeColor="text1"/>
          <w:sz w:val="2"/>
        </w:rPr>
      </w:pPr>
    </w:p>
    <w:tbl>
      <w:tblPr>
        <w:tblStyle w:val="TableNormal"/>
        <w:tblW w:w="9431" w:type="dxa"/>
        <w:tblInd w:w="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423"/>
        <w:gridCol w:w="842"/>
        <w:gridCol w:w="881"/>
        <w:gridCol w:w="1187"/>
        <w:gridCol w:w="929"/>
        <w:gridCol w:w="1549"/>
        <w:gridCol w:w="771"/>
        <w:gridCol w:w="1233"/>
        <w:gridCol w:w="616"/>
      </w:tblGrid>
      <w:tr w:rsidR="002E0859" w14:paraId="702E3ED0" w14:textId="77777777">
        <w:trPr>
          <w:trHeight w:val="546"/>
          <w:tblHeader/>
        </w:trPr>
        <w:tc>
          <w:tcPr>
            <w:tcW w:w="1423" w:type="dxa"/>
            <w:vMerge w:val="restart"/>
            <w:tcBorders>
              <w:tl2br w:val="nil"/>
              <w:tr2bl w:val="nil"/>
            </w:tcBorders>
            <w:vAlign w:val="center"/>
          </w:tcPr>
          <w:p w14:paraId="21C4D21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井号</w:t>
            </w:r>
          </w:p>
        </w:tc>
        <w:tc>
          <w:tcPr>
            <w:tcW w:w="842" w:type="dxa"/>
            <w:vMerge w:val="restart"/>
            <w:tcBorders>
              <w:tl2br w:val="nil"/>
              <w:tr2bl w:val="nil"/>
            </w:tcBorders>
            <w:vAlign w:val="center"/>
          </w:tcPr>
          <w:p w14:paraId="16BC079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靶前距（</w:t>
            </w:r>
            <w:r>
              <w:rPr>
                <w:rFonts w:ascii="Times New Roman" w:hAnsi="Times New Roman" w:cs="Times New Roman"/>
                <w:color w:val="000000" w:themeColor="text1"/>
                <w:spacing w:val="-2"/>
              </w:rPr>
              <w:t>m</w:t>
            </w:r>
            <w:r>
              <w:rPr>
                <w:rFonts w:ascii="Times New Roman" w:hAnsi="Times New Roman" w:cs="Times New Roman"/>
                <w:color w:val="000000" w:themeColor="text1"/>
                <w:spacing w:val="-2"/>
              </w:rPr>
              <w:t>）</w:t>
            </w:r>
          </w:p>
        </w:tc>
        <w:tc>
          <w:tcPr>
            <w:tcW w:w="881" w:type="dxa"/>
            <w:vMerge w:val="restart"/>
            <w:tcBorders>
              <w:tl2br w:val="nil"/>
              <w:tr2bl w:val="nil"/>
            </w:tcBorders>
            <w:vAlign w:val="center"/>
          </w:tcPr>
          <w:p w14:paraId="467CA3F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水平段长</w:t>
            </w:r>
          </w:p>
          <w:p w14:paraId="36AA3E3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w:t>
            </w:r>
            <w:r>
              <w:rPr>
                <w:rFonts w:ascii="Times New Roman" w:hAnsi="Times New Roman" w:cs="Times New Roman"/>
                <w:color w:val="000000" w:themeColor="text1"/>
                <w:spacing w:val="-2"/>
              </w:rPr>
              <w:t>m</w:t>
            </w:r>
            <w:r>
              <w:rPr>
                <w:rFonts w:ascii="Times New Roman" w:hAnsi="Times New Roman" w:cs="Times New Roman"/>
                <w:color w:val="000000" w:themeColor="text1"/>
                <w:spacing w:val="-2"/>
              </w:rPr>
              <w:t>）</w:t>
            </w:r>
          </w:p>
        </w:tc>
        <w:tc>
          <w:tcPr>
            <w:tcW w:w="1187" w:type="dxa"/>
            <w:vMerge w:val="restart"/>
            <w:tcBorders>
              <w:tl2br w:val="nil"/>
              <w:tr2bl w:val="nil"/>
            </w:tcBorders>
            <w:vAlign w:val="center"/>
          </w:tcPr>
          <w:p w14:paraId="3C2108B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造斜率</w:t>
            </w:r>
          </w:p>
          <w:p w14:paraId="5A58145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(°/100m</w:t>
            </w:r>
            <w:r>
              <w:rPr>
                <w:rFonts w:ascii="Times New Roman" w:hAnsi="Times New Roman" w:cs="Times New Roman"/>
                <w:color w:val="000000" w:themeColor="text1"/>
                <w:spacing w:val="-2"/>
              </w:rPr>
              <w:t>）</w:t>
            </w:r>
          </w:p>
        </w:tc>
        <w:tc>
          <w:tcPr>
            <w:tcW w:w="2478" w:type="dxa"/>
            <w:gridSpan w:val="2"/>
            <w:tcBorders>
              <w:tl2br w:val="nil"/>
              <w:tr2bl w:val="nil"/>
            </w:tcBorders>
            <w:vAlign w:val="center"/>
          </w:tcPr>
          <w:p w14:paraId="00105E5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造斜点</w:t>
            </w:r>
          </w:p>
        </w:tc>
        <w:tc>
          <w:tcPr>
            <w:tcW w:w="771" w:type="dxa"/>
            <w:vMerge w:val="restart"/>
            <w:tcBorders>
              <w:tl2br w:val="nil"/>
              <w:tr2bl w:val="nil"/>
            </w:tcBorders>
            <w:vAlign w:val="center"/>
          </w:tcPr>
          <w:p w14:paraId="0EFFED3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井深（</w:t>
            </w:r>
            <w:r>
              <w:rPr>
                <w:rFonts w:ascii="Times New Roman" w:hAnsi="Times New Roman" w:cs="Times New Roman"/>
                <w:color w:val="000000" w:themeColor="text1"/>
                <w:spacing w:val="-2"/>
              </w:rPr>
              <w:t>m</w:t>
            </w:r>
            <w:r>
              <w:rPr>
                <w:rFonts w:ascii="Times New Roman" w:hAnsi="Times New Roman" w:cs="Times New Roman"/>
                <w:color w:val="000000" w:themeColor="text1"/>
                <w:spacing w:val="-2"/>
              </w:rPr>
              <w:t>）</w:t>
            </w:r>
          </w:p>
        </w:tc>
        <w:tc>
          <w:tcPr>
            <w:tcW w:w="1233" w:type="dxa"/>
            <w:vMerge w:val="restart"/>
            <w:tcBorders>
              <w:tl2br w:val="nil"/>
              <w:tr2bl w:val="nil"/>
            </w:tcBorders>
            <w:vAlign w:val="center"/>
          </w:tcPr>
          <w:p w14:paraId="0B3B7CD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技套封固原则</w:t>
            </w:r>
          </w:p>
        </w:tc>
        <w:tc>
          <w:tcPr>
            <w:tcW w:w="616" w:type="dxa"/>
            <w:vMerge w:val="restart"/>
            <w:tcBorders>
              <w:tl2br w:val="nil"/>
              <w:tr2bl w:val="nil"/>
            </w:tcBorders>
            <w:vAlign w:val="center"/>
          </w:tcPr>
          <w:p w14:paraId="04313E4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目标趟钻</w:t>
            </w:r>
          </w:p>
        </w:tc>
      </w:tr>
      <w:tr w:rsidR="002E0859" w14:paraId="4EB9959E" w14:textId="77777777">
        <w:trPr>
          <w:trHeight w:val="23"/>
        </w:trPr>
        <w:tc>
          <w:tcPr>
            <w:tcW w:w="1423" w:type="dxa"/>
            <w:vMerge/>
            <w:tcBorders>
              <w:tl2br w:val="nil"/>
              <w:tr2bl w:val="nil"/>
            </w:tcBorders>
            <w:vAlign w:val="center"/>
          </w:tcPr>
          <w:p w14:paraId="392C9B3B"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842" w:type="dxa"/>
            <w:vMerge/>
            <w:tcBorders>
              <w:tl2br w:val="nil"/>
              <w:tr2bl w:val="nil"/>
            </w:tcBorders>
            <w:vAlign w:val="center"/>
          </w:tcPr>
          <w:p w14:paraId="7F4BFCD3"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881" w:type="dxa"/>
            <w:vMerge/>
            <w:tcBorders>
              <w:tl2br w:val="nil"/>
              <w:tr2bl w:val="nil"/>
            </w:tcBorders>
            <w:vAlign w:val="center"/>
          </w:tcPr>
          <w:p w14:paraId="212F150D"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1187" w:type="dxa"/>
            <w:vMerge/>
            <w:tcBorders>
              <w:tl2br w:val="nil"/>
              <w:tr2bl w:val="nil"/>
            </w:tcBorders>
            <w:vAlign w:val="center"/>
          </w:tcPr>
          <w:p w14:paraId="26476ADE"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929" w:type="dxa"/>
            <w:tcBorders>
              <w:tl2br w:val="nil"/>
              <w:tr2bl w:val="nil"/>
            </w:tcBorders>
            <w:vAlign w:val="center"/>
          </w:tcPr>
          <w:p w14:paraId="1CDB83A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深度（</w:t>
            </w:r>
            <w:r>
              <w:rPr>
                <w:rFonts w:ascii="Times New Roman" w:hAnsi="Times New Roman" w:cs="Times New Roman"/>
                <w:color w:val="000000" w:themeColor="text1"/>
                <w:spacing w:val="-2"/>
              </w:rPr>
              <w:t>m</w:t>
            </w:r>
            <w:r>
              <w:rPr>
                <w:rFonts w:ascii="Times New Roman" w:hAnsi="Times New Roman" w:cs="Times New Roman"/>
                <w:color w:val="000000" w:themeColor="text1"/>
                <w:spacing w:val="-2"/>
              </w:rPr>
              <w:t>）</w:t>
            </w:r>
          </w:p>
        </w:tc>
        <w:tc>
          <w:tcPr>
            <w:tcW w:w="1549" w:type="dxa"/>
            <w:tcBorders>
              <w:tl2br w:val="nil"/>
              <w:tr2bl w:val="nil"/>
            </w:tcBorders>
            <w:vAlign w:val="center"/>
          </w:tcPr>
          <w:p w14:paraId="2C55FEE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地层</w:t>
            </w:r>
          </w:p>
        </w:tc>
        <w:tc>
          <w:tcPr>
            <w:tcW w:w="771" w:type="dxa"/>
            <w:vMerge/>
            <w:tcBorders>
              <w:tl2br w:val="nil"/>
              <w:tr2bl w:val="nil"/>
            </w:tcBorders>
            <w:vAlign w:val="center"/>
          </w:tcPr>
          <w:p w14:paraId="7A1F981C"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1233" w:type="dxa"/>
            <w:vMerge/>
            <w:tcBorders>
              <w:tl2br w:val="nil"/>
              <w:tr2bl w:val="nil"/>
            </w:tcBorders>
            <w:vAlign w:val="center"/>
          </w:tcPr>
          <w:p w14:paraId="291B67FA"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16" w:type="dxa"/>
            <w:vMerge/>
            <w:tcBorders>
              <w:tl2br w:val="nil"/>
              <w:tr2bl w:val="nil"/>
            </w:tcBorders>
            <w:vAlign w:val="center"/>
          </w:tcPr>
          <w:p w14:paraId="1B70BAC3"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40181DF8" w14:textId="77777777">
        <w:trPr>
          <w:trHeight w:val="23"/>
        </w:trPr>
        <w:tc>
          <w:tcPr>
            <w:tcW w:w="1423" w:type="dxa"/>
            <w:tcBorders>
              <w:tl2br w:val="nil"/>
              <w:tr2bl w:val="nil"/>
            </w:tcBorders>
            <w:vAlign w:val="center"/>
          </w:tcPr>
          <w:p w14:paraId="40ADB2E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焦页</w:t>
            </w:r>
            <w:r>
              <w:rPr>
                <w:rFonts w:ascii="Times New Roman" w:hAnsi="Times New Roman" w:cs="Times New Roman"/>
                <w:color w:val="000000" w:themeColor="text1"/>
                <w:spacing w:val="-2"/>
              </w:rPr>
              <w:t>90-5HF</w:t>
            </w:r>
          </w:p>
        </w:tc>
        <w:tc>
          <w:tcPr>
            <w:tcW w:w="842" w:type="dxa"/>
            <w:tcBorders>
              <w:tl2br w:val="nil"/>
              <w:tr2bl w:val="nil"/>
            </w:tcBorders>
            <w:vAlign w:val="center"/>
          </w:tcPr>
          <w:p w14:paraId="62B42B7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375</w:t>
            </w:r>
          </w:p>
        </w:tc>
        <w:tc>
          <w:tcPr>
            <w:tcW w:w="881" w:type="dxa"/>
            <w:tcBorders>
              <w:tl2br w:val="nil"/>
              <w:tr2bl w:val="nil"/>
            </w:tcBorders>
            <w:vAlign w:val="center"/>
          </w:tcPr>
          <w:p w14:paraId="34F46A3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1970</w:t>
            </w:r>
          </w:p>
        </w:tc>
        <w:tc>
          <w:tcPr>
            <w:tcW w:w="1187" w:type="dxa"/>
            <w:tcBorders>
              <w:tl2br w:val="nil"/>
              <w:tr2bl w:val="nil"/>
            </w:tcBorders>
            <w:vAlign w:val="center"/>
          </w:tcPr>
          <w:p w14:paraId="1F9CA99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16</w:t>
            </w:r>
          </w:p>
        </w:tc>
        <w:tc>
          <w:tcPr>
            <w:tcW w:w="929" w:type="dxa"/>
            <w:tcBorders>
              <w:tl2br w:val="nil"/>
              <w:tr2bl w:val="nil"/>
            </w:tcBorders>
            <w:vAlign w:val="center"/>
          </w:tcPr>
          <w:p w14:paraId="5822A9E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2800</w:t>
            </w:r>
          </w:p>
        </w:tc>
        <w:tc>
          <w:tcPr>
            <w:tcW w:w="1549" w:type="dxa"/>
            <w:tcBorders>
              <w:tl2br w:val="nil"/>
              <w:tr2bl w:val="nil"/>
            </w:tcBorders>
            <w:vAlign w:val="center"/>
          </w:tcPr>
          <w:p w14:paraId="44DC9E3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优化至韩家店组</w:t>
            </w:r>
          </w:p>
        </w:tc>
        <w:tc>
          <w:tcPr>
            <w:tcW w:w="771" w:type="dxa"/>
            <w:tcBorders>
              <w:tl2br w:val="nil"/>
              <w:tr2bl w:val="nil"/>
            </w:tcBorders>
            <w:vAlign w:val="center"/>
          </w:tcPr>
          <w:p w14:paraId="5EAD9C2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5900</w:t>
            </w:r>
          </w:p>
        </w:tc>
        <w:tc>
          <w:tcPr>
            <w:tcW w:w="1233" w:type="dxa"/>
            <w:tcBorders>
              <w:tl2br w:val="nil"/>
              <w:tr2bl w:val="nil"/>
            </w:tcBorders>
            <w:vAlign w:val="center"/>
          </w:tcPr>
          <w:p w14:paraId="454BB87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封小河坝组</w:t>
            </w:r>
          </w:p>
        </w:tc>
        <w:tc>
          <w:tcPr>
            <w:tcW w:w="616" w:type="dxa"/>
            <w:tcBorders>
              <w:tl2br w:val="nil"/>
              <w:tr2bl w:val="nil"/>
            </w:tcBorders>
            <w:vAlign w:val="center"/>
          </w:tcPr>
          <w:p w14:paraId="04F1821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135</w:t>
            </w:r>
          </w:p>
        </w:tc>
      </w:tr>
      <w:tr w:rsidR="002E0859" w14:paraId="6FE84563" w14:textId="77777777">
        <w:trPr>
          <w:trHeight w:val="23"/>
        </w:trPr>
        <w:tc>
          <w:tcPr>
            <w:tcW w:w="1423" w:type="dxa"/>
            <w:tcBorders>
              <w:tl2br w:val="nil"/>
              <w:tr2bl w:val="nil"/>
            </w:tcBorders>
            <w:vAlign w:val="center"/>
          </w:tcPr>
          <w:p w14:paraId="784291B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焦页</w:t>
            </w:r>
            <w:r>
              <w:rPr>
                <w:rFonts w:ascii="Times New Roman" w:hAnsi="Times New Roman" w:cs="Times New Roman"/>
                <w:color w:val="000000" w:themeColor="text1"/>
                <w:spacing w:val="-2"/>
              </w:rPr>
              <w:t>90-Z1HF</w:t>
            </w:r>
          </w:p>
        </w:tc>
        <w:tc>
          <w:tcPr>
            <w:tcW w:w="842" w:type="dxa"/>
            <w:tcBorders>
              <w:tl2br w:val="nil"/>
              <w:tr2bl w:val="nil"/>
            </w:tcBorders>
            <w:vAlign w:val="center"/>
          </w:tcPr>
          <w:p w14:paraId="2CDD763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309</w:t>
            </w:r>
          </w:p>
        </w:tc>
        <w:tc>
          <w:tcPr>
            <w:tcW w:w="881" w:type="dxa"/>
            <w:tcBorders>
              <w:tl2br w:val="nil"/>
              <w:tr2bl w:val="nil"/>
            </w:tcBorders>
            <w:vAlign w:val="center"/>
          </w:tcPr>
          <w:p w14:paraId="470D20A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1970</w:t>
            </w:r>
          </w:p>
        </w:tc>
        <w:tc>
          <w:tcPr>
            <w:tcW w:w="1187" w:type="dxa"/>
            <w:tcBorders>
              <w:tl2br w:val="nil"/>
              <w:tr2bl w:val="nil"/>
            </w:tcBorders>
            <w:vAlign w:val="center"/>
          </w:tcPr>
          <w:p w14:paraId="5DAB80F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16</w:t>
            </w:r>
          </w:p>
        </w:tc>
        <w:tc>
          <w:tcPr>
            <w:tcW w:w="929" w:type="dxa"/>
            <w:tcBorders>
              <w:tl2br w:val="nil"/>
              <w:tr2bl w:val="nil"/>
            </w:tcBorders>
            <w:vAlign w:val="center"/>
          </w:tcPr>
          <w:p w14:paraId="1780323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2600</w:t>
            </w:r>
          </w:p>
        </w:tc>
        <w:tc>
          <w:tcPr>
            <w:tcW w:w="1549" w:type="dxa"/>
            <w:tcBorders>
              <w:tl2br w:val="nil"/>
              <w:tr2bl w:val="nil"/>
            </w:tcBorders>
            <w:vAlign w:val="center"/>
          </w:tcPr>
          <w:p w14:paraId="2C134CB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优化至韩家店组</w:t>
            </w:r>
          </w:p>
        </w:tc>
        <w:tc>
          <w:tcPr>
            <w:tcW w:w="771" w:type="dxa"/>
            <w:tcBorders>
              <w:tl2br w:val="nil"/>
              <w:tr2bl w:val="nil"/>
            </w:tcBorders>
            <w:vAlign w:val="center"/>
          </w:tcPr>
          <w:p w14:paraId="7B71B43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5820</w:t>
            </w:r>
          </w:p>
        </w:tc>
        <w:tc>
          <w:tcPr>
            <w:tcW w:w="1233" w:type="dxa"/>
            <w:tcBorders>
              <w:tl2br w:val="nil"/>
              <w:tr2bl w:val="nil"/>
            </w:tcBorders>
            <w:vAlign w:val="center"/>
          </w:tcPr>
          <w:p w14:paraId="541B3EE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封小河坝组</w:t>
            </w:r>
          </w:p>
        </w:tc>
        <w:tc>
          <w:tcPr>
            <w:tcW w:w="616" w:type="dxa"/>
            <w:tcBorders>
              <w:tl2br w:val="nil"/>
              <w:tr2bl w:val="nil"/>
            </w:tcBorders>
            <w:vAlign w:val="center"/>
          </w:tcPr>
          <w:p w14:paraId="3449024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135</w:t>
            </w:r>
          </w:p>
        </w:tc>
      </w:tr>
    </w:tbl>
    <w:p w14:paraId="3CBAD5A2"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钻机及钻具组合</w:t>
      </w:r>
    </w:p>
    <w:p w14:paraId="66A28CA1" w14:textId="77777777" w:rsidR="002E0859" w:rsidRDefault="00000000">
      <w:pPr>
        <w:widowControl/>
        <w:kinsoku w:val="0"/>
        <w:topLinePunct w:val="0"/>
        <w:autoSpaceDE w:val="0"/>
        <w:autoSpaceDN w:val="0"/>
        <w:spacing w:line="360" w:lineRule="auto"/>
        <w:ind w:firstLine="436"/>
        <w:textAlignment w:val="baseline"/>
        <w:rPr>
          <w:rFonts w:ascii="宋体" w:hAnsi="宋体" w:cs="宋体"/>
          <w:snapToGrid w:val="0"/>
          <w:color w:val="000000" w:themeColor="text1"/>
          <w:spacing w:val="-11"/>
          <w:kern w:val="0"/>
          <w:sz w:val="24"/>
          <w:szCs w:val="24"/>
        </w:rPr>
      </w:pPr>
      <w:r>
        <w:rPr>
          <w:rFonts w:ascii="宋体" w:hAnsi="宋体" w:cs="宋体" w:hint="eastAsia"/>
          <w:snapToGrid w:val="0"/>
          <w:color w:val="000000" w:themeColor="text1"/>
          <w:spacing w:val="-11"/>
          <w:kern w:val="0"/>
          <w:sz w:val="24"/>
          <w:szCs w:val="24"/>
        </w:rPr>
        <w:t>1、钻机型号选择</w:t>
      </w:r>
    </w:p>
    <w:p w14:paraId="04F9E218"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rFonts w:hint="eastAsia"/>
          <w:snapToGrid w:val="0"/>
          <w:color w:val="000000" w:themeColor="text1"/>
          <w:kern w:val="0"/>
          <w:sz w:val="24"/>
          <w:szCs w:val="24"/>
          <w:lang w:eastAsia="en-US"/>
        </w:rPr>
        <w:t>选用</w:t>
      </w:r>
      <w:r>
        <w:rPr>
          <w:rFonts w:hint="eastAsia"/>
          <w:snapToGrid w:val="0"/>
          <w:color w:val="000000" w:themeColor="text1"/>
          <w:kern w:val="0"/>
          <w:sz w:val="24"/>
          <w:szCs w:val="24"/>
          <w:lang w:eastAsia="en-US"/>
        </w:rPr>
        <w:t>ZJ70</w:t>
      </w:r>
      <w:r>
        <w:rPr>
          <w:rFonts w:hint="eastAsia"/>
          <w:snapToGrid w:val="0"/>
          <w:color w:val="000000" w:themeColor="text1"/>
          <w:kern w:val="0"/>
          <w:sz w:val="24"/>
          <w:szCs w:val="24"/>
          <w:lang w:eastAsia="en-US"/>
        </w:rPr>
        <w:t>系列钻机，为满足强化</w:t>
      </w:r>
      <w:r>
        <w:rPr>
          <w:rFonts w:hint="eastAsia"/>
          <w:snapToGrid w:val="0"/>
          <w:color w:val="000000" w:themeColor="text1"/>
          <w:kern w:val="0"/>
          <w:sz w:val="24"/>
          <w:szCs w:val="24"/>
          <w:lang w:eastAsia="en-US"/>
        </w:rPr>
        <w:t>/</w:t>
      </w:r>
      <w:r>
        <w:rPr>
          <w:rFonts w:hint="eastAsia"/>
          <w:snapToGrid w:val="0"/>
          <w:color w:val="000000" w:themeColor="text1"/>
          <w:kern w:val="0"/>
          <w:sz w:val="24"/>
          <w:szCs w:val="24"/>
          <w:lang w:eastAsia="en-US"/>
        </w:rPr>
        <w:t>激进参数钻井提速提效要求，要求配套大功率顶驱、</w:t>
      </w:r>
      <w:r>
        <w:rPr>
          <w:rFonts w:hint="eastAsia"/>
          <w:snapToGrid w:val="0"/>
          <w:color w:val="000000" w:themeColor="text1"/>
          <w:kern w:val="0"/>
          <w:sz w:val="24"/>
          <w:szCs w:val="24"/>
          <w:lang w:eastAsia="en-US"/>
        </w:rPr>
        <w:t>52MPa</w:t>
      </w:r>
      <w:r>
        <w:rPr>
          <w:rFonts w:hint="eastAsia"/>
          <w:snapToGrid w:val="0"/>
          <w:color w:val="000000" w:themeColor="text1"/>
          <w:kern w:val="0"/>
          <w:sz w:val="24"/>
          <w:szCs w:val="24"/>
          <w:lang w:eastAsia="en-US"/>
        </w:rPr>
        <w:t>高压钻井泵和</w:t>
      </w:r>
      <w:r>
        <w:rPr>
          <w:rFonts w:hint="eastAsia"/>
          <w:snapToGrid w:val="0"/>
          <w:color w:val="000000" w:themeColor="text1"/>
          <w:kern w:val="0"/>
          <w:sz w:val="24"/>
          <w:szCs w:val="24"/>
          <w:lang w:eastAsia="en-US"/>
        </w:rPr>
        <w:t>70MPa</w:t>
      </w:r>
      <w:r>
        <w:rPr>
          <w:rFonts w:hint="eastAsia"/>
          <w:snapToGrid w:val="0"/>
          <w:color w:val="000000" w:themeColor="text1"/>
          <w:kern w:val="0"/>
          <w:sz w:val="24"/>
          <w:szCs w:val="24"/>
          <w:lang w:eastAsia="en-US"/>
        </w:rPr>
        <w:t>高压管线。钻井主要设备配置标准按</w:t>
      </w:r>
      <w:r>
        <w:rPr>
          <w:snapToGrid w:val="0"/>
          <w:color w:val="000000" w:themeColor="text1"/>
          <w:kern w:val="0"/>
          <w:sz w:val="24"/>
          <w:szCs w:val="24"/>
          <w:lang w:eastAsia="en-US"/>
        </w:rPr>
        <w:t>表</w:t>
      </w:r>
      <w:r>
        <w:rPr>
          <w:snapToGrid w:val="0"/>
          <w:color w:val="000000" w:themeColor="text1"/>
          <w:kern w:val="0"/>
          <w:sz w:val="24"/>
          <w:szCs w:val="24"/>
        </w:rPr>
        <w:t>2.4-7</w:t>
      </w:r>
      <w:r>
        <w:rPr>
          <w:rFonts w:hint="eastAsia"/>
          <w:snapToGrid w:val="0"/>
          <w:color w:val="000000" w:themeColor="text1"/>
          <w:kern w:val="0"/>
          <w:sz w:val="24"/>
          <w:szCs w:val="24"/>
          <w:lang w:eastAsia="en-US"/>
        </w:rPr>
        <w:t>执行。</w:t>
      </w:r>
    </w:p>
    <w:p w14:paraId="016371E3" w14:textId="77777777" w:rsidR="002E0859" w:rsidRDefault="00000000">
      <w:pPr>
        <w:kinsoku w:val="0"/>
        <w:autoSpaceDE w:val="0"/>
        <w:autoSpaceDN w:val="0"/>
        <w:spacing w:before="112" w:line="219" w:lineRule="auto"/>
        <w:ind w:left="2750" w:firstLine="420"/>
        <w:jc w:val="left"/>
        <w:textAlignment w:val="baseline"/>
        <w:rPr>
          <w:rFonts w:eastAsia="黑体"/>
          <w:color w:val="000000" w:themeColor="text1"/>
          <w:kern w:val="0"/>
          <w:sz w:val="21"/>
          <w:szCs w:val="21"/>
          <w:lang w:eastAsia="en-US"/>
        </w:rPr>
      </w:pPr>
      <w:r>
        <w:rPr>
          <w:rFonts w:eastAsia="黑体" w:hint="eastAsia"/>
          <w:color w:val="000000" w:themeColor="text1"/>
          <w:kern w:val="0"/>
          <w:sz w:val="21"/>
          <w:szCs w:val="21"/>
          <w:lang w:eastAsia="en-US"/>
        </w:rPr>
        <w:t>表</w:t>
      </w:r>
      <w:r>
        <w:rPr>
          <w:rFonts w:eastAsia="黑体" w:hint="eastAsia"/>
          <w:color w:val="000000" w:themeColor="text1"/>
          <w:kern w:val="0"/>
          <w:sz w:val="21"/>
          <w:szCs w:val="21"/>
        </w:rPr>
        <w:t>2.4</w:t>
      </w:r>
      <w:r>
        <w:rPr>
          <w:rFonts w:eastAsia="黑体" w:hint="eastAsia"/>
          <w:color w:val="000000" w:themeColor="text1"/>
          <w:kern w:val="0"/>
          <w:sz w:val="21"/>
          <w:szCs w:val="21"/>
          <w:lang w:eastAsia="en-US"/>
        </w:rPr>
        <w:t>-</w:t>
      </w:r>
      <w:r>
        <w:rPr>
          <w:rFonts w:eastAsia="黑体" w:hint="eastAsia"/>
          <w:color w:val="000000" w:themeColor="text1"/>
          <w:kern w:val="0"/>
          <w:sz w:val="21"/>
          <w:szCs w:val="21"/>
        </w:rPr>
        <w:t xml:space="preserve">7 </w:t>
      </w:r>
      <w:r>
        <w:rPr>
          <w:rFonts w:eastAsia="黑体" w:hint="eastAsia"/>
          <w:color w:val="000000" w:themeColor="text1"/>
          <w:kern w:val="0"/>
          <w:sz w:val="21"/>
          <w:szCs w:val="21"/>
          <w:lang w:eastAsia="en-US"/>
        </w:rPr>
        <w:t>ZJ70</w:t>
      </w:r>
      <w:r>
        <w:rPr>
          <w:rFonts w:eastAsia="黑体" w:hint="eastAsia"/>
          <w:color w:val="000000" w:themeColor="text1"/>
          <w:kern w:val="0"/>
          <w:sz w:val="21"/>
          <w:szCs w:val="21"/>
          <w:lang w:eastAsia="en-US"/>
        </w:rPr>
        <w:t>钻机与主要设备配置表</w:t>
      </w:r>
    </w:p>
    <w:p w14:paraId="5F14C9A9" w14:textId="77777777" w:rsidR="002E0859" w:rsidRDefault="002E0859">
      <w:pPr>
        <w:widowControl/>
        <w:kinsoku w:val="0"/>
        <w:topLinePunct w:val="0"/>
        <w:autoSpaceDE w:val="0"/>
        <w:autoSpaceDN w:val="0"/>
        <w:spacing w:line="44"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9231" w:type="dxa"/>
        <w:tblInd w:w="10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218"/>
        <w:gridCol w:w="2431"/>
        <w:gridCol w:w="1990"/>
        <w:gridCol w:w="698"/>
        <w:gridCol w:w="2894"/>
      </w:tblGrid>
      <w:tr w:rsidR="002E0859" w14:paraId="724F14F7" w14:textId="77777777">
        <w:trPr>
          <w:trHeight w:val="23"/>
          <w:tblHeader/>
        </w:trPr>
        <w:tc>
          <w:tcPr>
            <w:tcW w:w="1218" w:type="dxa"/>
            <w:tcBorders>
              <w:tl2br w:val="nil"/>
              <w:tr2bl w:val="nil"/>
            </w:tcBorders>
          </w:tcPr>
          <w:p w14:paraId="3B893B1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序号</w:t>
            </w:r>
          </w:p>
        </w:tc>
        <w:tc>
          <w:tcPr>
            <w:tcW w:w="2431" w:type="dxa"/>
            <w:tcBorders>
              <w:tl2br w:val="nil"/>
              <w:tr2bl w:val="nil"/>
            </w:tcBorders>
          </w:tcPr>
          <w:p w14:paraId="1AAC35A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名称</w:t>
            </w:r>
          </w:p>
        </w:tc>
        <w:tc>
          <w:tcPr>
            <w:tcW w:w="1990" w:type="dxa"/>
            <w:tcBorders>
              <w:tl2br w:val="nil"/>
              <w:tr2bl w:val="nil"/>
            </w:tcBorders>
          </w:tcPr>
          <w:p w14:paraId="5B93E54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功率或负荷</w:t>
            </w:r>
          </w:p>
        </w:tc>
        <w:tc>
          <w:tcPr>
            <w:tcW w:w="698" w:type="dxa"/>
            <w:tcBorders>
              <w:tl2br w:val="nil"/>
              <w:tr2bl w:val="nil"/>
            </w:tcBorders>
          </w:tcPr>
          <w:p w14:paraId="53D057F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数量</w:t>
            </w:r>
          </w:p>
        </w:tc>
        <w:tc>
          <w:tcPr>
            <w:tcW w:w="2894" w:type="dxa"/>
            <w:tcBorders>
              <w:tl2br w:val="nil"/>
              <w:tr2bl w:val="nil"/>
            </w:tcBorders>
          </w:tcPr>
          <w:p w14:paraId="7ACBAA3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备注</w:t>
            </w:r>
          </w:p>
        </w:tc>
      </w:tr>
      <w:tr w:rsidR="002E0859" w14:paraId="167611D4" w14:textId="77777777">
        <w:trPr>
          <w:trHeight w:val="23"/>
        </w:trPr>
        <w:tc>
          <w:tcPr>
            <w:tcW w:w="1218" w:type="dxa"/>
            <w:tcBorders>
              <w:tl2br w:val="nil"/>
              <w:tr2bl w:val="nil"/>
            </w:tcBorders>
          </w:tcPr>
          <w:p w14:paraId="5EE43F1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431" w:type="dxa"/>
            <w:tcBorders>
              <w:tl2br w:val="nil"/>
              <w:tr2bl w:val="nil"/>
            </w:tcBorders>
          </w:tcPr>
          <w:p w14:paraId="75553CD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井架</w:t>
            </w:r>
          </w:p>
        </w:tc>
        <w:tc>
          <w:tcPr>
            <w:tcW w:w="1990" w:type="dxa"/>
            <w:tcBorders>
              <w:tl2br w:val="nil"/>
              <w:tr2bl w:val="nil"/>
            </w:tcBorders>
          </w:tcPr>
          <w:p w14:paraId="620B8B4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4643kN</w:t>
            </w:r>
          </w:p>
        </w:tc>
        <w:tc>
          <w:tcPr>
            <w:tcW w:w="698" w:type="dxa"/>
            <w:tcBorders>
              <w:tl2br w:val="nil"/>
              <w:tr2bl w:val="nil"/>
            </w:tcBorders>
          </w:tcPr>
          <w:p w14:paraId="6FEBCD3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442D3C7B"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70BAE3EB" w14:textId="77777777">
        <w:trPr>
          <w:trHeight w:val="23"/>
        </w:trPr>
        <w:tc>
          <w:tcPr>
            <w:tcW w:w="1218" w:type="dxa"/>
            <w:tcBorders>
              <w:tl2br w:val="nil"/>
              <w:tr2bl w:val="nil"/>
            </w:tcBorders>
          </w:tcPr>
          <w:p w14:paraId="4A96AF0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w:t>
            </w:r>
          </w:p>
        </w:tc>
        <w:tc>
          <w:tcPr>
            <w:tcW w:w="2431" w:type="dxa"/>
            <w:tcBorders>
              <w:tl2br w:val="nil"/>
              <w:tr2bl w:val="nil"/>
            </w:tcBorders>
          </w:tcPr>
          <w:p w14:paraId="11C4B40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天车</w:t>
            </w:r>
          </w:p>
        </w:tc>
        <w:tc>
          <w:tcPr>
            <w:tcW w:w="1990" w:type="dxa"/>
            <w:tcBorders>
              <w:tl2br w:val="nil"/>
              <w:tr2bl w:val="nil"/>
            </w:tcBorders>
          </w:tcPr>
          <w:p w14:paraId="423B0AE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5000kN</w:t>
            </w:r>
          </w:p>
        </w:tc>
        <w:tc>
          <w:tcPr>
            <w:tcW w:w="698" w:type="dxa"/>
            <w:tcBorders>
              <w:tl2br w:val="nil"/>
              <w:tr2bl w:val="nil"/>
            </w:tcBorders>
          </w:tcPr>
          <w:p w14:paraId="6E1EB0C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2A71F46E"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42B052AF" w14:textId="77777777">
        <w:trPr>
          <w:trHeight w:val="23"/>
        </w:trPr>
        <w:tc>
          <w:tcPr>
            <w:tcW w:w="1218" w:type="dxa"/>
            <w:tcBorders>
              <w:tl2br w:val="nil"/>
              <w:tr2bl w:val="nil"/>
            </w:tcBorders>
          </w:tcPr>
          <w:p w14:paraId="4CC6A4E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w:t>
            </w:r>
          </w:p>
        </w:tc>
        <w:tc>
          <w:tcPr>
            <w:tcW w:w="2431" w:type="dxa"/>
            <w:tcBorders>
              <w:tl2br w:val="nil"/>
              <w:tr2bl w:val="nil"/>
            </w:tcBorders>
          </w:tcPr>
          <w:p w14:paraId="7BB13FE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游动滑车</w:t>
            </w:r>
          </w:p>
        </w:tc>
        <w:tc>
          <w:tcPr>
            <w:tcW w:w="1990" w:type="dxa"/>
            <w:tcBorders>
              <w:tl2br w:val="nil"/>
              <w:tr2bl w:val="nil"/>
            </w:tcBorders>
          </w:tcPr>
          <w:p w14:paraId="59ED892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5000kN</w:t>
            </w:r>
          </w:p>
        </w:tc>
        <w:tc>
          <w:tcPr>
            <w:tcW w:w="698" w:type="dxa"/>
            <w:tcBorders>
              <w:tl2br w:val="nil"/>
              <w:tr2bl w:val="nil"/>
            </w:tcBorders>
          </w:tcPr>
          <w:p w14:paraId="08B2E64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237D341"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6A49BE70" w14:textId="77777777">
        <w:trPr>
          <w:trHeight w:val="23"/>
        </w:trPr>
        <w:tc>
          <w:tcPr>
            <w:tcW w:w="1218" w:type="dxa"/>
            <w:tcBorders>
              <w:tl2br w:val="nil"/>
              <w:tr2bl w:val="nil"/>
            </w:tcBorders>
          </w:tcPr>
          <w:p w14:paraId="0160D6E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w:t>
            </w:r>
          </w:p>
        </w:tc>
        <w:tc>
          <w:tcPr>
            <w:tcW w:w="2431" w:type="dxa"/>
            <w:tcBorders>
              <w:tl2br w:val="nil"/>
              <w:tr2bl w:val="nil"/>
            </w:tcBorders>
          </w:tcPr>
          <w:p w14:paraId="7B20E86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大钩</w:t>
            </w:r>
          </w:p>
        </w:tc>
        <w:tc>
          <w:tcPr>
            <w:tcW w:w="1990" w:type="dxa"/>
            <w:tcBorders>
              <w:tl2br w:val="nil"/>
              <w:tr2bl w:val="nil"/>
            </w:tcBorders>
          </w:tcPr>
          <w:p w14:paraId="3881AA9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4500kN</w:t>
            </w:r>
          </w:p>
        </w:tc>
        <w:tc>
          <w:tcPr>
            <w:tcW w:w="698" w:type="dxa"/>
            <w:tcBorders>
              <w:tl2br w:val="nil"/>
              <w:tr2bl w:val="nil"/>
            </w:tcBorders>
          </w:tcPr>
          <w:p w14:paraId="617B289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4CD03338"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1D5CEBF0" w14:textId="77777777">
        <w:trPr>
          <w:trHeight w:val="23"/>
        </w:trPr>
        <w:tc>
          <w:tcPr>
            <w:tcW w:w="1218" w:type="dxa"/>
            <w:tcBorders>
              <w:tl2br w:val="nil"/>
              <w:tr2bl w:val="nil"/>
            </w:tcBorders>
          </w:tcPr>
          <w:p w14:paraId="2A1BB96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w:t>
            </w:r>
          </w:p>
        </w:tc>
        <w:tc>
          <w:tcPr>
            <w:tcW w:w="2431" w:type="dxa"/>
            <w:tcBorders>
              <w:tl2br w:val="nil"/>
              <w:tr2bl w:val="nil"/>
            </w:tcBorders>
          </w:tcPr>
          <w:p w14:paraId="04A3D79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水龙头</w:t>
            </w:r>
          </w:p>
        </w:tc>
        <w:tc>
          <w:tcPr>
            <w:tcW w:w="1990" w:type="dxa"/>
            <w:tcBorders>
              <w:tl2br w:val="nil"/>
              <w:tr2bl w:val="nil"/>
            </w:tcBorders>
          </w:tcPr>
          <w:p w14:paraId="1C939B4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4500kN</w:t>
            </w:r>
          </w:p>
        </w:tc>
        <w:tc>
          <w:tcPr>
            <w:tcW w:w="698" w:type="dxa"/>
            <w:tcBorders>
              <w:tl2br w:val="nil"/>
              <w:tr2bl w:val="nil"/>
            </w:tcBorders>
          </w:tcPr>
          <w:p w14:paraId="65B87BD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71747FEF"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4774BF27" w14:textId="77777777">
        <w:trPr>
          <w:trHeight w:val="23"/>
        </w:trPr>
        <w:tc>
          <w:tcPr>
            <w:tcW w:w="1218" w:type="dxa"/>
            <w:tcBorders>
              <w:tl2br w:val="nil"/>
              <w:tr2bl w:val="nil"/>
            </w:tcBorders>
          </w:tcPr>
          <w:p w14:paraId="10D4104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6</w:t>
            </w:r>
          </w:p>
        </w:tc>
        <w:tc>
          <w:tcPr>
            <w:tcW w:w="2431" w:type="dxa"/>
            <w:tcBorders>
              <w:tl2br w:val="nil"/>
              <w:tr2bl w:val="nil"/>
            </w:tcBorders>
          </w:tcPr>
          <w:p w14:paraId="3280850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转盘</w:t>
            </w:r>
          </w:p>
        </w:tc>
        <w:tc>
          <w:tcPr>
            <w:tcW w:w="1990" w:type="dxa"/>
            <w:tcBorders>
              <w:tl2br w:val="nil"/>
              <w:tr2bl w:val="nil"/>
            </w:tcBorders>
          </w:tcPr>
          <w:p w14:paraId="077D0BB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5000kN</w:t>
            </w:r>
          </w:p>
        </w:tc>
        <w:tc>
          <w:tcPr>
            <w:tcW w:w="698" w:type="dxa"/>
            <w:tcBorders>
              <w:tl2br w:val="nil"/>
              <w:tr2bl w:val="nil"/>
            </w:tcBorders>
          </w:tcPr>
          <w:p w14:paraId="6337CDC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6EDDA0F5"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5B67B0A7" w14:textId="77777777">
        <w:trPr>
          <w:trHeight w:val="23"/>
        </w:trPr>
        <w:tc>
          <w:tcPr>
            <w:tcW w:w="1218" w:type="dxa"/>
            <w:tcBorders>
              <w:tl2br w:val="nil"/>
              <w:tr2bl w:val="nil"/>
            </w:tcBorders>
          </w:tcPr>
          <w:p w14:paraId="64D6279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7</w:t>
            </w:r>
          </w:p>
        </w:tc>
        <w:tc>
          <w:tcPr>
            <w:tcW w:w="2431" w:type="dxa"/>
            <w:tcBorders>
              <w:tl2br w:val="nil"/>
              <w:tr2bl w:val="nil"/>
            </w:tcBorders>
          </w:tcPr>
          <w:p w14:paraId="06B99F5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绞车</w:t>
            </w:r>
          </w:p>
        </w:tc>
        <w:tc>
          <w:tcPr>
            <w:tcW w:w="1990" w:type="dxa"/>
            <w:tcBorders>
              <w:tl2br w:val="nil"/>
              <w:tr2bl w:val="nil"/>
            </w:tcBorders>
          </w:tcPr>
          <w:p w14:paraId="1A221A5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1100kW</w:t>
            </w:r>
          </w:p>
        </w:tc>
        <w:tc>
          <w:tcPr>
            <w:tcW w:w="698" w:type="dxa"/>
            <w:tcBorders>
              <w:tl2br w:val="nil"/>
              <w:tr2bl w:val="nil"/>
            </w:tcBorders>
          </w:tcPr>
          <w:p w14:paraId="2958E6E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29FE6D7"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72B3A952" w14:textId="77777777">
        <w:trPr>
          <w:trHeight w:val="23"/>
        </w:trPr>
        <w:tc>
          <w:tcPr>
            <w:tcW w:w="1218" w:type="dxa"/>
            <w:tcBorders>
              <w:tl2br w:val="nil"/>
              <w:tr2bl w:val="nil"/>
            </w:tcBorders>
          </w:tcPr>
          <w:p w14:paraId="33F0DBB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8</w:t>
            </w:r>
          </w:p>
        </w:tc>
        <w:tc>
          <w:tcPr>
            <w:tcW w:w="2431" w:type="dxa"/>
            <w:tcBorders>
              <w:tl2br w:val="nil"/>
              <w:tr2bl w:val="nil"/>
            </w:tcBorders>
          </w:tcPr>
          <w:p w14:paraId="3A2B098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顶驱</w:t>
            </w:r>
          </w:p>
        </w:tc>
        <w:tc>
          <w:tcPr>
            <w:tcW w:w="1990" w:type="dxa"/>
            <w:tcBorders>
              <w:tl2br w:val="nil"/>
              <w:tr2bl w:val="nil"/>
            </w:tcBorders>
          </w:tcPr>
          <w:p w14:paraId="2018488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3430kN</w:t>
            </w:r>
          </w:p>
        </w:tc>
        <w:tc>
          <w:tcPr>
            <w:tcW w:w="698" w:type="dxa"/>
            <w:tcBorders>
              <w:tl2br w:val="nil"/>
              <w:tr2bl w:val="nil"/>
            </w:tcBorders>
          </w:tcPr>
          <w:p w14:paraId="5EA3DC8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4F51082E"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7C253330" w14:textId="77777777">
        <w:trPr>
          <w:trHeight w:val="23"/>
        </w:trPr>
        <w:tc>
          <w:tcPr>
            <w:tcW w:w="1218" w:type="dxa"/>
            <w:tcBorders>
              <w:tl2br w:val="nil"/>
              <w:tr2bl w:val="nil"/>
            </w:tcBorders>
          </w:tcPr>
          <w:p w14:paraId="71739C1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9</w:t>
            </w:r>
          </w:p>
        </w:tc>
        <w:tc>
          <w:tcPr>
            <w:tcW w:w="2431" w:type="dxa"/>
            <w:tcBorders>
              <w:tl2br w:val="nil"/>
              <w:tr2bl w:val="nil"/>
            </w:tcBorders>
          </w:tcPr>
          <w:p w14:paraId="7B38B89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钻井泵</w:t>
            </w:r>
          </w:p>
        </w:tc>
        <w:tc>
          <w:tcPr>
            <w:tcW w:w="1990" w:type="dxa"/>
            <w:tcBorders>
              <w:tl2br w:val="nil"/>
              <w:tr2bl w:val="nil"/>
            </w:tcBorders>
          </w:tcPr>
          <w:p w14:paraId="4A0F1BC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1180kW</w:t>
            </w:r>
          </w:p>
        </w:tc>
        <w:tc>
          <w:tcPr>
            <w:tcW w:w="698" w:type="dxa"/>
            <w:tcBorders>
              <w:tl2br w:val="nil"/>
              <w:tr2bl w:val="nil"/>
            </w:tcBorders>
          </w:tcPr>
          <w:p w14:paraId="40AA6D4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w:t>
            </w:r>
          </w:p>
        </w:tc>
        <w:tc>
          <w:tcPr>
            <w:tcW w:w="2894" w:type="dxa"/>
            <w:tcBorders>
              <w:tl2br w:val="nil"/>
              <w:tr2bl w:val="nil"/>
            </w:tcBorders>
          </w:tcPr>
          <w:p w14:paraId="652FF70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采用</w:t>
            </w:r>
            <w:r>
              <w:rPr>
                <w:rFonts w:ascii="Times New Roman" w:hAnsi="Times New Roman" w:cs="Times New Roman"/>
                <w:color w:val="000000" w:themeColor="text1"/>
                <w:spacing w:val="-2"/>
              </w:rPr>
              <w:t>52MPa</w:t>
            </w:r>
            <w:r>
              <w:rPr>
                <w:rFonts w:ascii="Times New Roman" w:hAnsi="Times New Roman" w:cs="Times New Roman"/>
                <w:color w:val="000000" w:themeColor="text1"/>
                <w:spacing w:val="-2"/>
              </w:rPr>
              <w:t>高压泵</w:t>
            </w:r>
          </w:p>
        </w:tc>
      </w:tr>
      <w:tr w:rsidR="002E0859" w14:paraId="76B9EB2B" w14:textId="77777777">
        <w:trPr>
          <w:trHeight w:val="23"/>
        </w:trPr>
        <w:tc>
          <w:tcPr>
            <w:tcW w:w="1218" w:type="dxa"/>
            <w:tcBorders>
              <w:tl2br w:val="nil"/>
              <w:tr2bl w:val="nil"/>
            </w:tcBorders>
          </w:tcPr>
          <w:p w14:paraId="3A29C29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10</w:t>
            </w:r>
          </w:p>
        </w:tc>
        <w:tc>
          <w:tcPr>
            <w:tcW w:w="2431" w:type="dxa"/>
            <w:tcBorders>
              <w:tl2br w:val="nil"/>
              <w:tr2bl w:val="nil"/>
            </w:tcBorders>
          </w:tcPr>
          <w:p w14:paraId="6F1B8C0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柴油机</w:t>
            </w:r>
          </w:p>
        </w:tc>
        <w:tc>
          <w:tcPr>
            <w:tcW w:w="1990" w:type="dxa"/>
            <w:tcBorders>
              <w:tl2br w:val="nil"/>
              <w:tr2bl w:val="nil"/>
            </w:tcBorders>
          </w:tcPr>
          <w:p w14:paraId="0ED89D1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1320kW</w:t>
            </w:r>
          </w:p>
        </w:tc>
        <w:tc>
          <w:tcPr>
            <w:tcW w:w="698" w:type="dxa"/>
            <w:tcBorders>
              <w:tl2br w:val="nil"/>
              <w:tr2bl w:val="nil"/>
            </w:tcBorders>
          </w:tcPr>
          <w:p w14:paraId="270FA1E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w:t>
            </w:r>
          </w:p>
        </w:tc>
        <w:tc>
          <w:tcPr>
            <w:tcW w:w="2894" w:type="dxa"/>
            <w:tcBorders>
              <w:tl2br w:val="nil"/>
              <w:tr2bl w:val="nil"/>
            </w:tcBorders>
          </w:tcPr>
          <w:p w14:paraId="1DC3AC69"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0E8D99B8" w14:textId="77777777">
        <w:trPr>
          <w:trHeight w:val="23"/>
        </w:trPr>
        <w:tc>
          <w:tcPr>
            <w:tcW w:w="1218" w:type="dxa"/>
            <w:tcBorders>
              <w:tl2br w:val="nil"/>
              <w:tr2bl w:val="nil"/>
            </w:tcBorders>
          </w:tcPr>
          <w:p w14:paraId="557FC53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11</w:t>
            </w:r>
          </w:p>
        </w:tc>
        <w:tc>
          <w:tcPr>
            <w:tcW w:w="2431" w:type="dxa"/>
            <w:tcBorders>
              <w:tl2br w:val="nil"/>
              <w:tr2bl w:val="nil"/>
            </w:tcBorders>
          </w:tcPr>
          <w:p w14:paraId="21BD745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发电机</w:t>
            </w:r>
          </w:p>
        </w:tc>
        <w:tc>
          <w:tcPr>
            <w:tcW w:w="1990" w:type="dxa"/>
            <w:tcBorders>
              <w:tl2br w:val="nil"/>
              <w:tr2bl w:val="nil"/>
            </w:tcBorders>
          </w:tcPr>
          <w:p w14:paraId="7C262C7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320kW</w:t>
            </w:r>
          </w:p>
        </w:tc>
        <w:tc>
          <w:tcPr>
            <w:tcW w:w="698" w:type="dxa"/>
            <w:tcBorders>
              <w:tl2br w:val="nil"/>
              <w:tr2bl w:val="nil"/>
            </w:tcBorders>
          </w:tcPr>
          <w:p w14:paraId="5F85984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w:t>
            </w:r>
          </w:p>
        </w:tc>
        <w:tc>
          <w:tcPr>
            <w:tcW w:w="2894" w:type="dxa"/>
            <w:tcBorders>
              <w:tl2br w:val="nil"/>
              <w:tr2bl w:val="nil"/>
            </w:tcBorders>
          </w:tcPr>
          <w:p w14:paraId="233049D8"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30052BAB" w14:textId="77777777">
        <w:trPr>
          <w:trHeight w:val="23"/>
        </w:trPr>
        <w:tc>
          <w:tcPr>
            <w:tcW w:w="1218" w:type="dxa"/>
            <w:tcBorders>
              <w:tl2br w:val="nil"/>
              <w:tr2bl w:val="nil"/>
            </w:tcBorders>
          </w:tcPr>
          <w:p w14:paraId="694EEEC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12</w:t>
            </w:r>
          </w:p>
        </w:tc>
        <w:tc>
          <w:tcPr>
            <w:tcW w:w="2431" w:type="dxa"/>
            <w:tcBorders>
              <w:tl2br w:val="nil"/>
              <w:tr2bl w:val="nil"/>
            </w:tcBorders>
          </w:tcPr>
          <w:p w14:paraId="142C08D7"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单闸板防喷器</w:t>
            </w:r>
          </w:p>
        </w:tc>
        <w:tc>
          <w:tcPr>
            <w:tcW w:w="1990" w:type="dxa"/>
            <w:tcBorders>
              <w:tl2br w:val="nil"/>
              <w:tr2bl w:val="nil"/>
            </w:tcBorders>
          </w:tcPr>
          <w:p w14:paraId="785BD5D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21MPa</w:t>
            </w:r>
          </w:p>
        </w:tc>
        <w:tc>
          <w:tcPr>
            <w:tcW w:w="698" w:type="dxa"/>
            <w:tcBorders>
              <w:tl2br w:val="nil"/>
              <w:tr2bl w:val="nil"/>
            </w:tcBorders>
          </w:tcPr>
          <w:p w14:paraId="762708E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28E1695"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1B92D2D9" w14:textId="77777777">
        <w:trPr>
          <w:trHeight w:val="23"/>
        </w:trPr>
        <w:tc>
          <w:tcPr>
            <w:tcW w:w="1218" w:type="dxa"/>
            <w:tcBorders>
              <w:tl2br w:val="nil"/>
              <w:tr2bl w:val="nil"/>
            </w:tcBorders>
          </w:tcPr>
          <w:p w14:paraId="51691B4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13</w:t>
            </w:r>
          </w:p>
        </w:tc>
        <w:tc>
          <w:tcPr>
            <w:tcW w:w="2431" w:type="dxa"/>
            <w:tcBorders>
              <w:tl2br w:val="nil"/>
              <w:tr2bl w:val="nil"/>
            </w:tcBorders>
          </w:tcPr>
          <w:p w14:paraId="4848830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旋转防喷器</w:t>
            </w:r>
          </w:p>
        </w:tc>
        <w:tc>
          <w:tcPr>
            <w:tcW w:w="1990" w:type="dxa"/>
            <w:tcBorders>
              <w:tl2br w:val="nil"/>
              <w:tr2bl w:val="nil"/>
            </w:tcBorders>
          </w:tcPr>
          <w:p w14:paraId="20D796A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17.5/35MPa</w:t>
            </w:r>
          </w:p>
        </w:tc>
        <w:tc>
          <w:tcPr>
            <w:tcW w:w="698" w:type="dxa"/>
            <w:tcBorders>
              <w:tl2br w:val="nil"/>
              <w:tr2bl w:val="nil"/>
            </w:tcBorders>
          </w:tcPr>
          <w:p w14:paraId="09BA9EB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766BDF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备用</w:t>
            </w:r>
          </w:p>
        </w:tc>
      </w:tr>
      <w:tr w:rsidR="002E0859" w14:paraId="7963BD85" w14:textId="77777777">
        <w:trPr>
          <w:trHeight w:val="23"/>
        </w:trPr>
        <w:tc>
          <w:tcPr>
            <w:tcW w:w="1218" w:type="dxa"/>
            <w:tcBorders>
              <w:tl2br w:val="nil"/>
              <w:tr2bl w:val="nil"/>
            </w:tcBorders>
          </w:tcPr>
          <w:p w14:paraId="6AAF9D0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14</w:t>
            </w:r>
          </w:p>
        </w:tc>
        <w:tc>
          <w:tcPr>
            <w:tcW w:w="2431" w:type="dxa"/>
            <w:tcBorders>
              <w:tl2br w:val="nil"/>
              <w:tr2bl w:val="nil"/>
            </w:tcBorders>
          </w:tcPr>
          <w:p w14:paraId="6E29143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环型防喷器</w:t>
            </w:r>
          </w:p>
        </w:tc>
        <w:tc>
          <w:tcPr>
            <w:tcW w:w="1990" w:type="dxa"/>
            <w:tcBorders>
              <w:tl2br w:val="nil"/>
              <w:tr2bl w:val="nil"/>
            </w:tcBorders>
          </w:tcPr>
          <w:p w14:paraId="38F8DAD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35MPa</w:t>
            </w:r>
          </w:p>
        </w:tc>
        <w:tc>
          <w:tcPr>
            <w:tcW w:w="698" w:type="dxa"/>
            <w:tcBorders>
              <w:tl2br w:val="nil"/>
              <w:tr2bl w:val="nil"/>
            </w:tcBorders>
          </w:tcPr>
          <w:p w14:paraId="3DF157A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6EBD90AA"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4D80DE14" w14:textId="77777777">
        <w:trPr>
          <w:trHeight w:val="23"/>
        </w:trPr>
        <w:tc>
          <w:tcPr>
            <w:tcW w:w="1218" w:type="dxa"/>
            <w:tcBorders>
              <w:tl2br w:val="nil"/>
              <w:tr2bl w:val="nil"/>
            </w:tcBorders>
          </w:tcPr>
          <w:p w14:paraId="026A899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15</w:t>
            </w:r>
          </w:p>
        </w:tc>
        <w:tc>
          <w:tcPr>
            <w:tcW w:w="2431" w:type="dxa"/>
            <w:tcBorders>
              <w:tl2br w:val="nil"/>
              <w:tr2bl w:val="nil"/>
            </w:tcBorders>
          </w:tcPr>
          <w:p w14:paraId="4C2CF31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单闸板防喷器</w:t>
            </w:r>
          </w:p>
        </w:tc>
        <w:tc>
          <w:tcPr>
            <w:tcW w:w="1990" w:type="dxa"/>
            <w:tcBorders>
              <w:tl2br w:val="nil"/>
              <w:tr2bl w:val="nil"/>
            </w:tcBorders>
          </w:tcPr>
          <w:p w14:paraId="7377A58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70MPa</w:t>
            </w:r>
          </w:p>
        </w:tc>
        <w:tc>
          <w:tcPr>
            <w:tcW w:w="698" w:type="dxa"/>
            <w:tcBorders>
              <w:tl2br w:val="nil"/>
              <w:tr2bl w:val="nil"/>
            </w:tcBorders>
          </w:tcPr>
          <w:p w14:paraId="5015546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D52D34B"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5B28643D" w14:textId="77777777">
        <w:trPr>
          <w:trHeight w:val="23"/>
        </w:trPr>
        <w:tc>
          <w:tcPr>
            <w:tcW w:w="1218" w:type="dxa"/>
            <w:tcBorders>
              <w:tl2br w:val="nil"/>
              <w:tr2bl w:val="nil"/>
            </w:tcBorders>
          </w:tcPr>
          <w:p w14:paraId="63D48C7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16</w:t>
            </w:r>
          </w:p>
        </w:tc>
        <w:tc>
          <w:tcPr>
            <w:tcW w:w="2431" w:type="dxa"/>
            <w:tcBorders>
              <w:tl2br w:val="nil"/>
              <w:tr2bl w:val="nil"/>
            </w:tcBorders>
          </w:tcPr>
          <w:p w14:paraId="6C1CA97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双闸板防喷器</w:t>
            </w:r>
          </w:p>
        </w:tc>
        <w:tc>
          <w:tcPr>
            <w:tcW w:w="1990" w:type="dxa"/>
            <w:tcBorders>
              <w:tl2br w:val="nil"/>
              <w:tr2bl w:val="nil"/>
            </w:tcBorders>
          </w:tcPr>
          <w:p w14:paraId="229DE89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70MPa</w:t>
            </w:r>
          </w:p>
        </w:tc>
        <w:tc>
          <w:tcPr>
            <w:tcW w:w="698" w:type="dxa"/>
            <w:tcBorders>
              <w:tl2br w:val="nil"/>
              <w:tr2bl w:val="nil"/>
            </w:tcBorders>
          </w:tcPr>
          <w:p w14:paraId="1EF1934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34AC904B"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37E07387" w14:textId="77777777">
        <w:trPr>
          <w:trHeight w:val="23"/>
        </w:trPr>
        <w:tc>
          <w:tcPr>
            <w:tcW w:w="1218" w:type="dxa"/>
            <w:tcBorders>
              <w:tl2br w:val="nil"/>
              <w:tr2bl w:val="nil"/>
            </w:tcBorders>
          </w:tcPr>
          <w:p w14:paraId="379A4D9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17</w:t>
            </w:r>
          </w:p>
        </w:tc>
        <w:tc>
          <w:tcPr>
            <w:tcW w:w="2431" w:type="dxa"/>
            <w:tcBorders>
              <w:tl2br w:val="nil"/>
              <w:tr2bl w:val="nil"/>
            </w:tcBorders>
          </w:tcPr>
          <w:p w14:paraId="359F034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压井管汇</w:t>
            </w:r>
          </w:p>
        </w:tc>
        <w:tc>
          <w:tcPr>
            <w:tcW w:w="1990" w:type="dxa"/>
            <w:tcBorders>
              <w:tl2br w:val="nil"/>
              <w:tr2bl w:val="nil"/>
            </w:tcBorders>
          </w:tcPr>
          <w:p w14:paraId="304E875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70MPa</w:t>
            </w:r>
          </w:p>
        </w:tc>
        <w:tc>
          <w:tcPr>
            <w:tcW w:w="698" w:type="dxa"/>
            <w:tcBorders>
              <w:tl2br w:val="nil"/>
              <w:tr2bl w:val="nil"/>
            </w:tcBorders>
          </w:tcPr>
          <w:p w14:paraId="4FAA59A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53D9DED"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74B10F80" w14:textId="77777777">
        <w:trPr>
          <w:trHeight w:val="23"/>
        </w:trPr>
        <w:tc>
          <w:tcPr>
            <w:tcW w:w="1218" w:type="dxa"/>
            <w:tcBorders>
              <w:tl2br w:val="nil"/>
              <w:tr2bl w:val="nil"/>
            </w:tcBorders>
          </w:tcPr>
          <w:p w14:paraId="38BCC12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18</w:t>
            </w:r>
          </w:p>
        </w:tc>
        <w:tc>
          <w:tcPr>
            <w:tcW w:w="2431" w:type="dxa"/>
            <w:tcBorders>
              <w:tl2br w:val="nil"/>
              <w:tr2bl w:val="nil"/>
            </w:tcBorders>
          </w:tcPr>
          <w:p w14:paraId="3C4A0CF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节流管汇</w:t>
            </w:r>
          </w:p>
        </w:tc>
        <w:tc>
          <w:tcPr>
            <w:tcW w:w="1990" w:type="dxa"/>
            <w:tcBorders>
              <w:tl2br w:val="nil"/>
              <w:tr2bl w:val="nil"/>
            </w:tcBorders>
          </w:tcPr>
          <w:p w14:paraId="7FDF605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70MPa</w:t>
            </w:r>
          </w:p>
        </w:tc>
        <w:tc>
          <w:tcPr>
            <w:tcW w:w="698" w:type="dxa"/>
            <w:tcBorders>
              <w:tl2br w:val="nil"/>
              <w:tr2bl w:val="nil"/>
            </w:tcBorders>
          </w:tcPr>
          <w:p w14:paraId="37803EA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4DEF698C"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29331F0B" w14:textId="77777777">
        <w:trPr>
          <w:trHeight w:val="23"/>
        </w:trPr>
        <w:tc>
          <w:tcPr>
            <w:tcW w:w="1218" w:type="dxa"/>
            <w:tcBorders>
              <w:tl2br w:val="nil"/>
              <w:tr2bl w:val="nil"/>
            </w:tcBorders>
          </w:tcPr>
          <w:p w14:paraId="47AC941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19</w:t>
            </w:r>
          </w:p>
        </w:tc>
        <w:tc>
          <w:tcPr>
            <w:tcW w:w="2431" w:type="dxa"/>
            <w:tcBorders>
              <w:tl2br w:val="nil"/>
              <w:tr2bl w:val="nil"/>
            </w:tcBorders>
          </w:tcPr>
          <w:p w14:paraId="42B91FA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液气分离器</w:t>
            </w:r>
          </w:p>
        </w:tc>
        <w:tc>
          <w:tcPr>
            <w:tcW w:w="1990" w:type="dxa"/>
            <w:tcBorders>
              <w:tl2br w:val="nil"/>
              <w:tr2bl w:val="nil"/>
            </w:tcBorders>
          </w:tcPr>
          <w:p w14:paraId="5300FEF9"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98" w:type="dxa"/>
            <w:tcBorders>
              <w:tl2br w:val="nil"/>
              <w:tr2bl w:val="nil"/>
            </w:tcBorders>
          </w:tcPr>
          <w:p w14:paraId="6842691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6C6F1B2"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2A2957A2" w14:textId="77777777">
        <w:trPr>
          <w:trHeight w:val="23"/>
        </w:trPr>
        <w:tc>
          <w:tcPr>
            <w:tcW w:w="1218" w:type="dxa"/>
            <w:tcBorders>
              <w:tl2br w:val="nil"/>
              <w:tr2bl w:val="nil"/>
            </w:tcBorders>
          </w:tcPr>
          <w:p w14:paraId="293AB99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20</w:t>
            </w:r>
          </w:p>
        </w:tc>
        <w:tc>
          <w:tcPr>
            <w:tcW w:w="2431" w:type="dxa"/>
            <w:tcBorders>
              <w:tl2br w:val="nil"/>
              <w:tr2bl w:val="nil"/>
            </w:tcBorders>
          </w:tcPr>
          <w:p w14:paraId="4CEFCD5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自动点火装置</w:t>
            </w:r>
          </w:p>
        </w:tc>
        <w:tc>
          <w:tcPr>
            <w:tcW w:w="1990" w:type="dxa"/>
            <w:tcBorders>
              <w:tl2br w:val="nil"/>
              <w:tr2bl w:val="nil"/>
            </w:tcBorders>
          </w:tcPr>
          <w:p w14:paraId="26A4A459"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98" w:type="dxa"/>
            <w:tcBorders>
              <w:tl2br w:val="nil"/>
              <w:tr2bl w:val="nil"/>
            </w:tcBorders>
          </w:tcPr>
          <w:p w14:paraId="1541B0D8"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1429FF06"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4398AC42" w14:textId="77777777">
        <w:trPr>
          <w:trHeight w:val="23"/>
        </w:trPr>
        <w:tc>
          <w:tcPr>
            <w:tcW w:w="1218" w:type="dxa"/>
            <w:tcBorders>
              <w:tl2br w:val="nil"/>
              <w:tr2bl w:val="nil"/>
            </w:tcBorders>
          </w:tcPr>
          <w:p w14:paraId="0F139C2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21</w:t>
            </w:r>
          </w:p>
        </w:tc>
        <w:tc>
          <w:tcPr>
            <w:tcW w:w="2431" w:type="dxa"/>
            <w:tcBorders>
              <w:tl2br w:val="nil"/>
              <w:tr2bl w:val="nil"/>
            </w:tcBorders>
          </w:tcPr>
          <w:p w14:paraId="7E5A1D6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除砂器</w:t>
            </w:r>
          </w:p>
        </w:tc>
        <w:tc>
          <w:tcPr>
            <w:tcW w:w="1990" w:type="dxa"/>
            <w:tcBorders>
              <w:tl2br w:val="nil"/>
              <w:tr2bl w:val="nil"/>
            </w:tcBorders>
          </w:tcPr>
          <w:p w14:paraId="622773E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45kW</w:t>
            </w:r>
          </w:p>
        </w:tc>
        <w:tc>
          <w:tcPr>
            <w:tcW w:w="698" w:type="dxa"/>
            <w:tcBorders>
              <w:tl2br w:val="nil"/>
              <w:tr2bl w:val="nil"/>
            </w:tcBorders>
          </w:tcPr>
          <w:p w14:paraId="1E9548B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601292D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单台处理量不小于</w:t>
            </w:r>
            <w:r>
              <w:rPr>
                <w:rFonts w:ascii="Times New Roman" w:hAnsi="Times New Roman" w:cs="Times New Roman"/>
                <w:color w:val="000000" w:themeColor="text1"/>
                <w:spacing w:val="-2"/>
              </w:rPr>
              <w:t>180m³/h</w:t>
            </w:r>
          </w:p>
        </w:tc>
      </w:tr>
      <w:tr w:rsidR="002E0859" w14:paraId="13C6E026" w14:textId="77777777">
        <w:trPr>
          <w:trHeight w:val="23"/>
        </w:trPr>
        <w:tc>
          <w:tcPr>
            <w:tcW w:w="1218" w:type="dxa"/>
            <w:tcBorders>
              <w:tl2br w:val="nil"/>
              <w:tr2bl w:val="nil"/>
            </w:tcBorders>
          </w:tcPr>
          <w:p w14:paraId="53152B8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22</w:t>
            </w:r>
          </w:p>
        </w:tc>
        <w:tc>
          <w:tcPr>
            <w:tcW w:w="2431" w:type="dxa"/>
            <w:tcBorders>
              <w:tl2br w:val="nil"/>
              <w:tr2bl w:val="nil"/>
            </w:tcBorders>
          </w:tcPr>
          <w:p w14:paraId="6E32D14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除泥器</w:t>
            </w:r>
          </w:p>
        </w:tc>
        <w:tc>
          <w:tcPr>
            <w:tcW w:w="1990" w:type="dxa"/>
            <w:tcBorders>
              <w:tl2br w:val="nil"/>
              <w:tr2bl w:val="nil"/>
            </w:tcBorders>
          </w:tcPr>
          <w:p w14:paraId="2E943DD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45kW</w:t>
            </w:r>
          </w:p>
        </w:tc>
        <w:tc>
          <w:tcPr>
            <w:tcW w:w="698" w:type="dxa"/>
            <w:tcBorders>
              <w:tl2br w:val="nil"/>
              <w:tr2bl w:val="nil"/>
            </w:tcBorders>
          </w:tcPr>
          <w:p w14:paraId="0815CE1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4790A997"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21F6018F" w14:textId="77777777">
        <w:trPr>
          <w:trHeight w:val="23"/>
        </w:trPr>
        <w:tc>
          <w:tcPr>
            <w:tcW w:w="1218" w:type="dxa"/>
            <w:tcBorders>
              <w:tl2br w:val="nil"/>
              <w:tr2bl w:val="nil"/>
            </w:tcBorders>
          </w:tcPr>
          <w:p w14:paraId="4F91C08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23</w:t>
            </w:r>
          </w:p>
        </w:tc>
        <w:tc>
          <w:tcPr>
            <w:tcW w:w="2431" w:type="dxa"/>
            <w:tcBorders>
              <w:tl2br w:val="nil"/>
              <w:tr2bl w:val="nil"/>
            </w:tcBorders>
          </w:tcPr>
          <w:p w14:paraId="259514FA"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振动筛</w:t>
            </w:r>
          </w:p>
        </w:tc>
        <w:tc>
          <w:tcPr>
            <w:tcW w:w="1990" w:type="dxa"/>
            <w:tcBorders>
              <w:tl2br w:val="nil"/>
              <w:tr2bl w:val="nil"/>
            </w:tcBorders>
          </w:tcPr>
          <w:p w14:paraId="63528B4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4kW</w:t>
            </w:r>
          </w:p>
        </w:tc>
        <w:tc>
          <w:tcPr>
            <w:tcW w:w="698" w:type="dxa"/>
            <w:tcBorders>
              <w:tl2br w:val="nil"/>
              <w:tr2bl w:val="nil"/>
            </w:tcBorders>
          </w:tcPr>
          <w:p w14:paraId="70B6993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w:t>
            </w:r>
          </w:p>
        </w:tc>
        <w:tc>
          <w:tcPr>
            <w:tcW w:w="2894" w:type="dxa"/>
            <w:tcBorders>
              <w:tl2br w:val="nil"/>
              <w:tr2bl w:val="nil"/>
            </w:tcBorders>
          </w:tcPr>
          <w:p w14:paraId="2821563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单台处理量不小于</w:t>
            </w:r>
            <w:r>
              <w:rPr>
                <w:rFonts w:ascii="Times New Roman" w:hAnsi="Times New Roman" w:cs="Times New Roman"/>
                <w:color w:val="000000" w:themeColor="text1"/>
                <w:spacing w:val="-2"/>
              </w:rPr>
              <w:t>330m3/h</w:t>
            </w:r>
          </w:p>
        </w:tc>
      </w:tr>
      <w:tr w:rsidR="002E0859" w14:paraId="39B1BBF9" w14:textId="77777777">
        <w:trPr>
          <w:trHeight w:val="23"/>
        </w:trPr>
        <w:tc>
          <w:tcPr>
            <w:tcW w:w="1218" w:type="dxa"/>
            <w:tcBorders>
              <w:tl2br w:val="nil"/>
              <w:tr2bl w:val="nil"/>
            </w:tcBorders>
          </w:tcPr>
          <w:p w14:paraId="75A6828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24</w:t>
            </w:r>
          </w:p>
        </w:tc>
        <w:tc>
          <w:tcPr>
            <w:tcW w:w="2431" w:type="dxa"/>
            <w:tcBorders>
              <w:tl2br w:val="nil"/>
              <w:tr2bl w:val="nil"/>
            </w:tcBorders>
          </w:tcPr>
          <w:p w14:paraId="0FEB0629"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除气器</w:t>
            </w:r>
          </w:p>
        </w:tc>
        <w:tc>
          <w:tcPr>
            <w:tcW w:w="1990" w:type="dxa"/>
            <w:tcBorders>
              <w:tl2br w:val="nil"/>
              <w:tr2bl w:val="nil"/>
            </w:tcBorders>
          </w:tcPr>
          <w:p w14:paraId="46580984"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98" w:type="dxa"/>
            <w:tcBorders>
              <w:tl2br w:val="nil"/>
              <w:tr2bl w:val="nil"/>
            </w:tcBorders>
          </w:tcPr>
          <w:p w14:paraId="3A71F6C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41140FDF"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4F8CCEEC" w14:textId="77777777">
        <w:trPr>
          <w:trHeight w:val="23"/>
        </w:trPr>
        <w:tc>
          <w:tcPr>
            <w:tcW w:w="1218" w:type="dxa"/>
            <w:tcBorders>
              <w:tl2br w:val="nil"/>
              <w:tr2bl w:val="nil"/>
            </w:tcBorders>
          </w:tcPr>
          <w:p w14:paraId="728510C0"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25</w:t>
            </w:r>
          </w:p>
        </w:tc>
        <w:tc>
          <w:tcPr>
            <w:tcW w:w="2431" w:type="dxa"/>
            <w:tcBorders>
              <w:tl2br w:val="nil"/>
              <w:tr2bl w:val="nil"/>
            </w:tcBorders>
          </w:tcPr>
          <w:p w14:paraId="75E0990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离心机</w:t>
            </w:r>
          </w:p>
        </w:tc>
        <w:tc>
          <w:tcPr>
            <w:tcW w:w="1990" w:type="dxa"/>
            <w:tcBorders>
              <w:tl2br w:val="nil"/>
              <w:tr2bl w:val="nil"/>
            </w:tcBorders>
          </w:tcPr>
          <w:p w14:paraId="445B5E03"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69kW</w:t>
            </w:r>
          </w:p>
        </w:tc>
        <w:tc>
          <w:tcPr>
            <w:tcW w:w="698" w:type="dxa"/>
            <w:tcBorders>
              <w:tl2br w:val="nil"/>
              <w:tr2bl w:val="nil"/>
            </w:tcBorders>
          </w:tcPr>
          <w:p w14:paraId="0032630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280E818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单台处理量不小于</w:t>
            </w:r>
            <w:r>
              <w:rPr>
                <w:rFonts w:ascii="Times New Roman" w:hAnsi="Times New Roman" w:cs="Times New Roman"/>
                <w:color w:val="000000" w:themeColor="text1"/>
                <w:spacing w:val="-2"/>
              </w:rPr>
              <w:t>50m3/h</w:t>
            </w:r>
          </w:p>
        </w:tc>
      </w:tr>
      <w:tr w:rsidR="002E0859" w14:paraId="053FBD01" w14:textId="77777777">
        <w:trPr>
          <w:trHeight w:val="23"/>
        </w:trPr>
        <w:tc>
          <w:tcPr>
            <w:tcW w:w="1218" w:type="dxa"/>
            <w:tcBorders>
              <w:tl2br w:val="nil"/>
              <w:tr2bl w:val="nil"/>
            </w:tcBorders>
          </w:tcPr>
          <w:p w14:paraId="67EB0DA5"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lastRenderedPageBreak/>
              <w:t>26</w:t>
            </w:r>
          </w:p>
        </w:tc>
        <w:tc>
          <w:tcPr>
            <w:tcW w:w="2431" w:type="dxa"/>
            <w:tcBorders>
              <w:tl2br w:val="nil"/>
              <w:tr2bl w:val="nil"/>
            </w:tcBorders>
          </w:tcPr>
          <w:p w14:paraId="3F7771F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灌浆装置</w:t>
            </w:r>
          </w:p>
        </w:tc>
        <w:tc>
          <w:tcPr>
            <w:tcW w:w="1990" w:type="dxa"/>
            <w:tcBorders>
              <w:tl2br w:val="nil"/>
              <w:tr2bl w:val="nil"/>
            </w:tcBorders>
          </w:tcPr>
          <w:p w14:paraId="645B262E"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98" w:type="dxa"/>
            <w:tcBorders>
              <w:tl2br w:val="nil"/>
              <w:tr2bl w:val="nil"/>
            </w:tcBorders>
          </w:tcPr>
          <w:p w14:paraId="17D4A7A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54316014"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27FC641E" w14:textId="77777777">
        <w:trPr>
          <w:trHeight w:val="23"/>
        </w:trPr>
        <w:tc>
          <w:tcPr>
            <w:tcW w:w="1218" w:type="dxa"/>
            <w:tcBorders>
              <w:tl2br w:val="nil"/>
              <w:tr2bl w:val="nil"/>
            </w:tcBorders>
          </w:tcPr>
          <w:p w14:paraId="79428BC1"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27</w:t>
            </w:r>
          </w:p>
        </w:tc>
        <w:tc>
          <w:tcPr>
            <w:tcW w:w="2431" w:type="dxa"/>
            <w:tcBorders>
              <w:tl2br w:val="nil"/>
              <w:tr2bl w:val="nil"/>
            </w:tcBorders>
          </w:tcPr>
          <w:p w14:paraId="08F8546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循环罐</w:t>
            </w:r>
          </w:p>
        </w:tc>
        <w:tc>
          <w:tcPr>
            <w:tcW w:w="1990" w:type="dxa"/>
            <w:tcBorders>
              <w:tl2br w:val="nil"/>
              <w:tr2bl w:val="nil"/>
            </w:tcBorders>
          </w:tcPr>
          <w:p w14:paraId="39CA3BBF"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60m3</w:t>
            </w:r>
          </w:p>
        </w:tc>
        <w:tc>
          <w:tcPr>
            <w:tcW w:w="698" w:type="dxa"/>
            <w:tcBorders>
              <w:tl2br w:val="nil"/>
              <w:tr2bl w:val="nil"/>
            </w:tcBorders>
          </w:tcPr>
          <w:p w14:paraId="1E62E9C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5</w:t>
            </w:r>
          </w:p>
        </w:tc>
        <w:tc>
          <w:tcPr>
            <w:tcW w:w="2894" w:type="dxa"/>
            <w:tcBorders>
              <w:tl2br w:val="nil"/>
              <w:tr2bl w:val="nil"/>
            </w:tcBorders>
          </w:tcPr>
          <w:p w14:paraId="53B02807"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3FF89ABB" w14:textId="77777777">
        <w:trPr>
          <w:trHeight w:val="23"/>
        </w:trPr>
        <w:tc>
          <w:tcPr>
            <w:tcW w:w="1218" w:type="dxa"/>
            <w:tcBorders>
              <w:tl2br w:val="nil"/>
              <w:tr2bl w:val="nil"/>
            </w:tcBorders>
          </w:tcPr>
          <w:p w14:paraId="1899A8FE"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28</w:t>
            </w:r>
          </w:p>
        </w:tc>
        <w:tc>
          <w:tcPr>
            <w:tcW w:w="2431" w:type="dxa"/>
            <w:tcBorders>
              <w:tl2br w:val="nil"/>
              <w:tr2bl w:val="nil"/>
            </w:tcBorders>
          </w:tcPr>
          <w:p w14:paraId="59F4E6CC"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储备罐</w:t>
            </w:r>
          </w:p>
        </w:tc>
        <w:tc>
          <w:tcPr>
            <w:tcW w:w="1990" w:type="dxa"/>
            <w:tcBorders>
              <w:tl2br w:val="nil"/>
              <w:tr2bl w:val="nil"/>
            </w:tcBorders>
          </w:tcPr>
          <w:p w14:paraId="234707B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40m3</w:t>
            </w:r>
          </w:p>
        </w:tc>
        <w:tc>
          <w:tcPr>
            <w:tcW w:w="698" w:type="dxa"/>
            <w:tcBorders>
              <w:tl2br w:val="nil"/>
              <w:tr2bl w:val="nil"/>
            </w:tcBorders>
          </w:tcPr>
          <w:p w14:paraId="7700992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6</w:t>
            </w:r>
          </w:p>
        </w:tc>
        <w:tc>
          <w:tcPr>
            <w:tcW w:w="2894" w:type="dxa"/>
            <w:tcBorders>
              <w:tl2br w:val="nil"/>
              <w:tr2bl w:val="nil"/>
            </w:tcBorders>
          </w:tcPr>
          <w:p w14:paraId="6D004F8C"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6455A2DD" w14:textId="77777777">
        <w:trPr>
          <w:trHeight w:val="23"/>
        </w:trPr>
        <w:tc>
          <w:tcPr>
            <w:tcW w:w="1218" w:type="dxa"/>
            <w:tcBorders>
              <w:tl2br w:val="nil"/>
              <w:tr2bl w:val="nil"/>
            </w:tcBorders>
          </w:tcPr>
          <w:p w14:paraId="3F54CEED"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29</w:t>
            </w:r>
          </w:p>
        </w:tc>
        <w:tc>
          <w:tcPr>
            <w:tcW w:w="2431" w:type="dxa"/>
            <w:tcBorders>
              <w:tl2br w:val="nil"/>
              <w:tr2bl w:val="nil"/>
            </w:tcBorders>
          </w:tcPr>
          <w:p w14:paraId="33932F8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二层台逃生装置</w:t>
            </w:r>
          </w:p>
        </w:tc>
        <w:tc>
          <w:tcPr>
            <w:tcW w:w="1990" w:type="dxa"/>
            <w:tcBorders>
              <w:tl2br w:val="nil"/>
              <w:tr2bl w:val="nil"/>
            </w:tcBorders>
          </w:tcPr>
          <w:p w14:paraId="3092B77E"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98" w:type="dxa"/>
            <w:tcBorders>
              <w:tl2br w:val="nil"/>
              <w:tr2bl w:val="nil"/>
            </w:tcBorders>
          </w:tcPr>
          <w:p w14:paraId="07961CC4"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1</w:t>
            </w:r>
          </w:p>
        </w:tc>
        <w:tc>
          <w:tcPr>
            <w:tcW w:w="2894" w:type="dxa"/>
            <w:tcBorders>
              <w:tl2br w:val="nil"/>
              <w:tr2bl w:val="nil"/>
            </w:tcBorders>
          </w:tcPr>
          <w:p w14:paraId="24DA4354"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r w:rsidR="002E0859" w14:paraId="1BFAE4EA" w14:textId="77777777">
        <w:trPr>
          <w:trHeight w:val="23"/>
        </w:trPr>
        <w:tc>
          <w:tcPr>
            <w:tcW w:w="1218" w:type="dxa"/>
            <w:tcBorders>
              <w:tl2br w:val="nil"/>
              <w:tr2bl w:val="nil"/>
            </w:tcBorders>
          </w:tcPr>
          <w:p w14:paraId="4455DEB6"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30</w:t>
            </w:r>
          </w:p>
        </w:tc>
        <w:tc>
          <w:tcPr>
            <w:tcW w:w="2431" w:type="dxa"/>
            <w:tcBorders>
              <w:tl2br w:val="nil"/>
              <w:tr2bl w:val="nil"/>
            </w:tcBorders>
          </w:tcPr>
          <w:p w14:paraId="2D4DD192"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加重装置</w:t>
            </w:r>
          </w:p>
        </w:tc>
        <w:tc>
          <w:tcPr>
            <w:tcW w:w="1990" w:type="dxa"/>
            <w:tcBorders>
              <w:tl2br w:val="nil"/>
              <w:tr2bl w:val="nil"/>
            </w:tcBorders>
          </w:tcPr>
          <w:p w14:paraId="1D6DA5A2"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c>
          <w:tcPr>
            <w:tcW w:w="698" w:type="dxa"/>
            <w:tcBorders>
              <w:tl2br w:val="nil"/>
              <w:tr2bl w:val="nil"/>
            </w:tcBorders>
          </w:tcPr>
          <w:p w14:paraId="1277F84B" w14:textId="77777777" w:rsidR="002E0859" w:rsidRDefault="00000000">
            <w:pPr>
              <w:pStyle w:val="TableText"/>
              <w:spacing w:line="240" w:lineRule="auto"/>
              <w:ind w:firstLineChars="0" w:firstLine="0"/>
              <w:jc w:val="center"/>
              <w:rPr>
                <w:rFonts w:ascii="Times New Roman" w:hAnsi="Times New Roman" w:cs="Times New Roman"/>
                <w:color w:val="000000" w:themeColor="text1"/>
                <w:spacing w:val="-2"/>
              </w:rPr>
            </w:pPr>
            <w:r>
              <w:rPr>
                <w:rFonts w:ascii="Times New Roman" w:hAnsi="Times New Roman" w:cs="Times New Roman"/>
                <w:color w:val="000000" w:themeColor="text1"/>
                <w:spacing w:val="-2"/>
              </w:rPr>
              <w:t>3</w:t>
            </w:r>
          </w:p>
        </w:tc>
        <w:tc>
          <w:tcPr>
            <w:tcW w:w="2894" w:type="dxa"/>
            <w:tcBorders>
              <w:tl2br w:val="nil"/>
              <w:tr2bl w:val="nil"/>
            </w:tcBorders>
          </w:tcPr>
          <w:p w14:paraId="1F7D10D1" w14:textId="77777777" w:rsidR="002E0859" w:rsidRDefault="002E0859">
            <w:pPr>
              <w:pStyle w:val="TableText"/>
              <w:spacing w:line="240" w:lineRule="auto"/>
              <w:ind w:firstLineChars="0" w:firstLine="0"/>
              <w:jc w:val="center"/>
              <w:rPr>
                <w:rFonts w:ascii="Times New Roman" w:hAnsi="Times New Roman" w:cs="Times New Roman"/>
                <w:color w:val="000000" w:themeColor="text1"/>
                <w:spacing w:val="-2"/>
              </w:rPr>
            </w:pPr>
          </w:p>
        </w:tc>
      </w:tr>
    </w:tbl>
    <w:p w14:paraId="032CA753" w14:textId="77777777" w:rsidR="002E0859" w:rsidRDefault="00000000">
      <w:pPr>
        <w:spacing w:beforeLines="50" w:before="120" w:line="360" w:lineRule="auto"/>
        <w:ind w:firstLine="476"/>
        <w:rPr>
          <w:color w:val="000000" w:themeColor="text1"/>
          <w:sz w:val="24"/>
          <w:szCs w:val="24"/>
        </w:rPr>
      </w:pPr>
      <w:r>
        <w:rPr>
          <w:color w:val="000000" w:themeColor="text1"/>
          <w:spacing w:val="-1"/>
          <w:sz w:val="24"/>
          <w:szCs w:val="24"/>
        </w:rPr>
        <w:t>钻机设备配置要求</w:t>
      </w:r>
      <w:r>
        <w:rPr>
          <w:rFonts w:hint="eastAsia"/>
          <w:color w:val="000000" w:themeColor="text1"/>
          <w:spacing w:val="-1"/>
          <w:sz w:val="24"/>
          <w:szCs w:val="24"/>
        </w:rPr>
        <w:t>：</w:t>
      </w:r>
    </w:p>
    <w:p w14:paraId="631BC51C" w14:textId="77777777" w:rsidR="002E0859" w:rsidRDefault="00000000">
      <w:pPr>
        <w:spacing w:line="360" w:lineRule="auto"/>
        <w:ind w:firstLine="468"/>
        <w:rPr>
          <w:color w:val="000000" w:themeColor="text1"/>
          <w:sz w:val="24"/>
          <w:szCs w:val="24"/>
        </w:rPr>
      </w:pPr>
      <w:r>
        <w:rPr>
          <w:color w:val="000000" w:themeColor="text1"/>
          <w:spacing w:val="-3"/>
          <w:sz w:val="24"/>
          <w:szCs w:val="24"/>
        </w:rPr>
        <w:t>1</w:t>
      </w:r>
      <w:r>
        <w:rPr>
          <w:color w:val="000000" w:themeColor="text1"/>
          <w:spacing w:val="-3"/>
          <w:sz w:val="24"/>
          <w:szCs w:val="24"/>
        </w:rPr>
        <w:t>）钻机底座高度必须满足安装井控设备的要求。</w:t>
      </w:r>
    </w:p>
    <w:p w14:paraId="3B65B896" w14:textId="77777777" w:rsidR="002E0859" w:rsidRDefault="00000000">
      <w:pPr>
        <w:spacing w:line="360" w:lineRule="auto"/>
        <w:ind w:firstLine="468"/>
        <w:rPr>
          <w:color w:val="000000" w:themeColor="text1"/>
          <w:sz w:val="24"/>
          <w:szCs w:val="24"/>
        </w:rPr>
      </w:pPr>
      <w:r>
        <w:rPr>
          <w:color w:val="000000" w:themeColor="text1"/>
          <w:spacing w:val="-3"/>
          <w:sz w:val="24"/>
          <w:szCs w:val="24"/>
        </w:rPr>
        <w:t>2</w:t>
      </w:r>
      <w:r>
        <w:rPr>
          <w:color w:val="000000" w:themeColor="text1"/>
          <w:spacing w:val="-3"/>
          <w:sz w:val="24"/>
          <w:szCs w:val="24"/>
        </w:rPr>
        <w:t>）钻机驱动尽可能采用电动钻机并配置顶驱。</w:t>
      </w:r>
    </w:p>
    <w:p w14:paraId="4867352C" w14:textId="77777777" w:rsidR="002E0859" w:rsidRDefault="00000000">
      <w:pPr>
        <w:spacing w:line="360" w:lineRule="auto"/>
        <w:ind w:firstLine="472"/>
        <w:rPr>
          <w:color w:val="000000" w:themeColor="text1"/>
          <w:sz w:val="24"/>
          <w:szCs w:val="24"/>
        </w:rPr>
      </w:pPr>
      <w:r>
        <w:rPr>
          <w:color w:val="000000" w:themeColor="text1"/>
          <w:spacing w:val="-2"/>
          <w:position w:val="11"/>
          <w:sz w:val="24"/>
          <w:szCs w:val="24"/>
        </w:rPr>
        <w:t>3</w:t>
      </w:r>
      <w:r>
        <w:rPr>
          <w:color w:val="000000" w:themeColor="text1"/>
          <w:spacing w:val="-2"/>
          <w:position w:val="11"/>
          <w:sz w:val="24"/>
          <w:szCs w:val="24"/>
        </w:rPr>
        <w:t>）钻机应具有整体运移功能，以满足丛式井快速运移的需要。</w:t>
      </w:r>
    </w:p>
    <w:p w14:paraId="3A6FBB4A" w14:textId="77777777" w:rsidR="002E0859" w:rsidRDefault="00000000">
      <w:pPr>
        <w:spacing w:line="360" w:lineRule="auto"/>
        <w:ind w:firstLine="472"/>
        <w:rPr>
          <w:color w:val="000000" w:themeColor="text1"/>
          <w:sz w:val="24"/>
          <w:szCs w:val="24"/>
        </w:rPr>
      </w:pPr>
      <w:r>
        <w:rPr>
          <w:color w:val="000000" w:themeColor="text1"/>
          <w:spacing w:val="-2"/>
          <w:sz w:val="24"/>
          <w:szCs w:val="24"/>
        </w:rPr>
        <w:t>4</w:t>
      </w:r>
      <w:r>
        <w:rPr>
          <w:color w:val="000000" w:themeColor="text1"/>
          <w:spacing w:val="-2"/>
          <w:sz w:val="24"/>
          <w:szCs w:val="24"/>
        </w:rPr>
        <w:t>）设备防护与安全设施齐全，动力与传动系统效率高。</w:t>
      </w:r>
    </w:p>
    <w:p w14:paraId="6B70EBB5" w14:textId="77777777" w:rsidR="002E0859" w:rsidRDefault="00000000">
      <w:pPr>
        <w:spacing w:line="360" w:lineRule="auto"/>
        <w:ind w:firstLine="476"/>
        <w:rPr>
          <w:color w:val="000000" w:themeColor="text1"/>
          <w:sz w:val="24"/>
          <w:szCs w:val="24"/>
        </w:rPr>
      </w:pPr>
      <w:r>
        <w:rPr>
          <w:color w:val="000000" w:themeColor="text1"/>
          <w:spacing w:val="-1"/>
          <w:sz w:val="24"/>
          <w:szCs w:val="24"/>
        </w:rPr>
        <w:t>5</w:t>
      </w:r>
      <w:r>
        <w:rPr>
          <w:color w:val="000000" w:themeColor="text1"/>
          <w:spacing w:val="-1"/>
          <w:sz w:val="24"/>
          <w:szCs w:val="24"/>
        </w:rPr>
        <w:t>）循环与钻井液净化、维护处理系统能够满足页岩水基钻井液配制、维护处理</w:t>
      </w:r>
      <w:r>
        <w:rPr>
          <w:color w:val="000000" w:themeColor="text1"/>
          <w:spacing w:val="-4"/>
          <w:sz w:val="24"/>
          <w:szCs w:val="24"/>
        </w:rPr>
        <w:t>与钻井液储备的要求。</w:t>
      </w:r>
    </w:p>
    <w:p w14:paraId="660F792F" w14:textId="77777777" w:rsidR="002E0859" w:rsidRDefault="00000000">
      <w:pPr>
        <w:widowControl/>
        <w:kinsoku w:val="0"/>
        <w:topLinePunct w:val="0"/>
        <w:autoSpaceDE w:val="0"/>
        <w:autoSpaceDN w:val="0"/>
        <w:spacing w:line="360" w:lineRule="auto"/>
        <w:ind w:firstLine="436"/>
        <w:textAlignment w:val="baseline"/>
        <w:rPr>
          <w:snapToGrid w:val="0"/>
          <w:color w:val="000000" w:themeColor="text1"/>
          <w:spacing w:val="-11"/>
          <w:kern w:val="0"/>
          <w:sz w:val="24"/>
          <w:szCs w:val="24"/>
        </w:rPr>
      </w:pPr>
      <w:r>
        <w:rPr>
          <w:rFonts w:hint="eastAsia"/>
          <w:snapToGrid w:val="0"/>
          <w:color w:val="000000" w:themeColor="text1"/>
          <w:spacing w:val="-11"/>
          <w:kern w:val="0"/>
          <w:sz w:val="24"/>
          <w:szCs w:val="24"/>
        </w:rPr>
        <w:t>2</w:t>
      </w:r>
      <w:r>
        <w:rPr>
          <w:rFonts w:hint="eastAsia"/>
          <w:snapToGrid w:val="0"/>
          <w:color w:val="000000" w:themeColor="text1"/>
          <w:spacing w:val="-11"/>
          <w:kern w:val="0"/>
          <w:sz w:val="24"/>
          <w:szCs w:val="24"/>
        </w:rPr>
        <w:t>、钻具组合</w:t>
      </w:r>
    </w:p>
    <w:p w14:paraId="7AA8F8C8"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 xml:space="preserve">8 </w:t>
      </w:r>
      <w:r>
        <w:rPr>
          <w:rFonts w:eastAsia="黑体" w:hint="eastAsia"/>
          <w:color w:val="000000" w:themeColor="text1"/>
          <w:sz w:val="21"/>
          <w:szCs w:val="21"/>
          <w:lang w:eastAsia="en-US"/>
        </w:rPr>
        <w:t>分段钻具组合设计表</w:t>
      </w:r>
    </w:p>
    <w:p w14:paraId="3F5D0266" w14:textId="77777777" w:rsidR="002E0859" w:rsidRDefault="002E0859">
      <w:pPr>
        <w:widowControl/>
        <w:kinsoku w:val="0"/>
        <w:topLinePunct w:val="0"/>
        <w:autoSpaceDE w:val="0"/>
        <w:autoSpaceDN w:val="0"/>
        <w:spacing w:line="15"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49"/>
        <w:gridCol w:w="800"/>
        <w:gridCol w:w="586"/>
        <w:gridCol w:w="7115"/>
      </w:tblGrid>
      <w:tr w:rsidR="002E0859" w14:paraId="7DF3983C" w14:textId="77777777">
        <w:trPr>
          <w:trHeight w:val="23"/>
          <w:tblHeader/>
        </w:trPr>
        <w:tc>
          <w:tcPr>
            <w:tcW w:w="355" w:type="pct"/>
            <w:tcBorders>
              <w:tl2br w:val="nil"/>
              <w:tr2bl w:val="nil"/>
            </w:tcBorders>
            <w:vAlign w:val="center"/>
          </w:tcPr>
          <w:p w14:paraId="6E31D2B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序号</w:t>
            </w:r>
          </w:p>
        </w:tc>
        <w:tc>
          <w:tcPr>
            <w:tcW w:w="437" w:type="pct"/>
            <w:tcBorders>
              <w:tl2br w:val="nil"/>
              <w:tr2bl w:val="nil"/>
            </w:tcBorders>
            <w:vAlign w:val="center"/>
          </w:tcPr>
          <w:p w14:paraId="086D207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井段</w:t>
            </w:r>
            <w:r>
              <w:rPr>
                <w:rFonts w:ascii="Times New Roman" w:hAnsi="Times New Roman" w:cs="Times New Roman"/>
                <w:color w:val="000000" w:themeColor="text1"/>
                <w:kern w:val="0"/>
              </w:rPr>
              <w:t>(m)</w:t>
            </w:r>
          </w:p>
        </w:tc>
        <w:tc>
          <w:tcPr>
            <w:tcW w:w="4206" w:type="pct"/>
            <w:gridSpan w:val="2"/>
            <w:tcBorders>
              <w:tl2br w:val="nil"/>
              <w:tr2bl w:val="nil"/>
            </w:tcBorders>
            <w:vAlign w:val="center"/>
          </w:tcPr>
          <w:p w14:paraId="5D82CCB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钻具组合</w:t>
            </w:r>
          </w:p>
        </w:tc>
      </w:tr>
      <w:tr w:rsidR="002E0859" w14:paraId="5C80A473" w14:textId="77777777">
        <w:trPr>
          <w:trHeight w:val="23"/>
        </w:trPr>
        <w:tc>
          <w:tcPr>
            <w:tcW w:w="355" w:type="pct"/>
            <w:tcBorders>
              <w:tl2br w:val="nil"/>
              <w:tr2bl w:val="nil"/>
            </w:tcBorders>
            <w:vAlign w:val="center"/>
          </w:tcPr>
          <w:p w14:paraId="0524324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r>
              <w:rPr>
                <w:rFonts w:ascii="Times New Roman" w:hAnsi="Times New Roman" w:cs="Times New Roman"/>
                <w:color w:val="000000" w:themeColor="text1"/>
                <w:kern w:val="0"/>
              </w:rPr>
              <w:t>2</w:t>
            </w:r>
          </w:p>
        </w:tc>
        <w:tc>
          <w:tcPr>
            <w:tcW w:w="437" w:type="pct"/>
            <w:tcBorders>
              <w:tl2br w:val="nil"/>
              <w:tr2bl w:val="nil"/>
            </w:tcBorders>
            <w:vAlign w:val="center"/>
          </w:tcPr>
          <w:p w14:paraId="58A8B63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30-402</w:t>
            </w:r>
          </w:p>
        </w:tc>
        <w:tc>
          <w:tcPr>
            <w:tcW w:w="320" w:type="pct"/>
            <w:tcBorders>
              <w:tl2br w:val="nil"/>
              <w:tr2bl w:val="nil"/>
            </w:tcBorders>
            <w:textDirection w:val="tbRlV"/>
            <w:vAlign w:val="center"/>
          </w:tcPr>
          <w:p w14:paraId="5B63243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复合钻进</w:t>
            </w:r>
          </w:p>
        </w:tc>
        <w:tc>
          <w:tcPr>
            <w:tcW w:w="3886" w:type="pct"/>
            <w:tcBorders>
              <w:tl2br w:val="nil"/>
              <w:tr2bl w:val="nil"/>
            </w:tcBorders>
            <w:vAlign w:val="center"/>
          </w:tcPr>
          <w:p w14:paraId="0571095B"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Ф473.1mm</w:t>
            </w:r>
            <w:r>
              <w:rPr>
                <w:rFonts w:ascii="Times New Roman" w:hAnsi="Times New Roman" w:cs="Times New Roman"/>
                <w:color w:val="000000" w:themeColor="text1"/>
                <w:kern w:val="0"/>
              </w:rPr>
              <w:t>牙轮（</w:t>
            </w:r>
            <w:r>
              <w:rPr>
                <w:rFonts w:ascii="Times New Roman" w:hAnsi="Times New Roman" w:cs="Times New Roman"/>
                <w:color w:val="000000" w:themeColor="text1"/>
                <w:kern w:val="0"/>
              </w:rPr>
              <w:t>PDC</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+Ф286mm</w:t>
            </w:r>
            <w:r>
              <w:rPr>
                <w:rFonts w:ascii="Times New Roman" w:hAnsi="Times New Roman" w:cs="Times New Roman"/>
                <w:color w:val="000000" w:themeColor="text1"/>
                <w:kern w:val="0"/>
              </w:rPr>
              <w:t>直螺杆</w:t>
            </w:r>
            <w:r>
              <w:rPr>
                <w:rFonts w:ascii="Times New Roman" w:hAnsi="Times New Roman" w:cs="Times New Roman"/>
                <w:color w:val="000000" w:themeColor="text1"/>
                <w:kern w:val="0"/>
              </w:rPr>
              <w:t>+Ф279.4mm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×2</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+Ф470mm</w:t>
            </w:r>
            <w:r>
              <w:rPr>
                <w:rFonts w:ascii="Times New Roman" w:hAnsi="Times New Roman" w:cs="Times New Roman"/>
                <w:color w:val="000000" w:themeColor="text1"/>
                <w:kern w:val="0"/>
              </w:rPr>
              <w:t>扶正器</w:t>
            </w:r>
            <w:r>
              <w:rPr>
                <w:rFonts w:ascii="Times New Roman" w:hAnsi="Times New Roman" w:cs="Times New Roman"/>
                <w:color w:val="000000" w:themeColor="text1"/>
                <w:kern w:val="0"/>
              </w:rPr>
              <w:t>+Ф228.6mm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×3</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×5</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随钻震击器</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钻铤（内径</w:t>
            </w:r>
            <w:r>
              <w:rPr>
                <w:rFonts w:ascii="Times New Roman" w:hAnsi="Times New Roman" w:cs="Times New Roman"/>
                <w:color w:val="000000" w:themeColor="text1"/>
                <w:kern w:val="0"/>
              </w:rPr>
              <w:t>71.44mm</w:t>
            </w:r>
            <w:r>
              <w:rPr>
                <w:rFonts w:ascii="Times New Roman" w:hAnsi="Times New Roman" w:cs="Times New Roman"/>
                <w:color w:val="000000" w:themeColor="text1"/>
                <w:kern w:val="0"/>
              </w:rPr>
              <w:t>）</w:t>
            </w:r>
            <w:r>
              <w:rPr>
                <w:rFonts w:ascii="Times New Roman" w:hAnsi="Times New Roman" w:cs="Times New Roman"/>
                <w:color w:val="000000" w:themeColor="text1"/>
                <w:kern w:val="0"/>
              </w:rPr>
              <w:t>×1</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+Ф177.8mm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×9</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加重钻杆</w:t>
            </w:r>
            <w:r>
              <w:rPr>
                <w:rFonts w:ascii="Times New Roman" w:hAnsi="Times New Roman" w:cs="Times New Roman"/>
                <w:color w:val="000000" w:themeColor="text1"/>
                <w:kern w:val="0"/>
              </w:rPr>
              <w:t>×15</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1A4BA8B5" w14:textId="77777777">
        <w:trPr>
          <w:trHeight w:val="968"/>
        </w:trPr>
        <w:tc>
          <w:tcPr>
            <w:tcW w:w="355" w:type="pct"/>
            <w:vMerge w:val="restart"/>
            <w:tcBorders>
              <w:tl2br w:val="nil"/>
              <w:tr2bl w:val="nil"/>
            </w:tcBorders>
            <w:vAlign w:val="center"/>
          </w:tcPr>
          <w:p w14:paraId="4E31B90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一开</w:t>
            </w:r>
          </w:p>
        </w:tc>
        <w:tc>
          <w:tcPr>
            <w:tcW w:w="437" w:type="pct"/>
            <w:vMerge w:val="restart"/>
            <w:tcBorders>
              <w:tl2br w:val="nil"/>
              <w:tr2bl w:val="nil"/>
            </w:tcBorders>
            <w:vAlign w:val="center"/>
          </w:tcPr>
          <w:p w14:paraId="6495096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402</w:t>
            </w:r>
            <w:r>
              <w:rPr>
                <w:rFonts w:ascii="Times New Roman" w:hAnsi="Times New Roman" w:cs="Times New Roman"/>
                <w:color w:val="000000" w:themeColor="text1"/>
                <w:kern w:val="0"/>
              </w:rPr>
              <w:t>～表套深度</w:t>
            </w:r>
          </w:p>
        </w:tc>
        <w:tc>
          <w:tcPr>
            <w:tcW w:w="320" w:type="pct"/>
            <w:tcBorders>
              <w:tl2br w:val="nil"/>
              <w:tr2bl w:val="nil"/>
            </w:tcBorders>
            <w:textDirection w:val="tbRlV"/>
            <w:vAlign w:val="center"/>
          </w:tcPr>
          <w:p w14:paraId="4497956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复合钻进</w:t>
            </w:r>
          </w:p>
        </w:tc>
        <w:tc>
          <w:tcPr>
            <w:tcW w:w="3886" w:type="pct"/>
            <w:tcBorders>
              <w:tl2br w:val="nil"/>
              <w:tr2bl w:val="nil"/>
            </w:tcBorders>
            <w:vAlign w:val="center"/>
          </w:tcPr>
          <w:p w14:paraId="064B8576"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Ф374.7mmPDC</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+Ф244mm×1°</w:t>
            </w:r>
            <w:r>
              <w:rPr>
                <w:rFonts w:ascii="Times New Roman" w:hAnsi="Times New Roman" w:cs="Times New Roman"/>
                <w:color w:val="000000" w:themeColor="text1"/>
                <w:kern w:val="0"/>
              </w:rPr>
              <w:t>单弯螺杆</w:t>
            </w:r>
            <w:r>
              <w:rPr>
                <w:rFonts w:ascii="Times New Roman" w:hAnsi="Times New Roman" w:cs="Times New Roman"/>
                <w:color w:val="000000" w:themeColor="text1"/>
                <w:kern w:val="0"/>
              </w:rPr>
              <w:t>+Ф371mm</w:t>
            </w:r>
            <w:r>
              <w:rPr>
                <w:rFonts w:ascii="Times New Roman" w:hAnsi="Times New Roman" w:cs="Times New Roman"/>
                <w:color w:val="000000" w:themeColor="text1"/>
                <w:kern w:val="0"/>
              </w:rPr>
              <w:t>扶正器</w:t>
            </w:r>
            <w:r>
              <w:rPr>
                <w:rFonts w:ascii="Times New Roman" w:hAnsi="Times New Roman" w:cs="Times New Roman"/>
                <w:color w:val="000000" w:themeColor="text1"/>
                <w:kern w:val="0"/>
              </w:rPr>
              <w:t>+Ф228.6mm</w:t>
            </w:r>
            <w:r>
              <w:rPr>
                <w:rFonts w:ascii="Times New Roman" w:hAnsi="Times New Roman" w:cs="Times New Roman"/>
                <w:color w:val="000000" w:themeColor="text1"/>
                <w:kern w:val="0"/>
              </w:rPr>
              <w:t>无磁钻铤</w:t>
            </w:r>
            <w:r>
              <w:rPr>
                <w:rFonts w:ascii="Times New Roman" w:hAnsi="Times New Roman" w:cs="Times New Roman"/>
                <w:color w:val="000000" w:themeColor="text1"/>
                <w:kern w:val="0"/>
              </w:rPr>
              <w:t>×1</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+Ф228.6mm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×2</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×6</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+Ф177.8mm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×9</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加重钻杆</w:t>
            </w:r>
            <w:r>
              <w:rPr>
                <w:rFonts w:ascii="Times New Roman" w:hAnsi="Times New Roman" w:cs="Times New Roman"/>
                <w:color w:val="000000" w:themeColor="text1"/>
                <w:kern w:val="0"/>
              </w:rPr>
              <w:t>×30</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623C80C2" w14:textId="77777777">
        <w:trPr>
          <w:trHeight w:val="942"/>
        </w:trPr>
        <w:tc>
          <w:tcPr>
            <w:tcW w:w="355" w:type="pct"/>
            <w:vMerge/>
            <w:tcBorders>
              <w:tl2br w:val="nil"/>
              <w:tr2bl w:val="nil"/>
            </w:tcBorders>
            <w:vAlign w:val="center"/>
          </w:tcPr>
          <w:p w14:paraId="6393DB0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437" w:type="pct"/>
            <w:vMerge/>
            <w:tcBorders>
              <w:tl2br w:val="nil"/>
              <w:tr2bl w:val="nil"/>
            </w:tcBorders>
            <w:vAlign w:val="center"/>
          </w:tcPr>
          <w:p w14:paraId="3A45987E"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320" w:type="pct"/>
            <w:tcBorders>
              <w:tl2br w:val="nil"/>
              <w:tr2bl w:val="nil"/>
            </w:tcBorders>
            <w:textDirection w:val="tbRlV"/>
            <w:vAlign w:val="center"/>
          </w:tcPr>
          <w:p w14:paraId="1AF7FF8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绕障钻进</w:t>
            </w:r>
          </w:p>
        </w:tc>
        <w:tc>
          <w:tcPr>
            <w:tcW w:w="3886" w:type="pct"/>
            <w:tcBorders>
              <w:tl2br w:val="nil"/>
              <w:tr2bl w:val="nil"/>
            </w:tcBorders>
            <w:vAlign w:val="center"/>
          </w:tcPr>
          <w:p w14:paraId="3712AB25"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Ф374.7mmPDC</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+Ф244mm×1°</w:t>
            </w:r>
            <w:r>
              <w:rPr>
                <w:rFonts w:ascii="Times New Roman" w:hAnsi="Times New Roman" w:cs="Times New Roman"/>
                <w:color w:val="000000" w:themeColor="text1"/>
                <w:kern w:val="0"/>
              </w:rPr>
              <w:t>单弯螺杆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w:t>
            </w:r>
            <w:r>
              <w:rPr>
                <w:rFonts w:ascii="Times New Roman" w:hAnsi="Times New Roman" w:cs="Times New Roman"/>
                <w:color w:val="000000" w:themeColor="text1"/>
                <w:kern w:val="0"/>
              </w:rPr>
              <w:t>+Ф366mm/Ф371mm</w:t>
            </w:r>
            <w:r>
              <w:rPr>
                <w:rFonts w:ascii="Times New Roman" w:hAnsi="Times New Roman" w:cs="Times New Roman"/>
                <w:color w:val="000000" w:themeColor="text1"/>
                <w:kern w:val="0"/>
              </w:rPr>
              <w:t>扶正器</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无磁钻铤</w:t>
            </w:r>
            <w:r>
              <w:rPr>
                <w:rFonts w:ascii="Times New Roman" w:hAnsi="Times New Roman" w:cs="Times New Roman"/>
                <w:color w:val="000000" w:themeColor="text1"/>
                <w:kern w:val="0"/>
              </w:rPr>
              <w:t>×1</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+MWD+Ф203.2mm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×5</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+Ф177.8mm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×6</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加重钻杆</w:t>
            </w:r>
            <w:r>
              <w:rPr>
                <w:rFonts w:ascii="Times New Roman" w:hAnsi="Times New Roman" w:cs="Times New Roman"/>
                <w:color w:val="000000" w:themeColor="text1"/>
                <w:kern w:val="0"/>
              </w:rPr>
              <w:t>×30</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26B3E2EE" w14:textId="77777777">
        <w:trPr>
          <w:trHeight w:val="1021"/>
        </w:trPr>
        <w:tc>
          <w:tcPr>
            <w:tcW w:w="355" w:type="pct"/>
            <w:tcBorders>
              <w:tl2br w:val="nil"/>
              <w:tr2bl w:val="nil"/>
            </w:tcBorders>
            <w:vAlign w:val="center"/>
          </w:tcPr>
          <w:p w14:paraId="462475E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二开</w:t>
            </w:r>
          </w:p>
        </w:tc>
        <w:tc>
          <w:tcPr>
            <w:tcW w:w="437" w:type="pct"/>
            <w:tcBorders>
              <w:tl2br w:val="nil"/>
              <w:tr2bl w:val="nil"/>
            </w:tcBorders>
            <w:vAlign w:val="center"/>
          </w:tcPr>
          <w:p w14:paraId="7FCC208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表套深度～中完井深</w:t>
            </w:r>
          </w:p>
        </w:tc>
        <w:tc>
          <w:tcPr>
            <w:tcW w:w="320" w:type="pct"/>
            <w:tcBorders>
              <w:tl2br w:val="nil"/>
              <w:tr2bl w:val="nil"/>
            </w:tcBorders>
            <w:textDirection w:val="tbRlV"/>
            <w:vAlign w:val="center"/>
          </w:tcPr>
          <w:p w14:paraId="5509577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复合钻进</w:t>
            </w:r>
          </w:p>
        </w:tc>
        <w:tc>
          <w:tcPr>
            <w:tcW w:w="3886" w:type="pct"/>
            <w:tcBorders>
              <w:tl2br w:val="nil"/>
              <w:tr2bl w:val="nil"/>
            </w:tcBorders>
            <w:vAlign w:val="center"/>
          </w:tcPr>
          <w:p w14:paraId="626DBB36"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Ф269.9mmPDC</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+Ф216mm×1°</w:t>
            </w:r>
            <w:r>
              <w:rPr>
                <w:rFonts w:ascii="Times New Roman" w:hAnsi="Times New Roman" w:cs="Times New Roman"/>
                <w:color w:val="000000" w:themeColor="text1"/>
                <w:kern w:val="0"/>
              </w:rPr>
              <w:t>单弯螺杆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w:t>
            </w:r>
            <w:r>
              <w:rPr>
                <w:rFonts w:ascii="Times New Roman" w:hAnsi="Times New Roman" w:cs="Times New Roman"/>
                <w:color w:val="000000" w:themeColor="text1"/>
                <w:kern w:val="0"/>
              </w:rPr>
              <w:t>+Ф266mm</w:t>
            </w:r>
            <w:r>
              <w:rPr>
                <w:rFonts w:ascii="Times New Roman" w:hAnsi="Times New Roman" w:cs="Times New Roman"/>
                <w:color w:val="000000" w:themeColor="text1"/>
                <w:kern w:val="0"/>
              </w:rPr>
              <w:t>扶正器</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无磁钻铤</w:t>
            </w:r>
            <w:r>
              <w:rPr>
                <w:rFonts w:ascii="Times New Roman" w:hAnsi="Times New Roman" w:cs="Times New Roman"/>
                <w:color w:val="000000" w:themeColor="text1"/>
                <w:kern w:val="0"/>
              </w:rPr>
              <w:t>×1</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+MWD+</w:t>
            </w:r>
            <w:r>
              <w:rPr>
                <w:rFonts w:ascii="Times New Roman" w:hAnsi="Times New Roman" w:cs="Times New Roman"/>
                <w:color w:val="000000" w:themeColor="text1"/>
                <w:kern w:val="0"/>
              </w:rPr>
              <w:t>旁通阀</w:t>
            </w:r>
            <w:r>
              <w:rPr>
                <w:rFonts w:ascii="Times New Roman" w:hAnsi="Times New Roman" w:cs="Times New Roman"/>
                <w:color w:val="000000" w:themeColor="text1"/>
                <w:kern w:val="0"/>
              </w:rPr>
              <w:t>+Ф203.2mm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×5</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+Ф177.8mm</w:t>
            </w:r>
            <w:r>
              <w:rPr>
                <w:rFonts w:ascii="Times New Roman" w:hAnsi="Times New Roman" w:cs="Times New Roman"/>
                <w:color w:val="000000" w:themeColor="text1"/>
                <w:kern w:val="0"/>
              </w:rPr>
              <w:t>钻铤</w:t>
            </w:r>
            <w:r>
              <w:rPr>
                <w:rFonts w:ascii="Times New Roman" w:hAnsi="Times New Roman" w:cs="Times New Roman"/>
                <w:color w:val="000000" w:themeColor="text1"/>
                <w:kern w:val="0"/>
              </w:rPr>
              <w:t>×6</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加重钻杆</w:t>
            </w:r>
            <w:r>
              <w:rPr>
                <w:rFonts w:ascii="Times New Roman" w:hAnsi="Times New Roman" w:cs="Times New Roman"/>
                <w:color w:val="000000" w:themeColor="text1"/>
                <w:kern w:val="0"/>
              </w:rPr>
              <w:t>×30</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+Ф127mm</w:t>
            </w:r>
            <w:r>
              <w:rPr>
                <w:rFonts w:ascii="Times New Roman" w:hAnsi="Times New Roman" w:cs="Times New Roman"/>
                <w:color w:val="000000" w:themeColor="text1"/>
                <w:kern w:val="0"/>
              </w:rPr>
              <w:t>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64702D1A" w14:textId="77777777">
        <w:trPr>
          <w:trHeight w:val="915"/>
        </w:trPr>
        <w:tc>
          <w:tcPr>
            <w:tcW w:w="355" w:type="pct"/>
            <w:vMerge w:val="restart"/>
            <w:tcBorders>
              <w:tl2br w:val="nil"/>
              <w:tr2bl w:val="nil"/>
            </w:tcBorders>
            <w:vAlign w:val="center"/>
          </w:tcPr>
          <w:p w14:paraId="5E1595E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三开</w:t>
            </w:r>
          </w:p>
        </w:tc>
        <w:tc>
          <w:tcPr>
            <w:tcW w:w="437" w:type="pct"/>
            <w:tcBorders>
              <w:tl2br w:val="nil"/>
              <w:tr2bl w:val="nil"/>
            </w:tcBorders>
            <w:vAlign w:val="center"/>
          </w:tcPr>
          <w:p w14:paraId="7D24D02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技套下深～造斜段</w:t>
            </w:r>
          </w:p>
        </w:tc>
        <w:tc>
          <w:tcPr>
            <w:tcW w:w="320" w:type="pct"/>
            <w:tcBorders>
              <w:tl2br w:val="nil"/>
              <w:tr2bl w:val="nil"/>
            </w:tcBorders>
            <w:textDirection w:val="tbRlV"/>
            <w:vAlign w:val="center"/>
          </w:tcPr>
          <w:p w14:paraId="08515C9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复合钻进</w:t>
            </w:r>
          </w:p>
        </w:tc>
        <w:tc>
          <w:tcPr>
            <w:tcW w:w="3886" w:type="pct"/>
            <w:tcBorders>
              <w:tl2br w:val="nil"/>
              <w:tr2bl w:val="nil"/>
            </w:tcBorders>
            <w:vAlign w:val="center"/>
          </w:tcPr>
          <w:p w14:paraId="34596478"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190.5mmPDC</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+Φ150mm(0.75-1.25°)</w:t>
            </w:r>
            <w:r>
              <w:rPr>
                <w:rFonts w:ascii="Times New Roman" w:hAnsi="Times New Roman" w:cs="Times New Roman"/>
                <w:color w:val="000000" w:themeColor="text1"/>
                <w:kern w:val="0"/>
              </w:rPr>
              <w:t>单弯螺杆钻具</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w:t>
            </w:r>
            <w:r>
              <w:rPr>
                <w:rFonts w:ascii="Times New Roman" w:hAnsi="Times New Roman" w:cs="Times New Roman"/>
                <w:color w:val="000000" w:themeColor="text1"/>
                <w:kern w:val="0"/>
              </w:rPr>
              <w:t>+187mm</w:t>
            </w:r>
            <w:r>
              <w:rPr>
                <w:rFonts w:ascii="Times New Roman" w:hAnsi="Times New Roman" w:cs="Times New Roman"/>
                <w:color w:val="000000" w:themeColor="text1"/>
                <w:kern w:val="0"/>
              </w:rPr>
              <w:t>扶正器</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浮阀接头</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无磁加重钻杆</w:t>
            </w:r>
            <w:r>
              <w:rPr>
                <w:rFonts w:ascii="Times New Roman" w:hAnsi="Times New Roman" w:cs="Times New Roman"/>
                <w:color w:val="000000" w:themeColor="text1"/>
                <w:kern w:val="0"/>
              </w:rPr>
              <w:t>+MWD+114.3mm</w:t>
            </w:r>
            <w:r>
              <w:rPr>
                <w:rFonts w:ascii="Times New Roman" w:hAnsi="Times New Roman" w:cs="Times New Roman"/>
                <w:color w:val="000000" w:themeColor="text1"/>
                <w:kern w:val="0"/>
              </w:rPr>
              <w:t>斜坡加重钻杆</w:t>
            </w:r>
            <w:r>
              <w:rPr>
                <w:rFonts w:ascii="Times New Roman" w:hAnsi="Times New Roman" w:cs="Times New Roman"/>
                <w:color w:val="000000" w:themeColor="text1"/>
                <w:kern w:val="0"/>
              </w:rPr>
              <w:t>×36</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斜坡钻杆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6BA4A32E" w14:textId="77777777">
        <w:trPr>
          <w:trHeight w:val="842"/>
        </w:trPr>
        <w:tc>
          <w:tcPr>
            <w:tcW w:w="355" w:type="pct"/>
            <w:vMerge/>
            <w:tcBorders>
              <w:tl2br w:val="nil"/>
              <w:tr2bl w:val="nil"/>
            </w:tcBorders>
            <w:vAlign w:val="center"/>
          </w:tcPr>
          <w:p w14:paraId="3E7F32A9"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437" w:type="pct"/>
            <w:tcBorders>
              <w:tl2br w:val="nil"/>
              <w:tr2bl w:val="nil"/>
            </w:tcBorders>
            <w:vAlign w:val="center"/>
          </w:tcPr>
          <w:p w14:paraId="30C74CA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造斜段</w:t>
            </w:r>
          </w:p>
        </w:tc>
        <w:tc>
          <w:tcPr>
            <w:tcW w:w="320" w:type="pct"/>
            <w:tcBorders>
              <w:tl2br w:val="nil"/>
              <w:tr2bl w:val="nil"/>
            </w:tcBorders>
            <w:textDirection w:val="tbRlV"/>
            <w:vAlign w:val="center"/>
          </w:tcPr>
          <w:p w14:paraId="68D51CB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定向钻进</w:t>
            </w:r>
          </w:p>
        </w:tc>
        <w:tc>
          <w:tcPr>
            <w:tcW w:w="3886" w:type="pct"/>
            <w:tcBorders>
              <w:tl2br w:val="nil"/>
              <w:tr2bl w:val="nil"/>
            </w:tcBorders>
            <w:vAlign w:val="center"/>
          </w:tcPr>
          <w:p w14:paraId="52BB0466"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190.5mm</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+Φ150mm×1.25°</w:t>
            </w:r>
            <w:r>
              <w:rPr>
                <w:rFonts w:ascii="Times New Roman" w:hAnsi="Times New Roman" w:cs="Times New Roman"/>
                <w:color w:val="000000" w:themeColor="text1"/>
                <w:kern w:val="0"/>
              </w:rPr>
              <w:t>单弯螺杆钻具</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浮阀接头</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无磁加重钻杆</w:t>
            </w:r>
            <w:r>
              <w:rPr>
                <w:rFonts w:ascii="Times New Roman" w:hAnsi="Times New Roman" w:cs="Times New Roman"/>
                <w:color w:val="000000" w:themeColor="text1"/>
                <w:kern w:val="0"/>
              </w:rPr>
              <w:t>+MWD+127mm</w:t>
            </w:r>
            <w:r>
              <w:rPr>
                <w:rFonts w:ascii="Times New Roman" w:hAnsi="Times New Roman" w:cs="Times New Roman"/>
                <w:color w:val="000000" w:themeColor="text1"/>
                <w:kern w:val="0"/>
              </w:rPr>
              <w:t>斜坡加重钻杆</w:t>
            </w:r>
            <w:r>
              <w:rPr>
                <w:rFonts w:ascii="Times New Roman" w:hAnsi="Times New Roman" w:cs="Times New Roman"/>
                <w:color w:val="000000" w:themeColor="text1"/>
                <w:kern w:val="0"/>
              </w:rPr>
              <w:t>×36</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斜坡钻杆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004D5013" w14:textId="77777777">
        <w:trPr>
          <w:trHeight w:val="23"/>
        </w:trPr>
        <w:tc>
          <w:tcPr>
            <w:tcW w:w="355" w:type="pct"/>
            <w:vMerge/>
            <w:tcBorders>
              <w:tl2br w:val="nil"/>
              <w:tr2bl w:val="nil"/>
            </w:tcBorders>
            <w:vAlign w:val="center"/>
          </w:tcPr>
          <w:p w14:paraId="26150BA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437" w:type="pct"/>
            <w:tcBorders>
              <w:tl2br w:val="nil"/>
              <w:tr2bl w:val="nil"/>
            </w:tcBorders>
            <w:vAlign w:val="center"/>
          </w:tcPr>
          <w:p w14:paraId="106CEDE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水平段</w:t>
            </w:r>
          </w:p>
        </w:tc>
        <w:tc>
          <w:tcPr>
            <w:tcW w:w="320" w:type="pct"/>
            <w:tcBorders>
              <w:tl2br w:val="nil"/>
              <w:tr2bl w:val="nil"/>
            </w:tcBorders>
            <w:textDirection w:val="tbRlV"/>
            <w:vAlign w:val="center"/>
          </w:tcPr>
          <w:p w14:paraId="3DEF371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复合钻进</w:t>
            </w:r>
          </w:p>
        </w:tc>
        <w:tc>
          <w:tcPr>
            <w:tcW w:w="3886" w:type="pct"/>
            <w:tcBorders>
              <w:tl2br w:val="nil"/>
              <w:tr2bl w:val="nil"/>
            </w:tcBorders>
            <w:vAlign w:val="center"/>
          </w:tcPr>
          <w:p w14:paraId="1D206EF4" w14:textId="77777777" w:rsidR="002E0859" w:rsidRDefault="00000000">
            <w:pPr>
              <w:pStyle w:val="TableText"/>
              <w:spacing w:line="240" w:lineRule="auto"/>
              <w:ind w:firstLineChars="0" w:firstLine="0"/>
              <w:rPr>
                <w:rFonts w:ascii="Times New Roman" w:hAnsi="Times New Roman" w:cs="Times New Roman"/>
                <w:color w:val="000000" w:themeColor="text1"/>
                <w:kern w:val="0"/>
              </w:rPr>
            </w:pPr>
            <w:r>
              <w:rPr>
                <w:rFonts w:ascii="Times New Roman" w:hAnsi="Times New Roman" w:cs="Times New Roman"/>
                <w:color w:val="000000" w:themeColor="text1"/>
                <w:kern w:val="0"/>
              </w:rPr>
              <w:t>190.5mmPDC</w:t>
            </w:r>
            <w:r>
              <w:rPr>
                <w:rFonts w:ascii="Times New Roman" w:hAnsi="Times New Roman" w:cs="Times New Roman"/>
                <w:color w:val="000000" w:themeColor="text1"/>
                <w:kern w:val="0"/>
              </w:rPr>
              <w:t>钻头</w:t>
            </w:r>
            <w:r>
              <w:rPr>
                <w:rFonts w:ascii="Times New Roman" w:hAnsi="Times New Roman" w:cs="Times New Roman"/>
                <w:color w:val="000000" w:themeColor="text1"/>
                <w:kern w:val="0"/>
              </w:rPr>
              <w:t>+Φ150mm(0.75-1.25°)</w:t>
            </w:r>
            <w:r>
              <w:rPr>
                <w:rFonts w:ascii="Times New Roman" w:hAnsi="Times New Roman" w:cs="Times New Roman"/>
                <w:color w:val="000000" w:themeColor="text1"/>
                <w:kern w:val="0"/>
              </w:rPr>
              <w:t>单弯螺杆钻具</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w:t>
            </w:r>
            <w:r>
              <w:rPr>
                <w:rFonts w:ascii="Times New Roman" w:hAnsi="Times New Roman" w:cs="Times New Roman"/>
                <w:color w:val="000000" w:themeColor="text1"/>
                <w:kern w:val="0"/>
              </w:rPr>
              <w:t>+187mm</w:t>
            </w:r>
            <w:r>
              <w:rPr>
                <w:rFonts w:ascii="Times New Roman" w:hAnsi="Times New Roman" w:cs="Times New Roman"/>
                <w:color w:val="000000" w:themeColor="text1"/>
                <w:kern w:val="0"/>
              </w:rPr>
              <w:t>扶正器</w:t>
            </w:r>
            <w:r>
              <w:rPr>
                <w:rFonts w:ascii="Times New Roman" w:hAnsi="Times New Roman" w:cs="Times New Roman"/>
                <w:color w:val="000000" w:themeColor="text1"/>
                <w:kern w:val="0"/>
              </w:rPr>
              <w:t>+</w:t>
            </w:r>
            <w:r>
              <w:rPr>
                <w:rFonts w:ascii="Times New Roman" w:hAnsi="Times New Roman" w:cs="Times New Roman"/>
                <w:color w:val="000000" w:themeColor="text1"/>
                <w:kern w:val="0"/>
              </w:rPr>
              <w:t>浮阀接头</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无磁加重钻杆</w:t>
            </w:r>
            <w:r>
              <w:rPr>
                <w:rFonts w:ascii="Times New Roman" w:hAnsi="Times New Roman" w:cs="Times New Roman"/>
                <w:color w:val="000000" w:themeColor="text1"/>
                <w:kern w:val="0"/>
              </w:rPr>
              <w:t>+LWD+114.3mm</w:t>
            </w:r>
            <w:r>
              <w:rPr>
                <w:rFonts w:ascii="Times New Roman" w:hAnsi="Times New Roman" w:cs="Times New Roman"/>
                <w:color w:val="000000" w:themeColor="text1"/>
                <w:kern w:val="0"/>
              </w:rPr>
              <w:t>斜坡加重钻杆</w:t>
            </w:r>
            <w:r>
              <w:rPr>
                <w:rFonts w:ascii="Times New Roman" w:hAnsi="Times New Roman" w:cs="Times New Roman"/>
                <w:color w:val="000000" w:themeColor="text1"/>
                <w:kern w:val="0"/>
              </w:rPr>
              <w:t>×2</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斜坡钻杆</w:t>
            </w:r>
            <w:r>
              <w:rPr>
                <w:rFonts w:ascii="Times New Roman" w:hAnsi="Times New Roman" w:cs="Times New Roman"/>
                <w:color w:val="000000" w:themeColor="text1"/>
                <w:kern w:val="0"/>
              </w:rPr>
              <w:t>×2300m</w:t>
            </w:r>
            <w:r>
              <w:rPr>
                <w:rFonts w:ascii="Times New Roman" w:hAnsi="Times New Roman" w:cs="Times New Roman"/>
                <w:color w:val="000000" w:themeColor="text1"/>
                <w:kern w:val="0"/>
              </w:rPr>
              <w:t>～</w:t>
            </w:r>
            <w:r>
              <w:rPr>
                <w:rFonts w:ascii="Times New Roman" w:hAnsi="Times New Roman" w:cs="Times New Roman"/>
                <w:color w:val="000000" w:themeColor="text1"/>
                <w:kern w:val="0"/>
              </w:rPr>
              <w:t>3500m+114.3mm</w:t>
            </w:r>
            <w:r>
              <w:rPr>
                <w:rFonts w:ascii="Times New Roman" w:hAnsi="Times New Roman" w:cs="Times New Roman"/>
                <w:color w:val="000000" w:themeColor="text1"/>
                <w:kern w:val="0"/>
              </w:rPr>
              <w:t>斜坡加重钻杆</w:t>
            </w:r>
            <w:r>
              <w:rPr>
                <w:rFonts w:ascii="Times New Roman" w:hAnsi="Times New Roman" w:cs="Times New Roman"/>
                <w:color w:val="000000" w:themeColor="text1"/>
                <w:kern w:val="0"/>
              </w:rPr>
              <w:t>×33</w:t>
            </w:r>
            <w:r>
              <w:rPr>
                <w:rFonts w:ascii="Times New Roman" w:hAnsi="Times New Roman" w:cs="Times New Roman"/>
                <w:color w:val="000000" w:themeColor="text1"/>
                <w:kern w:val="0"/>
              </w:rPr>
              <w:t>根</w:t>
            </w:r>
            <w:r>
              <w:rPr>
                <w:rFonts w:ascii="Times New Roman" w:hAnsi="Times New Roman" w:cs="Times New Roman"/>
                <w:color w:val="000000" w:themeColor="text1"/>
                <w:kern w:val="0"/>
              </w:rPr>
              <w:t>+114.3mm</w:t>
            </w:r>
            <w:r>
              <w:rPr>
                <w:rFonts w:ascii="Times New Roman" w:hAnsi="Times New Roman" w:cs="Times New Roman"/>
                <w:color w:val="000000" w:themeColor="text1"/>
                <w:kern w:val="0"/>
              </w:rPr>
              <w:t>斜坡钻杆</w:t>
            </w:r>
            <w:r>
              <w:rPr>
                <w:rFonts w:ascii="Times New Roman" w:hAnsi="Times New Roman" w:cs="Times New Roman"/>
                <w:color w:val="000000" w:themeColor="text1"/>
                <w:kern w:val="0"/>
              </w:rPr>
              <w:t>+</w:t>
            </w:r>
            <w:r>
              <w:rPr>
                <w:rFonts w:ascii="Times New Roman" w:hAnsi="Times New Roman" w:cs="Times New Roman"/>
                <w:color w:val="000000" w:themeColor="text1"/>
                <w:kern w:val="0"/>
              </w:rPr>
              <w:t>旋塞</w:t>
            </w:r>
            <w:r>
              <w:rPr>
                <w:rFonts w:ascii="Times New Roman" w:hAnsi="Times New Roman" w:cs="Times New Roman"/>
                <w:color w:val="000000" w:themeColor="text1"/>
                <w:kern w:val="0"/>
              </w:rPr>
              <w:t>2</w:t>
            </w:r>
            <w:r>
              <w:rPr>
                <w:rFonts w:ascii="Times New Roman" w:hAnsi="Times New Roman" w:cs="Times New Roman"/>
                <w:color w:val="000000" w:themeColor="text1"/>
                <w:kern w:val="0"/>
              </w:rPr>
              <w:t>个</w:t>
            </w:r>
            <w:r>
              <w:rPr>
                <w:rFonts w:ascii="Times New Roman" w:hAnsi="Times New Roman" w:cs="Times New Roman"/>
                <w:color w:val="000000" w:themeColor="text1"/>
                <w:kern w:val="0"/>
              </w:rPr>
              <w:t>+</w:t>
            </w:r>
            <w:r>
              <w:rPr>
                <w:rFonts w:ascii="Times New Roman" w:hAnsi="Times New Roman" w:cs="Times New Roman"/>
                <w:color w:val="000000" w:themeColor="text1"/>
                <w:kern w:val="0"/>
              </w:rPr>
              <w:t>顶驱</w:t>
            </w:r>
          </w:p>
        </w:tc>
      </w:tr>
      <w:tr w:rsidR="002E0859" w14:paraId="3F588665" w14:textId="77777777">
        <w:trPr>
          <w:trHeight w:val="23"/>
        </w:trPr>
        <w:tc>
          <w:tcPr>
            <w:tcW w:w="5000" w:type="pct"/>
            <w:gridSpan w:val="4"/>
            <w:tcBorders>
              <w:tl2br w:val="nil"/>
              <w:tr2bl w:val="nil"/>
            </w:tcBorders>
            <w:vAlign w:val="center"/>
          </w:tcPr>
          <w:p w14:paraId="31059CA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注：上面钻具组合均为推荐，具体可根据实际情况调整。</w:t>
            </w:r>
          </w:p>
        </w:tc>
      </w:tr>
    </w:tbl>
    <w:p w14:paraId="4228A7FC" w14:textId="77777777" w:rsidR="002E0859" w:rsidRDefault="00000000">
      <w:pPr>
        <w:spacing w:beforeLines="50" w:before="120" w:line="360" w:lineRule="auto"/>
        <w:ind w:firstLine="456"/>
        <w:rPr>
          <w:color w:val="000000" w:themeColor="text1"/>
          <w:spacing w:val="-6"/>
          <w:sz w:val="24"/>
          <w:szCs w:val="24"/>
        </w:rPr>
      </w:pPr>
      <w:r>
        <w:rPr>
          <w:color w:val="000000" w:themeColor="text1"/>
          <w:spacing w:val="-6"/>
          <w:sz w:val="24"/>
          <w:szCs w:val="24"/>
        </w:rPr>
        <w:t>注：</w:t>
      </w:r>
      <w:r>
        <w:rPr>
          <w:color w:val="000000" w:themeColor="text1"/>
          <w:spacing w:val="-6"/>
          <w:sz w:val="24"/>
          <w:szCs w:val="24"/>
        </w:rPr>
        <w:t>1</w:t>
      </w:r>
      <w:r>
        <w:rPr>
          <w:color w:val="000000" w:themeColor="text1"/>
          <w:spacing w:val="-6"/>
          <w:sz w:val="24"/>
          <w:szCs w:val="24"/>
        </w:rPr>
        <w:t>）钻具组合中应带有方钻杆上、下旋塞；</w:t>
      </w:r>
      <w:r>
        <w:rPr>
          <w:rFonts w:hint="eastAsia"/>
          <w:color w:val="000000" w:themeColor="text1"/>
          <w:spacing w:val="-6"/>
          <w:sz w:val="24"/>
          <w:szCs w:val="24"/>
        </w:rPr>
        <w:t>2</w:t>
      </w:r>
      <w:r>
        <w:rPr>
          <w:rFonts w:hint="eastAsia"/>
          <w:color w:val="000000" w:themeColor="text1"/>
          <w:spacing w:val="-6"/>
          <w:sz w:val="24"/>
          <w:szCs w:val="24"/>
        </w:rPr>
        <w:t>）</w:t>
      </w:r>
      <w:r>
        <w:rPr>
          <w:color w:val="000000" w:themeColor="text1"/>
          <w:spacing w:val="-6"/>
          <w:sz w:val="24"/>
          <w:szCs w:val="24"/>
        </w:rPr>
        <w:t>钻具组合中应加入钻具止回阀（回压</w:t>
      </w:r>
      <w:r>
        <w:rPr>
          <w:color w:val="000000" w:themeColor="text1"/>
          <w:spacing w:val="-6"/>
          <w:sz w:val="24"/>
          <w:szCs w:val="24"/>
        </w:rPr>
        <w:lastRenderedPageBreak/>
        <w:t>阀），如果井下条件允许，去掉钻具止回阀前，施工单位应向其上级主管部门请示，主管部门同意后方可实施；</w:t>
      </w:r>
      <w:r>
        <w:rPr>
          <w:rFonts w:hint="eastAsia"/>
          <w:color w:val="000000" w:themeColor="text1"/>
          <w:spacing w:val="-6"/>
          <w:sz w:val="24"/>
          <w:szCs w:val="24"/>
        </w:rPr>
        <w:t>3</w:t>
      </w:r>
      <w:r>
        <w:rPr>
          <w:rFonts w:hint="eastAsia"/>
          <w:color w:val="000000" w:themeColor="text1"/>
          <w:spacing w:val="-6"/>
          <w:sz w:val="24"/>
          <w:szCs w:val="24"/>
        </w:rPr>
        <w:t>）</w:t>
      </w:r>
      <w:r>
        <w:rPr>
          <w:color w:val="000000" w:themeColor="text1"/>
          <w:spacing w:val="-6"/>
          <w:sz w:val="24"/>
          <w:szCs w:val="24"/>
        </w:rPr>
        <w:t>可根据井下具体情况在钻具组合中加入减震器、随钻震击器；</w:t>
      </w:r>
      <w:r>
        <w:rPr>
          <w:color w:val="000000" w:themeColor="text1"/>
          <w:spacing w:val="-6"/>
          <w:sz w:val="24"/>
          <w:szCs w:val="24"/>
        </w:rPr>
        <w:t>4</w:t>
      </w:r>
      <w:r>
        <w:rPr>
          <w:color w:val="000000" w:themeColor="text1"/>
          <w:spacing w:val="-6"/>
          <w:sz w:val="24"/>
          <w:szCs w:val="24"/>
        </w:rPr>
        <w:t>）三开</w:t>
      </w:r>
      <w:r>
        <w:rPr>
          <w:color w:val="000000" w:themeColor="text1"/>
          <w:spacing w:val="-6"/>
          <w:sz w:val="24"/>
          <w:szCs w:val="24"/>
        </w:rPr>
        <w:t>190.5mm</w:t>
      </w:r>
      <w:r>
        <w:rPr>
          <w:color w:val="000000" w:themeColor="text1"/>
          <w:spacing w:val="-6"/>
          <w:sz w:val="24"/>
          <w:szCs w:val="24"/>
        </w:rPr>
        <w:t>井眼钻具组合必须采用</w:t>
      </w:r>
      <w:r>
        <w:rPr>
          <w:color w:val="000000" w:themeColor="text1"/>
          <w:spacing w:val="-6"/>
          <w:sz w:val="24"/>
          <w:szCs w:val="24"/>
        </w:rPr>
        <w:t>114.3mm</w:t>
      </w:r>
      <w:r>
        <w:rPr>
          <w:color w:val="000000" w:themeColor="text1"/>
          <w:spacing w:val="-6"/>
          <w:sz w:val="24"/>
          <w:szCs w:val="24"/>
        </w:rPr>
        <w:t>大通径小接箍</w:t>
      </w:r>
      <w:r>
        <w:rPr>
          <w:color w:val="000000" w:themeColor="text1"/>
          <w:spacing w:val="-6"/>
          <w:sz w:val="24"/>
          <w:szCs w:val="24"/>
        </w:rPr>
        <w:t>G105</w:t>
      </w:r>
      <w:r>
        <w:rPr>
          <w:color w:val="000000" w:themeColor="text1"/>
          <w:spacing w:val="-6"/>
          <w:sz w:val="24"/>
          <w:szCs w:val="24"/>
        </w:rPr>
        <w:t>钻杆，确保钻具组合强度与降低循环压耗；</w:t>
      </w:r>
      <w:r>
        <w:rPr>
          <w:color w:val="000000" w:themeColor="text1"/>
          <w:spacing w:val="-6"/>
          <w:sz w:val="24"/>
          <w:szCs w:val="24"/>
        </w:rPr>
        <w:t>5</w:t>
      </w:r>
      <w:r>
        <w:rPr>
          <w:color w:val="000000" w:themeColor="text1"/>
          <w:spacing w:val="-6"/>
          <w:sz w:val="24"/>
          <w:szCs w:val="24"/>
        </w:rPr>
        <w:t>）</w:t>
      </w:r>
      <w:r>
        <w:rPr>
          <w:color w:val="000000" w:themeColor="text1"/>
          <w:spacing w:val="-6"/>
          <w:sz w:val="24"/>
          <w:szCs w:val="24"/>
        </w:rPr>
        <w:t>190.5mm</w:t>
      </w:r>
      <w:r>
        <w:rPr>
          <w:color w:val="000000" w:themeColor="text1"/>
          <w:spacing w:val="-6"/>
          <w:sz w:val="24"/>
          <w:szCs w:val="24"/>
        </w:rPr>
        <w:t>井眼需选择大功率螺杆，确保为钻头提供足够的破岩能量与扭矩，要求采用大功率金属螺杆或者橡胶螺杆，推荐扭矩不低于</w:t>
      </w:r>
      <w:r>
        <w:rPr>
          <w:color w:val="000000" w:themeColor="text1"/>
          <w:spacing w:val="-6"/>
          <w:sz w:val="24"/>
          <w:szCs w:val="24"/>
        </w:rPr>
        <w:t>9000N.m</w:t>
      </w:r>
      <w:r>
        <w:rPr>
          <w:color w:val="000000" w:themeColor="text1"/>
          <w:spacing w:val="-6"/>
          <w:sz w:val="24"/>
          <w:szCs w:val="24"/>
        </w:rPr>
        <w:t>。</w:t>
      </w:r>
    </w:p>
    <w:p w14:paraId="2CC1397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钻井液</w:t>
      </w:r>
    </w:p>
    <w:p w14:paraId="0BC6C960" w14:textId="77777777" w:rsidR="002E0859" w:rsidRDefault="00000000">
      <w:pPr>
        <w:spacing w:beforeLines="50" w:before="120" w:line="360" w:lineRule="auto"/>
        <w:ind w:firstLine="456"/>
        <w:rPr>
          <w:color w:val="000000" w:themeColor="text1"/>
          <w:spacing w:val="-6"/>
          <w:sz w:val="24"/>
          <w:szCs w:val="24"/>
        </w:rPr>
      </w:pPr>
      <w:r>
        <w:rPr>
          <w:rFonts w:hint="eastAsia"/>
          <w:color w:val="000000" w:themeColor="text1"/>
          <w:spacing w:val="-6"/>
          <w:sz w:val="24"/>
          <w:szCs w:val="24"/>
        </w:rPr>
        <w:t>1</w:t>
      </w:r>
      <w:r>
        <w:rPr>
          <w:rFonts w:hint="eastAsia"/>
          <w:color w:val="000000" w:themeColor="text1"/>
          <w:spacing w:val="-6"/>
          <w:sz w:val="24"/>
          <w:szCs w:val="24"/>
        </w:rPr>
        <w:t>、钻井液体系选择</w:t>
      </w:r>
    </w:p>
    <w:p w14:paraId="6428295C" w14:textId="77777777" w:rsidR="002E0859" w:rsidRDefault="00000000">
      <w:pPr>
        <w:spacing w:line="360" w:lineRule="auto"/>
        <w:ind w:firstLine="456"/>
        <w:rPr>
          <w:color w:val="000000" w:themeColor="text1"/>
          <w:spacing w:val="-6"/>
          <w:sz w:val="24"/>
          <w:szCs w:val="24"/>
          <w:lang w:eastAsia="en-US"/>
        </w:rPr>
      </w:pPr>
      <w:r>
        <w:rPr>
          <w:rFonts w:hint="eastAsia"/>
          <w:color w:val="000000" w:themeColor="text1"/>
          <w:spacing w:val="-6"/>
          <w:sz w:val="24"/>
          <w:szCs w:val="24"/>
          <w:lang w:eastAsia="en-US"/>
        </w:rPr>
        <w:t>本井导管采用膨润土浆（发生井漏时采用清水抢钻）钻进</w:t>
      </w:r>
      <w:r>
        <w:rPr>
          <w:rFonts w:hint="eastAsia"/>
          <w:color w:val="000000" w:themeColor="text1"/>
          <w:spacing w:val="-6"/>
          <w:sz w:val="24"/>
          <w:szCs w:val="24"/>
        </w:rPr>
        <w:t>，</w:t>
      </w:r>
      <w:r>
        <w:rPr>
          <w:rFonts w:hint="eastAsia"/>
          <w:color w:val="000000" w:themeColor="text1"/>
          <w:spacing w:val="-6"/>
          <w:sz w:val="24"/>
          <w:szCs w:val="24"/>
          <w:lang w:eastAsia="en-US"/>
        </w:rPr>
        <w:t>一开、二开茅口组以浅地层采用清水钻进，二开其余井段采用钙钾基聚合物防塌钻井液钻进；三开井段采用油基钻井液钻进。</w:t>
      </w:r>
    </w:p>
    <w:p w14:paraId="73C7A52E" w14:textId="77777777" w:rsidR="002E0859" w:rsidRDefault="00000000">
      <w:pPr>
        <w:widowControl/>
        <w:kinsoku w:val="0"/>
        <w:topLinePunct w:val="0"/>
        <w:autoSpaceDE w:val="0"/>
        <w:autoSpaceDN w:val="0"/>
        <w:spacing w:line="240" w:lineRule="auto"/>
        <w:ind w:firstLine="42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 xml:space="preserve">9 </w:t>
      </w:r>
      <w:r>
        <w:rPr>
          <w:rFonts w:eastAsia="黑体" w:hint="eastAsia"/>
          <w:color w:val="000000" w:themeColor="text1"/>
          <w:sz w:val="21"/>
          <w:szCs w:val="21"/>
          <w:lang w:eastAsia="en-US"/>
        </w:rPr>
        <w:t>分段钻井液体系设计</w:t>
      </w:r>
    </w:p>
    <w:tbl>
      <w:tblPr>
        <w:tblStyle w:val="TableNormal"/>
        <w:tblW w:w="956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258"/>
        <w:gridCol w:w="2760"/>
        <w:gridCol w:w="4547"/>
      </w:tblGrid>
      <w:tr w:rsidR="002E0859" w14:paraId="5E723ED4" w14:textId="77777777">
        <w:trPr>
          <w:trHeight w:val="23"/>
          <w:tblHeader/>
          <w:jc w:val="center"/>
        </w:trPr>
        <w:tc>
          <w:tcPr>
            <w:tcW w:w="2258" w:type="dxa"/>
            <w:tcBorders>
              <w:top w:val="single" w:sz="12" w:space="0" w:color="000000"/>
              <w:left w:val="single" w:sz="12" w:space="0" w:color="000000"/>
              <w:bottom w:val="single" w:sz="4" w:space="0" w:color="000000"/>
              <w:right w:val="single" w:sz="4" w:space="0" w:color="000000"/>
            </w:tcBorders>
            <w:vAlign w:val="center"/>
          </w:tcPr>
          <w:p w14:paraId="4D18D217" w14:textId="77777777" w:rsidR="002E0859" w:rsidRDefault="00000000">
            <w:pPr>
              <w:pStyle w:val="TableText"/>
              <w:spacing w:line="240" w:lineRule="auto"/>
              <w:ind w:firstLineChars="0" w:firstLine="0"/>
              <w:jc w:val="center"/>
              <w:rPr>
                <w:rFonts w:ascii="Times New Roman" w:hAnsi="Times New Roman" w:cs="Times New Roman"/>
                <w:b/>
                <w:bCs/>
                <w:color w:val="000000" w:themeColor="text1"/>
                <w:kern w:val="0"/>
              </w:rPr>
            </w:pPr>
            <w:r>
              <w:rPr>
                <w:rFonts w:ascii="Times New Roman" w:hAnsi="Times New Roman" w:cs="Times New Roman"/>
                <w:b/>
                <w:bCs/>
                <w:color w:val="000000" w:themeColor="text1"/>
                <w:kern w:val="0"/>
              </w:rPr>
              <w:t>开钻序号</w:t>
            </w:r>
          </w:p>
        </w:tc>
        <w:tc>
          <w:tcPr>
            <w:tcW w:w="2760" w:type="dxa"/>
            <w:tcBorders>
              <w:top w:val="single" w:sz="12" w:space="0" w:color="000000"/>
              <w:left w:val="single" w:sz="4" w:space="0" w:color="000000"/>
              <w:bottom w:val="single" w:sz="4" w:space="0" w:color="000000"/>
              <w:right w:val="single" w:sz="4" w:space="0" w:color="000000"/>
            </w:tcBorders>
            <w:vAlign w:val="center"/>
          </w:tcPr>
          <w:p w14:paraId="4C40AA46" w14:textId="77777777" w:rsidR="002E0859" w:rsidRDefault="00000000">
            <w:pPr>
              <w:pStyle w:val="TableText"/>
              <w:spacing w:line="240" w:lineRule="auto"/>
              <w:ind w:firstLineChars="0" w:firstLine="0"/>
              <w:jc w:val="center"/>
              <w:rPr>
                <w:rFonts w:ascii="Times New Roman" w:hAnsi="Times New Roman" w:cs="Times New Roman"/>
                <w:b/>
                <w:bCs/>
                <w:color w:val="000000" w:themeColor="text1"/>
                <w:kern w:val="0"/>
              </w:rPr>
            </w:pPr>
            <w:r>
              <w:rPr>
                <w:rFonts w:ascii="Times New Roman" w:hAnsi="Times New Roman" w:cs="Times New Roman"/>
                <w:b/>
                <w:bCs/>
                <w:color w:val="000000" w:themeColor="text1"/>
                <w:kern w:val="0"/>
              </w:rPr>
              <w:t>井眼尺寸（</w:t>
            </w:r>
            <w:r>
              <w:rPr>
                <w:rFonts w:ascii="Times New Roman" w:hAnsi="Times New Roman" w:cs="Times New Roman"/>
                <w:b/>
                <w:bCs/>
                <w:color w:val="000000" w:themeColor="text1"/>
                <w:kern w:val="0"/>
              </w:rPr>
              <w:t>mm</w:t>
            </w:r>
            <w:r>
              <w:rPr>
                <w:rFonts w:ascii="Times New Roman" w:hAnsi="Times New Roman" w:cs="Times New Roman"/>
                <w:b/>
                <w:bCs/>
                <w:color w:val="000000" w:themeColor="text1"/>
                <w:kern w:val="0"/>
              </w:rPr>
              <w:t>）</w:t>
            </w:r>
          </w:p>
        </w:tc>
        <w:tc>
          <w:tcPr>
            <w:tcW w:w="4547" w:type="dxa"/>
            <w:tcBorders>
              <w:top w:val="single" w:sz="12" w:space="0" w:color="000000"/>
              <w:left w:val="single" w:sz="4" w:space="0" w:color="000000"/>
              <w:bottom w:val="single" w:sz="4" w:space="0" w:color="000000"/>
              <w:right w:val="single" w:sz="12" w:space="0" w:color="000000"/>
            </w:tcBorders>
            <w:vAlign w:val="center"/>
          </w:tcPr>
          <w:p w14:paraId="67D12B2D" w14:textId="77777777" w:rsidR="002E0859" w:rsidRDefault="00000000">
            <w:pPr>
              <w:pStyle w:val="TableText"/>
              <w:spacing w:line="240" w:lineRule="auto"/>
              <w:ind w:firstLineChars="0" w:firstLine="0"/>
              <w:jc w:val="center"/>
              <w:rPr>
                <w:rFonts w:ascii="Times New Roman" w:hAnsi="Times New Roman" w:cs="Times New Roman"/>
                <w:b/>
                <w:bCs/>
                <w:color w:val="000000" w:themeColor="text1"/>
                <w:kern w:val="0"/>
              </w:rPr>
            </w:pPr>
            <w:r>
              <w:rPr>
                <w:rFonts w:ascii="Times New Roman" w:hAnsi="Times New Roman" w:cs="Times New Roman"/>
                <w:b/>
                <w:bCs/>
                <w:color w:val="000000" w:themeColor="text1"/>
                <w:kern w:val="0"/>
              </w:rPr>
              <w:t>推荐钻井液体系</w:t>
            </w:r>
          </w:p>
        </w:tc>
      </w:tr>
      <w:tr w:rsidR="002E0859" w14:paraId="51DD7C86" w14:textId="77777777">
        <w:trPr>
          <w:trHeight w:val="23"/>
          <w:jc w:val="center"/>
        </w:trPr>
        <w:tc>
          <w:tcPr>
            <w:tcW w:w="2258" w:type="dxa"/>
            <w:tcBorders>
              <w:top w:val="single" w:sz="4" w:space="0" w:color="000000"/>
              <w:left w:val="single" w:sz="12" w:space="0" w:color="000000"/>
              <w:bottom w:val="single" w:sz="4" w:space="0" w:color="000000"/>
              <w:right w:val="single" w:sz="4" w:space="0" w:color="000000"/>
            </w:tcBorders>
            <w:vAlign w:val="center"/>
          </w:tcPr>
          <w:p w14:paraId="5FE130E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r>
              <w:rPr>
                <w:rFonts w:ascii="Times New Roman" w:hAnsi="Times New Roman" w:cs="Times New Roman"/>
                <w:color w:val="000000" w:themeColor="text1"/>
                <w:kern w:val="0"/>
              </w:rPr>
              <w:t>2</w:t>
            </w:r>
          </w:p>
        </w:tc>
        <w:tc>
          <w:tcPr>
            <w:tcW w:w="2760" w:type="dxa"/>
            <w:tcBorders>
              <w:top w:val="single" w:sz="4" w:space="0" w:color="000000"/>
              <w:left w:val="single" w:sz="4" w:space="0" w:color="000000"/>
              <w:bottom w:val="single" w:sz="4" w:space="0" w:color="000000"/>
              <w:right w:val="single" w:sz="4" w:space="0" w:color="000000"/>
            </w:tcBorders>
            <w:vAlign w:val="center"/>
          </w:tcPr>
          <w:p w14:paraId="5D1E826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473.1</w:t>
            </w:r>
          </w:p>
        </w:tc>
        <w:tc>
          <w:tcPr>
            <w:tcW w:w="4547" w:type="dxa"/>
            <w:tcBorders>
              <w:top w:val="single" w:sz="4" w:space="0" w:color="000000"/>
              <w:left w:val="single" w:sz="4" w:space="0" w:color="000000"/>
              <w:bottom w:val="single" w:sz="4" w:space="0" w:color="000000"/>
              <w:right w:val="single" w:sz="12" w:space="0" w:color="000000"/>
            </w:tcBorders>
            <w:vAlign w:val="center"/>
          </w:tcPr>
          <w:p w14:paraId="767DC43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膨润土浆（发生井漏时采用清水抢钻）</w:t>
            </w:r>
          </w:p>
        </w:tc>
      </w:tr>
      <w:tr w:rsidR="002E0859" w14:paraId="6A6FD931" w14:textId="77777777">
        <w:trPr>
          <w:trHeight w:val="23"/>
          <w:jc w:val="center"/>
        </w:trPr>
        <w:tc>
          <w:tcPr>
            <w:tcW w:w="2258" w:type="dxa"/>
            <w:tcBorders>
              <w:top w:val="single" w:sz="4" w:space="0" w:color="000000"/>
              <w:left w:val="single" w:sz="12" w:space="0" w:color="000000"/>
              <w:bottom w:val="single" w:sz="4" w:space="0" w:color="000000"/>
              <w:right w:val="single" w:sz="4" w:space="0" w:color="000000"/>
            </w:tcBorders>
            <w:vAlign w:val="center"/>
          </w:tcPr>
          <w:p w14:paraId="38FEF4F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一开</w:t>
            </w:r>
          </w:p>
        </w:tc>
        <w:tc>
          <w:tcPr>
            <w:tcW w:w="2760" w:type="dxa"/>
            <w:tcBorders>
              <w:top w:val="single" w:sz="4" w:space="0" w:color="000000"/>
              <w:left w:val="single" w:sz="4" w:space="0" w:color="000000"/>
              <w:bottom w:val="single" w:sz="4" w:space="0" w:color="000000"/>
              <w:right w:val="single" w:sz="4" w:space="0" w:color="000000"/>
            </w:tcBorders>
            <w:vAlign w:val="center"/>
          </w:tcPr>
          <w:p w14:paraId="2808DB8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374.7</w:t>
            </w:r>
          </w:p>
        </w:tc>
        <w:tc>
          <w:tcPr>
            <w:tcW w:w="4547" w:type="dxa"/>
            <w:vMerge w:val="restart"/>
            <w:tcBorders>
              <w:top w:val="single" w:sz="4" w:space="0" w:color="000000"/>
              <w:left w:val="single" w:sz="4" w:space="0" w:color="000000"/>
              <w:bottom w:val="single" w:sz="4" w:space="0" w:color="000000"/>
              <w:right w:val="single" w:sz="12" w:space="0" w:color="000000"/>
            </w:tcBorders>
            <w:vAlign w:val="center"/>
          </w:tcPr>
          <w:p w14:paraId="76DBD46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清水</w:t>
            </w:r>
          </w:p>
        </w:tc>
      </w:tr>
      <w:tr w:rsidR="002E0859" w14:paraId="19BA697D" w14:textId="77777777">
        <w:trPr>
          <w:trHeight w:val="312"/>
          <w:jc w:val="center"/>
        </w:trPr>
        <w:tc>
          <w:tcPr>
            <w:tcW w:w="2258" w:type="dxa"/>
            <w:vMerge w:val="restart"/>
            <w:tcBorders>
              <w:top w:val="single" w:sz="4" w:space="0" w:color="000000"/>
              <w:left w:val="single" w:sz="12" w:space="0" w:color="000000"/>
              <w:bottom w:val="single" w:sz="4" w:space="0" w:color="000000"/>
              <w:right w:val="single" w:sz="4" w:space="0" w:color="000000"/>
            </w:tcBorders>
            <w:vAlign w:val="center"/>
          </w:tcPr>
          <w:p w14:paraId="5FEC171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二开</w:t>
            </w:r>
          </w:p>
        </w:tc>
        <w:tc>
          <w:tcPr>
            <w:tcW w:w="2760" w:type="dxa"/>
            <w:vMerge w:val="restart"/>
            <w:tcBorders>
              <w:top w:val="single" w:sz="4" w:space="0" w:color="000000"/>
              <w:left w:val="single" w:sz="4" w:space="0" w:color="000000"/>
              <w:bottom w:val="single" w:sz="4" w:space="0" w:color="000000"/>
              <w:right w:val="single" w:sz="4" w:space="0" w:color="000000"/>
            </w:tcBorders>
            <w:vAlign w:val="center"/>
          </w:tcPr>
          <w:p w14:paraId="7F3FF6C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269.9</w:t>
            </w:r>
          </w:p>
        </w:tc>
        <w:tc>
          <w:tcPr>
            <w:tcW w:w="4547" w:type="dxa"/>
            <w:vMerge/>
            <w:tcBorders>
              <w:top w:val="single" w:sz="4" w:space="0" w:color="000000"/>
              <w:left w:val="single" w:sz="4" w:space="0" w:color="000000"/>
              <w:bottom w:val="single" w:sz="4" w:space="0" w:color="000000"/>
              <w:right w:val="single" w:sz="12" w:space="0" w:color="000000"/>
            </w:tcBorders>
            <w:vAlign w:val="center"/>
          </w:tcPr>
          <w:p w14:paraId="53EBD796"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r>
      <w:tr w:rsidR="002E0859" w14:paraId="2C72C750" w14:textId="77777777">
        <w:trPr>
          <w:trHeight w:val="23"/>
          <w:jc w:val="center"/>
        </w:trPr>
        <w:tc>
          <w:tcPr>
            <w:tcW w:w="2258" w:type="dxa"/>
            <w:vMerge/>
            <w:tcBorders>
              <w:top w:val="single" w:sz="4" w:space="0" w:color="000000"/>
              <w:left w:val="single" w:sz="12" w:space="0" w:color="000000"/>
              <w:bottom w:val="single" w:sz="4" w:space="0" w:color="000000"/>
              <w:right w:val="single" w:sz="4" w:space="0" w:color="000000"/>
            </w:tcBorders>
            <w:vAlign w:val="center"/>
          </w:tcPr>
          <w:p w14:paraId="1F6DABA4"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2760" w:type="dxa"/>
            <w:vMerge/>
            <w:tcBorders>
              <w:top w:val="single" w:sz="4" w:space="0" w:color="000000"/>
              <w:left w:val="single" w:sz="4" w:space="0" w:color="000000"/>
              <w:bottom w:val="single" w:sz="4" w:space="0" w:color="000000"/>
              <w:right w:val="single" w:sz="4" w:space="0" w:color="000000"/>
            </w:tcBorders>
            <w:vAlign w:val="center"/>
          </w:tcPr>
          <w:p w14:paraId="4D5E7424"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4547" w:type="dxa"/>
            <w:tcBorders>
              <w:top w:val="single" w:sz="4" w:space="0" w:color="000000"/>
              <w:left w:val="single" w:sz="4" w:space="0" w:color="000000"/>
              <w:bottom w:val="single" w:sz="4" w:space="0" w:color="000000"/>
              <w:right w:val="single" w:sz="12" w:space="0" w:color="000000"/>
            </w:tcBorders>
            <w:vAlign w:val="center"/>
          </w:tcPr>
          <w:p w14:paraId="3B9A607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钙钾基聚合物防塌钻井液</w:t>
            </w:r>
          </w:p>
        </w:tc>
      </w:tr>
      <w:tr w:rsidR="002E0859" w14:paraId="7D797CA6" w14:textId="77777777">
        <w:trPr>
          <w:trHeight w:val="23"/>
          <w:jc w:val="center"/>
        </w:trPr>
        <w:tc>
          <w:tcPr>
            <w:tcW w:w="2258" w:type="dxa"/>
            <w:tcBorders>
              <w:top w:val="single" w:sz="4" w:space="0" w:color="000000"/>
              <w:left w:val="single" w:sz="12" w:space="0" w:color="000000"/>
              <w:bottom w:val="single" w:sz="12" w:space="0" w:color="000000"/>
              <w:right w:val="single" w:sz="4" w:space="0" w:color="000000"/>
            </w:tcBorders>
            <w:vAlign w:val="center"/>
          </w:tcPr>
          <w:p w14:paraId="4A550FF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三开</w:t>
            </w:r>
          </w:p>
        </w:tc>
        <w:tc>
          <w:tcPr>
            <w:tcW w:w="2760" w:type="dxa"/>
            <w:tcBorders>
              <w:top w:val="single" w:sz="4" w:space="0" w:color="000000"/>
              <w:left w:val="single" w:sz="4" w:space="0" w:color="000000"/>
              <w:bottom w:val="single" w:sz="12" w:space="0" w:color="000000"/>
              <w:right w:val="single" w:sz="4" w:space="0" w:color="000000"/>
            </w:tcBorders>
            <w:vAlign w:val="center"/>
          </w:tcPr>
          <w:p w14:paraId="3C536B8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190.5</w:t>
            </w:r>
          </w:p>
        </w:tc>
        <w:tc>
          <w:tcPr>
            <w:tcW w:w="4547" w:type="dxa"/>
            <w:tcBorders>
              <w:top w:val="single" w:sz="4" w:space="0" w:color="000000"/>
              <w:left w:val="single" w:sz="4" w:space="0" w:color="000000"/>
              <w:bottom w:val="single" w:sz="12" w:space="0" w:color="000000"/>
              <w:right w:val="single" w:sz="12" w:space="0" w:color="000000"/>
            </w:tcBorders>
            <w:vAlign w:val="center"/>
          </w:tcPr>
          <w:p w14:paraId="674FDA6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油基钻井液</w:t>
            </w:r>
          </w:p>
        </w:tc>
      </w:tr>
    </w:tbl>
    <w:p w14:paraId="38AFDC19" w14:textId="77777777" w:rsidR="002E0859" w:rsidRDefault="002E0859">
      <w:pPr>
        <w:widowControl/>
        <w:kinsoku w:val="0"/>
        <w:topLinePunct w:val="0"/>
        <w:autoSpaceDE w:val="0"/>
        <w:autoSpaceDN w:val="0"/>
        <w:spacing w:before="1" w:line="65" w:lineRule="exact"/>
        <w:ind w:firstLineChars="0" w:firstLine="0"/>
        <w:jc w:val="left"/>
        <w:textAlignment w:val="baseline"/>
        <w:rPr>
          <w:rFonts w:ascii="Arial" w:eastAsia="Arial" w:hAnsi="Arial" w:cs="Arial"/>
          <w:snapToGrid w:val="0"/>
          <w:color w:val="000000" w:themeColor="text1"/>
          <w:kern w:val="0"/>
          <w:sz w:val="5"/>
          <w:szCs w:val="21"/>
          <w:lang w:eastAsia="en-US"/>
        </w:rPr>
      </w:pPr>
    </w:p>
    <w:p w14:paraId="4D9B8538" w14:textId="77777777" w:rsidR="002E0859" w:rsidRDefault="00000000">
      <w:pPr>
        <w:spacing w:beforeLines="50" w:before="120" w:line="360" w:lineRule="auto"/>
        <w:ind w:firstLine="456"/>
        <w:rPr>
          <w:color w:val="000000" w:themeColor="text1"/>
          <w:spacing w:val="-6"/>
          <w:sz w:val="24"/>
          <w:szCs w:val="24"/>
          <w:lang w:eastAsia="en-US"/>
        </w:rPr>
      </w:pPr>
      <w:r>
        <w:rPr>
          <w:rFonts w:hint="eastAsia"/>
          <w:color w:val="000000" w:themeColor="text1"/>
          <w:spacing w:val="-6"/>
          <w:sz w:val="24"/>
          <w:szCs w:val="24"/>
        </w:rPr>
        <w:t>2</w:t>
      </w:r>
      <w:r>
        <w:rPr>
          <w:rFonts w:hint="eastAsia"/>
          <w:color w:val="000000" w:themeColor="text1"/>
          <w:spacing w:val="-6"/>
          <w:sz w:val="24"/>
          <w:szCs w:val="24"/>
        </w:rPr>
        <w:t>、</w:t>
      </w:r>
      <w:r>
        <w:rPr>
          <w:rFonts w:hint="eastAsia"/>
          <w:color w:val="000000" w:themeColor="text1"/>
          <w:spacing w:val="-6"/>
          <w:sz w:val="24"/>
          <w:szCs w:val="24"/>
          <w:lang w:eastAsia="en-US"/>
        </w:rPr>
        <w:t>分段钻井液密度设计</w:t>
      </w:r>
    </w:p>
    <w:p w14:paraId="6252A2E3"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 xml:space="preserve">10 </w:t>
      </w:r>
      <w:r>
        <w:rPr>
          <w:rFonts w:eastAsia="黑体" w:hint="eastAsia"/>
          <w:color w:val="000000" w:themeColor="text1"/>
          <w:sz w:val="21"/>
          <w:szCs w:val="21"/>
          <w:lang w:eastAsia="en-US"/>
        </w:rPr>
        <w:t>分段钻井液性能参数设计</w:t>
      </w:r>
    </w:p>
    <w:tbl>
      <w:tblPr>
        <w:tblStyle w:val="TableNormal"/>
        <w:tblW w:w="9441"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67"/>
        <w:gridCol w:w="1638"/>
        <w:gridCol w:w="1409"/>
        <w:gridCol w:w="1452"/>
        <w:gridCol w:w="1439"/>
        <w:gridCol w:w="1430"/>
        <w:gridCol w:w="1406"/>
      </w:tblGrid>
      <w:tr w:rsidR="002E0859" w14:paraId="2080140A" w14:textId="77777777">
        <w:trPr>
          <w:trHeight w:val="23"/>
          <w:jc w:val="center"/>
        </w:trPr>
        <w:tc>
          <w:tcPr>
            <w:tcW w:w="2305" w:type="dxa"/>
            <w:gridSpan w:val="2"/>
            <w:tcBorders>
              <w:tl2br w:val="nil"/>
              <w:tr2bl w:val="nil"/>
            </w:tcBorders>
            <w:vAlign w:val="center"/>
          </w:tcPr>
          <w:p w14:paraId="173FCDB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开钻序号</w:t>
            </w:r>
          </w:p>
        </w:tc>
        <w:tc>
          <w:tcPr>
            <w:tcW w:w="1409" w:type="dxa"/>
            <w:tcBorders>
              <w:tl2br w:val="nil"/>
              <w:tr2bl w:val="nil"/>
            </w:tcBorders>
            <w:vAlign w:val="center"/>
          </w:tcPr>
          <w:p w14:paraId="05C4750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井段（</w:t>
            </w:r>
            <w:r>
              <w:rPr>
                <w:rFonts w:ascii="Times New Roman" w:hAnsi="Times New Roman" w:cs="Times New Roman"/>
                <w:color w:val="000000" w:themeColor="text1"/>
                <w:kern w:val="0"/>
              </w:rPr>
              <w:t>m</w:t>
            </w:r>
            <w:r>
              <w:rPr>
                <w:rFonts w:ascii="Times New Roman" w:hAnsi="Times New Roman" w:cs="Times New Roman"/>
                <w:color w:val="000000" w:themeColor="text1"/>
                <w:kern w:val="0"/>
              </w:rPr>
              <w:t>）</w:t>
            </w:r>
          </w:p>
        </w:tc>
        <w:tc>
          <w:tcPr>
            <w:tcW w:w="1452" w:type="dxa"/>
            <w:tcBorders>
              <w:tl2br w:val="nil"/>
              <w:tr2bl w:val="nil"/>
            </w:tcBorders>
            <w:vAlign w:val="center"/>
          </w:tcPr>
          <w:p w14:paraId="5CCA24D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地质分层</w:t>
            </w:r>
          </w:p>
        </w:tc>
        <w:tc>
          <w:tcPr>
            <w:tcW w:w="1439" w:type="dxa"/>
            <w:tcBorders>
              <w:tl2br w:val="nil"/>
              <w:tr2bl w:val="nil"/>
            </w:tcBorders>
            <w:vAlign w:val="center"/>
          </w:tcPr>
          <w:p w14:paraId="51F45F1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预测地层压力系数</w:t>
            </w:r>
          </w:p>
        </w:tc>
        <w:tc>
          <w:tcPr>
            <w:tcW w:w="1430" w:type="dxa"/>
            <w:tcBorders>
              <w:tl2br w:val="nil"/>
              <w:tr2bl w:val="nil"/>
            </w:tcBorders>
            <w:vAlign w:val="center"/>
          </w:tcPr>
          <w:p w14:paraId="26F1C3E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邻井焦页</w:t>
            </w:r>
            <w:r>
              <w:rPr>
                <w:rFonts w:ascii="Times New Roman" w:hAnsi="Times New Roman" w:cs="Times New Roman"/>
                <w:color w:val="000000" w:themeColor="text1"/>
                <w:kern w:val="0"/>
              </w:rPr>
              <w:t>90-3HF</w:t>
            </w:r>
            <w:r>
              <w:rPr>
                <w:rFonts w:ascii="Times New Roman" w:hAnsi="Times New Roman" w:cs="Times New Roman"/>
                <w:color w:val="000000" w:themeColor="text1"/>
                <w:kern w:val="0"/>
              </w:rPr>
              <w:t>井密度（</w:t>
            </w:r>
            <w:r>
              <w:rPr>
                <w:rFonts w:ascii="Times New Roman" w:hAnsi="Times New Roman" w:cs="Times New Roman"/>
                <w:color w:val="000000" w:themeColor="text1"/>
                <w:kern w:val="0"/>
              </w:rPr>
              <w:t>g/cm</w:t>
            </w:r>
            <w:r>
              <w:rPr>
                <w:rFonts w:ascii="Times New Roman" w:hAnsi="Times New Roman" w:cs="Times New Roman"/>
                <w:color w:val="000000" w:themeColor="text1"/>
                <w:kern w:val="0"/>
                <w:vertAlign w:val="superscript"/>
              </w:rPr>
              <w:t>3</w:t>
            </w:r>
            <w:r>
              <w:rPr>
                <w:rFonts w:ascii="Times New Roman" w:hAnsi="Times New Roman" w:cs="Times New Roman"/>
                <w:color w:val="000000" w:themeColor="text1"/>
                <w:kern w:val="0"/>
              </w:rPr>
              <w:t>）</w:t>
            </w:r>
          </w:p>
        </w:tc>
        <w:tc>
          <w:tcPr>
            <w:tcW w:w="1406" w:type="dxa"/>
            <w:tcBorders>
              <w:tl2br w:val="nil"/>
              <w:tr2bl w:val="nil"/>
            </w:tcBorders>
            <w:vAlign w:val="center"/>
          </w:tcPr>
          <w:p w14:paraId="23F59C7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设计密度（</w:t>
            </w:r>
            <w:r>
              <w:rPr>
                <w:rFonts w:ascii="Times New Roman" w:hAnsi="Times New Roman" w:cs="Times New Roman"/>
                <w:color w:val="000000" w:themeColor="text1"/>
                <w:kern w:val="0"/>
              </w:rPr>
              <w:t>g/cm</w:t>
            </w:r>
            <w:r>
              <w:rPr>
                <w:rFonts w:ascii="Times New Roman" w:hAnsi="Times New Roman" w:cs="Times New Roman"/>
                <w:color w:val="000000" w:themeColor="text1"/>
                <w:kern w:val="0"/>
                <w:vertAlign w:val="superscript"/>
              </w:rPr>
              <w:t>3</w:t>
            </w:r>
            <w:r>
              <w:rPr>
                <w:rFonts w:ascii="Times New Roman" w:hAnsi="Times New Roman" w:cs="Times New Roman"/>
                <w:color w:val="000000" w:themeColor="text1"/>
                <w:kern w:val="0"/>
              </w:rPr>
              <w:t>）</w:t>
            </w:r>
          </w:p>
        </w:tc>
      </w:tr>
      <w:tr w:rsidR="002E0859" w14:paraId="1C26B027" w14:textId="77777777">
        <w:trPr>
          <w:trHeight w:val="23"/>
          <w:jc w:val="center"/>
        </w:trPr>
        <w:tc>
          <w:tcPr>
            <w:tcW w:w="2305" w:type="dxa"/>
            <w:gridSpan w:val="2"/>
            <w:tcBorders>
              <w:tl2br w:val="nil"/>
              <w:tr2bl w:val="nil"/>
            </w:tcBorders>
            <w:vAlign w:val="center"/>
          </w:tcPr>
          <w:p w14:paraId="6C8D8DC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r>
              <w:rPr>
                <w:rFonts w:ascii="Times New Roman" w:hAnsi="Times New Roman" w:cs="Times New Roman"/>
                <w:color w:val="000000" w:themeColor="text1"/>
                <w:kern w:val="0"/>
              </w:rPr>
              <w:t>1</w:t>
            </w:r>
          </w:p>
        </w:tc>
        <w:tc>
          <w:tcPr>
            <w:tcW w:w="1409" w:type="dxa"/>
            <w:tcBorders>
              <w:tl2br w:val="nil"/>
              <w:tr2bl w:val="nil"/>
            </w:tcBorders>
            <w:vAlign w:val="center"/>
          </w:tcPr>
          <w:p w14:paraId="0D8637A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w:t>
            </w:r>
            <w:r>
              <w:rPr>
                <w:rFonts w:ascii="Times New Roman" w:hAnsi="Times New Roman" w:cs="Times New Roman"/>
                <w:color w:val="000000" w:themeColor="text1"/>
                <w:kern w:val="0"/>
              </w:rPr>
              <w:t>～</w:t>
            </w:r>
            <w:r>
              <w:rPr>
                <w:rFonts w:ascii="Times New Roman" w:hAnsi="Times New Roman" w:cs="Times New Roman"/>
                <w:color w:val="000000" w:themeColor="text1"/>
                <w:kern w:val="0"/>
              </w:rPr>
              <w:t>30</w:t>
            </w:r>
          </w:p>
        </w:tc>
        <w:tc>
          <w:tcPr>
            <w:tcW w:w="1452" w:type="dxa"/>
            <w:tcBorders>
              <w:tl2br w:val="nil"/>
              <w:tr2bl w:val="nil"/>
            </w:tcBorders>
            <w:vAlign w:val="center"/>
          </w:tcPr>
          <w:p w14:paraId="711212C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自流井组</w:t>
            </w:r>
          </w:p>
        </w:tc>
        <w:tc>
          <w:tcPr>
            <w:tcW w:w="1439" w:type="dxa"/>
            <w:vMerge w:val="restart"/>
            <w:tcBorders>
              <w:tl2br w:val="nil"/>
              <w:tr2bl w:val="nil"/>
            </w:tcBorders>
            <w:vAlign w:val="center"/>
          </w:tcPr>
          <w:p w14:paraId="5D683C7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0.85</w:t>
            </w:r>
            <w:r>
              <w:rPr>
                <w:rFonts w:ascii="Times New Roman" w:hAnsi="Times New Roman" w:cs="Times New Roman"/>
                <w:color w:val="000000" w:themeColor="text1"/>
                <w:kern w:val="0"/>
              </w:rPr>
              <w:t>～</w:t>
            </w:r>
            <w:r>
              <w:rPr>
                <w:rFonts w:ascii="Times New Roman" w:hAnsi="Times New Roman" w:cs="Times New Roman"/>
                <w:color w:val="000000" w:themeColor="text1"/>
                <w:kern w:val="0"/>
              </w:rPr>
              <w:t>0.95</w:t>
            </w:r>
          </w:p>
        </w:tc>
        <w:tc>
          <w:tcPr>
            <w:tcW w:w="1430" w:type="dxa"/>
            <w:vMerge w:val="restart"/>
            <w:tcBorders>
              <w:tl2br w:val="nil"/>
              <w:tr2bl w:val="nil"/>
            </w:tcBorders>
            <w:vAlign w:val="center"/>
          </w:tcPr>
          <w:p w14:paraId="02E4234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1.02</w:t>
            </w:r>
            <w:r>
              <w:rPr>
                <w:rFonts w:ascii="Times New Roman" w:hAnsi="Times New Roman" w:cs="Times New Roman"/>
                <w:color w:val="000000" w:themeColor="text1"/>
                <w:kern w:val="0"/>
              </w:rPr>
              <w:t>～</w:t>
            </w:r>
            <w:r>
              <w:rPr>
                <w:rFonts w:ascii="Times New Roman" w:hAnsi="Times New Roman" w:cs="Times New Roman"/>
                <w:color w:val="000000" w:themeColor="text1"/>
                <w:kern w:val="0"/>
              </w:rPr>
              <w:t>1.10</w:t>
            </w:r>
          </w:p>
        </w:tc>
        <w:tc>
          <w:tcPr>
            <w:tcW w:w="1406" w:type="dxa"/>
            <w:tcBorders>
              <w:tl2br w:val="nil"/>
              <w:tr2bl w:val="nil"/>
            </w:tcBorders>
            <w:vAlign w:val="center"/>
          </w:tcPr>
          <w:p w14:paraId="05294AC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预埋</w:t>
            </w:r>
          </w:p>
        </w:tc>
      </w:tr>
      <w:tr w:rsidR="002E0859" w14:paraId="5A72D3FD" w14:textId="77777777">
        <w:trPr>
          <w:trHeight w:val="23"/>
          <w:jc w:val="center"/>
        </w:trPr>
        <w:tc>
          <w:tcPr>
            <w:tcW w:w="2305" w:type="dxa"/>
            <w:gridSpan w:val="2"/>
            <w:tcBorders>
              <w:tl2br w:val="nil"/>
              <w:tr2bl w:val="nil"/>
            </w:tcBorders>
            <w:vAlign w:val="center"/>
          </w:tcPr>
          <w:p w14:paraId="13409C4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r>
              <w:rPr>
                <w:rFonts w:ascii="Times New Roman" w:hAnsi="Times New Roman" w:cs="Times New Roman"/>
                <w:color w:val="000000" w:themeColor="text1"/>
                <w:kern w:val="0"/>
              </w:rPr>
              <w:t>2</w:t>
            </w:r>
          </w:p>
        </w:tc>
        <w:tc>
          <w:tcPr>
            <w:tcW w:w="1409" w:type="dxa"/>
            <w:tcBorders>
              <w:tl2br w:val="nil"/>
              <w:tr2bl w:val="nil"/>
            </w:tcBorders>
            <w:vAlign w:val="center"/>
          </w:tcPr>
          <w:p w14:paraId="30B9264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30</w:t>
            </w:r>
            <w:r>
              <w:rPr>
                <w:rFonts w:ascii="Times New Roman" w:hAnsi="Times New Roman" w:cs="Times New Roman"/>
                <w:color w:val="000000" w:themeColor="text1"/>
                <w:kern w:val="0"/>
              </w:rPr>
              <w:t>～</w:t>
            </w:r>
            <w:r>
              <w:rPr>
                <w:rFonts w:ascii="Times New Roman" w:hAnsi="Times New Roman" w:cs="Times New Roman"/>
                <w:color w:val="000000" w:themeColor="text1"/>
                <w:kern w:val="0"/>
              </w:rPr>
              <w:t>402</w:t>
            </w:r>
          </w:p>
        </w:tc>
        <w:tc>
          <w:tcPr>
            <w:tcW w:w="1452" w:type="dxa"/>
            <w:tcBorders>
              <w:tl2br w:val="nil"/>
              <w:tr2bl w:val="nil"/>
            </w:tcBorders>
            <w:vAlign w:val="center"/>
          </w:tcPr>
          <w:p w14:paraId="49FD598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自流井组</w:t>
            </w:r>
            <w:r>
              <w:rPr>
                <w:rFonts w:ascii="Times New Roman" w:hAnsi="Times New Roman" w:cs="Times New Roman"/>
                <w:color w:val="000000" w:themeColor="text1"/>
                <w:kern w:val="0"/>
              </w:rPr>
              <w:t>~</w:t>
            </w:r>
            <w:r>
              <w:rPr>
                <w:rFonts w:ascii="Times New Roman" w:hAnsi="Times New Roman" w:cs="Times New Roman"/>
                <w:color w:val="000000" w:themeColor="text1"/>
                <w:kern w:val="0"/>
              </w:rPr>
              <w:t>雷口坡组</w:t>
            </w:r>
          </w:p>
        </w:tc>
        <w:tc>
          <w:tcPr>
            <w:tcW w:w="1439" w:type="dxa"/>
            <w:vMerge/>
            <w:tcBorders>
              <w:tl2br w:val="nil"/>
              <w:tr2bl w:val="nil"/>
            </w:tcBorders>
            <w:vAlign w:val="center"/>
          </w:tcPr>
          <w:p w14:paraId="175F697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0" w:type="dxa"/>
            <w:vMerge/>
            <w:tcBorders>
              <w:tl2br w:val="nil"/>
              <w:tr2bl w:val="nil"/>
            </w:tcBorders>
            <w:vAlign w:val="center"/>
          </w:tcPr>
          <w:p w14:paraId="425CDF6E"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06" w:type="dxa"/>
            <w:tcBorders>
              <w:tl2br w:val="nil"/>
              <w:tr2bl w:val="nil"/>
            </w:tcBorders>
            <w:vAlign w:val="center"/>
          </w:tcPr>
          <w:p w14:paraId="7FF44E7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1.05</w:t>
            </w:r>
            <w:r>
              <w:rPr>
                <w:rFonts w:ascii="Times New Roman" w:hAnsi="Times New Roman" w:cs="Times New Roman"/>
                <w:color w:val="000000" w:themeColor="text1"/>
                <w:kern w:val="0"/>
              </w:rPr>
              <w:t>～</w:t>
            </w:r>
            <w:r>
              <w:rPr>
                <w:rFonts w:ascii="Times New Roman" w:hAnsi="Times New Roman" w:cs="Times New Roman"/>
                <w:color w:val="000000" w:themeColor="text1"/>
                <w:kern w:val="0"/>
              </w:rPr>
              <w:t>1.15</w:t>
            </w:r>
          </w:p>
        </w:tc>
      </w:tr>
      <w:tr w:rsidR="002E0859" w14:paraId="1658E380" w14:textId="77777777">
        <w:trPr>
          <w:trHeight w:val="23"/>
          <w:jc w:val="center"/>
        </w:trPr>
        <w:tc>
          <w:tcPr>
            <w:tcW w:w="2305" w:type="dxa"/>
            <w:gridSpan w:val="2"/>
            <w:tcBorders>
              <w:tl2br w:val="nil"/>
              <w:tr2bl w:val="nil"/>
            </w:tcBorders>
            <w:vAlign w:val="center"/>
          </w:tcPr>
          <w:p w14:paraId="023B89E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一开</w:t>
            </w:r>
          </w:p>
        </w:tc>
        <w:tc>
          <w:tcPr>
            <w:tcW w:w="1409" w:type="dxa"/>
            <w:tcBorders>
              <w:tl2br w:val="nil"/>
              <w:tr2bl w:val="nil"/>
            </w:tcBorders>
            <w:vAlign w:val="center"/>
          </w:tcPr>
          <w:p w14:paraId="4126E39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402</w:t>
            </w:r>
            <w:r>
              <w:rPr>
                <w:rFonts w:ascii="Times New Roman" w:hAnsi="Times New Roman" w:cs="Times New Roman"/>
                <w:color w:val="000000" w:themeColor="text1"/>
                <w:kern w:val="0"/>
              </w:rPr>
              <w:t>～</w:t>
            </w:r>
            <w:r>
              <w:rPr>
                <w:rFonts w:ascii="Times New Roman" w:hAnsi="Times New Roman" w:cs="Times New Roman"/>
                <w:color w:val="000000" w:themeColor="text1"/>
                <w:kern w:val="0"/>
              </w:rPr>
              <w:t>1352</w:t>
            </w:r>
          </w:p>
        </w:tc>
        <w:tc>
          <w:tcPr>
            <w:tcW w:w="1452" w:type="dxa"/>
            <w:tcBorders>
              <w:tl2br w:val="nil"/>
              <w:tr2bl w:val="nil"/>
            </w:tcBorders>
            <w:vAlign w:val="center"/>
          </w:tcPr>
          <w:p w14:paraId="0BF7302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雷口坡组</w:t>
            </w:r>
            <w:r>
              <w:rPr>
                <w:rFonts w:ascii="Times New Roman" w:hAnsi="Times New Roman" w:cs="Times New Roman"/>
                <w:color w:val="000000" w:themeColor="text1"/>
                <w:kern w:val="0"/>
              </w:rPr>
              <w:t>~</w:t>
            </w:r>
            <w:r>
              <w:rPr>
                <w:rFonts w:ascii="Times New Roman" w:hAnsi="Times New Roman" w:cs="Times New Roman"/>
                <w:color w:val="000000" w:themeColor="text1"/>
                <w:kern w:val="0"/>
              </w:rPr>
              <w:t>飞仙关组</w:t>
            </w:r>
          </w:p>
        </w:tc>
        <w:tc>
          <w:tcPr>
            <w:tcW w:w="1439" w:type="dxa"/>
            <w:vMerge/>
            <w:tcBorders>
              <w:tl2br w:val="nil"/>
              <w:tr2bl w:val="nil"/>
            </w:tcBorders>
            <w:vAlign w:val="center"/>
          </w:tcPr>
          <w:p w14:paraId="24FEBCB5"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0" w:type="dxa"/>
            <w:vMerge/>
            <w:tcBorders>
              <w:tl2br w:val="nil"/>
              <w:tr2bl w:val="nil"/>
            </w:tcBorders>
            <w:vAlign w:val="center"/>
          </w:tcPr>
          <w:p w14:paraId="5B9A273F"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06" w:type="dxa"/>
            <w:vMerge w:val="restart"/>
            <w:tcBorders>
              <w:tl2br w:val="nil"/>
              <w:tr2bl w:val="nil"/>
            </w:tcBorders>
            <w:vAlign w:val="center"/>
          </w:tcPr>
          <w:p w14:paraId="43E07E4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1.02</w:t>
            </w:r>
            <w:r>
              <w:rPr>
                <w:rFonts w:ascii="Times New Roman" w:hAnsi="Times New Roman" w:cs="Times New Roman"/>
                <w:color w:val="000000" w:themeColor="text1"/>
                <w:kern w:val="0"/>
              </w:rPr>
              <w:t>～</w:t>
            </w:r>
            <w:r>
              <w:rPr>
                <w:rFonts w:ascii="Times New Roman" w:hAnsi="Times New Roman" w:cs="Times New Roman"/>
                <w:color w:val="000000" w:themeColor="text1"/>
                <w:kern w:val="0"/>
              </w:rPr>
              <w:t>1.10</w:t>
            </w:r>
          </w:p>
        </w:tc>
      </w:tr>
      <w:tr w:rsidR="002E0859" w14:paraId="65C9D481" w14:textId="77777777">
        <w:trPr>
          <w:trHeight w:val="23"/>
          <w:jc w:val="center"/>
        </w:trPr>
        <w:tc>
          <w:tcPr>
            <w:tcW w:w="667" w:type="dxa"/>
            <w:vMerge w:val="restart"/>
            <w:tcBorders>
              <w:tl2br w:val="nil"/>
              <w:tr2bl w:val="nil"/>
            </w:tcBorders>
            <w:vAlign w:val="center"/>
          </w:tcPr>
          <w:p w14:paraId="6B1C757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二开</w:t>
            </w:r>
          </w:p>
        </w:tc>
        <w:tc>
          <w:tcPr>
            <w:tcW w:w="1638" w:type="dxa"/>
            <w:tcBorders>
              <w:tl2br w:val="nil"/>
              <w:tr2bl w:val="nil"/>
            </w:tcBorders>
            <w:vAlign w:val="center"/>
          </w:tcPr>
          <w:p w14:paraId="3DD28F5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焦页</w:t>
            </w:r>
            <w:r>
              <w:rPr>
                <w:rFonts w:ascii="Times New Roman" w:hAnsi="Times New Roman" w:cs="Times New Roman"/>
                <w:color w:val="000000" w:themeColor="text1"/>
                <w:kern w:val="0"/>
              </w:rPr>
              <w:t>90-5HF</w:t>
            </w:r>
          </w:p>
        </w:tc>
        <w:tc>
          <w:tcPr>
            <w:tcW w:w="1409" w:type="dxa"/>
            <w:vMerge w:val="restart"/>
            <w:tcBorders>
              <w:tl2br w:val="nil"/>
              <w:tr2bl w:val="nil"/>
            </w:tcBorders>
            <w:vAlign w:val="center"/>
          </w:tcPr>
          <w:p w14:paraId="51D229C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1352</w:t>
            </w:r>
            <w:r>
              <w:rPr>
                <w:rFonts w:ascii="Times New Roman" w:hAnsi="Times New Roman" w:cs="Times New Roman"/>
                <w:color w:val="000000" w:themeColor="text1"/>
                <w:kern w:val="0"/>
              </w:rPr>
              <w:t>～</w:t>
            </w:r>
            <w:r>
              <w:rPr>
                <w:rFonts w:ascii="Times New Roman" w:hAnsi="Times New Roman" w:cs="Times New Roman"/>
                <w:color w:val="000000" w:themeColor="text1"/>
                <w:kern w:val="0"/>
              </w:rPr>
              <w:t>2350</w:t>
            </w:r>
          </w:p>
        </w:tc>
        <w:tc>
          <w:tcPr>
            <w:tcW w:w="1452" w:type="dxa"/>
            <w:vMerge w:val="restart"/>
            <w:tcBorders>
              <w:tl2br w:val="nil"/>
              <w:tr2bl w:val="nil"/>
            </w:tcBorders>
            <w:vAlign w:val="center"/>
          </w:tcPr>
          <w:p w14:paraId="0699154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飞仙关组</w:t>
            </w:r>
            <w:r>
              <w:rPr>
                <w:rFonts w:ascii="Times New Roman" w:hAnsi="Times New Roman" w:cs="Times New Roman"/>
                <w:color w:val="000000" w:themeColor="text1"/>
                <w:kern w:val="0"/>
              </w:rPr>
              <w:t>~</w:t>
            </w:r>
            <w:r>
              <w:rPr>
                <w:rFonts w:ascii="Times New Roman" w:hAnsi="Times New Roman" w:cs="Times New Roman"/>
                <w:color w:val="000000" w:themeColor="text1"/>
                <w:kern w:val="0"/>
              </w:rPr>
              <w:t>茅口组</w:t>
            </w:r>
          </w:p>
        </w:tc>
        <w:tc>
          <w:tcPr>
            <w:tcW w:w="1439" w:type="dxa"/>
            <w:vMerge/>
            <w:tcBorders>
              <w:tl2br w:val="nil"/>
              <w:tr2bl w:val="nil"/>
            </w:tcBorders>
            <w:vAlign w:val="center"/>
          </w:tcPr>
          <w:p w14:paraId="39D20CC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0" w:type="dxa"/>
            <w:vMerge/>
            <w:tcBorders>
              <w:tl2br w:val="nil"/>
              <w:tr2bl w:val="nil"/>
            </w:tcBorders>
            <w:vAlign w:val="center"/>
          </w:tcPr>
          <w:p w14:paraId="4A41DD4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06" w:type="dxa"/>
            <w:vMerge/>
            <w:tcBorders>
              <w:tl2br w:val="nil"/>
              <w:tr2bl w:val="nil"/>
            </w:tcBorders>
            <w:vAlign w:val="center"/>
          </w:tcPr>
          <w:p w14:paraId="5BD3C21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r>
      <w:tr w:rsidR="002E0859" w14:paraId="53DC0D41" w14:textId="77777777">
        <w:trPr>
          <w:trHeight w:val="23"/>
          <w:jc w:val="center"/>
        </w:trPr>
        <w:tc>
          <w:tcPr>
            <w:tcW w:w="667" w:type="dxa"/>
            <w:vMerge/>
            <w:tcBorders>
              <w:tl2br w:val="nil"/>
              <w:tr2bl w:val="nil"/>
            </w:tcBorders>
            <w:vAlign w:val="center"/>
          </w:tcPr>
          <w:p w14:paraId="0AEA4523"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38" w:type="dxa"/>
            <w:tcBorders>
              <w:tl2br w:val="nil"/>
              <w:tr2bl w:val="nil"/>
            </w:tcBorders>
            <w:vAlign w:val="center"/>
          </w:tcPr>
          <w:p w14:paraId="586B153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焦页</w:t>
            </w:r>
            <w:r>
              <w:rPr>
                <w:rFonts w:ascii="Times New Roman" w:hAnsi="Times New Roman" w:cs="Times New Roman"/>
                <w:color w:val="000000" w:themeColor="text1"/>
                <w:kern w:val="0"/>
              </w:rPr>
              <w:t>90-Z1HF</w:t>
            </w:r>
          </w:p>
        </w:tc>
        <w:tc>
          <w:tcPr>
            <w:tcW w:w="1409" w:type="dxa"/>
            <w:vMerge/>
            <w:tcBorders>
              <w:tl2br w:val="nil"/>
              <w:tr2bl w:val="nil"/>
            </w:tcBorders>
            <w:vAlign w:val="center"/>
          </w:tcPr>
          <w:p w14:paraId="1F1B014F"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52" w:type="dxa"/>
            <w:vMerge/>
            <w:tcBorders>
              <w:tl2br w:val="nil"/>
              <w:tr2bl w:val="nil"/>
            </w:tcBorders>
            <w:vAlign w:val="center"/>
          </w:tcPr>
          <w:p w14:paraId="6A0DEAFE"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9" w:type="dxa"/>
            <w:vMerge/>
            <w:tcBorders>
              <w:tl2br w:val="nil"/>
              <w:tr2bl w:val="nil"/>
            </w:tcBorders>
            <w:vAlign w:val="center"/>
          </w:tcPr>
          <w:p w14:paraId="32FD146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0" w:type="dxa"/>
            <w:vMerge/>
            <w:tcBorders>
              <w:tl2br w:val="nil"/>
              <w:tr2bl w:val="nil"/>
            </w:tcBorders>
            <w:vAlign w:val="center"/>
          </w:tcPr>
          <w:p w14:paraId="320560A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06" w:type="dxa"/>
            <w:vMerge/>
            <w:tcBorders>
              <w:tl2br w:val="nil"/>
              <w:tr2bl w:val="nil"/>
            </w:tcBorders>
            <w:vAlign w:val="center"/>
          </w:tcPr>
          <w:p w14:paraId="1358E1D3"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r>
      <w:tr w:rsidR="002E0859" w14:paraId="389AAF3C" w14:textId="77777777">
        <w:trPr>
          <w:trHeight w:val="23"/>
          <w:jc w:val="center"/>
        </w:trPr>
        <w:tc>
          <w:tcPr>
            <w:tcW w:w="667" w:type="dxa"/>
            <w:vMerge/>
            <w:tcBorders>
              <w:tl2br w:val="nil"/>
              <w:tr2bl w:val="nil"/>
            </w:tcBorders>
            <w:vAlign w:val="center"/>
          </w:tcPr>
          <w:p w14:paraId="3BF559E5"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38" w:type="dxa"/>
            <w:tcBorders>
              <w:tl2br w:val="nil"/>
              <w:tr2bl w:val="nil"/>
            </w:tcBorders>
            <w:vAlign w:val="center"/>
          </w:tcPr>
          <w:p w14:paraId="4E86738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焦页</w:t>
            </w:r>
            <w:r>
              <w:rPr>
                <w:rFonts w:ascii="Times New Roman" w:hAnsi="Times New Roman" w:cs="Times New Roman"/>
                <w:color w:val="000000" w:themeColor="text1"/>
                <w:kern w:val="0"/>
              </w:rPr>
              <w:t>90-5HF</w:t>
            </w:r>
          </w:p>
        </w:tc>
        <w:tc>
          <w:tcPr>
            <w:tcW w:w="1409" w:type="dxa"/>
            <w:tcBorders>
              <w:tl2br w:val="nil"/>
              <w:tr2bl w:val="nil"/>
            </w:tcBorders>
            <w:vAlign w:val="center"/>
          </w:tcPr>
          <w:p w14:paraId="170A7A2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2350</w:t>
            </w:r>
            <w:r>
              <w:rPr>
                <w:rFonts w:ascii="Times New Roman" w:hAnsi="Times New Roman" w:cs="Times New Roman"/>
                <w:color w:val="000000" w:themeColor="text1"/>
                <w:kern w:val="0"/>
              </w:rPr>
              <w:t>～</w:t>
            </w:r>
            <w:r>
              <w:rPr>
                <w:rFonts w:ascii="Times New Roman" w:hAnsi="Times New Roman" w:cs="Times New Roman"/>
                <w:color w:val="000000" w:themeColor="text1"/>
                <w:kern w:val="0"/>
              </w:rPr>
              <w:t>3482</w:t>
            </w:r>
          </w:p>
        </w:tc>
        <w:tc>
          <w:tcPr>
            <w:tcW w:w="1452" w:type="dxa"/>
            <w:vMerge w:val="restart"/>
            <w:tcBorders>
              <w:tl2br w:val="nil"/>
              <w:tr2bl w:val="nil"/>
            </w:tcBorders>
            <w:vAlign w:val="center"/>
          </w:tcPr>
          <w:p w14:paraId="07FDE76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栖霞组～龙马溪组</w:t>
            </w:r>
          </w:p>
        </w:tc>
        <w:tc>
          <w:tcPr>
            <w:tcW w:w="1439" w:type="dxa"/>
            <w:vMerge w:val="restart"/>
            <w:tcBorders>
              <w:tl2br w:val="nil"/>
              <w:tr2bl w:val="nil"/>
            </w:tcBorders>
            <w:vAlign w:val="center"/>
          </w:tcPr>
          <w:p w14:paraId="32A3A9E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1.10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1.30</w:t>
            </w:r>
          </w:p>
        </w:tc>
        <w:tc>
          <w:tcPr>
            <w:tcW w:w="1430" w:type="dxa"/>
            <w:vMerge w:val="restart"/>
            <w:tcBorders>
              <w:tl2br w:val="nil"/>
              <w:tr2bl w:val="nil"/>
            </w:tcBorders>
            <w:vAlign w:val="center"/>
          </w:tcPr>
          <w:p w14:paraId="4BB98E9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1.23</w:t>
            </w:r>
            <w:r>
              <w:rPr>
                <w:rFonts w:ascii="Times New Roman" w:hAnsi="Times New Roman" w:cs="Times New Roman"/>
                <w:color w:val="000000" w:themeColor="text1"/>
                <w:kern w:val="0"/>
              </w:rPr>
              <w:t>～</w:t>
            </w:r>
            <w:r>
              <w:rPr>
                <w:rFonts w:ascii="Times New Roman" w:hAnsi="Times New Roman" w:cs="Times New Roman"/>
                <w:color w:val="000000" w:themeColor="text1"/>
                <w:kern w:val="0"/>
              </w:rPr>
              <w:t>1.30</w:t>
            </w:r>
          </w:p>
        </w:tc>
        <w:tc>
          <w:tcPr>
            <w:tcW w:w="1406" w:type="dxa"/>
            <w:vMerge w:val="restart"/>
            <w:tcBorders>
              <w:tl2br w:val="nil"/>
              <w:tr2bl w:val="nil"/>
            </w:tcBorders>
            <w:vAlign w:val="center"/>
          </w:tcPr>
          <w:p w14:paraId="28A0B70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1.13</w:t>
            </w:r>
            <w:r>
              <w:rPr>
                <w:rFonts w:ascii="Times New Roman" w:hAnsi="Times New Roman" w:cs="Times New Roman"/>
                <w:color w:val="000000" w:themeColor="text1"/>
                <w:kern w:val="0"/>
              </w:rPr>
              <w:t>～</w:t>
            </w:r>
            <w:r>
              <w:rPr>
                <w:rFonts w:ascii="Times New Roman" w:hAnsi="Times New Roman" w:cs="Times New Roman"/>
                <w:color w:val="000000" w:themeColor="text1"/>
                <w:kern w:val="0"/>
              </w:rPr>
              <w:t>1.30</w:t>
            </w:r>
          </w:p>
        </w:tc>
      </w:tr>
      <w:tr w:rsidR="002E0859" w14:paraId="63675B00" w14:textId="77777777">
        <w:trPr>
          <w:trHeight w:val="23"/>
          <w:jc w:val="center"/>
        </w:trPr>
        <w:tc>
          <w:tcPr>
            <w:tcW w:w="667" w:type="dxa"/>
            <w:vMerge/>
            <w:tcBorders>
              <w:tl2br w:val="nil"/>
              <w:tr2bl w:val="nil"/>
            </w:tcBorders>
            <w:vAlign w:val="center"/>
          </w:tcPr>
          <w:p w14:paraId="214157E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38" w:type="dxa"/>
            <w:tcBorders>
              <w:tl2br w:val="nil"/>
              <w:tr2bl w:val="nil"/>
            </w:tcBorders>
            <w:vAlign w:val="center"/>
          </w:tcPr>
          <w:p w14:paraId="62D6213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焦页</w:t>
            </w:r>
            <w:r>
              <w:rPr>
                <w:rFonts w:ascii="Times New Roman" w:hAnsi="Times New Roman" w:cs="Times New Roman"/>
                <w:color w:val="000000" w:themeColor="text1"/>
                <w:kern w:val="0"/>
              </w:rPr>
              <w:t>90-Z1HF</w:t>
            </w:r>
          </w:p>
        </w:tc>
        <w:tc>
          <w:tcPr>
            <w:tcW w:w="1409" w:type="dxa"/>
            <w:tcBorders>
              <w:tl2br w:val="nil"/>
              <w:tr2bl w:val="nil"/>
            </w:tcBorders>
            <w:vAlign w:val="center"/>
          </w:tcPr>
          <w:p w14:paraId="4BC5353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2350</w:t>
            </w:r>
            <w:r>
              <w:rPr>
                <w:rFonts w:ascii="Times New Roman" w:hAnsi="Times New Roman" w:cs="Times New Roman"/>
                <w:color w:val="000000" w:themeColor="text1"/>
                <w:kern w:val="0"/>
              </w:rPr>
              <w:t>～</w:t>
            </w:r>
            <w:r>
              <w:rPr>
                <w:rFonts w:ascii="Times New Roman" w:hAnsi="Times New Roman" w:cs="Times New Roman"/>
                <w:color w:val="000000" w:themeColor="text1"/>
                <w:kern w:val="0"/>
              </w:rPr>
              <w:t>3472</w:t>
            </w:r>
          </w:p>
        </w:tc>
        <w:tc>
          <w:tcPr>
            <w:tcW w:w="1452" w:type="dxa"/>
            <w:vMerge/>
            <w:tcBorders>
              <w:tl2br w:val="nil"/>
              <w:tr2bl w:val="nil"/>
            </w:tcBorders>
            <w:vAlign w:val="center"/>
          </w:tcPr>
          <w:p w14:paraId="6796561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9" w:type="dxa"/>
            <w:vMerge/>
            <w:tcBorders>
              <w:tl2br w:val="nil"/>
              <w:tr2bl w:val="nil"/>
            </w:tcBorders>
            <w:vAlign w:val="center"/>
          </w:tcPr>
          <w:p w14:paraId="0D71A08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30" w:type="dxa"/>
            <w:vMerge/>
            <w:tcBorders>
              <w:tl2br w:val="nil"/>
              <w:tr2bl w:val="nil"/>
            </w:tcBorders>
            <w:vAlign w:val="center"/>
          </w:tcPr>
          <w:p w14:paraId="5B280B4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406" w:type="dxa"/>
            <w:vMerge/>
            <w:tcBorders>
              <w:tl2br w:val="nil"/>
              <w:tr2bl w:val="nil"/>
            </w:tcBorders>
            <w:vAlign w:val="center"/>
          </w:tcPr>
          <w:p w14:paraId="2A463B8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r>
      <w:tr w:rsidR="002E0859" w14:paraId="5077F503" w14:textId="77777777">
        <w:trPr>
          <w:trHeight w:val="23"/>
          <w:jc w:val="center"/>
        </w:trPr>
        <w:tc>
          <w:tcPr>
            <w:tcW w:w="667" w:type="dxa"/>
            <w:vMerge w:val="restart"/>
            <w:tcBorders>
              <w:tl2br w:val="nil"/>
              <w:tr2bl w:val="nil"/>
            </w:tcBorders>
            <w:vAlign w:val="center"/>
          </w:tcPr>
          <w:p w14:paraId="0F1AF37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三开</w:t>
            </w:r>
          </w:p>
        </w:tc>
        <w:tc>
          <w:tcPr>
            <w:tcW w:w="1638" w:type="dxa"/>
            <w:tcBorders>
              <w:tl2br w:val="nil"/>
              <w:tr2bl w:val="nil"/>
            </w:tcBorders>
            <w:vAlign w:val="center"/>
          </w:tcPr>
          <w:p w14:paraId="17FB7F6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焦页</w:t>
            </w:r>
            <w:r>
              <w:rPr>
                <w:rFonts w:ascii="Times New Roman" w:hAnsi="Times New Roman" w:cs="Times New Roman"/>
                <w:color w:val="000000" w:themeColor="text1"/>
                <w:kern w:val="0"/>
              </w:rPr>
              <w:t>90-5HF</w:t>
            </w:r>
          </w:p>
        </w:tc>
        <w:tc>
          <w:tcPr>
            <w:tcW w:w="1409" w:type="dxa"/>
            <w:tcBorders>
              <w:tl2br w:val="nil"/>
              <w:tr2bl w:val="nil"/>
            </w:tcBorders>
            <w:vAlign w:val="center"/>
          </w:tcPr>
          <w:p w14:paraId="2653D52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3482</w:t>
            </w:r>
            <w:r>
              <w:rPr>
                <w:rFonts w:ascii="Times New Roman" w:hAnsi="Times New Roman" w:cs="Times New Roman"/>
                <w:color w:val="000000" w:themeColor="text1"/>
                <w:kern w:val="0"/>
              </w:rPr>
              <w:t>～</w:t>
            </w:r>
            <w:r>
              <w:rPr>
                <w:rFonts w:ascii="Times New Roman" w:hAnsi="Times New Roman" w:cs="Times New Roman"/>
                <w:color w:val="000000" w:themeColor="text1"/>
                <w:kern w:val="0"/>
              </w:rPr>
              <w:t>5900</w:t>
            </w:r>
          </w:p>
        </w:tc>
        <w:tc>
          <w:tcPr>
            <w:tcW w:w="1452" w:type="dxa"/>
            <w:vMerge w:val="restart"/>
            <w:tcBorders>
              <w:tl2br w:val="nil"/>
              <w:tr2bl w:val="nil"/>
            </w:tcBorders>
            <w:vAlign w:val="center"/>
          </w:tcPr>
          <w:p w14:paraId="79253C9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龙马溪组</w:t>
            </w:r>
          </w:p>
        </w:tc>
        <w:tc>
          <w:tcPr>
            <w:tcW w:w="1439" w:type="dxa"/>
            <w:vMerge w:val="restart"/>
            <w:tcBorders>
              <w:tl2br w:val="nil"/>
              <w:tr2bl w:val="nil"/>
            </w:tcBorders>
            <w:vAlign w:val="center"/>
          </w:tcPr>
          <w:p w14:paraId="24925DA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1.40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1.50</w:t>
            </w:r>
          </w:p>
        </w:tc>
        <w:tc>
          <w:tcPr>
            <w:tcW w:w="1430" w:type="dxa"/>
            <w:vMerge w:val="restart"/>
            <w:tcBorders>
              <w:tl2br w:val="nil"/>
              <w:tr2bl w:val="nil"/>
            </w:tcBorders>
            <w:vAlign w:val="center"/>
          </w:tcPr>
          <w:p w14:paraId="1E1E84D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1.45</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1.55</w:t>
            </w:r>
          </w:p>
        </w:tc>
        <w:tc>
          <w:tcPr>
            <w:tcW w:w="1406" w:type="dxa"/>
            <w:vMerge w:val="restart"/>
            <w:tcBorders>
              <w:tl2br w:val="nil"/>
              <w:tr2bl w:val="nil"/>
            </w:tcBorders>
            <w:vAlign w:val="center"/>
          </w:tcPr>
          <w:p w14:paraId="13DAEB0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1.40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1.50</w:t>
            </w:r>
          </w:p>
        </w:tc>
      </w:tr>
      <w:tr w:rsidR="002E0859" w14:paraId="3B422D2B" w14:textId="77777777">
        <w:trPr>
          <w:trHeight w:val="23"/>
          <w:jc w:val="center"/>
        </w:trPr>
        <w:tc>
          <w:tcPr>
            <w:tcW w:w="667" w:type="dxa"/>
            <w:vMerge/>
            <w:tcBorders>
              <w:tl2br w:val="nil"/>
              <w:tr2bl w:val="nil"/>
            </w:tcBorders>
            <w:vAlign w:val="center"/>
          </w:tcPr>
          <w:p w14:paraId="24FF6323"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638" w:type="dxa"/>
            <w:tcBorders>
              <w:tl2br w:val="nil"/>
              <w:tr2bl w:val="nil"/>
            </w:tcBorders>
            <w:vAlign w:val="center"/>
          </w:tcPr>
          <w:p w14:paraId="748AF08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焦页</w:t>
            </w:r>
            <w:r>
              <w:rPr>
                <w:rFonts w:ascii="Times New Roman" w:hAnsi="Times New Roman" w:cs="Times New Roman"/>
                <w:color w:val="000000" w:themeColor="text1"/>
                <w:kern w:val="0"/>
              </w:rPr>
              <w:t>90-Z1HF</w:t>
            </w:r>
          </w:p>
        </w:tc>
        <w:tc>
          <w:tcPr>
            <w:tcW w:w="1409" w:type="dxa"/>
            <w:tcBorders>
              <w:tl2br w:val="nil"/>
              <w:tr2bl w:val="nil"/>
            </w:tcBorders>
            <w:vAlign w:val="center"/>
          </w:tcPr>
          <w:p w14:paraId="113A81C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3472</w:t>
            </w:r>
            <w:r>
              <w:rPr>
                <w:rFonts w:ascii="Times New Roman" w:hAnsi="Times New Roman" w:cs="Times New Roman"/>
                <w:color w:val="000000" w:themeColor="text1"/>
                <w:kern w:val="0"/>
              </w:rPr>
              <w:t>～</w:t>
            </w:r>
            <w:r>
              <w:rPr>
                <w:rFonts w:ascii="Times New Roman" w:hAnsi="Times New Roman" w:cs="Times New Roman"/>
                <w:color w:val="000000" w:themeColor="text1"/>
                <w:kern w:val="0"/>
              </w:rPr>
              <w:t>5820</w:t>
            </w:r>
          </w:p>
        </w:tc>
        <w:tc>
          <w:tcPr>
            <w:tcW w:w="1452" w:type="dxa"/>
            <w:vMerge/>
            <w:tcBorders>
              <w:tl2br w:val="nil"/>
              <w:tr2bl w:val="nil"/>
            </w:tcBorders>
            <w:vAlign w:val="center"/>
          </w:tcPr>
          <w:p w14:paraId="0C925AA3"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439" w:type="dxa"/>
            <w:vMerge/>
            <w:tcBorders>
              <w:tl2br w:val="nil"/>
              <w:tr2bl w:val="nil"/>
            </w:tcBorders>
            <w:vAlign w:val="center"/>
          </w:tcPr>
          <w:p w14:paraId="65ABC56D"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430" w:type="dxa"/>
            <w:vMerge/>
            <w:tcBorders>
              <w:tl2br w:val="nil"/>
              <w:tr2bl w:val="nil"/>
            </w:tcBorders>
            <w:vAlign w:val="center"/>
          </w:tcPr>
          <w:p w14:paraId="09C1D8DE"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406" w:type="dxa"/>
            <w:vMerge/>
            <w:tcBorders>
              <w:tl2br w:val="nil"/>
              <w:tr2bl w:val="nil"/>
            </w:tcBorders>
            <w:vAlign w:val="center"/>
          </w:tcPr>
          <w:p w14:paraId="6CA97032"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r>
    </w:tbl>
    <w:p w14:paraId="74CB9FF6" w14:textId="77777777" w:rsidR="002E0859" w:rsidRDefault="002E0859">
      <w:pPr>
        <w:widowControl/>
        <w:kinsoku w:val="0"/>
        <w:topLinePunct w:val="0"/>
        <w:autoSpaceDE w:val="0"/>
        <w:autoSpaceDN w:val="0"/>
        <w:spacing w:line="14" w:lineRule="auto"/>
        <w:ind w:firstLineChars="0" w:firstLine="0"/>
        <w:jc w:val="left"/>
        <w:textAlignment w:val="baseline"/>
        <w:rPr>
          <w:rFonts w:ascii="Arial" w:eastAsia="Arial" w:hAnsi="Arial" w:cs="Arial"/>
          <w:snapToGrid w:val="0"/>
          <w:color w:val="000000" w:themeColor="text1"/>
          <w:kern w:val="0"/>
          <w:sz w:val="2"/>
          <w:szCs w:val="21"/>
          <w:lang w:eastAsia="en-US"/>
        </w:rPr>
      </w:pPr>
    </w:p>
    <w:p w14:paraId="42C49C4C" w14:textId="77777777" w:rsidR="002E0859" w:rsidRDefault="00000000">
      <w:pPr>
        <w:widowControl/>
        <w:kinsoku w:val="0"/>
        <w:topLinePunct w:val="0"/>
        <w:autoSpaceDE w:val="0"/>
        <w:autoSpaceDN w:val="0"/>
        <w:spacing w:beforeLines="50" w:before="120" w:line="360" w:lineRule="auto"/>
        <w:ind w:firstLineChars="0" w:firstLine="0"/>
        <w:jc w:val="left"/>
        <w:textAlignment w:val="baseline"/>
        <w:rPr>
          <w:rFonts w:ascii="宋体" w:hAnsi="宋体" w:cs="宋体"/>
          <w:snapToGrid w:val="0"/>
          <w:color w:val="000000" w:themeColor="text1"/>
          <w:kern w:val="0"/>
          <w:sz w:val="24"/>
          <w:szCs w:val="24"/>
          <w:lang w:eastAsia="en-US"/>
        </w:rPr>
      </w:pPr>
      <w:r>
        <w:rPr>
          <w:snapToGrid w:val="0"/>
          <w:color w:val="000000" w:themeColor="text1"/>
          <w:kern w:val="0"/>
          <w:sz w:val="21"/>
          <w:szCs w:val="21"/>
        </w:rPr>
        <w:t>3</w:t>
      </w:r>
      <w:r>
        <w:rPr>
          <w:snapToGrid w:val="0"/>
          <w:color w:val="000000" w:themeColor="text1"/>
          <w:kern w:val="0"/>
          <w:sz w:val="21"/>
          <w:szCs w:val="21"/>
        </w:rPr>
        <w:t>、</w:t>
      </w:r>
      <w:r>
        <w:rPr>
          <w:rFonts w:ascii="宋体" w:hAnsi="宋体" w:cs="宋体"/>
          <w:snapToGrid w:val="0"/>
          <w:color w:val="000000" w:themeColor="text1"/>
          <w:spacing w:val="-1"/>
          <w:kern w:val="0"/>
          <w:sz w:val="24"/>
          <w:szCs w:val="24"/>
          <w:lang w:eastAsia="en-US"/>
        </w:rPr>
        <w:t>钻井液性能参数设计</w:t>
      </w:r>
    </w:p>
    <w:p w14:paraId="0BACFA3C"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 xml:space="preserve">11 </w:t>
      </w:r>
      <w:r>
        <w:rPr>
          <w:rFonts w:eastAsia="黑体" w:hint="eastAsia"/>
          <w:color w:val="000000" w:themeColor="text1"/>
          <w:sz w:val="21"/>
          <w:szCs w:val="21"/>
          <w:lang w:eastAsia="en-US"/>
        </w:rPr>
        <w:t>分段钻井液性能参数设计</w:t>
      </w:r>
    </w:p>
    <w:p w14:paraId="0608957C" w14:textId="77777777" w:rsidR="002E0859" w:rsidRDefault="002E0859">
      <w:pPr>
        <w:widowControl/>
        <w:kinsoku w:val="0"/>
        <w:topLinePunct w:val="0"/>
        <w:autoSpaceDE w:val="0"/>
        <w:autoSpaceDN w:val="0"/>
        <w:spacing w:line="15"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9460"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147"/>
        <w:gridCol w:w="1874"/>
        <w:gridCol w:w="1605"/>
        <w:gridCol w:w="1905"/>
        <w:gridCol w:w="1929"/>
      </w:tblGrid>
      <w:tr w:rsidR="002E0859" w14:paraId="7D611F9C" w14:textId="77777777">
        <w:trPr>
          <w:trHeight w:val="23"/>
          <w:jc w:val="center"/>
        </w:trPr>
        <w:tc>
          <w:tcPr>
            <w:tcW w:w="2147" w:type="dxa"/>
            <w:tcBorders>
              <w:tl2br w:val="nil"/>
              <w:tr2bl w:val="nil"/>
            </w:tcBorders>
            <w:vAlign w:val="center"/>
          </w:tcPr>
          <w:p w14:paraId="125B66A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井段</w:t>
            </w:r>
            <w:r>
              <w:rPr>
                <w:rFonts w:ascii="Times New Roman" w:hAnsi="Times New Roman" w:cs="Times New Roman"/>
                <w:color w:val="000000" w:themeColor="text1"/>
                <w:kern w:val="0"/>
              </w:rPr>
              <w:t>(m)</w:t>
            </w:r>
          </w:p>
        </w:tc>
        <w:tc>
          <w:tcPr>
            <w:tcW w:w="1874" w:type="dxa"/>
            <w:tcBorders>
              <w:tl2br w:val="nil"/>
              <w:tr2bl w:val="nil"/>
            </w:tcBorders>
            <w:vAlign w:val="center"/>
          </w:tcPr>
          <w:p w14:paraId="577ED04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p>
        </w:tc>
        <w:tc>
          <w:tcPr>
            <w:tcW w:w="1605" w:type="dxa"/>
            <w:tcBorders>
              <w:tl2br w:val="nil"/>
              <w:tr2bl w:val="nil"/>
            </w:tcBorders>
            <w:vAlign w:val="center"/>
          </w:tcPr>
          <w:p w14:paraId="37089D3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w:t>
            </w:r>
            <w:r>
              <w:rPr>
                <w:rFonts w:ascii="Times New Roman" w:hAnsi="Times New Roman" w:cs="Times New Roman"/>
                <w:color w:val="000000" w:themeColor="text1"/>
                <w:kern w:val="0"/>
              </w:rPr>
              <w:t>～茅口组底或造斜点</w:t>
            </w:r>
          </w:p>
        </w:tc>
        <w:tc>
          <w:tcPr>
            <w:tcW w:w="1905" w:type="dxa"/>
            <w:tcBorders>
              <w:tl2br w:val="nil"/>
              <w:tr2bl w:val="nil"/>
            </w:tcBorders>
            <w:vAlign w:val="center"/>
          </w:tcPr>
          <w:p w14:paraId="6085138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二开余下井段</w:t>
            </w:r>
          </w:p>
        </w:tc>
        <w:tc>
          <w:tcPr>
            <w:tcW w:w="1929" w:type="dxa"/>
            <w:tcBorders>
              <w:tl2br w:val="nil"/>
              <w:tr2bl w:val="nil"/>
            </w:tcBorders>
            <w:vAlign w:val="center"/>
          </w:tcPr>
          <w:p w14:paraId="6C4A671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三开</w:t>
            </w:r>
          </w:p>
        </w:tc>
      </w:tr>
      <w:tr w:rsidR="002E0859" w14:paraId="39D6EB08" w14:textId="77777777">
        <w:trPr>
          <w:trHeight w:val="384"/>
          <w:jc w:val="center"/>
        </w:trPr>
        <w:tc>
          <w:tcPr>
            <w:tcW w:w="2147" w:type="dxa"/>
            <w:tcBorders>
              <w:tl2br w:val="nil"/>
              <w:tr2bl w:val="nil"/>
            </w:tcBorders>
            <w:vAlign w:val="center"/>
          </w:tcPr>
          <w:p w14:paraId="1206B07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钻井液类型</w:t>
            </w:r>
          </w:p>
        </w:tc>
        <w:tc>
          <w:tcPr>
            <w:tcW w:w="1874" w:type="dxa"/>
            <w:tcBorders>
              <w:tl2br w:val="nil"/>
              <w:tr2bl w:val="nil"/>
            </w:tcBorders>
            <w:vAlign w:val="center"/>
          </w:tcPr>
          <w:p w14:paraId="25AC846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膨润土浆</w:t>
            </w:r>
          </w:p>
        </w:tc>
        <w:tc>
          <w:tcPr>
            <w:tcW w:w="1605" w:type="dxa"/>
            <w:tcBorders>
              <w:tl2br w:val="nil"/>
              <w:tr2bl w:val="nil"/>
            </w:tcBorders>
            <w:vAlign w:val="center"/>
          </w:tcPr>
          <w:p w14:paraId="665FF54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清水</w:t>
            </w:r>
          </w:p>
        </w:tc>
        <w:tc>
          <w:tcPr>
            <w:tcW w:w="1905" w:type="dxa"/>
            <w:tcBorders>
              <w:tl2br w:val="nil"/>
              <w:tr2bl w:val="nil"/>
            </w:tcBorders>
            <w:vAlign w:val="center"/>
          </w:tcPr>
          <w:p w14:paraId="0A507AE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钙钾基聚合物钻井液</w:t>
            </w:r>
          </w:p>
        </w:tc>
        <w:tc>
          <w:tcPr>
            <w:tcW w:w="1929" w:type="dxa"/>
            <w:tcBorders>
              <w:tl2br w:val="nil"/>
              <w:tr2bl w:val="nil"/>
            </w:tcBorders>
            <w:vAlign w:val="center"/>
          </w:tcPr>
          <w:p w14:paraId="4C88DEC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油基钻井液</w:t>
            </w:r>
          </w:p>
        </w:tc>
      </w:tr>
      <w:tr w:rsidR="002E0859" w14:paraId="78B6D908" w14:textId="77777777">
        <w:trPr>
          <w:trHeight w:val="23"/>
          <w:jc w:val="center"/>
        </w:trPr>
        <w:tc>
          <w:tcPr>
            <w:tcW w:w="2147" w:type="dxa"/>
            <w:tcBorders>
              <w:tl2br w:val="nil"/>
              <w:tr2bl w:val="nil"/>
            </w:tcBorders>
            <w:vAlign w:val="center"/>
          </w:tcPr>
          <w:p w14:paraId="050365F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井段</w:t>
            </w:r>
            <w:r>
              <w:rPr>
                <w:rFonts w:ascii="Times New Roman" w:hAnsi="Times New Roman" w:cs="Times New Roman"/>
                <w:color w:val="000000" w:themeColor="text1"/>
                <w:kern w:val="0"/>
              </w:rPr>
              <w:t>(m)</w:t>
            </w:r>
          </w:p>
        </w:tc>
        <w:tc>
          <w:tcPr>
            <w:tcW w:w="1874" w:type="dxa"/>
            <w:tcBorders>
              <w:tl2br w:val="nil"/>
              <w:tr2bl w:val="nil"/>
            </w:tcBorders>
            <w:vAlign w:val="center"/>
          </w:tcPr>
          <w:p w14:paraId="6E6BFA0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p>
        </w:tc>
        <w:tc>
          <w:tcPr>
            <w:tcW w:w="1605" w:type="dxa"/>
            <w:tcBorders>
              <w:tl2br w:val="nil"/>
              <w:tr2bl w:val="nil"/>
            </w:tcBorders>
            <w:vAlign w:val="center"/>
          </w:tcPr>
          <w:p w14:paraId="3F634F4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w:t>
            </w:r>
            <w:r>
              <w:rPr>
                <w:rFonts w:ascii="Times New Roman" w:hAnsi="Times New Roman" w:cs="Times New Roman"/>
                <w:color w:val="000000" w:themeColor="text1"/>
                <w:kern w:val="0"/>
              </w:rPr>
              <w:t>～茅口组底或造</w:t>
            </w:r>
            <w:r>
              <w:rPr>
                <w:rFonts w:ascii="Times New Roman" w:hAnsi="Times New Roman" w:cs="Times New Roman"/>
                <w:color w:val="000000" w:themeColor="text1"/>
                <w:kern w:val="0"/>
              </w:rPr>
              <w:lastRenderedPageBreak/>
              <w:t>斜点</w:t>
            </w:r>
          </w:p>
        </w:tc>
        <w:tc>
          <w:tcPr>
            <w:tcW w:w="1905" w:type="dxa"/>
            <w:tcBorders>
              <w:tl2br w:val="nil"/>
              <w:tr2bl w:val="nil"/>
            </w:tcBorders>
            <w:vAlign w:val="center"/>
          </w:tcPr>
          <w:p w14:paraId="5FE46EB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二开余下井段</w:t>
            </w:r>
          </w:p>
        </w:tc>
        <w:tc>
          <w:tcPr>
            <w:tcW w:w="1929" w:type="dxa"/>
            <w:tcBorders>
              <w:tl2br w:val="nil"/>
              <w:tr2bl w:val="nil"/>
            </w:tcBorders>
            <w:vAlign w:val="center"/>
          </w:tcPr>
          <w:p w14:paraId="5978573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三开</w:t>
            </w:r>
          </w:p>
        </w:tc>
      </w:tr>
      <w:tr w:rsidR="002E0859" w14:paraId="5965ED86" w14:textId="77777777">
        <w:trPr>
          <w:trHeight w:val="23"/>
          <w:jc w:val="center"/>
        </w:trPr>
        <w:tc>
          <w:tcPr>
            <w:tcW w:w="2147" w:type="dxa"/>
            <w:tcBorders>
              <w:tl2br w:val="nil"/>
              <w:tr2bl w:val="nil"/>
            </w:tcBorders>
            <w:vAlign w:val="center"/>
          </w:tcPr>
          <w:p w14:paraId="19B0F20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密度（</w:t>
            </w:r>
            <w:r>
              <w:rPr>
                <w:rFonts w:ascii="Times New Roman" w:hAnsi="Times New Roman" w:cs="Times New Roman"/>
                <w:color w:val="000000" w:themeColor="text1"/>
                <w:kern w:val="0"/>
              </w:rPr>
              <w:t>g/cm</w:t>
            </w:r>
            <w:r>
              <w:rPr>
                <w:rFonts w:ascii="Times New Roman" w:hAnsi="Times New Roman" w:cs="Times New Roman"/>
                <w:color w:val="000000" w:themeColor="text1"/>
                <w:kern w:val="0"/>
                <w:vertAlign w:val="superscript"/>
              </w:rPr>
              <w:t>3</w:t>
            </w:r>
            <w:r>
              <w:rPr>
                <w:rFonts w:ascii="Times New Roman" w:hAnsi="Times New Roman" w:cs="Times New Roman"/>
                <w:color w:val="000000" w:themeColor="text1"/>
                <w:kern w:val="0"/>
              </w:rPr>
              <w:t>）</w:t>
            </w:r>
          </w:p>
        </w:tc>
        <w:tc>
          <w:tcPr>
            <w:tcW w:w="1874" w:type="dxa"/>
            <w:tcBorders>
              <w:tl2br w:val="nil"/>
              <w:tr2bl w:val="nil"/>
            </w:tcBorders>
            <w:vAlign w:val="center"/>
          </w:tcPr>
          <w:p w14:paraId="3440F1F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1.05</w:t>
            </w:r>
            <w:r>
              <w:rPr>
                <w:rFonts w:ascii="Times New Roman" w:hAnsi="Times New Roman" w:cs="Times New Roman"/>
                <w:color w:val="000000" w:themeColor="text1"/>
                <w:kern w:val="0"/>
              </w:rPr>
              <w:t>～</w:t>
            </w:r>
            <w:r>
              <w:rPr>
                <w:rFonts w:ascii="Times New Roman" w:hAnsi="Times New Roman" w:cs="Times New Roman"/>
                <w:color w:val="000000" w:themeColor="text1"/>
                <w:kern w:val="0"/>
              </w:rPr>
              <w:t>1.15</w:t>
            </w:r>
          </w:p>
        </w:tc>
        <w:tc>
          <w:tcPr>
            <w:tcW w:w="1605" w:type="dxa"/>
            <w:tcBorders>
              <w:tl2br w:val="nil"/>
              <w:tr2bl w:val="nil"/>
            </w:tcBorders>
            <w:vAlign w:val="center"/>
          </w:tcPr>
          <w:p w14:paraId="3A90911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1.02</w:t>
            </w:r>
            <w:r>
              <w:rPr>
                <w:rFonts w:ascii="Times New Roman" w:hAnsi="Times New Roman" w:cs="Times New Roman"/>
                <w:color w:val="000000" w:themeColor="text1"/>
                <w:kern w:val="0"/>
              </w:rPr>
              <w:t>～</w:t>
            </w:r>
            <w:r>
              <w:rPr>
                <w:rFonts w:ascii="Times New Roman" w:hAnsi="Times New Roman" w:cs="Times New Roman"/>
                <w:color w:val="000000" w:themeColor="text1"/>
                <w:kern w:val="0"/>
              </w:rPr>
              <w:t>1.10</w:t>
            </w:r>
          </w:p>
        </w:tc>
        <w:tc>
          <w:tcPr>
            <w:tcW w:w="1905" w:type="dxa"/>
            <w:tcBorders>
              <w:tl2br w:val="nil"/>
              <w:tr2bl w:val="nil"/>
            </w:tcBorders>
            <w:vAlign w:val="center"/>
          </w:tcPr>
          <w:p w14:paraId="571BD85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1.13</w:t>
            </w:r>
            <w:r>
              <w:rPr>
                <w:rFonts w:ascii="Times New Roman" w:hAnsi="Times New Roman" w:cs="Times New Roman"/>
                <w:color w:val="000000" w:themeColor="text1"/>
                <w:kern w:val="0"/>
              </w:rPr>
              <w:t>～</w:t>
            </w:r>
            <w:r>
              <w:rPr>
                <w:rFonts w:ascii="Times New Roman" w:hAnsi="Times New Roman" w:cs="Times New Roman"/>
                <w:color w:val="000000" w:themeColor="text1"/>
                <w:kern w:val="0"/>
              </w:rPr>
              <w:t>1.30</w:t>
            </w:r>
          </w:p>
        </w:tc>
        <w:tc>
          <w:tcPr>
            <w:tcW w:w="1929" w:type="dxa"/>
            <w:tcBorders>
              <w:tl2br w:val="nil"/>
              <w:tr2bl w:val="nil"/>
            </w:tcBorders>
            <w:vAlign w:val="center"/>
          </w:tcPr>
          <w:p w14:paraId="624703B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1.40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1.50</w:t>
            </w:r>
          </w:p>
        </w:tc>
      </w:tr>
      <w:tr w:rsidR="002E0859" w14:paraId="114EDECE" w14:textId="77777777">
        <w:trPr>
          <w:trHeight w:val="23"/>
          <w:jc w:val="center"/>
        </w:trPr>
        <w:tc>
          <w:tcPr>
            <w:tcW w:w="2147" w:type="dxa"/>
            <w:tcBorders>
              <w:tl2br w:val="nil"/>
              <w:tr2bl w:val="nil"/>
            </w:tcBorders>
            <w:vAlign w:val="center"/>
          </w:tcPr>
          <w:p w14:paraId="3656256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漏斗粘度（</w:t>
            </w:r>
            <w:r>
              <w:rPr>
                <w:rFonts w:ascii="Times New Roman" w:hAnsi="Times New Roman" w:cs="Times New Roman"/>
                <w:color w:val="000000" w:themeColor="text1"/>
                <w:kern w:val="0"/>
              </w:rPr>
              <w:t>s</w:t>
            </w:r>
            <w:r>
              <w:rPr>
                <w:rFonts w:ascii="Times New Roman" w:hAnsi="Times New Roman" w:cs="Times New Roman"/>
                <w:color w:val="000000" w:themeColor="text1"/>
                <w:kern w:val="0"/>
              </w:rPr>
              <w:t>）</w:t>
            </w:r>
          </w:p>
        </w:tc>
        <w:tc>
          <w:tcPr>
            <w:tcW w:w="1874" w:type="dxa"/>
            <w:tcBorders>
              <w:tl2br w:val="nil"/>
              <w:tr2bl w:val="nil"/>
            </w:tcBorders>
            <w:vAlign w:val="center"/>
          </w:tcPr>
          <w:p w14:paraId="21E6376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40</w:t>
            </w:r>
            <w:r>
              <w:rPr>
                <w:rFonts w:ascii="Times New Roman" w:hAnsi="Times New Roman" w:cs="Times New Roman"/>
                <w:color w:val="000000" w:themeColor="text1"/>
                <w:kern w:val="0"/>
              </w:rPr>
              <w:t>～</w:t>
            </w:r>
            <w:r>
              <w:rPr>
                <w:rFonts w:ascii="Times New Roman" w:hAnsi="Times New Roman" w:cs="Times New Roman"/>
                <w:color w:val="000000" w:themeColor="text1"/>
                <w:kern w:val="0"/>
              </w:rPr>
              <w:t>60</w:t>
            </w:r>
          </w:p>
        </w:tc>
        <w:tc>
          <w:tcPr>
            <w:tcW w:w="1605" w:type="dxa"/>
            <w:tcBorders>
              <w:tl2br w:val="nil"/>
              <w:tr2bl w:val="nil"/>
            </w:tcBorders>
            <w:vAlign w:val="center"/>
          </w:tcPr>
          <w:p w14:paraId="17E7AFA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2E4B4A1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35</w:t>
            </w:r>
            <w:r>
              <w:rPr>
                <w:rFonts w:ascii="Times New Roman" w:hAnsi="Times New Roman" w:cs="Times New Roman"/>
                <w:color w:val="000000" w:themeColor="text1"/>
                <w:kern w:val="0"/>
              </w:rPr>
              <w:t>～</w:t>
            </w:r>
            <w:r>
              <w:rPr>
                <w:rFonts w:ascii="Times New Roman" w:hAnsi="Times New Roman" w:cs="Times New Roman"/>
                <w:color w:val="000000" w:themeColor="text1"/>
                <w:kern w:val="0"/>
              </w:rPr>
              <w:t>55</w:t>
            </w:r>
          </w:p>
        </w:tc>
        <w:tc>
          <w:tcPr>
            <w:tcW w:w="1929" w:type="dxa"/>
            <w:tcBorders>
              <w:tl2br w:val="nil"/>
              <w:tr2bl w:val="nil"/>
            </w:tcBorders>
            <w:vAlign w:val="center"/>
          </w:tcPr>
          <w:p w14:paraId="1966A18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50</w:t>
            </w:r>
            <w:r>
              <w:rPr>
                <w:rFonts w:ascii="Times New Roman" w:hAnsi="Times New Roman" w:cs="Times New Roman"/>
                <w:color w:val="000000" w:themeColor="text1"/>
                <w:kern w:val="0"/>
              </w:rPr>
              <w:t>～</w:t>
            </w:r>
            <w:r>
              <w:rPr>
                <w:rFonts w:ascii="Times New Roman" w:hAnsi="Times New Roman" w:cs="Times New Roman"/>
                <w:color w:val="000000" w:themeColor="text1"/>
                <w:kern w:val="0"/>
              </w:rPr>
              <w:t>75</w:t>
            </w:r>
          </w:p>
        </w:tc>
      </w:tr>
      <w:tr w:rsidR="002E0859" w14:paraId="51CFF62A" w14:textId="77777777">
        <w:trPr>
          <w:trHeight w:val="23"/>
          <w:jc w:val="center"/>
        </w:trPr>
        <w:tc>
          <w:tcPr>
            <w:tcW w:w="2147" w:type="dxa"/>
            <w:tcBorders>
              <w:tl2br w:val="nil"/>
              <w:tr2bl w:val="nil"/>
            </w:tcBorders>
            <w:vAlign w:val="center"/>
          </w:tcPr>
          <w:p w14:paraId="19C651D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API</w:t>
            </w:r>
            <w:r>
              <w:rPr>
                <w:rFonts w:ascii="Times New Roman" w:hAnsi="Times New Roman" w:cs="Times New Roman"/>
                <w:color w:val="000000" w:themeColor="text1"/>
                <w:kern w:val="0"/>
              </w:rPr>
              <w:t>滤失量（</w:t>
            </w:r>
            <w:r>
              <w:rPr>
                <w:rFonts w:ascii="Times New Roman" w:hAnsi="Times New Roman" w:cs="Times New Roman"/>
                <w:color w:val="000000" w:themeColor="text1"/>
                <w:kern w:val="0"/>
              </w:rPr>
              <w:t>ml</w:t>
            </w:r>
            <w:r>
              <w:rPr>
                <w:rFonts w:ascii="Times New Roman" w:hAnsi="Times New Roman" w:cs="Times New Roman"/>
                <w:color w:val="000000" w:themeColor="text1"/>
                <w:kern w:val="0"/>
              </w:rPr>
              <w:t>）</w:t>
            </w:r>
          </w:p>
        </w:tc>
        <w:tc>
          <w:tcPr>
            <w:tcW w:w="1874" w:type="dxa"/>
            <w:tcBorders>
              <w:tl2br w:val="nil"/>
              <w:tr2bl w:val="nil"/>
            </w:tcBorders>
            <w:vAlign w:val="center"/>
          </w:tcPr>
          <w:p w14:paraId="683F5AA2"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6184E06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41A1AA4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≤8</w:t>
            </w:r>
          </w:p>
        </w:tc>
        <w:tc>
          <w:tcPr>
            <w:tcW w:w="1929" w:type="dxa"/>
            <w:tcBorders>
              <w:tl2br w:val="nil"/>
              <w:tr2bl w:val="nil"/>
            </w:tcBorders>
            <w:vAlign w:val="center"/>
          </w:tcPr>
          <w:p w14:paraId="720F58D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w:t>
            </w:r>
          </w:p>
        </w:tc>
      </w:tr>
      <w:tr w:rsidR="002E0859" w14:paraId="0EF2BB03" w14:textId="77777777">
        <w:trPr>
          <w:trHeight w:val="23"/>
          <w:jc w:val="center"/>
        </w:trPr>
        <w:tc>
          <w:tcPr>
            <w:tcW w:w="2147" w:type="dxa"/>
            <w:tcBorders>
              <w:tl2br w:val="nil"/>
              <w:tr2bl w:val="nil"/>
            </w:tcBorders>
            <w:vAlign w:val="center"/>
          </w:tcPr>
          <w:p w14:paraId="32237CC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pH</w:t>
            </w:r>
          </w:p>
        </w:tc>
        <w:tc>
          <w:tcPr>
            <w:tcW w:w="1874" w:type="dxa"/>
            <w:tcBorders>
              <w:tl2br w:val="nil"/>
              <w:tr2bl w:val="nil"/>
            </w:tcBorders>
            <w:vAlign w:val="center"/>
          </w:tcPr>
          <w:p w14:paraId="1677B29F"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090C31B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33DB020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8.0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10.0</w:t>
            </w:r>
          </w:p>
        </w:tc>
        <w:tc>
          <w:tcPr>
            <w:tcW w:w="1929" w:type="dxa"/>
            <w:tcBorders>
              <w:tl2br w:val="nil"/>
              <w:tr2bl w:val="nil"/>
            </w:tcBorders>
            <w:vAlign w:val="center"/>
          </w:tcPr>
          <w:p w14:paraId="73EABA1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r>
      <w:tr w:rsidR="002E0859" w14:paraId="5EA0E820" w14:textId="77777777">
        <w:trPr>
          <w:trHeight w:val="23"/>
          <w:jc w:val="center"/>
        </w:trPr>
        <w:tc>
          <w:tcPr>
            <w:tcW w:w="2147" w:type="dxa"/>
            <w:tcBorders>
              <w:tl2br w:val="nil"/>
              <w:tr2bl w:val="nil"/>
            </w:tcBorders>
            <w:vAlign w:val="center"/>
          </w:tcPr>
          <w:p w14:paraId="10FD18D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碱度（</w:t>
            </w:r>
            <w:r>
              <w:rPr>
                <w:rFonts w:ascii="Times New Roman" w:hAnsi="Times New Roman" w:cs="Times New Roman"/>
                <w:color w:val="000000" w:themeColor="text1"/>
                <w:kern w:val="0"/>
              </w:rPr>
              <w:t>Pom</w:t>
            </w:r>
            <w:r>
              <w:rPr>
                <w:rFonts w:ascii="Times New Roman" w:hAnsi="Times New Roman" w:cs="Times New Roman"/>
                <w:color w:val="000000" w:themeColor="text1"/>
                <w:kern w:val="0"/>
              </w:rPr>
              <w:t>）（</w:t>
            </w:r>
            <w:r>
              <w:rPr>
                <w:rFonts w:ascii="Times New Roman" w:hAnsi="Times New Roman" w:cs="Times New Roman"/>
                <w:color w:val="000000" w:themeColor="text1"/>
                <w:kern w:val="0"/>
              </w:rPr>
              <w:t>ml</w:t>
            </w:r>
            <w:r>
              <w:rPr>
                <w:rFonts w:ascii="Times New Roman" w:hAnsi="Times New Roman" w:cs="Times New Roman"/>
                <w:color w:val="000000" w:themeColor="text1"/>
                <w:kern w:val="0"/>
              </w:rPr>
              <w:t>）</w:t>
            </w:r>
          </w:p>
        </w:tc>
        <w:tc>
          <w:tcPr>
            <w:tcW w:w="1874" w:type="dxa"/>
            <w:tcBorders>
              <w:tl2br w:val="nil"/>
              <w:tr2bl w:val="nil"/>
            </w:tcBorders>
            <w:vAlign w:val="center"/>
          </w:tcPr>
          <w:p w14:paraId="58AFA7A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65BFBBE9"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0798B85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08E5455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r>
              <w:rPr>
                <w:rFonts w:ascii="Times New Roman" w:hAnsi="Times New Roman" w:cs="Times New Roman"/>
                <w:color w:val="000000" w:themeColor="text1"/>
                <w:kern w:val="0"/>
              </w:rPr>
              <w:t>～</w:t>
            </w:r>
            <w:r>
              <w:rPr>
                <w:rFonts w:ascii="Times New Roman" w:hAnsi="Times New Roman" w:cs="Times New Roman"/>
                <w:color w:val="000000" w:themeColor="text1"/>
                <w:kern w:val="0"/>
              </w:rPr>
              <w:t>3</w:t>
            </w:r>
          </w:p>
        </w:tc>
      </w:tr>
      <w:tr w:rsidR="002E0859" w14:paraId="26369E45" w14:textId="77777777">
        <w:trPr>
          <w:trHeight w:val="23"/>
          <w:jc w:val="center"/>
        </w:trPr>
        <w:tc>
          <w:tcPr>
            <w:tcW w:w="2147" w:type="dxa"/>
            <w:tcBorders>
              <w:tl2br w:val="nil"/>
              <w:tr2bl w:val="nil"/>
            </w:tcBorders>
            <w:vAlign w:val="center"/>
          </w:tcPr>
          <w:p w14:paraId="5DF5FA3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Φ6</w:t>
            </w:r>
          </w:p>
        </w:tc>
        <w:tc>
          <w:tcPr>
            <w:tcW w:w="1874" w:type="dxa"/>
            <w:tcBorders>
              <w:tl2br w:val="nil"/>
              <w:tr2bl w:val="nil"/>
            </w:tcBorders>
            <w:vAlign w:val="center"/>
          </w:tcPr>
          <w:p w14:paraId="408C69EB"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65C82BB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4B421965"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41D5129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6</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w:t>
            </w:r>
          </w:p>
        </w:tc>
      </w:tr>
      <w:tr w:rsidR="002E0859" w14:paraId="27AF0A7D" w14:textId="77777777">
        <w:trPr>
          <w:trHeight w:val="23"/>
          <w:jc w:val="center"/>
        </w:trPr>
        <w:tc>
          <w:tcPr>
            <w:tcW w:w="2147" w:type="dxa"/>
            <w:tcBorders>
              <w:tl2br w:val="nil"/>
              <w:tr2bl w:val="nil"/>
            </w:tcBorders>
            <w:vAlign w:val="center"/>
          </w:tcPr>
          <w:p w14:paraId="1862832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Φ3</w:t>
            </w:r>
          </w:p>
        </w:tc>
        <w:tc>
          <w:tcPr>
            <w:tcW w:w="1874" w:type="dxa"/>
            <w:tcBorders>
              <w:tl2br w:val="nil"/>
              <w:tr2bl w:val="nil"/>
            </w:tcBorders>
            <w:vAlign w:val="center"/>
          </w:tcPr>
          <w:p w14:paraId="164D3619"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2B211DE6"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3084B89A"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6EAAC0B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w:t>
            </w:r>
            <w:r>
              <w:rPr>
                <w:rFonts w:ascii="Times New Roman" w:hAnsi="Times New Roman" w:cs="Times New Roman"/>
                <w:color w:val="000000" w:themeColor="text1"/>
                <w:kern w:val="0"/>
              </w:rPr>
              <w:t>～</w:t>
            </w:r>
            <w:r>
              <w:rPr>
                <w:rFonts w:ascii="Times New Roman" w:hAnsi="Times New Roman" w:cs="Times New Roman"/>
                <w:color w:val="000000" w:themeColor="text1"/>
                <w:kern w:val="0"/>
              </w:rPr>
              <w:t>12</w:t>
            </w:r>
          </w:p>
        </w:tc>
      </w:tr>
      <w:tr w:rsidR="002E0859" w14:paraId="1BC02224" w14:textId="77777777">
        <w:trPr>
          <w:trHeight w:val="23"/>
          <w:jc w:val="center"/>
        </w:trPr>
        <w:tc>
          <w:tcPr>
            <w:tcW w:w="2147" w:type="dxa"/>
            <w:tcBorders>
              <w:tl2br w:val="nil"/>
              <w:tr2bl w:val="nil"/>
            </w:tcBorders>
            <w:vAlign w:val="center"/>
          </w:tcPr>
          <w:p w14:paraId="01321C4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静切力（</w:t>
            </w:r>
            <w:r>
              <w:rPr>
                <w:rFonts w:ascii="Times New Roman" w:hAnsi="Times New Roman" w:cs="Times New Roman"/>
                <w:color w:val="000000" w:themeColor="text1"/>
                <w:kern w:val="0"/>
              </w:rPr>
              <w:t>Pa</w:t>
            </w:r>
            <w:r>
              <w:rPr>
                <w:rFonts w:ascii="Times New Roman" w:hAnsi="Times New Roman" w:cs="Times New Roman"/>
                <w:color w:val="000000" w:themeColor="text1"/>
                <w:kern w:val="0"/>
              </w:rPr>
              <w:t>）</w:t>
            </w:r>
          </w:p>
        </w:tc>
        <w:tc>
          <w:tcPr>
            <w:tcW w:w="1874" w:type="dxa"/>
            <w:tcBorders>
              <w:tl2br w:val="nil"/>
              <w:tr2bl w:val="nil"/>
            </w:tcBorders>
            <w:vAlign w:val="center"/>
          </w:tcPr>
          <w:p w14:paraId="7A73927A"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3EC7457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7DC1927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r>
              <w:rPr>
                <w:rFonts w:ascii="Times New Roman" w:hAnsi="Times New Roman" w:cs="Times New Roman"/>
                <w:color w:val="000000" w:themeColor="text1"/>
                <w:kern w:val="0"/>
              </w:rPr>
              <w:t>～</w:t>
            </w:r>
            <w:r>
              <w:rPr>
                <w:rFonts w:ascii="Times New Roman" w:hAnsi="Times New Roman" w:cs="Times New Roman"/>
                <w:color w:val="000000" w:themeColor="text1"/>
                <w:kern w:val="0"/>
              </w:rPr>
              <w:t>3/3</w:t>
            </w:r>
            <w:r>
              <w:rPr>
                <w:rFonts w:ascii="Times New Roman" w:hAnsi="Times New Roman" w:cs="Times New Roman"/>
                <w:color w:val="000000" w:themeColor="text1"/>
                <w:kern w:val="0"/>
              </w:rPr>
              <w:t>～</w:t>
            </w:r>
            <w:r>
              <w:rPr>
                <w:rFonts w:ascii="Times New Roman" w:hAnsi="Times New Roman" w:cs="Times New Roman"/>
                <w:color w:val="000000" w:themeColor="text1"/>
                <w:kern w:val="0"/>
              </w:rPr>
              <w:t>6</w:t>
            </w:r>
          </w:p>
        </w:tc>
        <w:tc>
          <w:tcPr>
            <w:tcW w:w="1929" w:type="dxa"/>
            <w:tcBorders>
              <w:tl2br w:val="nil"/>
              <w:tr2bl w:val="nil"/>
            </w:tcBorders>
            <w:vAlign w:val="center"/>
          </w:tcPr>
          <w:p w14:paraId="061CD91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w:t>
            </w:r>
            <w:r>
              <w:rPr>
                <w:rFonts w:ascii="Times New Roman" w:hAnsi="Times New Roman" w:cs="Times New Roman"/>
                <w:color w:val="000000" w:themeColor="text1"/>
                <w:kern w:val="0"/>
              </w:rPr>
              <w:t>～</w:t>
            </w:r>
            <w:r>
              <w:rPr>
                <w:rFonts w:ascii="Times New Roman" w:hAnsi="Times New Roman" w:cs="Times New Roman"/>
                <w:color w:val="000000" w:themeColor="text1"/>
                <w:kern w:val="0"/>
              </w:rPr>
              <w:t>6/3</w:t>
            </w:r>
            <w:r>
              <w:rPr>
                <w:rFonts w:ascii="Times New Roman" w:hAnsi="Times New Roman" w:cs="Times New Roman"/>
                <w:color w:val="000000" w:themeColor="text1"/>
                <w:kern w:val="0"/>
              </w:rPr>
              <w:t>～</w:t>
            </w:r>
            <w:r>
              <w:rPr>
                <w:rFonts w:ascii="Times New Roman" w:hAnsi="Times New Roman" w:cs="Times New Roman"/>
                <w:color w:val="000000" w:themeColor="text1"/>
                <w:kern w:val="0"/>
              </w:rPr>
              <w:t>10</w:t>
            </w:r>
          </w:p>
        </w:tc>
      </w:tr>
      <w:tr w:rsidR="002E0859" w14:paraId="4BB6D85B" w14:textId="77777777">
        <w:trPr>
          <w:trHeight w:val="23"/>
          <w:jc w:val="center"/>
        </w:trPr>
        <w:tc>
          <w:tcPr>
            <w:tcW w:w="2147" w:type="dxa"/>
            <w:tcBorders>
              <w:tl2br w:val="nil"/>
              <w:tr2bl w:val="nil"/>
            </w:tcBorders>
            <w:vAlign w:val="center"/>
          </w:tcPr>
          <w:p w14:paraId="34EA851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含砂量（</w:t>
            </w:r>
            <w:r>
              <w:rPr>
                <w:rFonts w:ascii="Times New Roman" w:hAnsi="Times New Roman" w:cs="Times New Roman"/>
                <w:color w:val="000000" w:themeColor="text1"/>
                <w:kern w:val="0"/>
              </w:rPr>
              <w:t>%</w:t>
            </w:r>
            <w:r>
              <w:rPr>
                <w:rFonts w:ascii="Times New Roman" w:hAnsi="Times New Roman" w:cs="Times New Roman"/>
                <w:color w:val="000000" w:themeColor="text1"/>
                <w:kern w:val="0"/>
              </w:rPr>
              <w:t>）</w:t>
            </w:r>
          </w:p>
        </w:tc>
        <w:tc>
          <w:tcPr>
            <w:tcW w:w="1874" w:type="dxa"/>
            <w:tcBorders>
              <w:tl2br w:val="nil"/>
              <w:tr2bl w:val="nil"/>
            </w:tcBorders>
            <w:vAlign w:val="center"/>
          </w:tcPr>
          <w:p w14:paraId="23FF835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1C5D7F5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49EBCA7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≤0.5</w:t>
            </w:r>
          </w:p>
        </w:tc>
        <w:tc>
          <w:tcPr>
            <w:tcW w:w="1929" w:type="dxa"/>
            <w:tcBorders>
              <w:tl2br w:val="nil"/>
              <w:tr2bl w:val="nil"/>
            </w:tcBorders>
            <w:vAlign w:val="center"/>
          </w:tcPr>
          <w:p w14:paraId="75C2C2C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≤0.5</w:t>
            </w:r>
          </w:p>
        </w:tc>
      </w:tr>
      <w:tr w:rsidR="002E0859" w14:paraId="6FE7CDE8" w14:textId="77777777">
        <w:trPr>
          <w:trHeight w:val="23"/>
          <w:jc w:val="center"/>
        </w:trPr>
        <w:tc>
          <w:tcPr>
            <w:tcW w:w="2147" w:type="dxa"/>
            <w:tcBorders>
              <w:tl2br w:val="nil"/>
              <w:tr2bl w:val="nil"/>
            </w:tcBorders>
            <w:vAlign w:val="center"/>
          </w:tcPr>
          <w:p w14:paraId="4096FE5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塑性粘度（</w:t>
            </w:r>
            <w:r>
              <w:rPr>
                <w:rFonts w:ascii="Times New Roman" w:hAnsi="Times New Roman" w:cs="Times New Roman"/>
                <w:color w:val="000000" w:themeColor="text1"/>
                <w:kern w:val="0"/>
              </w:rPr>
              <w:t>mPa.s</w:t>
            </w:r>
            <w:r>
              <w:rPr>
                <w:rFonts w:ascii="Times New Roman" w:hAnsi="Times New Roman" w:cs="Times New Roman"/>
                <w:color w:val="000000" w:themeColor="text1"/>
                <w:kern w:val="0"/>
              </w:rPr>
              <w:t>）</w:t>
            </w:r>
          </w:p>
        </w:tc>
        <w:tc>
          <w:tcPr>
            <w:tcW w:w="1874" w:type="dxa"/>
            <w:tcBorders>
              <w:tl2br w:val="nil"/>
              <w:tr2bl w:val="nil"/>
            </w:tcBorders>
            <w:vAlign w:val="center"/>
          </w:tcPr>
          <w:p w14:paraId="7BA81CEE"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7B6AC1AE"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49952DB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12</w:t>
            </w:r>
            <w:r>
              <w:rPr>
                <w:rFonts w:ascii="Times New Roman" w:hAnsi="Times New Roman" w:cs="Times New Roman"/>
                <w:color w:val="000000" w:themeColor="text1"/>
                <w:kern w:val="0"/>
              </w:rPr>
              <w:t>～</w:t>
            </w:r>
            <w:r>
              <w:rPr>
                <w:rFonts w:ascii="Times New Roman" w:hAnsi="Times New Roman" w:cs="Times New Roman"/>
                <w:color w:val="000000" w:themeColor="text1"/>
                <w:kern w:val="0"/>
              </w:rPr>
              <w:t>25</w:t>
            </w:r>
          </w:p>
        </w:tc>
        <w:tc>
          <w:tcPr>
            <w:tcW w:w="1929" w:type="dxa"/>
            <w:tcBorders>
              <w:tl2br w:val="nil"/>
              <w:tr2bl w:val="nil"/>
            </w:tcBorders>
            <w:vAlign w:val="center"/>
          </w:tcPr>
          <w:p w14:paraId="7B07A8E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30</w:t>
            </w:r>
            <w:r>
              <w:rPr>
                <w:rFonts w:ascii="Times New Roman" w:hAnsi="Times New Roman" w:cs="Times New Roman"/>
                <w:color w:val="000000" w:themeColor="text1"/>
                <w:kern w:val="0"/>
              </w:rPr>
              <w:t>～</w:t>
            </w:r>
            <w:r>
              <w:rPr>
                <w:rFonts w:ascii="Times New Roman" w:hAnsi="Times New Roman" w:cs="Times New Roman"/>
                <w:color w:val="000000" w:themeColor="text1"/>
                <w:kern w:val="0"/>
              </w:rPr>
              <w:t>55</w:t>
            </w:r>
          </w:p>
        </w:tc>
      </w:tr>
      <w:tr w:rsidR="002E0859" w14:paraId="37B79C9F" w14:textId="77777777">
        <w:trPr>
          <w:trHeight w:val="23"/>
          <w:jc w:val="center"/>
        </w:trPr>
        <w:tc>
          <w:tcPr>
            <w:tcW w:w="2147" w:type="dxa"/>
            <w:tcBorders>
              <w:tl2br w:val="nil"/>
              <w:tr2bl w:val="nil"/>
            </w:tcBorders>
            <w:vAlign w:val="center"/>
          </w:tcPr>
          <w:p w14:paraId="2AD3206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动切力（</w:t>
            </w:r>
            <w:r>
              <w:rPr>
                <w:rFonts w:ascii="Times New Roman" w:hAnsi="Times New Roman" w:cs="Times New Roman"/>
                <w:color w:val="000000" w:themeColor="text1"/>
                <w:kern w:val="0"/>
              </w:rPr>
              <w:t>Pa</w:t>
            </w:r>
            <w:r>
              <w:rPr>
                <w:rFonts w:ascii="Times New Roman" w:hAnsi="Times New Roman" w:cs="Times New Roman"/>
                <w:color w:val="000000" w:themeColor="text1"/>
                <w:kern w:val="0"/>
              </w:rPr>
              <w:t>）</w:t>
            </w:r>
          </w:p>
        </w:tc>
        <w:tc>
          <w:tcPr>
            <w:tcW w:w="1874" w:type="dxa"/>
            <w:tcBorders>
              <w:tl2br w:val="nil"/>
              <w:tr2bl w:val="nil"/>
            </w:tcBorders>
            <w:vAlign w:val="center"/>
          </w:tcPr>
          <w:p w14:paraId="008F41FA"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12E2C18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20272A3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w:t>
            </w:r>
            <w:r>
              <w:rPr>
                <w:rFonts w:ascii="Times New Roman" w:hAnsi="Times New Roman" w:cs="Times New Roman"/>
                <w:color w:val="000000" w:themeColor="text1"/>
                <w:kern w:val="0"/>
              </w:rPr>
              <w:t>～</w:t>
            </w:r>
            <w:r>
              <w:rPr>
                <w:rFonts w:ascii="Times New Roman" w:hAnsi="Times New Roman" w:cs="Times New Roman"/>
                <w:color w:val="000000" w:themeColor="text1"/>
                <w:kern w:val="0"/>
              </w:rPr>
              <w:t>10</w:t>
            </w:r>
          </w:p>
        </w:tc>
        <w:tc>
          <w:tcPr>
            <w:tcW w:w="1929" w:type="dxa"/>
            <w:tcBorders>
              <w:tl2br w:val="nil"/>
              <w:tr2bl w:val="nil"/>
            </w:tcBorders>
            <w:vAlign w:val="center"/>
          </w:tcPr>
          <w:p w14:paraId="198C557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6</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w:t>
            </w:r>
          </w:p>
        </w:tc>
      </w:tr>
      <w:tr w:rsidR="002E0859" w14:paraId="77EC0830" w14:textId="77777777">
        <w:trPr>
          <w:trHeight w:val="23"/>
          <w:jc w:val="center"/>
        </w:trPr>
        <w:tc>
          <w:tcPr>
            <w:tcW w:w="2147" w:type="dxa"/>
            <w:tcBorders>
              <w:tl2br w:val="nil"/>
              <w:tr2bl w:val="nil"/>
            </w:tcBorders>
            <w:vAlign w:val="center"/>
          </w:tcPr>
          <w:p w14:paraId="1A004E8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固相含量（</w:t>
            </w:r>
            <w:r>
              <w:rPr>
                <w:rFonts w:ascii="Times New Roman" w:hAnsi="Times New Roman" w:cs="Times New Roman"/>
                <w:color w:val="000000" w:themeColor="text1"/>
                <w:kern w:val="0"/>
              </w:rPr>
              <w:t>%</w:t>
            </w:r>
            <w:r>
              <w:rPr>
                <w:rFonts w:ascii="Times New Roman" w:hAnsi="Times New Roman" w:cs="Times New Roman"/>
                <w:color w:val="000000" w:themeColor="text1"/>
                <w:kern w:val="0"/>
              </w:rPr>
              <w:t>）</w:t>
            </w:r>
          </w:p>
        </w:tc>
        <w:tc>
          <w:tcPr>
            <w:tcW w:w="1874" w:type="dxa"/>
            <w:tcBorders>
              <w:tl2br w:val="nil"/>
              <w:tr2bl w:val="nil"/>
            </w:tcBorders>
            <w:vAlign w:val="center"/>
          </w:tcPr>
          <w:p w14:paraId="18D23DA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549425FB"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5281E0C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6</w:t>
            </w:r>
            <w:r>
              <w:rPr>
                <w:rFonts w:ascii="Times New Roman" w:hAnsi="Times New Roman" w:cs="Times New Roman"/>
                <w:color w:val="000000" w:themeColor="text1"/>
                <w:kern w:val="0"/>
              </w:rPr>
              <w:t>～</w:t>
            </w:r>
            <w:r>
              <w:rPr>
                <w:rFonts w:ascii="Times New Roman" w:hAnsi="Times New Roman" w:cs="Times New Roman"/>
                <w:color w:val="000000" w:themeColor="text1"/>
                <w:kern w:val="0"/>
              </w:rPr>
              <w:t>12</w:t>
            </w:r>
          </w:p>
        </w:tc>
        <w:tc>
          <w:tcPr>
            <w:tcW w:w="1929" w:type="dxa"/>
            <w:tcBorders>
              <w:tl2br w:val="nil"/>
              <w:tr2bl w:val="nil"/>
            </w:tcBorders>
            <w:vAlign w:val="center"/>
          </w:tcPr>
          <w:p w14:paraId="5B982C6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12</w:t>
            </w:r>
            <w:r>
              <w:rPr>
                <w:rFonts w:ascii="Times New Roman" w:hAnsi="Times New Roman" w:cs="Times New Roman"/>
                <w:color w:val="000000" w:themeColor="text1"/>
                <w:kern w:val="0"/>
              </w:rPr>
              <w:t>～</w:t>
            </w:r>
            <w:r>
              <w:rPr>
                <w:rFonts w:ascii="Times New Roman" w:hAnsi="Times New Roman" w:cs="Times New Roman"/>
                <w:color w:val="000000" w:themeColor="text1"/>
                <w:kern w:val="0"/>
              </w:rPr>
              <w:t>35</w:t>
            </w:r>
          </w:p>
        </w:tc>
      </w:tr>
      <w:tr w:rsidR="002E0859" w14:paraId="1D09650D" w14:textId="77777777">
        <w:trPr>
          <w:trHeight w:val="23"/>
          <w:jc w:val="center"/>
        </w:trPr>
        <w:tc>
          <w:tcPr>
            <w:tcW w:w="2147" w:type="dxa"/>
            <w:tcBorders>
              <w:tl2br w:val="nil"/>
              <w:tr2bl w:val="nil"/>
            </w:tcBorders>
            <w:vAlign w:val="center"/>
          </w:tcPr>
          <w:p w14:paraId="3503100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HTHP</w:t>
            </w:r>
            <w:r>
              <w:rPr>
                <w:rFonts w:ascii="Times New Roman" w:hAnsi="Times New Roman" w:cs="Times New Roman"/>
                <w:color w:val="000000" w:themeColor="text1"/>
                <w:kern w:val="0"/>
              </w:rPr>
              <w:t>滤失量（</w:t>
            </w:r>
            <w:r>
              <w:rPr>
                <w:rFonts w:ascii="Times New Roman" w:hAnsi="Times New Roman" w:cs="Times New Roman"/>
                <w:color w:val="000000" w:themeColor="text1"/>
                <w:kern w:val="0"/>
              </w:rPr>
              <w:t>ml</w:t>
            </w:r>
            <w:r>
              <w:rPr>
                <w:rFonts w:ascii="Times New Roman" w:hAnsi="Times New Roman" w:cs="Times New Roman"/>
                <w:color w:val="000000" w:themeColor="text1"/>
                <w:kern w:val="0"/>
              </w:rPr>
              <w:t>）</w:t>
            </w:r>
          </w:p>
        </w:tc>
        <w:tc>
          <w:tcPr>
            <w:tcW w:w="1874" w:type="dxa"/>
            <w:tcBorders>
              <w:tl2br w:val="nil"/>
              <w:tr2bl w:val="nil"/>
            </w:tcBorders>
            <w:vAlign w:val="center"/>
          </w:tcPr>
          <w:p w14:paraId="518B8AE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715BB08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658F2BB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408DDAA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w:t>
            </w:r>
          </w:p>
        </w:tc>
      </w:tr>
      <w:tr w:rsidR="002E0859" w14:paraId="61BCD15F" w14:textId="77777777">
        <w:trPr>
          <w:trHeight w:val="23"/>
          <w:jc w:val="center"/>
        </w:trPr>
        <w:tc>
          <w:tcPr>
            <w:tcW w:w="2147" w:type="dxa"/>
            <w:tcBorders>
              <w:tl2br w:val="nil"/>
              <w:tr2bl w:val="nil"/>
            </w:tcBorders>
            <w:vAlign w:val="center"/>
          </w:tcPr>
          <w:p w14:paraId="0C76624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MBT(</w:t>
            </w:r>
            <w:r>
              <w:rPr>
                <w:rFonts w:ascii="Times New Roman" w:hAnsi="Times New Roman" w:cs="Times New Roman"/>
                <w:color w:val="000000" w:themeColor="text1"/>
                <w:kern w:val="0"/>
              </w:rPr>
              <w:t>（</w:t>
            </w:r>
            <w:r>
              <w:rPr>
                <w:rFonts w:ascii="Times New Roman" w:hAnsi="Times New Roman" w:cs="Times New Roman"/>
                <w:color w:val="000000" w:themeColor="text1"/>
                <w:kern w:val="0"/>
              </w:rPr>
              <w:t>g/l</w:t>
            </w:r>
            <w:r>
              <w:rPr>
                <w:rFonts w:ascii="Times New Roman" w:hAnsi="Times New Roman" w:cs="Times New Roman"/>
                <w:color w:val="000000" w:themeColor="text1"/>
                <w:kern w:val="0"/>
              </w:rPr>
              <w:t>）</w:t>
            </w:r>
          </w:p>
        </w:tc>
        <w:tc>
          <w:tcPr>
            <w:tcW w:w="1874" w:type="dxa"/>
            <w:tcBorders>
              <w:tl2br w:val="nil"/>
              <w:tr2bl w:val="nil"/>
            </w:tcBorders>
            <w:vAlign w:val="center"/>
          </w:tcPr>
          <w:p w14:paraId="34A57E0F"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4BE1E2B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33C4259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35</w:t>
            </w:r>
          </w:p>
        </w:tc>
        <w:tc>
          <w:tcPr>
            <w:tcW w:w="1929" w:type="dxa"/>
            <w:tcBorders>
              <w:tl2br w:val="nil"/>
              <w:tr2bl w:val="nil"/>
            </w:tcBorders>
            <w:vAlign w:val="center"/>
          </w:tcPr>
          <w:p w14:paraId="06E386F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w:t>
            </w:r>
            <w:r>
              <w:rPr>
                <w:rFonts w:ascii="Times New Roman" w:hAnsi="Times New Roman" w:cs="Times New Roman"/>
                <w:color w:val="000000" w:themeColor="text1"/>
                <w:kern w:val="0"/>
              </w:rPr>
              <w:t>～</w:t>
            </w:r>
            <w:r>
              <w:rPr>
                <w:rFonts w:ascii="Times New Roman" w:hAnsi="Times New Roman" w:cs="Times New Roman"/>
                <w:color w:val="000000" w:themeColor="text1"/>
                <w:kern w:val="0"/>
              </w:rPr>
              <w:t>20</w:t>
            </w:r>
          </w:p>
        </w:tc>
      </w:tr>
      <w:tr w:rsidR="002E0859" w14:paraId="532909AD" w14:textId="77777777">
        <w:trPr>
          <w:trHeight w:val="23"/>
          <w:jc w:val="center"/>
        </w:trPr>
        <w:tc>
          <w:tcPr>
            <w:tcW w:w="2147" w:type="dxa"/>
            <w:tcBorders>
              <w:tl2br w:val="nil"/>
              <w:tr2bl w:val="nil"/>
            </w:tcBorders>
            <w:vAlign w:val="center"/>
          </w:tcPr>
          <w:p w14:paraId="23B9131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Kf</w:t>
            </w:r>
          </w:p>
        </w:tc>
        <w:tc>
          <w:tcPr>
            <w:tcW w:w="1874" w:type="dxa"/>
            <w:tcBorders>
              <w:tl2br w:val="nil"/>
              <w:tr2bl w:val="nil"/>
            </w:tcBorders>
            <w:vAlign w:val="center"/>
          </w:tcPr>
          <w:p w14:paraId="0E1E0A36"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317A7D94"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433066F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0.20</w:t>
            </w:r>
          </w:p>
        </w:tc>
        <w:tc>
          <w:tcPr>
            <w:tcW w:w="1929" w:type="dxa"/>
            <w:tcBorders>
              <w:tl2br w:val="nil"/>
              <w:tr2bl w:val="nil"/>
            </w:tcBorders>
            <w:vAlign w:val="center"/>
          </w:tcPr>
          <w:p w14:paraId="32E9ECA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0.10</w:t>
            </w:r>
          </w:p>
        </w:tc>
      </w:tr>
      <w:tr w:rsidR="002E0859" w14:paraId="329791FC" w14:textId="77777777">
        <w:trPr>
          <w:trHeight w:val="23"/>
          <w:jc w:val="center"/>
        </w:trPr>
        <w:tc>
          <w:tcPr>
            <w:tcW w:w="2147" w:type="dxa"/>
            <w:tcBorders>
              <w:tl2br w:val="nil"/>
              <w:tr2bl w:val="nil"/>
            </w:tcBorders>
            <w:vAlign w:val="center"/>
          </w:tcPr>
          <w:p w14:paraId="68651C7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破乳电压（</w:t>
            </w:r>
            <w:r>
              <w:rPr>
                <w:rFonts w:ascii="Times New Roman" w:hAnsi="Times New Roman" w:cs="Times New Roman"/>
                <w:color w:val="000000" w:themeColor="text1"/>
                <w:kern w:val="0"/>
              </w:rPr>
              <w:t>V</w:t>
            </w:r>
            <w:r>
              <w:rPr>
                <w:rFonts w:ascii="Times New Roman" w:hAnsi="Times New Roman" w:cs="Times New Roman"/>
                <w:color w:val="000000" w:themeColor="text1"/>
                <w:kern w:val="0"/>
              </w:rPr>
              <w:t>）</w:t>
            </w:r>
          </w:p>
        </w:tc>
        <w:tc>
          <w:tcPr>
            <w:tcW w:w="1874" w:type="dxa"/>
            <w:tcBorders>
              <w:tl2br w:val="nil"/>
              <w:tr2bl w:val="nil"/>
            </w:tcBorders>
            <w:vAlign w:val="center"/>
          </w:tcPr>
          <w:p w14:paraId="0A0213A5"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0CB85193"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161E2376"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1D431C0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&gt;500</w:t>
            </w:r>
          </w:p>
        </w:tc>
      </w:tr>
      <w:tr w:rsidR="002E0859" w14:paraId="4777BAEE" w14:textId="77777777">
        <w:trPr>
          <w:trHeight w:val="23"/>
          <w:jc w:val="center"/>
        </w:trPr>
        <w:tc>
          <w:tcPr>
            <w:tcW w:w="2147" w:type="dxa"/>
            <w:tcBorders>
              <w:tl2br w:val="nil"/>
              <w:tr2bl w:val="nil"/>
            </w:tcBorders>
            <w:vAlign w:val="center"/>
          </w:tcPr>
          <w:p w14:paraId="7BC84F0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未溶石灰（</w:t>
            </w:r>
            <w:r>
              <w:rPr>
                <w:rFonts w:ascii="Times New Roman" w:hAnsi="Times New Roman" w:cs="Times New Roman"/>
                <w:color w:val="000000" w:themeColor="text1"/>
                <w:kern w:val="0"/>
              </w:rPr>
              <w:t>kg/m</w:t>
            </w:r>
            <w:r>
              <w:rPr>
                <w:rFonts w:ascii="Times New Roman" w:hAnsi="Times New Roman" w:cs="Times New Roman"/>
                <w:color w:val="000000" w:themeColor="text1"/>
                <w:kern w:val="0"/>
                <w:vertAlign w:val="superscript"/>
              </w:rPr>
              <w:t>3</w:t>
            </w:r>
            <w:r>
              <w:rPr>
                <w:rFonts w:ascii="Times New Roman" w:hAnsi="Times New Roman" w:cs="Times New Roman"/>
                <w:color w:val="000000" w:themeColor="text1"/>
                <w:kern w:val="0"/>
              </w:rPr>
              <w:t>）</w:t>
            </w:r>
          </w:p>
        </w:tc>
        <w:tc>
          <w:tcPr>
            <w:tcW w:w="1874" w:type="dxa"/>
            <w:tcBorders>
              <w:tl2br w:val="nil"/>
              <w:tr2bl w:val="nil"/>
            </w:tcBorders>
            <w:vAlign w:val="center"/>
          </w:tcPr>
          <w:p w14:paraId="4E8CC19E"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08ECB0D4"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7B48741A"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259B076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w:t>
            </w:r>
          </w:p>
        </w:tc>
      </w:tr>
      <w:tr w:rsidR="002E0859" w14:paraId="3C6D8244" w14:textId="77777777">
        <w:trPr>
          <w:trHeight w:val="23"/>
          <w:jc w:val="center"/>
        </w:trPr>
        <w:tc>
          <w:tcPr>
            <w:tcW w:w="2147" w:type="dxa"/>
            <w:tcBorders>
              <w:tl2br w:val="nil"/>
              <w:tr2bl w:val="nil"/>
            </w:tcBorders>
            <w:vAlign w:val="center"/>
          </w:tcPr>
          <w:p w14:paraId="574B255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CaCl</w:t>
            </w:r>
            <w:r>
              <w:rPr>
                <w:rFonts w:ascii="Times New Roman" w:hAnsi="Times New Roman" w:cs="Times New Roman"/>
                <w:color w:val="000000" w:themeColor="text1"/>
                <w:kern w:val="0"/>
                <w:vertAlign w:val="subscript"/>
              </w:rPr>
              <w:t>2</w:t>
            </w:r>
            <w:r>
              <w:rPr>
                <w:rFonts w:ascii="Times New Roman" w:hAnsi="Times New Roman" w:cs="Times New Roman"/>
                <w:color w:val="000000" w:themeColor="text1"/>
                <w:kern w:val="0"/>
              </w:rPr>
              <w:t>水相中的质量百分数（万</w:t>
            </w:r>
            <w:r>
              <w:rPr>
                <w:rFonts w:ascii="Times New Roman" w:hAnsi="Times New Roman" w:cs="Times New Roman"/>
                <w:color w:val="000000" w:themeColor="text1"/>
                <w:kern w:val="0"/>
              </w:rPr>
              <w:t>ppm</w:t>
            </w:r>
            <w:r>
              <w:rPr>
                <w:rFonts w:ascii="Times New Roman" w:hAnsi="Times New Roman" w:cs="Times New Roman"/>
                <w:color w:val="000000" w:themeColor="text1"/>
                <w:kern w:val="0"/>
              </w:rPr>
              <w:t>）</w:t>
            </w:r>
          </w:p>
        </w:tc>
        <w:tc>
          <w:tcPr>
            <w:tcW w:w="1874" w:type="dxa"/>
            <w:tcBorders>
              <w:tl2br w:val="nil"/>
              <w:tr2bl w:val="nil"/>
            </w:tcBorders>
            <w:vAlign w:val="center"/>
          </w:tcPr>
          <w:p w14:paraId="78E51FA6"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08FC0C5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4872CC02"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7709577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6</w:t>
            </w:r>
            <w:r>
              <w:rPr>
                <w:rFonts w:ascii="Times New Roman" w:hAnsi="Times New Roman" w:cs="Times New Roman"/>
                <w:color w:val="000000" w:themeColor="text1"/>
                <w:kern w:val="0"/>
              </w:rPr>
              <w:t>～</w:t>
            </w:r>
            <w:r>
              <w:rPr>
                <w:rFonts w:ascii="Times New Roman" w:hAnsi="Times New Roman" w:cs="Times New Roman"/>
                <w:color w:val="000000" w:themeColor="text1"/>
                <w:kern w:val="0"/>
              </w:rPr>
              <w:t>15</w:t>
            </w:r>
          </w:p>
        </w:tc>
      </w:tr>
      <w:tr w:rsidR="002E0859" w14:paraId="11391AC1" w14:textId="77777777">
        <w:trPr>
          <w:trHeight w:val="90"/>
          <w:jc w:val="center"/>
        </w:trPr>
        <w:tc>
          <w:tcPr>
            <w:tcW w:w="2147" w:type="dxa"/>
            <w:tcBorders>
              <w:tl2br w:val="nil"/>
              <w:tr2bl w:val="nil"/>
            </w:tcBorders>
            <w:vAlign w:val="center"/>
          </w:tcPr>
          <w:p w14:paraId="502B454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油</w:t>
            </w:r>
            <w:r>
              <w:rPr>
                <w:rFonts w:ascii="Times New Roman" w:hAnsi="Times New Roman" w:cs="Times New Roman"/>
                <w:color w:val="000000" w:themeColor="text1"/>
                <w:kern w:val="0"/>
              </w:rPr>
              <w:t>/</w:t>
            </w:r>
            <w:r>
              <w:rPr>
                <w:rFonts w:ascii="Times New Roman" w:hAnsi="Times New Roman" w:cs="Times New Roman"/>
                <w:color w:val="000000" w:themeColor="text1"/>
                <w:kern w:val="0"/>
              </w:rPr>
              <w:t>水比</w:t>
            </w:r>
          </w:p>
        </w:tc>
        <w:tc>
          <w:tcPr>
            <w:tcW w:w="1874" w:type="dxa"/>
            <w:tcBorders>
              <w:tl2br w:val="nil"/>
              <w:tr2bl w:val="nil"/>
            </w:tcBorders>
            <w:vAlign w:val="center"/>
          </w:tcPr>
          <w:p w14:paraId="270E18E0"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605" w:type="dxa"/>
            <w:tcBorders>
              <w:tl2br w:val="nil"/>
              <w:tr2bl w:val="nil"/>
            </w:tcBorders>
            <w:vAlign w:val="center"/>
          </w:tcPr>
          <w:p w14:paraId="62DD1FEA"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05" w:type="dxa"/>
            <w:tcBorders>
              <w:tl2br w:val="nil"/>
              <w:tr2bl w:val="nil"/>
            </w:tcBorders>
            <w:vAlign w:val="center"/>
          </w:tcPr>
          <w:p w14:paraId="581E4C5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929" w:type="dxa"/>
            <w:tcBorders>
              <w:tl2br w:val="nil"/>
              <w:tr2bl w:val="nil"/>
            </w:tcBorders>
            <w:vAlign w:val="center"/>
          </w:tcPr>
          <w:p w14:paraId="1D639AD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80</w:t>
            </w:r>
            <w:r>
              <w:rPr>
                <w:rFonts w:ascii="Times New Roman" w:hAnsi="Times New Roman" w:cs="Times New Roman"/>
                <w:color w:val="000000" w:themeColor="text1"/>
                <w:kern w:val="0"/>
              </w:rPr>
              <w:t>～</w:t>
            </w:r>
            <w:r>
              <w:rPr>
                <w:rFonts w:ascii="Times New Roman" w:hAnsi="Times New Roman" w:cs="Times New Roman"/>
                <w:color w:val="000000" w:themeColor="text1"/>
                <w:kern w:val="0"/>
              </w:rPr>
              <w:t>90/10</w:t>
            </w:r>
            <w:r>
              <w:rPr>
                <w:rFonts w:ascii="Times New Roman" w:hAnsi="Times New Roman" w:cs="Times New Roman"/>
                <w:color w:val="000000" w:themeColor="text1"/>
                <w:kern w:val="0"/>
              </w:rPr>
              <w:t>～</w:t>
            </w:r>
            <w:r>
              <w:rPr>
                <w:rFonts w:ascii="Times New Roman" w:hAnsi="Times New Roman" w:cs="Times New Roman"/>
                <w:color w:val="000000" w:themeColor="text1"/>
                <w:kern w:val="0"/>
              </w:rPr>
              <w:t>20</w:t>
            </w:r>
          </w:p>
        </w:tc>
      </w:tr>
    </w:tbl>
    <w:p w14:paraId="56C42B5D" w14:textId="77777777" w:rsidR="002E0859" w:rsidRDefault="002E0859">
      <w:pPr>
        <w:ind w:firstLine="560"/>
        <w:rPr>
          <w:color w:val="000000" w:themeColor="text1"/>
        </w:rPr>
      </w:pPr>
    </w:p>
    <w:p w14:paraId="3EC0730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钻头选型及钻井参数设计</w:t>
      </w:r>
    </w:p>
    <w:p w14:paraId="780A21D1" w14:textId="77777777" w:rsidR="002E0859" w:rsidRDefault="00000000">
      <w:pPr>
        <w:widowControl/>
        <w:kinsoku w:val="0"/>
        <w:topLinePunct w:val="0"/>
        <w:autoSpaceDE w:val="0"/>
        <w:autoSpaceDN w:val="0"/>
        <w:spacing w:line="360" w:lineRule="auto"/>
        <w:ind w:firstLine="476"/>
        <w:jc w:val="left"/>
        <w:textAlignment w:val="baseline"/>
        <w:rPr>
          <w:rFonts w:ascii="宋体" w:hAnsi="宋体" w:cs="宋体"/>
          <w:snapToGrid w:val="0"/>
          <w:color w:val="000000" w:themeColor="text1"/>
          <w:kern w:val="0"/>
          <w:sz w:val="24"/>
          <w:szCs w:val="24"/>
          <w:lang w:eastAsia="en-US"/>
        </w:rPr>
      </w:pPr>
      <w:r>
        <w:rPr>
          <w:snapToGrid w:val="0"/>
          <w:color w:val="000000" w:themeColor="text1"/>
          <w:spacing w:val="-1"/>
          <w:kern w:val="0"/>
          <w:sz w:val="24"/>
          <w:szCs w:val="24"/>
        </w:rPr>
        <w:t>1</w:t>
      </w:r>
      <w:r>
        <w:rPr>
          <w:snapToGrid w:val="0"/>
          <w:color w:val="000000" w:themeColor="text1"/>
          <w:spacing w:val="-1"/>
          <w:kern w:val="0"/>
          <w:sz w:val="24"/>
          <w:szCs w:val="24"/>
        </w:rPr>
        <w:t>、</w:t>
      </w:r>
      <w:r>
        <w:rPr>
          <w:rFonts w:ascii="宋体" w:hAnsi="宋体" w:cs="宋体"/>
          <w:snapToGrid w:val="0"/>
          <w:color w:val="000000" w:themeColor="text1"/>
          <w:spacing w:val="-1"/>
          <w:kern w:val="0"/>
          <w:sz w:val="24"/>
          <w:szCs w:val="24"/>
          <w:lang w:eastAsia="en-US"/>
        </w:rPr>
        <w:t>钻头选型及钻井参数设计</w:t>
      </w:r>
    </w:p>
    <w:p w14:paraId="37C0514D" w14:textId="77777777" w:rsidR="002E0859" w:rsidRDefault="00000000">
      <w:pPr>
        <w:widowControl/>
        <w:kinsoku w:val="0"/>
        <w:topLinePunct w:val="0"/>
        <w:autoSpaceDE w:val="0"/>
        <w:autoSpaceDN w:val="0"/>
        <w:spacing w:line="240" w:lineRule="auto"/>
        <w:ind w:firstLine="42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-1</w:t>
      </w:r>
      <w:r>
        <w:rPr>
          <w:rFonts w:eastAsia="黑体" w:hint="eastAsia"/>
          <w:color w:val="000000" w:themeColor="text1"/>
          <w:sz w:val="21"/>
          <w:szCs w:val="21"/>
        </w:rPr>
        <w:t xml:space="preserve">2 </w:t>
      </w:r>
      <w:r>
        <w:rPr>
          <w:rFonts w:eastAsia="黑体" w:hint="eastAsia"/>
          <w:color w:val="000000" w:themeColor="text1"/>
          <w:sz w:val="21"/>
          <w:szCs w:val="21"/>
          <w:lang w:eastAsia="en-US"/>
        </w:rPr>
        <w:t>单井钻头选型及钻井参数设计表</w:t>
      </w:r>
    </w:p>
    <w:p w14:paraId="67FBD2E8" w14:textId="77777777" w:rsidR="002E0859" w:rsidRDefault="002E0859">
      <w:pPr>
        <w:widowControl/>
        <w:kinsoku w:val="0"/>
        <w:topLinePunct w:val="0"/>
        <w:autoSpaceDE w:val="0"/>
        <w:autoSpaceDN w:val="0"/>
        <w:spacing w:line="23"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40"/>
        <w:gridCol w:w="1028"/>
        <w:gridCol w:w="2029"/>
        <w:gridCol w:w="619"/>
        <w:gridCol w:w="1265"/>
        <w:gridCol w:w="1665"/>
        <w:gridCol w:w="1804"/>
      </w:tblGrid>
      <w:tr w:rsidR="002E0859" w14:paraId="04BF6852" w14:textId="77777777">
        <w:trPr>
          <w:trHeight w:val="23"/>
          <w:jc w:val="center"/>
        </w:trPr>
        <w:tc>
          <w:tcPr>
            <w:tcW w:w="404" w:type="pct"/>
            <w:vMerge w:val="restart"/>
            <w:tcBorders>
              <w:tl2br w:val="nil"/>
              <w:tr2bl w:val="nil"/>
            </w:tcBorders>
            <w:vAlign w:val="center"/>
          </w:tcPr>
          <w:p w14:paraId="42D7099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序号</w:t>
            </w:r>
          </w:p>
        </w:tc>
        <w:tc>
          <w:tcPr>
            <w:tcW w:w="561" w:type="pct"/>
            <w:vMerge w:val="restart"/>
            <w:tcBorders>
              <w:tl2br w:val="nil"/>
              <w:tr2bl w:val="nil"/>
            </w:tcBorders>
            <w:vAlign w:val="center"/>
          </w:tcPr>
          <w:p w14:paraId="4E98A52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钻头尺寸（</w:t>
            </w:r>
            <w:r>
              <w:rPr>
                <w:rFonts w:ascii="Times New Roman" w:hAnsi="Times New Roman" w:cs="Times New Roman"/>
                <w:color w:val="000000" w:themeColor="text1"/>
                <w:kern w:val="0"/>
              </w:rPr>
              <w:t>mm</w:t>
            </w:r>
            <w:r>
              <w:rPr>
                <w:rFonts w:ascii="Times New Roman" w:hAnsi="Times New Roman" w:cs="Times New Roman"/>
                <w:color w:val="000000" w:themeColor="text1"/>
                <w:kern w:val="0"/>
              </w:rPr>
              <w:t>）</w:t>
            </w:r>
          </w:p>
        </w:tc>
        <w:tc>
          <w:tcPr>
            <w:tcW w:w="1108" w:type="pct"/>
            <w:vMerge w:val="restart"/>
            <w:tcBorders>
              <w:tl2br w:val="nil"/>
              <w:tr2bl w:val="nil"/>
            </w:tcBorders>
            <w:vAlign w:val="center"/>
          </w:tcPr>
          <w:p w14:paraId="5103955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推荐使用钻头型号</w:t>
            </w:r>
          </w:p>
        </w:tc>
        <w:tc>
          <w:tcPr>
            <w:tcW w:w="338" w:type="pct"/>
            <w:vMerge w:val="restart"/>
            <w:tcBorders>
              <w:tl2br w:val="nil"/>
              <w:tr2bl w:val="nil"/>
            </w:tcBorders>
            <w:vAlign w:val="center"/>
          </w:tcPr>
          <w:p w14:paraId="118506D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lang w:eastAsia="zh-CN"/>
              </w:rPr>
            </w:pPr>
            <w:r>
              <w:rPr>
                <w:rFonts w:ascii="Times New Roman" w:hAnsi="Times New Roman" w:cs="Times New Roman"/>
                <w:color w:val="000000" w:themeColor="text1"/>
                <w:kern w:val="0"/>
              </w:rPr>
              <w:t>数量</w:t>
            </w:r>
            <w:r>
              <w:rPr>
                <w:rFonts w:ascii="Times New Roman" w:hAnsi="Times New Roman" w:cs="Times New Roman" w:hint="eastAsia"/>
                <w:color w:val="000000" w:themeColor="text1"/>
                <w:kern w:val="0"/>
                <w:lang w:eastAsia="zh-CN"/>
              </w:rPr>
              <w:t>（</w:t>
            </w:r>
            <w:r>
              <w:rPr>
                <w:rFonts w:ascii="Times New Roman" w:hAnsi="Times New Roman" w:cs="Times New Roman"/>
                <w:color w:val="000000" w:themeColor="text1"/>
                <w:kern w:val="0"/>
              </w:rPr>
              <w:t>只</w:t>
            </w:r>
            <w:r>
              <w:rPr>
                <w:rFonts w:ascii="Times New Roman" w:hAnsi="Times New Roman" w:cs="Times New Roman" w:hint="eastAsia"/>
                <w:color w:val="000000" w:themeColor="text1"/>
                <w:kern w:val="0"/>
                <w:lang w:eastAsia="zh-CN"/>
              </w:rPr>
              <w:t>）</w:t>
            </w:r>
          </w:p>
        </w:tc>
        <w:tc>
          <w:tcPr>
            <w:tcW w:w="691" w:type="pct"/>
            <w:vMerge w:val="restart"/>
            <w:tcBorders>
              <w:tl2br w:val="nil"/>
              <w:tr2bl w:val="nil"/>
            </w:tcBorders>
            <w:vAlign w:val="center"/>
          </w:tcPr>
          <w:p w14:paraId="376456F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井段（</w:t>
            </w:r>
            <w:r>
              <w:rPr>
                <w:rFonts w:ascii="Times New Roman" w:hAnsi="Times New Roman" w:cs="Times New Roman"/>
                <w:color w:val="000000" w:themeColor="text1"/>
                <w:kern w:val="0"/>
              </w:rPr>
              <w:t>m</w:t>
            </w:r>
            <w:r>
              <w:rPr>
                <w:rFonts w:ascii="Times New Roman" w:hAnsi="Times New Roman" w:cs="Times New Roman"/>
                <w:color w:val="000000" w:themeColor="text1"/>
                <w:kern w:val="0"/>
              </w:rPr>
              <w:t>）</w:t>
            </w:r>
          </w:p>
        </w:tc>
        <w:tc>
          <w:tcPr>
            <w:tcW w:w="1896" w:type="pct"/>
            <w:gridSpan w:val="2"/>
            <w:tcBorders>
              <w:tl2br w:val="nil"/>
              <w:tr2bl w:val="nil"/>
            </w:tcBorders>
            <w:vAlign w:val="center"/>
          </w:tcPr>
          <w:p w14:paraId="1F6870E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机械参数</w:t>
            </w:r>
          </w:p>
        </w:tc>
      </w:tr>
      <w:tr w:rsidR="002E0859" w14:paraId="35B7F7FB" w14:textId="77777777">
        <w:trPr>
          <w:trHeight w:val="23"/>
          <w:jc w:val="center"/>
        </w:trPr>
        <w:tc>
          <w:tcPr>
            <w:tcW w:w="404" w:type="pct"/>
            <w:vMerge/>
            <w:tcBorders>
              <w:tl2br w:val="nil"/>
              <w:tr2bl w:val="nil"/>
            </w:tcBorders>
            <w:vAlign w:val="center"/>
          </w:tcPr>
          <w:p w14:paraId="3E11B994"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561" w:type="pct"/>
            <w:vMerge/>
            <w:tcBorders>
              <w:tl2br w:val="nil"/>
              <w:tr2bl w:val="nil"/>
            </w:tcBorders>
            <w:vAlign w:val="center"/>
          </w:tcPr>
          <w:p w14:paraId="4909278D"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1108" w:type="pct"/>
            <w:vMerge/>
            <w:tcBorders>
              <w:tl2br w:val="nil"/>
              <w:tr2bl w:val="nil"/>
            </w:tcBorders>
            <w:vAlign w:val="center"/>
          </w:tcPr>
          <w:p w14:paraId="7F3F1C51"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338" w:type="pct"/>
            <w:vMerge/>
            <w:tcBorders>
              <w:tl2br w:val="nil"/>
              <w:tr2bl w:val="nil"/>
            </w:tcBorders>
            <w:vAlign w:val="center"/>
          </w:tcPr>
          <w:p w14:paraId="332E564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691" w:type="pct"/>
            <w:vMerge/>
            <w:tcBorders>
              <w:tl2br w:val="nil"/>
              <w:tr2bl w:val="nil"/>
            </w:tcBorders>
            <w:vAlign w:val="center"/>
          </w:tcPr>
          <w:p w14:paraId="13B179A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910" w:type="pct"/>
            <w:tcBorders>
              <w:tl2br w:val="nil"/>
              <w:tr2bl w:val="nil"/>
            </w:tcBorders>
            <w:vAlign w:val="center"/>
          </w:tcPr>
          <w:p w14:paraId="1A94BF8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钻压（</w:t>
            </w:r>
            <w:r>
              <w:rPr>
                <w:rFonts w:ascii="Times New Roman" w:hAnsi="Times New Roman" w:cs="Times New Roman"/>
                <w:color w:val="000000" w:themeColor="text1"/>
                <w:kern w:val="0"/>
              </w:rPr>
              <w:t>kN</w:t>
            </w:r>
            <w:r>
              <w:rPr>
                <w:rFonts w:ascii="Times New Roman" w:hAnsi="Times New Roman" w:cs="Times New Roman"/>
                <w:color w:val="000000" w:themeColor="text1"/>
                <w:kern w:val="0"/>
              </w:rPr>
              <w:t>）</w:t>
            </w:r>
          </w:p>
        </w:tc>
        <w:tc>
          <w:tcPr>
            <w:tcW w:w="985" w:type="pct"/>
            <w:tcBorders>
              <w:tl2br w:val="nil"/>
              <w:tr2bl w:val="nil"/>
            </w:tcBorders>
            <w:vAlign w:val="center"/>
          </w:tcPr>
          <w:p w14:paraId="578573C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转速（</w:t>
            </w:r>
            <w:r>
              <w:rPr>
                <w:rFonts w:ascii="Times New Roman" w:hAnsi="Times New Roman" w:cs="Times New Roman"/>
                <w:color w:val="000000" w:themeColor="text1"/>
                <w:kern w:val="0"/>
              </w:rPr>
              <w:t>r/min</w:t>
            </w:r>
            <w:r>
              <w:rPr>
                <w:rFonts w:ascii="Times New Roman" w:hAnsi="Times New Roman" w:cs="Times New Roman"/>
                <w:color w:val="000000" w:themeColor="text1"/>
                <w:kern w:val="0"/>
              </w:rPr>
              <w:t>）</w:t>
            </w:r>
          </w:p>
        </w:tc>
      </w:tr>
      <w:tr w:rsidR="002E0859" w14:paraId="7090EA2B" w14:textId="77777777">
        <w:trPr>
          <w:trHeight w:val="23"/>
          <w:jc w:val="center"/>
        </w:trPr>
        <w:tc>
          <w:tcPr>
            <w:tcW w:w="404" w:type="pct"/>
            <w:tcBorders>
              <w:tl2br w:val="nil"/>
              <w:tr2bl w:val="nil"/>
            </w:tcBorders>
            <w:vAlign w:val="center"/>
          </w:tcPr>
          <w:p w14:paraId="6DB12BB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tc>
        <w:tc>
          <w:tcPr>
            <w:tcW w:w="561" w:type="pct"/>
            <w:tcBorders>
              <w:tl2br w:val="nil"/>
              <w:tr2bl w:val="nil"/>
            </w:tcBorders>
            <w:vAlign w:val="center"/>
          </w:tcPr>
          <w:p w14:paraId="40E76CB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473.1</w:t>
            </w:r>
          </w:p>
        </w:tc>
        <w:tc>
          <w:tcPr>
            <w:tcW w:w="1108" w:type="pct"/>
            <w:tcBorders>
              <w:tl2br w:val="nil"/>
              <w:tr2bl w:val="nil"/>
            </w:tcBorders>
            <w:vAlign w:val="center"/>
          </w:tcPr>
          <w:p w14:paraId="094282E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SKG125GC</w:t>
            </w:r>
          </w:p>
        </w:tc>
        <w:tc>
          <w:tcPr>
            <w:tcW w:w="338" w:type="pct"/>
            <w:tcBorders>
              <w:tl2br w:val="nil"/>
              <w:tr2bl w:val="nil"/>
            </w:tcBorders>
            <w:vAlign w:val="center"/>
          </w:tcPr>
          <w:p w14:paraId="57A5546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tc>
        <w:tc>
          <w:tcPr>
            <w:tcW w:w="691" w:type="pct"/>
            <w:tcBorders>
              <w:tl2br w:val="nil"/>
              <w:tr2bl w:val="nil"/>
            </w:tcBorders>
            <w:vAlign w:val="center"/>
          </w:tcPr>
          <w:p w14:paraId="7CA4B86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导管</w:t>
            </w:r>
            <w:r>
              <w:rPr>
                <w:rFonts w:ascii="Times New Roman" w:hAnsi="Times New Roman" w:cs="Times New Roman"/>
                <w:color w:val="000000" w:themeColor="text1"/>
                <w:kern w:val="0"/>
              </w:rPr>
              <w:t>2</w:t>
            </w:r>
          </w:p>
        </w:tc>
        <w:tc>
          <w:tcPr>
            <w:tcW w:w="910" w:type="pct"/>
            <w:tcBorders>
              <w:tl2br w:val="nil"/>
              <w:tr2bl w:val="nil"/>
            </w:tcBorders>
            <w:vAlign w:val="center"/>
          </w:tcPr>
          <w:p w14:paraId="564258D3"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985" w:type="pct"/>
            <w:tcBorders>
              <w:tl2br w:val="nil"/>
              <w:tr2bl w:val="nil"/>
            </w:tcBorders>
            <w:vAlign w:val="center"/>
          </w:tcPr>
          <w:p w14:paraId="4A566C98"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r>
      <w:tr w:rsidR="002E0859" w14:paraId="34598FEA" w14:textId="77777777">
        <w:trPr>
          <w:trHeight w:val="23"/>
          <w:jc w:val="center"/>
        </w:trPr>
        <w:tc>
          <w:tcPr>
            <w:tcW w:w="404" w:type="pct"/>
            <w:tcBorders>
              <w:tl2br w:val="nil"/>
              <w:tr2bl w:val="nil"/>
            </w:tcBorders>
            <w:vAlign w:val="center"/>
          </w:tcPr>
          <w:p w14:paraId="0274637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w:t>
            </w:r>
          </w:p>
        </w:tc>
        <w:tc>
          <w:tcPr>
            <w:tcW w:w="561" w:type="pct"/>
            <w:tcBorders>
              <w:tl2br w:val="nil"/>
              <w:tr2bl w:val="nil"/>
            </w:tcBorders>
            <w:vAlign w:val="center"/>
          </w:tcPr>
          <w:p w14:paraId="4619939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374.7</w:t>
            </w:r>
          </w:p>
        </w:tc>
        <w:tc>
          <w:tcPr>
            <w:tcW w:w="1108" w:type="pct"/>
            <w:tcBorders>
              <w:tl2br w:val="nil"/>
              <w:tr2bl w:val="nil"/>
            </w:tcBorders>
            <w:vAlign w:val="center"/>
          </w:tcPr>
          <w:p w14:paraId="5E3FF84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PDC(KS1662SGAR)</w:t>
            </w:r>
          </w:p>
        </w:tc>
        <w:tc>
          <w:tcPr>
            <w:tcW w:w="338" w:type="pct"/>
            <w:tcBorders>
              <w:tl2br w:val="nil"/>
              <w:tr2bl w:val="nil"/>
            </w:tcBorders>
            <w:vAlign w:val="center"/>
          </w:tcPr>
          <w:p w14:paraId="57238B6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tc>
        <w:tc>
          <w:tcPr>
            <w:tcW w:w="691" w:type="pct"/>
            <w:tcBorders>
              <w:tl2br w:val="nil"/>
              <w:tr2bl w:val="nil"/>
            </w:tcBorders>
            <w:vAlign w:val="center"/>
          </w:tcPr>
          <w:p w14:paraId="09A8250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一开</w:t>
            </w:r>
          </w:p>
        </w:tc>
        <w:tc>
          <w:tcPr>
            <w:tcW w:w="910" w:type="pct"/>
            <w:tcBorders>
              <w:tl2br w:val="nil"/>
              <w:tr2bl w:val="nil"/>
            </w:tcBorders>
            <w:vAlign w:val="center"/>
          </w:tcPr>
          <w:p w14:paraId="12A0FD8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80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120</w:t>
            </w:r>
          </w:p>
        </w:tc>
        <w:tc>
          <w:tcPr>
            <w:tcW w:w="985" w:type="pct"/>
            <w:tcBorders>
              <w:tl2br w:val="nil"/>
              <w:tr2bl w:val="nil"/>
            </w:tcBorders>
            <w:vAlign w:val="center"/>
          </w:tcPr>
          <w:p w14:paraId="452B975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180</w:t>
            </w:r>
          </w:p>
        </w:tc>
      </w:tr>
      <w:tr w:rsidR="002E0859" w14:paraId="1B453A93" w14:textId="77777777">
        <w:trPr>
          <w:trHeight w:val="23"/>
          <w:jc w:val="center"/>
        </w:trPr>
        <w:tc>
          <w:tcPr>
            <w:tcW w:w="404" w:type="pct"/>
            <w:tcBorders>
              <w:tl2br w:val="nil"/>
              <w:tr2bl w:val="nil"/>
            </w:tcBorders>
            <w:vAlign w:val="center"/>
          </w:tcPr>
          <w:p w14:paraId="6AF2DD6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w:t>
            </w:r>
          </w:p>
        </w:tc>
        <w:tc>
          <w:tcPr>
            <w:tcW w:w="561" w:type="pct"/>
            <w:tcBorders>
              <w:tl2br w:val="nil"/>
              <w:tr2bl w:val="nil"/>
            </w:tcBorders>
            <w:vAlign w:val="center"/>
          </w:tcPr>
          <w:p w14:paraId="0224604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269.9</w:t>
            </w:r>
          </w:p>
        </w:tc>
        <w:tc>
          <w:tcPr>
            <w:tcW w:w="1108" w:type="pct"/>
            <w:tcBorders>
              <w:tl2br w:val="nil"/>
              <w:tr2bl w:val="nil"/>
            </w:tcBorders>
            <w:vAlign w:val="center"/>
          </w:tcPr>
          <w:p w14:paraId="488E75E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w:t>
            </w:r>
          </w:p>
          <w:p w14:paraId="1C4E37A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HJT537GK</w:t>
            </w:r>
          </w:p>
        </w:tc>
        <w:tc>
          <w:tcPr>
            <w:tcW w:w="338" w:type="pct"/>
            <w:tcBorders>
              <w:tl2br w:val="nil"/>
              <w:tr2bl w:val="nil"/>
            </w:tcBorders>
            <w:vAlign w:val="center"/>
          </w:tcPr>
          <w:p w14:paraId="7FB8C6A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p w14:paraId="6EA999C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tc>
        <w:tc>
          <w:tcPr>
            <w:tcW w:w="691" w:type="pct"/>
            <w:tcBorders>
              <w:tl2br w:val="nil"/>
              <w:tr2bl w:val="nil"/>
            </w:tcBorders>
            <w:vAlign w:val="center"/>
          </w:tcPr>
          <w:p w14:paraId="7B7C7E0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造斜点</w:t>
            </w:r>
          </w:p>
        </w:tc>
        <w:tc>
          <w:tcPr>
            <w:tcW w:w="910" w:type="pct"/>
            <w:tcBorders>
              <w:tl2br w:val="nil"/>
              <w:tr2bl w:val="nil"/>
            </w:tcBorders>
            <w:vAlign w:val="center"/>
          </w:tcPr>
          <w:p w14:paraId="71FB57D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PDC:80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120</w:t>
            </w:r>
          </w:p>
          <w:p w14:paraId="52668F3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80</w:t>
            </w:r>
            <w:r>
              <w:rPr>
                <w:rFonts w:ascii="Times New Roman" w:hAnsi="Times New Roman" w:cs="Times New Roman"/>
                <w:color w:val="000000" w:themeColor="text1"/>
                <w:kern w:val="0"/>
              </w:rPr>
              <w:t>～</w:t>
            </w:r>
            <w:r>
              <w:rPr>
                <w:rFonts w:ascii="Times New Roman" w:hAnsi="Times New Roman" w:cs="Times New Roman"/>
                <w:color w:val="000000" w:themeColor="text1"/>
                <w:kern w:val="0"/>
              </w:rPr>
              <w:t>220</w:t>
            </w:r>
          </w:p>
        </w:tc>
        <w:tc>
          <w:tcPr>
            <w:tcW w:w="985" w:type="pct"/>
            <w:tcBorders>
              <w:tl2br w:val="nil"/>
              <w:tr2bl w:val="nil"/>
            </w:tcBorders>
            <w:vAlign w:val="center"/>
          </w:tcPr>
          <w:p w14:paraId="43918B1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PDC:120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180</w:t>
            </w:r>
          </w:p>
          <w:p w14:paraId="41920E8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60</w:t>
            </w:r>
            <w:r>
              <w:rPr>
                <w:rFonts w:ascii="Times New Roman" w:hAnsi="Times New Roman" w:cs="Times New Roman"/>
                <w:color w:val="000000" w:themeColor="text1"/>
                <w:kern w:val="0"/>
              </w:rPr>
              <w:t>～</w:t>
            </w:r>
            <w:r>
              <w:rPr>
                <w:rFonts w:ascii="Times New Roman" w:hAnsi="Times New Roman" w:cs="Times New Roman"/>
                <w:color w:val="000000" w:themeColor="text1"/>
                <w:kern w:val="0"/>
              </w:rPr>
              <w:t>90</w:t>
            </w:r>
          </w:p>
        </w:tc>
      </w:tr>
      <w:tr w:rsidR="002E0859" w14:paraId="7FBAFA38" w14:textId="77777777">
        <w:trPr>
          <w:trHeight w:val="23"/>
          <w:jc w:val="center"/>
        </w:trPr>
        <w:tc>
          <w:tcPr>
            <w:tcW w:w="404" w:type="pct"/>
            <w:tcBorders>
              <w:tl2br w:val="nil"/>
              <w:tr2bl w:val="nil"/>
            </w:tcBorders>
            <w:vAlign w:val="center"/>
          </w:tcPr>
          <w:p w14:paraId="49E4DCD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w:t>
            </w:r>
          </w:p>
        </w:tc>
        <w:tc>
          <w:tcPr>
            <w:tcW w:w="561" w:type="pct"/>
            <w:tcBorders>
              <w:tl2br w:val="nil"/>
              <w:tr2bl w:val="nil"/>
            </w:tcBorders>
            <w:vAlign w:val="center"/>
          </w:tcPr>
          <w:p w14:paraId="6BF8E9D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269.9</w:t>
            </w:r>
          </w:p>
        </w:tc>
        <w:tc>
          <w:tcPr>
            <w:tcW w:w="1108" w:type="pct"/>
            <w:tcBorders>
              <w:tl2br w:val="nil"/>
              <w:tr2bl w:val="nil"/>
            </w:tcBorders>
            <w:vAlign w:val="center"/>
          </w:tcPr>
          <w:p w14:paraId="4730A13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PDC(KSD1362ADGR)</w:t>
            </w:r>
          </w:p>
        </w:tc>
        <w:tc>
          <w:tcPr>
            <w:tcW w:w="338" w:type="pct"/>
            <w:tcBorders>
              <w:tl2br w:val="nil"/>
              <w:tr2bl w:val="nil"/>
            </w:tcBorders>
            <w:vAlign w:val="center"/>
          </w:tcPr>
          <w:p w14:paraId="2FA6BF5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tc>
        <w:tc>
          <w:tcPr>
            <w:tcW w:w="691" w:type="pct"/>
            <w:tcBorders>
              <w:tl2br w:val="nil"/>
              <w:tr2bl w:val="nil"/>
            </w:tcBorders>
            <w:vAlign w:val="center"/>
          </w:tcPr>
          <w:p w14:paraId="2B070AB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二开中完</w:t>
            </w:r>
          </w:p>
        </w:tc>
        <w:tc>
          <w:tcPr>
            <w:tcW w:w="910" w:type="pct"/>
            <w:tcBorders>
              <w:tl2br w:val="nil"/>
              <w:tr2bl w:val="nil"/>
            </w:tcBorders>
            <w:vAlign w:val="center"/>
          </w:tcPr>
          <w:p w14:paraId="48335C2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PDC:60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120</w:t>
            </w:r>
          </w:p>
        </w:tc>
        <w:tc>
          <w:tcPr>
            <w:tcW w:w="985" w:type="pct"/>
            <w:tcBorders>
              <w:tl2br w:val="nil"/>
              <w:tr2bl w:val="nil"/>
            </w:tcBorders>
            <w:vAlign w:val="center"/>
          </w:tcPr>
          <w:p w14:paraId="75635B8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PDC:120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180</w:t>
            </w:r>
          </w:p>
        </w:tc>
      </w:tr>
      <w:tr w:rsidR="002E0859" w14:paraId="6D8459FB" w14:textId="77777777">
        <w:trPr>
          <w:trHeight w:val="23"/>
          <w:jc w:val="center"/>
        </w:trPr>
        <w:tc>
          <w:tcPr>
            <w:tcW w:w="404" w:type="pct"/>
            <w:tcBorders>
              <w:tl2br w:val="nil"/>
              <w:tr2bl w:val="nil"/>
            </w:tcBorders>
            <w:vAlign w:val="center"/>
          </w:tcPr>
          <w:p w14:paraId="431E2EC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w:t>
            </w:r>
          </w:p>
        </w:tc>
        <w:tc>
          <w:tcPr>
            <w:tcW w:w="561" w:type="pct"/>
            <w:tcBorders>
              <w:tl2br w:val="nil"/>
              <w:tr2bl w:val="nil"/>
            </w:tcBorders>
            <w:vAlign w:val="center"/>
          </w:tcPr>
          <w:p w14:paraId="77F4780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190.5</w:t>
            </w:r>
          </w:p>
        </w:tc>
        <w:tc>
          <w:tcPr>
            <w:tcW w:w="1108" w:type="pct"/>
            <w:tcBorders>
              <w:tl2br w:val="nil"/>
              <w:tr2bl w:val="nil"/>
            </w:tcBorders>
            <w:vAlign w:val="center"/>
          </w:tcPr>
          <w:p w14:paraId="78AE980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PDC(KSD1652AGR)</w:t>
            </w:r>
          </w:p>
        </w:tc>
        <w:tc>
          <w:tcPr>
            <w:tcW w:w="338" w:type="pct"/>
            <w:tcBorders>
              <w:tl2br w:val="nil"/>
              <w:tr2bl w:val="nil"/>
            </w:tcBorders>
            <w:vAlign w:val="center"/>
          </w:tcPr>
          <w:p w14:paraId="5D0B814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w:t>
            </w:r>
          </w:p>
        </w:tc>
        <w:tc>
          <w:tcPr>
            <w:tcW w:w="691" w:type="pct"/>
            <w:tcBorders>
              <w:tl2br w:val="nil"/>
              <w:tr2bl w:val="nil"/>
            </w:tcBorders>
            <w:vAlign w:val="center"/>
          </w:tcPr>
          <w:p w14:paraId="1D6BBCA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~A</w:t>
            </w:r>
            <w:r>
              <w:rPr>
                <w:rFonts w:ascii="Times New Roman" w:hAnsi="Times New Roman" w:cs="Times New Roman"/>
                <w:color w:val="000000" w:themeColor="text1"/>
                <w:kern w:val="0"/>
              </w:rPr>
              <w:t>靶</w:t>
            </w:r>
          </w:p>
        </w:tc>
        <w:tc>
          <w:tcPr>
            <w:tcW w:w="910" w:type="pct"/>
            <w:tcBorders>
              <w:tl2br w:val="nil"/>
              <w:tr2bl w:val="nil"/>
            </w:tcBorders>
            <w:vAlign w:val="center"/>
          </w:tcPr>
          <w:p w14:paraId="4930A15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混合</w:t>
            </w:r>
            <w:r>
              <w:rPr>
                <w:rFonts w:ascii="Times New Roman" w:hAnsi="Times New Roman" w:cs="Times New Roman"/>
                <w:color w:val="000000" w:themeColor="text1"/>
                <w:kern w:val="0"/>
              </w:rPr>
              <w:t>:120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140</w:t>
            </w:r>
          </w:p>
        </w:tc>
        <w:tc>
          <w:tcPr>
            <w:tcW w:w="985" w:type="pct"/>
            <w:tcBorders>
              <w:tl2br w:val="nil"/>
              <w:tr2bl w:val="nil"/>
            </w:tcBorders>
            <w:vAlign w:val="center"/>
          </w:tcPr>
          <w:p w14:paraId="69AB590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混合</w:t>
            </w:r>
            <w:r>
              <w:rPr>
                <w:rFonts w:ascii="Times New Roman" w:hAnsi="Times New Roman" w:cs="Times New Roman"/>
                <w:color w:val="000000" w:themeColor="text1"/>
                <w:kern w:val="0"/>
              </w:rPr>
              <w:t>:120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180</w:t>
            </w:r>
          </w:p>
        </w:tc>
      </w:tr>
      <w:tr w:rsidR="002E0859" w14:paraId="09DA0E0F" w14:textId="77777777">
        <w:trPr>
          <w:trHeight w:val="23"/>
          <w:jc w:val="center"/>
        </w:trPr>
        <w:tc>
          <w:tcPr>
            <w:tcW w:w="404" w:type="pct"/>
            <w:tcBorders>
              <w:tl2br w:val="nil"/>
              <w:tr2bl w:val="nil"/>
            </w:tcBorders>
            <w:vAlign w:val="center"/>
          </w:tcPr>
          <w:p w14:paraId="097CE19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6</w:t>
            </w:r>
          </w:p>
        </w:tc>
        <w:tc>
          <w:tcPr>
            <w:tcW w:w="561" w:type="pct"/>
            <w:tcBorders>
              <w:tl2br w:val="nil"/>
              <w:tr2bl w:val="nil"/>
            </w:tcBorders>
            <w:vAlign w:val="center"/>
          </w:tcPr>
          <w:p w14:paraId="16E7AEA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190.5</w:t>
            </w:r>
          </w:p>
        </w:tc>
        <w:tc>
          <w:tcPr>
            <w:tcW w:w="1108" w:type="pct"/>
            <w:tcBorders>
              <w:tl2br w:val="nil"/>
              <w:tr2bl w:val="nil"/>
            </w:tcBorders>
            <w:vAlign w:val="center"/>
          </w:tcPr>
          <w:p w14:paraId="51252BF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PDC(KSD1652AGR)</w:t>
            </w:r>
          </w:p>
        </w:tc>
        <w:tc>
          <w:tcPr>
            <w:tcW w:w="338" w:type="pct"/>
            <w:tcBorders>
              <w:tl2br w:val="nil"/>
              <w:tr2bl w:val="nil"/>
            </w:tcBorders>
            <w:vAlign w:val="center"/>
          </w:tcPr>
          <w:p w14:paraId="1A148C0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w:t>
            </w:r>
          </w:p>
        </w:tc>
        <w:tc>
          <w:tcPr>
            <w:tcW w:w="691" w:type="pct"/>
            <w:tcBorders>
              <w:tl2br w:val="nil"/>
              <w:tr2bl w:val="nil"/>
            </w:tcBorders>
            <w:vAlign w:val="center"/>
          </w:tcPr>
          <w:p w14:paraId="214BE41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完钻井深</w:t>
            </w:r>
          </w:p>
        </w:tc>
        <w:tc>
          <w:tcPr>
            <w:tcW w:w="910" w:type="pct"/>
            <w:tcBorders>
              <w:tl2br w:val="nil"/>
              <w:tr2bl w:val="nil"/>
            </w:tcBorders>
            <w:vAlign w:val="center"/>
          </w:tcPr>
          <w:p w14:paraId="77795AF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PDC:80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100</w:t>
            </w:r>
          </w:p>
        </w:tc>
        <w:tc>
          <w:tcPr>
            <w:tcW w:w="985" w:type="pct"/>
            <w:tcBorders>
              <w:tl2br w:val="nil"/>
              <w:tr2bl w:val="nil"/>
            </w:tcBorders>
            <w:vAlign w:val="center"/>
          </w:tcPr>
          <w:p w14:paraId="05A4443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PDC:120</w:t>
            </w:r>
            <w:r>
              <w:rPr>
                <w:rFonts w:ascii="Times New Roman" w:hAnsi="Times New Roman" w:cs="Times New Roman"/>
                <w:color w:val="000000" w:themeColor="text1"/>
                <w:kern w:val="0"/>
              </w:rPr>
              <w:t>～</w:t>
            </w:r>
            <w:r>
              <w:rPr>
                <w:rFonts w:ascii="Times New Roman" w:hAnsi="Times New Roman" w:cs="Times New Roman"/>
                <w:color w:val="000000" w:themeColor="text1"/>
                <w:kern w:val="0"/>
              </w:rPr>
              <w:t>180</w:t>
            </w:r>
          </w:p>
        </w:tc>
      </w:tr>
    </w:tbl>
    <w:p w14:paraId="0D5A16A4" w14:textId="77777777" w:rsidR="002E0859" w:rsidRDefault="00000000">
      <w:pPr>
        <w:kinsoku w:val="0"/>
        <w:autoSpaceDE w:val="0"/>
        <w:autoSpaceDN w:val="0"/>
        <w:spacing w:beforeLines="50" w:before="120" w:line="360" w:lineRule="auto"/>
        <w:ind w:firstLine="456"/>
        <w:jc w:val="left"/>
        <w:textAlignment w:val="baseline"/>
        <w:rPr>
          <w:color w:val="000000" w:themeColor="text1"/>
          <w:spacing w:val="-6"/>
          <w:sz w:val="24"/>
          <w:szCs w:val="24"/>
          <w:lang w:eastAsia="en-US"/>
        </w:rPr>
      </w:pPr>
      <w:r>
        <w:rPr>
          <w:color w:val="000000" w:themeColor="text1"/>
          <w:spacing w:val="-6"/>
          <w:sz w:val="24"/>
          <w:szCs w:val="24"/>
          <w:lang w:eastAsia="en-US"/>
        </w:rPr>
        <w:t>注：</w:t>
      </w:r>
      <w:r>
        <w:rPr>
          <w:color w:val="000000" w:themeColor="text1"/>
          <w:spacing w:val="-6"/>
          <w:sz w:val="24"/>
          <w:szCs w:val="24"/>
          <w:lang w:eastAsia="en-US"/>
        </w:rPr>
        <w:t>1</w:t>
      </w:r>
      <w:r>
        <w:rPr>
          <w:color w:val="000000" w:themeColor="text1"/>
          <w:spacing w:val="-6"/>
          <w:sz w:val="24"/>
          <w:szCs w:val="24"/>
          <w:lang w:eastAsia="en-US"/>
        </w:rPr>
        <w:t>）钻头选型依据</w:t>
      </w:r>
      <w:r>
        <w:rPr>
          <w:color w:val="000000" w:themeColor="text1"/>
          <w:spacing w:val="-6"/>
          <w:sz w:val="24"/>
          <w:szCs w:val="24"/>
          <w:lang w:eastAsia="en-US"/>
        </w:rPr>
        <w:t>①</w:t>
      </w:r>
      <w:r>
        <w:rPr>
          <w:color w:val="000000" w:themeColor="text1"/>
          <w:spacing w:val="-6"/>
          <w:sz w:val="24"/>
          <w:szCs w:val="24"/>
          <w:lang w:eastAsia="en-US"/>
        </w:rPr>
        <w:t>平台井设计钻遇地层岩性预告。</w:t>
      </w:r>
      <w:r>
        <w:rPr>
          <w:color w:val="000000" w:themeColor="text1"/>
          <w:spacing w:val="-6"/>
          <w:sz w:val="24"/>
          <w:szCs w:val="24"/>
          <w:lang w:eastAsia="en-US"/>
        </w:rPr>
        <w:t>②</w:t>
      </w:r>
      <w:r>
        <w:rPr>
          <w:color w:val="000000" w:themeColor="text1"/>
          <w:spacing w:val="-6"/>
          <w:sz w:val="24"/>
          <w:szCs w:val="24"/>
          <w:lang w:eastAsia="en-US"/>
        </w:rPr>
        <w:t>邻井实钻钻头统计资料。</w:t>
      </w:r>
      <w:r>
        <w:rPr>
          <w:color w:val="000000" w:themeColor="text1"/>
          <w:spacing w:val="-6"/>
          <w:sz w:val="24"/>
          <w:szCs w:val="24"/>
          <w:lang w:eastAsia="en-US"/>
        </w:rPr>
        <w:t>2</w:t>
      </w:r>
      <w:r>
        <w:rPr>
          <w:color w:val="000000" w:themeColor="text1"/>
          <w:spacing w:val="-6"/>
          <w:sz w:val="24"/>
          <w:szCs w:val="24"/>
          <w:lang w:eastAsia="en-US"/>
        </w:rPr>
        <w:t>）根据地层情况，可选择不同钻井方式以提高机械钻速，上表中设计机械参数</w:t>
      </w:r>
      <w:r>
        <w:rPr>
          <w:rFonts w:hint="eastAsia"/>
          <w:color w:val="000000" w:themeColor="text1"/>
          <w:spacing w:val="-6"/>
          <w:sz w:val="24"/>
          <w:szCs w:val="24"/>
        </w:rPr>
        <w:t>为</w:t>
      </w:r>
      <w:r>
        <w:rPr>
          <w:color w:val="000000" w:themeColor="text1"/>
          <w:spacing w:val="-6"/>
          <w:sz w:val="24"/>
          <w:szCs w:val="24"/>
        </w:rPr>
        <w:t>转盘钻进参数，如采用复合钻进钻井方式，应根据动力钻具、钻头性能调整机械参数</w:t>
      </w:r>
      <w:r>
        <w:rPr>
          <w:rFonts w:hint="eastAsia"/>
          <w:color w:val="000000" w:themeColor="text1"/>
          <w:spacing w:val="-6"/>
          <w:sz w:val="24"/>
          <w:szCs w:val="24"/>
        </w:rPr>
        <w:t>。</w:t>
      </w:r>
      <w:r>
        <w:rPr>
          <w:color w:val="000000" w:themeColor="text1"/>
          <w:spacing w:val="-6"/>
          <w:sz w:val="24"/>
          <w:szCs w:val="24"/>
        </w:rPr>
        <w:t>在钻井设备升级的情况下，采用强化参数，提高钻井速度。</w:t>
      </w:r>
      <w:r>
        <w:rPr>
          <w:color w:val="000000" w:themeColor="text1"/>
          <w:spacing w:val="-6"/>
          <w:sz w:val="24"/>
          <w:szCs w:val="24"/>
        </w:rPr>
        <w:t>3</w:t>
      </w:r>
      <w:r>
        <w:rPr>
          <w:color w:val="000000" w:themeColor="text1"/>
          <w:spacing w:val="-6"/>
          <w:sz w:val="24"/>
          <w:szCs w:val="24"/>
        </w:rPr>
        <w:t>）可能进行堵漏作业时，钻具中不能带有井下动力装置，钻头水眼应尽量加大。</w:t>
      </w:r>
    </w:p>
    <w:p w14:paraId="5423461A" w14:textId="77777777" w:rsidR="002E0859" w:rsidRDefault="00000000">
      <w:pPr>
        <w:spacing w:line="221" w:lineRule="auto"/>
        <w:ind w:left="40" w:firstLine="476"/>
        <w:rPr>
          <w:rFonts w:ascii="宋体" w:hAnsi="宋体" w:cs="宋体"/>
          <w:color w:val="000000" w:themeColor="text1"/>
          <w:sz w:val="24"/>
          <w:szCs w:val="24"/>
        </w:rPr>
      </w:pPr>
      <w:r>
        <w:rPr>
          <w:color w:val="000000" w:themeColor="text1"/>
          <w:spacing w:val="-1"/>
          <w:sz w:val="24"/>
          <w:szCs w:val="24"/>
        </w:rPr>
        <w:t>2</w:t>
      </w:r>
      <w:r>
        <w:rPr>
          <w:color w:val="000000" w:themeColor="text1"/>
          <w:spacing w:val="-1"/>
          <w:sz w:val="24"/>
          <w:szCs w:val="24"/>
        </w:rPr>
        <w:t>、</w:t>
      </w:r>
      <w:r>
        <w:rPr>
          <w:rFonts w:ascii="宋体" w:hAnsi="宋体" w:cs="宋体"/>
          <w:color w:val="000000" w:themeColor="text1"/>
          <w:spacing w:val="-1"/>
          <w:sz w:val="24"/>
          <w:szCs w:val="24"/>
        </w:rPr>
        <w:t>水力参数设计</w:t>
      </w:r>
    </w:p>
    <w:p w14:paraId="684539F2" w14:textId="77777777" w:rsidR="002E0859" w:rsidRDefault="00000000">
      <w:pPr>
        <w:pStyle w:val="a8"/>
        <w:spacing w:line="240" w:lineRule="auto"/>
        <w:ind w:firstLineChars="0" w:firstLine="0"/>
        <w:jc w:val="center"/>
        <w:rPr>
          <w:rFonts w:ascii="Times New Roman" w:eastAsia="黑体" w:hAnsi="Times New Roman" w:cs="Times New Roman"/>
          <w:color w:val="000000" w:themeColor="text1"/>
          <w:sz w:val="21"/>
          <w:szCs w:val="21"/>
        </w:rPr>
      </w:pPr>
      <w:r>
        <w:rPr>
          <w:rFonts w:ascii="Times New Roman" w:eastAsia="黑体" w:hAnsi="Times New Roman" w:cs="Times New Roman" w:hint="eastAsia"/>
          <w:color w:val="000000" w:themeColor="text1"/>
          <w:sz w:val="21"/>
          <w:szCs w:val="21"/>
        </w:rPr>
        <w:t>表</w:t>
      </w:r>
      <w:r>
        <w:rPr>
          <w:rFonts w:ascii="Times New Roman" w:eastAsia="黑体" w:hAnsi="Times New Roman" w:cs="Times New Roman" w:hint="eastAsia"/>
          <w:color w:val="000000" w:themeColor="text1"/>
          <w:sz w:val="21"/>
          <w:szCs w:val="21"/>
          <w:lang w:eastAsia="zh-CN"/>
        </w:rPr>
        <w:t>2.4</w:t>
      </w:r>
      <w:r>
        <w:rPr>
          <w:rFonts w:ascii="Times New Roman" w:eastAsia="黑体" w:hAnsi="Times New Roman" w:cs="Times New Roman" w:hint="eastAsia"/>
          <w:color w:val="000000" w:themeColor="text1"/>
          <w:sz w:val="21"/>
          <w:szCs w:val="21"/>
        </w:rPr>
        <w:t>-1</w:t>
      </w:r>
      <w:r>
        <w:rPr>
          <w:rFonts w:ascii="Times New Roman" w:eastAsia="黑体" w:hAnsi="Times New Roman" w:cs="Times New Roman" w:hint="eastAsia"/>
          <w:color w:val="000000" w:themeColor="text1"/>
          <w:sz w:val="21"/>
          <w:szCs w:val="21"/>
          <w:lang w:eastAsia="zh-CN"/>
        </w:rPr>
        <w:t xml:space="preserve">3 </w:t>
      </w:r>
      <w:r>
        <w:rPr>
          <w:rFonts w:ascii="Times New Roman" w:eastAsia="黑体" w:hAnsi="Times New Roman" w:cs="Times New Roman" w:hint="eastAsia"/>
          <w:color w:val="000000" w:themeColor="text1"/>
          <w:sz w:val="21"/>
          <w:szCs w:val="21"/>
        </w:rPr>
        <w:t>钻井水力参数设计表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04"/>
        <w:gridCol w:w="1460"/>
        <w:gridCol w:w="795"/>
        <w:gridCol w:w="870"/>
        <w:gridCol w:w="756"/>
        <w:gridCol w:w="758"/>
        <w:gridCol w:w="760"/>
        <w:gridCol w:w="756"/>
        <w:gridCol w:w="756"/>
        <w:gridCol w:w="966"/>
        <w:gridCol w:w="669"/>
      </w:tblGrid>
      <w:tr w:rsidR="002E0859" w14:paraId="02FF9E7B" w14:textId="77777777">
        <w:trPr>
          <w:trHeight w:val="23"/>
          <w:jc w:val="center"/>
        </w:trPr>
        <w:tc>
          <w:tcPr>
            <w:tcW w:w="332" w:type="pct"/>
            <w:vMerge w:val="restart"/>
            <w:tcBorders>
              <w:tl2br w:val="nil"/>
              <w:tr2bl w:val="nil"/>
            </w:tcBorders>
            <w:vAlign w:val="center"/>
          </w:tcPr>
          <w:p w14:paraId="42CCE55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序号</w:t>
            </w:r>
          </w:p>
        </w:tc>
        <w:tc>
          <w:tcPr>
            <w:tcW w:w="800" w:type="pct"/>
            <w:vMerge w:val="restart"/>
            <w:tcBorders>
              <w:tl2br w:val="nil"/>
              <w:tr2bl w:val="nil"/>
            </w:tcBorders>
            <w:vAlign w:val="center"/>
          </w:tcPr>
          <w:p w14:paraId="4986E7B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井深</w:t>
            </w:r>
          </w:p>
          <w:p w14:paraId="5774184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m</w:t>
            </w:r>
            <w:r>
              <w:rPr>
                <w:rFonts w:ascii="Times New Roman" w:hAnsi="Times New Roman" w:cs="Times New Roman"/>
                <w:color w:val="000000" w:themeColor="text1"/>
                <w:kern w:val="0"/>
              </w:rPr>
              <w:t>）</w:t>
            </w:r>
          </w:p>
        </w:tc>
        <w:tc>
          <w:tcPr>
            <w:tcW w:w="913" w:type="pct"/>
            <w:gridSpan w:val="2"/>
            <w:tcBorders>
              <w:tl2br w:val="nil"/>
              <w:tr2bl w:val="nil"/>
            </w:tcBorders>
            <w:vAlign w:val="center"/>
          </w:tcPr>
          <w:p w14:paraId="1BD4D3A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钻头</w:t>
            </w:r>
          </w:p>
        </w:tc>
        <w:tc>
          <w:tcPr>
            <w:tcW w:w="2953" w:type="pct"/>
            <w:gridSpan w:val="7"/>
            <w:tcBorders>
              <w:tl2br w:val="nil"/>
              <w:tr2bl w:val="nil"/>
            </w:tcBorders>
            <w:vAlign w:val="center"/>
          </w:tcPr>
          <w:p w14:paraId="4EC8A8C6"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水力参数</w:t>
            </w:r>
          </w:p>
        </w:tc>
      </w:tr>
      <w:tr w:rsidR="002E0859" w14:paraId="5FA7C6C6" w14:textId="77777777">
        <w:trPr>
          <w:trHeight w:val="23"/>
          <w:jc w:val="center"/>
        </w:trPr>
        <w:tc>
          <w:tcPr>
            <w:tcW w:w="332" w:type="pct"/>
            <w:vMerge/>
            <w:tcBorders>
              <w:tl2br w:val="nil"/>
              <w:tr2bl w:val="nil"/>
            </w:tcBorders>
            <w:vAlign w:val="center"/>
          </w:tcPr>
          <w:p w14:paraId="236F9367"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800" w:type="pct"/>
            <w:vMerge/>
            <w:tcBorders>
              <w:tl2br w:val="nil"/>
              <w:tr2bl w:val="nil"/>
            </w:tcBorders>
            <w:vAlign w:val="center"/>
          </w:tcPr>
          <w:p w14:paraId="0A768B2C" w14:textId="77777777" w:rsidR="002E0859" w:rsidRDefault="002E0859">
            <w:pPr>
              <w:pStyle w:val="TableText"/>
              <w:spacing w:line="240" w:lineRule="auto"/>
              <w:ind w:firstLineChars="0" w:firstLine="0"/>
              <w:jc w:val="center"/>
              <w:rPr>
                <w:rFonts w:ascii="Times New Roman" w:hAnsi="Times New Roman" w:cs="Times New Roman"/>
                <w:color w:val="000000" w:themeColor="text1"/>
                <w:kern w:val="0"/>
              </w:rPr>
            </w:pPr>
          </w:p>
        </w:tc>
        <w:tc>
          <w:tcPr>
            <w:tcW w:w="436" w:type="pct"/>
            <w:tcBorders>
              <w:tl2br w:val="nil"/>
              <w:tr2bl w:val="nil"/>
            </w:tcBorders>
            <w:vAlign w:val="center"/>
          </w:tcPr>
          <w:p w14:paraId="00C5DCA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钻头尺</w:t>
            </w:r>
            <w:r>
              <w:rPr>
                <w:rFonts w:ascii="Times New Roman" w:hAnsi="Times New Roman" w:cs="Times New Roman"/>
                <w:color w:val="000000" w:themeColor="text1"/>
                <w:kern w:val="0"/>
              </w:rPr>
              <w:lastRenderedPageBreak/>
              <w:t>寸（</w:t>
            </w:r>
            <w:r>
              <w:rPr>
                <w:rFonts w:ascii="Times New Roman" w:hAnsi="Times New Roman" w:cs="Times New Roman"/>
                <w:color w:val="000000" w:themeColor="text1"/>
                <w:kern w:val="0"/>
              </w:rPr>
              <w:t>mm</w:t>
            </w:r>
            <w:r>
              <w:rPr>
                <w:rFonts w:ascii="Times New Roman" w:hAnsi="Times New Roman" w:cs="Times New Roman"/>
                <w:color w:val="000000" w:themeColor="text1"/>
                <w:kern w:val="0"/>
              </w:rPr>
              <w:t>）</w:t>
            </w:r>
          </w:p>
        </w:tc>
        <w:tc>
          <w:tcPr>
            <w:tcW w:w="477" w:type="pct"/>
            <w:tcBorders>
              <w:tl2br w:val="nil"/>
              <w:tr2bl w:val="nil"/>
            </w:tcBorders>
            <w:vAlign w:val="center"/>
          </w:tcPr>
          <w:p w14:paraId="41AF631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喷嘴面积</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mm</w:t>
            </w:r>
            <w:r>
              <w:rPr>
                <w:rFonts w:ascii="Times New Roman" w:hAnsi="Times New Roman" w:cs="Times New Roman"/>
                <w:color w:val="000000" w:themeColor="text1"/>
                <w:kern w:val="0"/>
                <w:vertAlign w:val="superscript"/>
              </w:rPr>
              <w:t>2</w:t>
            </w:r>
            <w:r>
              <w:rPr>
                <w:rFonts w:ascii="Times New Roman" w:hAnsi="Times New Roman" w:cs="Times New Roman"/>
                <w:color w:val="000000" w:themeColor="text1"/>
                <w:kern w:val="0"/>
              </w:rPr>
              <w:t>）</w:t>
            </w:r>
          </w:p>
        </w:tc>
        <w:tc>
          <w:tcPr>
            <w:tcW w:w="415" w:type="pct"/>
            <w:tcBorders>
              <w:tl2br w:val="nil"/>
              <w:tr2bl w:val="nil"/>
            </w:tcBorders>
            <w:vAlign w:val="center"/>
          </w:tcPr>
          <w:p w14:paraId="007A24F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排量</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L/s</w:t>
            </w:r>
            <w:r>
              <w:rPr>
                <w:rFonts w:ascii="Times New Roman" w:hAnsi="Times New Roman" w:cs="Times New Roman"/>
                <w:color w:val="000000" w:themeColor="text1"/>
                <w:kern w:val="0"/>
              </w:rPr>
              <w:t>）</w:t>
            </w:r>
          </w:p>
        </w:tc>
        <w:tc>
          <w:tcPr>
            <w:tcW w:w="416" w:type="pct"/>
            <w:tcBorders>
              <w:tl2br w:val="nil"/>
              <w:tr2bl w:val="nil"/>
            </w:tcBorders>
            <w:vAlign w:val="center"/>
          </w:tcPr>
          <w:p w14:paraId="68E88CA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泵压</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MPa</w:t>
            </w:r>
            <w:r>
              <w:rPr>
                <w:rFonts w:ascii="Times New Roman" w:hAnsi="Times New Roman" w:cs="Times New Roman"/>
                <w:color w:val="000000" w:themeColor="text1"/>
                <w:kern w:val="0"/>
              </w:rPr>
              <w:t>）</w:t>
            </w:r>
          </w:p>
        </w:tc>
        <w:tc>
          <w:tcPr>
            <w:tcW w:w="417" w:type="pct"/>
            <w:tcBorders>
              <w:tl2br w:val="nil"/>
              <w:tr2bl w:val="nil"/>
            </w:tcBorders>
            <w:vAlign w:val="center"/>
          </w:tcPr>
          <w:p w14:paraId="3C684DE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压耗</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MPa</w:t>
            </w:r>
            <w:r>
              <w:rPr>
                <w:rFonts w:ascii="Times New Roman" w:hAnsi="Times New Roman" w:cs="Times New Roman"/>
                <w:color w:val="000000" w:themeColor="text1"/>
                <w:kern w:val="0"/>
              </w:rPr>
              <w:t>）</w:t>
            </w:r>
          </w:p>
        </w:tc>
        <w:tc>
          <w:tcPr>
            <w:tcW w:w="415" w:type="pct"/>
            <w:tcBorders>
              <w:tl2br w:val="nil"/>
              <w:tr2bl w:val="nil"/>
            </w:tcBorders>
            <w:vAlign w:val="center"/>
          </w:tcPr>
          <w:p w14:paraId="0881E34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压降</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MPa</w:t>
            </w:r>
            <w:r>
              <w:rPr>
                <w:rFonts w:ascii="Times New Roman" w:hAnsi="Times New Roman" w:cs="Times New Roman"/>
                <w:color w:val="000000" w:themeColor="text1"/>
                <w:kern w:val="0"/>
              </w:rPr>
              <w:t>）</w:t>
            </w:r>
          </w:p>
        </w:tc>
        <w:tc>
          <w:tcPr>
            <w:tcW w:w="415" w:type="pct"/>
            <w:tcBorders>
              <w:tl2br w:val="nil"/>
              <w:tr2bl w:val="nil"/>
            </w:tcBorders>
            <w:vAlign w:val="center"/>
          </w:tcPr>
          <w:p w14:paraId="79F7CE8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返速</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m/s</w:t>
            </w:r>
            <w:r>
              <w:rPr>
                <w:rFonts w:ascii="Times New Roman" w:hAnsi="Times New Roman" w:cs="Times New Roman"/>
                <w:color w:val="000000" w:themeColor="text1"/>
                <w:kern w:val="0"/>
              </w:rPr>
              <w:t>）</w:t>
            </w:r>
          </w:p>
        </w:tc>
        <w:tc>
          <w:tcPr>
            <w:tcW w:w="508" w:type="pct"/>
            <w:tcBorders>
              <w:tl2br w:val="nil"/>
              <w:tr2bl w:val="nil"/>
            </w:tcBorders>
            <w:vAlign w:val="center"/>
          </w:tcPr>
          <w:p w14:paraId="32BB582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比水功率</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W/mm2</w:t>
            </w:r>
            <w:r>
              <w:rPr>
                <w:rFonts w:ascii="Times New Roman" w:hAnsi="Times New Roman" w:cs="Times New Roman"/>
                <w:color w:val="000000" w:themeColor="text1"/>
                <w:kern w:val="0"/>
              </w:rPr>
              <w:t>）</w:t>
            </w:r>
          </w:p>
        </w:tc>
        <w:tc>
          <w:tcPr>
            <w:tcW w:w="364" w:type="pct"/>
            <w:tcBorders>
              <w:tl2br w:val="nil"/>
              <w:tr2bl w:val="nil"/>
            </w:tcBorders>
            <w:vAlign w:val="center"/>
          </w:tcPr>
          <w:p w14:paraId="5830B54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冲击力</w:t>
            </w:r>
            <w:r>
              <w:rPr>
                <w:rFonts w:ascii="Times New Roman" w:hAnsi="Times New Roman" w:cs="Times New Roman"/>
                <w:color w:val="000000" w:themeColor="text1"/>
                <w:kern w:val="0"/>
              </w:rPr>
              <w:lastRenderedPageBreak/>
              <w:t>（</w:t>
            </w:r>
            <w:r>
              <w:rPr>
                <w:rFonts w:ascii="Times New Roman" w:hAnsi="Times New Roman" w:cs="Times New Roman"/>
                <w:color w:val="000000" w:themeColor="text1"/>
                <w:kern w:val="0"/>
              </w:rPr>
              <w:t>kN</w:t>
            </w:r>
            <w:r>
              <w:rPr>
                <w:rFonts w:ascii="Times New Roman" w:hAnsi="Times New Roman" w:cs="Times New Roman"/>
                <w:color w:val="000000" w:themeColor="text1"/>
                <w:kern w:val="0"/>
              </w:rPr>
              <w:t>）</w:t>
            </w:r>
          </w:p>
        </w:tc>
      </w:tr>
      <w:tr w:rsidR="002E0859" w14:paraId="7C7AD072" w14:textId="77777777">
        <w:trPr>
          <w:trHeight w:val="23"/>
          <w:jc w:val="center"/>
        </w:trPr>
        <w:tc>
          <w:tcPr>
            <w:tcW w:w="332" w:type="pct"/>
            <w:tcBorders>
              <w:tl2br w:val="nil"/>
              <w:tr2bl w:val="nil"/>
            </w:tcBorders>
            <w:vAlign w:val="center"/>
          </w:tcPr>
          <w:p w14:paraId="4281938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lastRenderedPageBreak/>
              <w:t>1</w:t>
            </w:r>
          </w:p>
        </w:tc>
        <w:tc>
          <w:tcPr>
            <w:tcW w:w="800" w:type="pct"/>
            <w:tcBorders>
              <w:tl2br w:val="nil"/>
              <w:tr2bl w:val="nil"/>
            </w:tcBorders>
            <w:vAlign w:val="center"/>
          </w:tcPr>
          <w:p w14:paraId="0005E76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402</w:t>
            </w:r>
            <w:r>
              <w:rPr>
                <w:rFonts w:ascii="Times New Roman" w:hAnsi="Times New Roman" w:cs="Times New Roman"/>
                <w:color w:val="000000" w:themeColor="text1"/>
                <w:kern w:val="0"/>
              </w:rPr>
              <w:t>～表套下深</w:t>
            </w:r>
          </w:p>
        </w:tc>
        <w:tc>
          <w:tcPr>
            <w:tcW w:w="436" w:type="pct"/>
            <w:tcBorders>
              <w:tl2br w:val="nil"/>
              <w:tr2bl w:val="nil"/>
            </w:tcBorders>
            <w:vAlign w:val="center"/>
          </w:tcPr>
          <w:p w14:paraId="7D8B453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374.7</w:t>
            </w:r>
          </w:p>
        </w:tc>
        <w:tc>
          <w:tcPr>
            <w:tcW w:w="477" w:type="pct"/>
            <w:tcBorders>
              <w:tl2br w:val="nil"/>
              <w:tr2bl w:val="nil"/>
            </w:tcBorders>
            <w:vAlign w:val="center"/>
          </w:tcPr>
          <w:p w14:paraId="62EA3C6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447</w:t>
            </w:r>
          </w:p>
        </w:tc>
        <w:tc>
          <w:tcPr>
            <w:tcW w:w="415" w:type="pct"/>
            <w:tcBorders>
              <w:tl2br w:val="nil"/>
              <w:tr2bl w:val="nil"/>
            </w:tcBorders>
            <w:vAlign w:val="center"/>
          </w:tcPr>
          <w:p w14:paraId="4F1CD7E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50</w:t>
            </w:r>
            <w:r>
              <w:rPr>
                <w:rFonts w:ascii="Times New Roman" w:hAnsi="Times New Roman" w:cs="Times New Roman"/>
                <w:color w:val="000000" w:themeColor="text1"/>
                <w:kern w:val="0"/>
              </w:rPr>
              <w:t>～</w:t>
            </w:r>
            <w:r>
              <w:rPr>
                <w:rFonts w:ascii="Times New Roman" w:hAnsi="Times New Roman" w:cs="Times New Roman"/>
                <w:color w:val="000000" w:themeColor="text1"/>
                <w:kern w:val="0"/>
              </w:rPr>
              <w:t>60</w:t>
            </w:r>
          </w:p>
        </w:tc>
        <w:tc>
          <w:tcPr>
            <w:tcW w:w="416" w:type="pct"/>
            <w:tcBorders>
              <w:tl2br w:val="nil"/>
              <w:tr2bl w:val="nil"/>
            </w:tcBorders>
            <w:vAlign w:val="center"/>
          </w:tcPr>
          <w:p w14:paraId="209446A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15.00</w:t>
            </w:r>
          </w:p>
        </w:tc>
        <w:tc>
          <w:tcPr>
            <w:tcW w:w="417" w:type="pct"/>
            <w:tcBorders>
              <w:tl2br w:val="nil"/>
              <w:tr2bl w:val="nil"/>
            </w:tcBorders>
            <w:vAlign w:val="center"/>
          </w:tcPr>
          <w:p w14:paraId="736797A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4.24</w:t>
            </w:r>
          </w:p>
        </w:tc>
        <w:tc>
          <w:tcPr>
            <w:tcW w:w="415" w:type="pct"/>
            <w:tcBorders>
              <w:tl2br w:val="nil"/>
              <w:tr2bl w:val="nil"/>
            </w:tcBorders>
            <w:vAlign w:val="center"/>
          </w:tcPr>
          <w:p w14:paraId="683124A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10.77</w:t>
            </w:r>
          </w:p>
        </w:tc>
        <w:tc>
          <w:tcPr>
            <w:tcW w:w="415" w:type="pct"/>
            <w:tcBorders>
              <w:tl2br w:val="nil"/>
              <w:tr2bl w:val="nil"/>
            </w:tcBorders>
            <w:vAlign w:val="center"/>
          </w:tcPr>
          <w:p w14:paraId="4058E06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0.37</w:t>
            </w:r>
          </w:p>
        </w:tc>
        <w:tc>
          <w:tcPr>
            <w:tcW w:w="508" w:type="pct"/>
            <w:tcBorders>
              <w:tl2br w:val="nil"/>
              <w:tr2bl w:val="nil"/>
            </w:tcBorders>
            <w:vAlign w:val="center"/>
          </w:tcPr>
          <w:p w14:paraId="2CA4D9C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3.93</w:t>
            </w:r>
          </w:p>
        </w:tc>
        <w:tc>
          <w:tcPr>
            <w:tcW w:w="364" w:type="pct"/>
            <w:tcBorders>
              <w:tl2br w:val="nil"/>
              <w:tr2bl w:val="nil"/>
            </w:tcBorders>
            <w:vAlign w:val="center"/>
          </w:tcPr>
          <w:p w14:paraId="4B43A0C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8.7</w:t>
            </w:r>
          </w:p>
        </w:tc>
      </w:tr>
      <w:tr w:rsidR="002E0859" w14:paraId="74D7AAF5" w14:textId="77777777">
        <w:trPr>
          <w:trHeight w:val="23"/>
          <w:jc w:val="center"/>
        </w:trPr>
        <w:tc>
          <w:tcPr>
            <w:tcW w:w="332" w:type="pct"/>
            <w:tcBorders>
              <w:tl2br w:val="nil"/>
              <w:tr2bl w:val="nil"/>
            </w:tcBorders>
            <w:vAlign w:val="center"/>
          </w:tcPr>
          <w:p w14:paraId="0E9B986F"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w:t>
            </w:r>
          </w:p>
        </w:tc>
        <w:tc>
          <w:tcPr>
            <w:tcW w:w="800" w:type="pct"/>
            <w:tcBorders>
              <w:tl2br w:val="nil"/>
              <w:tr2bl w:val="nil"/>
            </w:tcBorders>
            <w:vAlign w:val="center"/>
          </w:tcPr>
          <w:p w14:paraId="023386E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中完深度</w:t>
            </w:r>
          </w:p>
        </w:tc>
        <w:tc>
          <w:tcPr>
            <w:tcW w:w="436" w:type="pct"/>
            <w:tcBorders>
              <w:tl2br w:val="nil"/>
              <w:tr2bl w:val="nil"/>
            </w:tcBorders>
            <w:vAlign w:val="center"/>
          </w:tcPr>
          <w:p w14:paraId="0DCB4F0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269.9</w:t>
            </w:r>
          </w:p>
        </w:tc>
        <w:tc>
          <w:tcPr>
            <w:tcW w:w="477" w:type="pct"/>
            <w:tcBorders>
              <w:tl2br w:val="nil"/>
              <w:tr2bl w:val="nil"/>
            </w:tcBorders>
            <w:vAlign w:val="center"/>
          </w:tcPr>
          <w:p w14:paraId="4BA42DE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554.5</w:t>
            </w:r>
          </w:p>
        </w:tc>
        <w:tc>
          <w:tcPr>
            <w:tcW w:w="415" w:type="pct"/>
            <w:tcBorders>
              <w:tl2br w:val="nil"/>
              <w:tr2bl w:val="nil"/>
            </w:tcBorders>
            <w:vAlign w:val="center"/>
          </w:tcPr>
          <w:p w14:paraId="74816CF3"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40</w:t>
            </w:r>
            <w:r>
              <w:rPr>
                <w:rFonts w:ascii="Times New Roman" w:hAnsi="Times New Roman" w:cs="Times New Roman"/>
                <w:color w:val="000000" w:themeColor="text1"/>
                <w:kern w:val="0"/>
              </w:rPr>
              <w:t>～</w:t>
            </w:r>
            <w:r>
              <w:rPr>
                <w:rFonts w:ascii="Times New Roman" w:hAnsi="Times New Roman" w:cs="Times New Roman"/>
                <w:color w:val="000000" w:themeColor="text1"/>
                <w:kern w:val="0"/>
              </w:rPr>
              <w:t>55</w:t>
            </w:r>
          </w:p>
        </w:tc>
        <w:tc>
          <w:tcPr>
            <w:tcW w:w="416" w:type="pct"/>
            <w:tcBorders>
              <w:tl2br w:val="nil"/>
              <w:tr2bl w:val="nil"/>
            </w:tcBorders>
            <w:vAlign w:val="center"/>
          </w:tcPr>
          <w:p w14:paraId="243DA06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21.68</w:t>
            </w:r>
          </w:p>
        </w:tc>
        <w:tc>
          <w:tcPr>
            <w:tcW w:w="417" w:type="pct"/>
            <w:tcBorders>
              <w:tl2br w:val="nil"/>
              <w:tr2bl w:val="nil"/>
            </w:tcBorders>
            <w:vAlign w:val="center"/>
          </w:tcPr>
          <w:p w14:paraId="6B3FB8F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12.69</w:t>
            </w:r>
          </w:p>
        </w:tc>
        <w:tc>
          <w:tcPr>
            <w:tcW w:w="415" w:type="pct"/>
            <w:tcBorders>
              <w:tl2br w:val="nil"/>
              <w:tr2bl w:val="nil"/>
            </w:tcBorders>
            <w:vAlign w:val="center"/>
          </w:tcPr>
          <w:p w14:paraId="06A8510D"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7.00</w:t>
            </w:r>
          </w:p>
        </w:tc>
        <w:tc>
          <w:tcPr>
            <w:tcW w:w="415" w:type="pct"/>
            <w:tcBorders>
              <w:tl2br w:val="nil"/>
              <w:tr2bl w:val="nil"/>
            </w:tcBorders>
            <w:vAlign w:val="center"/>
          </w:tcPr>
          <w:p w14:paraId="023A078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0.82</w:t>
            </w:r>
          </w:p>
        </w:tc>
        <w:tc>
          <w:tcPr>
            <w:tcW w:w="508" w:type="pct"/>
            <w:tcBorders>
              <w:tl2br w:val="nil"/>
              <w:tr2bl w:val="nil"/>
            </w:tcBorders>
            <w:vAlign w:val="center"/>
          </w:tcPr>
          <w:p w14:paraId="073EF161"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5.21</w:t>
            </w:r>
          </w:p>
        </w:tc>
        <w:tc>
          <w:tcPr>
            <w:tcW w:w="364" w:type="pct"/>
            <w:tcBorders>
              <w:tl2br w:val="nil"/>
              <w:tr2bl w:val="nil"/>
            </w:tcBorders>
            <w:vAlign w:val="center"/>
          </w:tcPr>
          <w:p w14:paraId="14BEBFFB"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7.01</w:t>
            </w:r>
          </w:p>
        </w:tc>
      </w:tr>
      <w:tr w:rsidR="002E0859" w14:paraId="339CA974" w14:textId="77777777">
        <w:trPr>
          <w:trHeight w:val="23"/>
          <w:jc w:val="center"/>
        </w:trPr>
        <w:tc>
          <w:tcPr>
            <w:tcW w:w="332" w:type="pct"/>
            <w:tcBorders>
              <w:tl2br w:val="nil"/>
              <w:tr2bl w:val="nil"/>
            </w:tcBorders>
            <w:vAlign w:val="center"/>
          </w:tcPr>
          <w:p w14:paraId="10C65F19"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3</w:t>
            </w:r>
          </w:p>
        </w:tc>
        <w:tc>
          <w:tcPr>
            <w:tcW w:w="800" w:type="pct"/>
            <w:tcBorders>
              <w:tl2br w:val="nil"/>
              <w:tr2bl w:val="nil"/>
            </w:tcBorders>
            <w:vAlign w:val="center"/>
          </w:tcPr>
          <w:p w14:paraId="253AF51C"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w:t>
            </w:r>
            <w:r>
              <w:rPr>
                <w:rFonts w:ascii="Times New Roman" w:hAnsi="Times New Roman" w:cs="Times New Roman"/>
                <w:color w:val="000000" w:themeColor="text1"/>
                <w:kern w:val="0"/>
              </w:rPr>
              <w:t>井底</w:t>
            </w:r>
          </w:p>
        </w:tc>
        <w:tc>
          <w:tcPr>
            <w:tcW w:w="436" w:type="pct"/>
            <w:tcBorders>
              <w:tl2br w:val="nil"/>
              <w:tr2bl w:val="nil"/>
            </w:tcBorders>
            <w:vAlign w:val="center"/>
          </w:tcPr>
          <w:p w14:paraId="61DA0165"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190.1</w:t>
            </w:r>
          </w:p>
        </w:tc>
        <w:tc>
          <w:tcPr>
            <w:tcW w:w="477" w:type="pct"/>
            <w:tcBorders>
              <w:tl2br w:val="nil"/>
              <w:tr2bl w:val="nil"/>
            </w:tcBorders>
            <w:vAlign w:val="center"/>
          </w:tcPr>
          <w:p w14:paraId="037471D0"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1140.4</w:t>
            </w:r>
          </w:p>
        </w:tc>
        <w:tc>
          <w:tcPr>
            <w:tcW w:w="415" w:type="pct"/>
            <w:tcBorders>
              <w:tl2br w:val="nil"/>
              <w:tr2bl w:val="nil"/>
            </w:tcBorders>
            <w:vAlign w:val="center"/>
          </w:tcPr>
          <w:p w14:paraId="253EDE2E"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18</w:t>
            </w:r>
            <w:r>
              <w:rPr>
                <w:rFonts w:ascii="Times New Roman" w:hAnsi="Times New Roman" w:cs="Times New Roman"/>
                <w:color w:val="000000" w:themeColor="text1"/>
                <w:kern w:val="0"/>
              </w:rPr>
              <w:t>～</w:t>
            </w:r>
            <w:r>
              <w:rPr>
                <w:rFonts w:ascii="Times New Roman" w:hAnsi="Times New Roman" w:cs="Times New Roman"/>
                <w:color w:val="000000" w:themeColor="text1"/>
                <w:kern w:val="0"/>
              </w:rPr>
              <w:t>25</w:t>
            </w:r>
          </w:p>
        </w:tc>
        <w:tc>
          <w:tcPr>
            <w:tcW w:w="416" w:type="pct"/>
            <w:tcBorders>
              <w:tl2br w:val="nil"/>
              <w:tr2bl w:val="nil"/>
            </w:tcBorders>
            <w:vAlign w:val="center"/>
          </w:tcPr>
          <w:p w14:paraId="77DE453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28.01</w:t>
            </w:r>
          </w:p>
        </w:tc>
        <w:tc>
          <w:tcPr>
            <w:tcW w:w="417" w:type="pct"/>
            <w:tcBorders>
              <w:tl2br w:val="nil"/>
              <w:tr2bl w:val="nil"/>
            </w:tcBorders>
            <w:vAlign w:val="center"/>
          </w:tcPr>
          <w:p w14:paraId="2512BCF4"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17.47</w:t>
            </w:r>
          </w:p>
        </w:tc>
        <w:tc>
          <w:tcPr>
            <w:tcW w:w="415" w:type="pct"/>
            <w:tcBorders>
              <w:tl2br w:val="nil"/>
              <w:tr2bl w:val="nil"/>
            </w:tcBorders>
            <w:vAlign w:val="center"/>
          </w:tcPr>
          <w:p w14:paraId="5AE7B248"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0.76</w:t>
            </w:r>
          </w:p>
        </w:tc>
        <w:tc>
          <w:tcPr>
            <w:tcW w:w="415" w:type="pct"/>
            <w:tcBorders>
              <w:tl2br w:val="nil"/>
              <w:tr2bl w:val="nil"/>
            </w:tcBorders>
            <w:vAlign w:val="center"/>
          </w:tcPr>
          <w:p w14:paraId="05AF659A"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1.41</w:t>
            </w:r>
          </w:p>
        </w:tc>
        <w:tc>
          <w:tcPr>
            <w:tcW w:w="508" w:type="pct"/>
            <w:tcBorders>
              <w:tl2br w:val="nil"/>
              <w:tr2bl w:val="nil"/>
            </w:tcBorders>
            <w:vAlign w:val="center"/>
          </w:tcPr>
          <w:p w14:paraId="34D97892"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0.06</w:t>
            </w:r>
          </w:p>
        </w:tc>
        <w:tc>
          <w:tcPr>
            <w:tcW w:w="364" w:type="pct"/>
            <w:tcBorders>
              <w:tl2br w:val="nil"/>
              <w:tr2bl w:val="nil"/>
            </w:tcBorders>
            <w:vAlign w:val="center"/>
          </w:tcPr>
          <w:p w14:paraId="15F358A7" w14:textId="77777777" w:rsidR="002E0859" w:rsidRDefault="00000000">
            <w:pPr>
              <w:pStyle w:val="TableText"/>
              <w:spacing w:line="240" w:lineRule="auto"/>
              <w:ind w:firstLineChars="0" w:firstLine="0"/>
              <w:jc w:val="center"/>
              <w:rPr>
                <w:rFonts w:ascii="Times New Roman" w:hAnsi="Times New Roman" w:cs="Times New Roman"/>
                <w:color w:val="000000" w:themeColor="text1"/>
                <w:kern w:val="0"/>
              </w:rPr>
            </w:pPr>
            <w:r>
              <w:rPr>
                <w:rFonts w:ascii="Times New Roman" w:hAnsi="Times New Roman" w:cs="Times New Roman"/>
                <w:color w:val="000000" w:themeColor="text1"/>
                <w:kern w:val="0"/>
              </w:rPr>
              <w:t>1.64</w:t>
            </w:r>
          </w:p>
        </w:tc>
      </w:tr>
    </w:tbl>
    <w:p w14:paraId="1C1D961E"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井控装置及措施</w:t>
      </w:r>
    </w:p>
    <w:p w14:paraId="3614C19C" w14:textId="77777777" w:rsidR="002E0859" w:rsidRDefault="00000000">
      <w:pPr>
        <w:kinsoku w:val="0"/>
        <w:autoSpaceDE w:val="0"/>
        <w:autoSpaceDN w:val="0"/>
        <w:spacing w:line="360" w:lineRule="auto"/>
        <w:ind w:firstLine="456"/>
        <w:jc w:val="left"/>
        <w:textAlignment w:val="baseline"/>
        <w:rPr>
          <w:color w:val="000000" w:themeColor="text1"/>
          <w:spacing w:val="-6"/>
          <w:sz w:val="24"/>
          <w:szCs w:val="24"/>
          <w:lang w:eastAsia="en-US"/>
        </w:rPr>
      </w:pPr>
      <w:r>
        <w:rPr>
          <w:color w:val="000000" w:themeColor="text1"/>
          <w:spacing w:val="-6"/>
          <w:sz w:val="24"/>
          <w:szCs w:val="24"/>
          <w:lang w:eastAsia="en-US"/>
        </w:rPr>
        <w:t>油气井控制按《石油天然气安全规程》</w:t>
      </w:r>
      <w:r>
        <w:rPr>
          <w:rFonts w:hint="eastAsia"/>
          <w:color w:val="000000" w:themeColor="text1"/>
          <w:spacing w:val="-6"/>
          <w:sz w:val="24"/>
          <w:szCs w:val="24"/>
        </w:rPr>
        <w:t>（</w:t>
      </w:r>
      <w:r>
        <w:rPr>
          <w:color w:val="000000" w:themeColor="text1"/>
          <w:spacing w:val="-6"/>
          <w:sz w:val="24"/>
          <w:szCs w:val="24"/>
          <w:lang w:eastAsia="en-US"/>
        </w:rPr>
        <w:t>AQ2012-2007</w:t>
      </w:r>
      <w:r>
        <w:rPr>
          <w:rFonts w:hint="eastAsia"/>
          <w:color w:val="000000" w:themeColor="text1"/>
          <w:spacing w:val="-6"/>
          <w:sz w:val="24"/>
          <w:szCs w:val="24"/>
        </w:rPr>
        <w:t>）</w:t>
      </w:r>
      <w:r>
        <w:rPr>
          <w:color w:val="000000" w:themeColor="text1"/>
          <w:spacing w:val="-6"/>
          <w:sz w:val="24"/>
          <w:szCs w:val="24"/>
          <w:lang w:eastAsia="en-US"/>
        </w:rPr>
        <w:t>、《石油天然气钻井井控技术</w:t>
      </w:r>
      <w:r>
        <w:rPr>
          <w:rFonts w:hint="eastAsia"/>
          <w:color w:val="000000" w:themeColor="text1"/>
          <w:spacing w:val="-6"/>
          <w:sz w:val="24"/>
          <w:szCs w:val="24"/>
        </w:rPr>
        <w:t>规范</w:t>
      </w:r>
      <w:r>
        <w:rPr>
          <w:color w:val="000000" w:themeColor="text1"/>
          <w:spacing w:val="-6"/>
          <w:sz w:val="24"/>
          <w:szCs w:val="24"/>
          <w:lang w:eastAsia="en-US"/>
        </w:rPr>
        <w:t>》（</w:t>
      </w:r>
      <w:r>
        <w:rPr>
          <w:color w:val="000000" w:themeColor="text1"/>
          <w:spacing w:val="-6"/>
          <w:sz w:val="24"/>
          <w:szCs w:val="24"/>
          <w:lang w:eastAsia="en-US"/>
        </w:rPr>
        <w:t>GB/T31033-2014</w:t>
      </w:r>
      <w:r>
        <w:rPr>
          <w:color w:val="000000" w:themeColor="text1"/>
          <w:spacing w:val="-6"/>
          <w:sz w:val="24"/>
          <w:szCs w:val="24"/>
          <w:lang w:eastAsia="en-US"/>
        </w:rPr>
        <w:t>）执行。钻井井口装置、井控管汇配套与安装应符合行业标准《钻井井控装置组合配套、安装调试与使用规范》</w:t>
      </w:r>
      <w:r>
        <w:rPr>
          <w:rFonts w:hint="eastAsia"/>
          <w:color w:val="000000" w:themeColor="text1"/>
          <w:spacing w:val="-6"/>
          <w:sz w:val="24"/>
          <w:szCs w:val="24"/>
        </w:rPr>
        <w:t>（</w:t>
      </w:r>
      <w:r>
        <w:rPr>
          <w:color w:val="000000" w:themeColor="text1"/>
          <w:spacing w:val="-6"/>
          <w:sz w:val="24"/>
          <w:szCs w:val="24"/>
          <w:lang w:eastAsia="en-US"/>
        </w:rPr>
        <w:t>SY/T5964-2019</w:t>
      </w:r>
      <w:r>
        <w:rPr>
          <w:rFonts w:hint="eastAsia"/>
          <w:color w:val="000000" w:themeColor="text1"/>
          <w:spacing w:val="-6"/>
          <w:sz w:val="24"/>
          <w:szCs w:val="24"/>
        </w:rPr>
        <w:t>）</w:t>
      </w:r>
      <w:r>
        <w:rPr>
          <w:color w:val="000000" w:themeColor="text1"/>
          <w:spacing w:val="-6"/>
          <w:sz w:val="24"/>
          <w:szCs w:val="24"/>
          <w:lang w:eastAsia="en-US"/>
        </w:rPr>
        <w:t>的规定要求。井控管理执行《中国石化井控管理规定》（中国石化油〔</w:t>
      </w:r>
      <w:r>
        <w:rPr>
          <w:color w:val="000000" w:themeColor="text1"/>
          <w:spacing w:val="-6"/>
          <w:sz w:val="24"/>
          <w:szCs w:val="24"/>
          <w:lang w:eastAsia="en-US"/>
        </w:rPr>
        <w:t>2015</w:t>
      </w:r>
      <w:r>
        <w:rPr>
          <w:color w:val="000000" w:themeColor="text1"/>
          <w:spacing w:val="-6"/>
          <w:sz w:val="24"/>
          <w:szCs w:val="24"/>
          <w:lang w:eastAsia="en-US"/>
        </w:rPr>
        <w:t>〕</w:t>
      </w:r>
      <w:r>
        <w:rPr>
          <w:color w:val="000000" w:themeColor="text1"/>
          <w:spacing w:val="-6"/>
          <w:sz w:val="24"/>
          <w:szCs w:val="24"/>
          <w:lang w:eastAsia="en-US"/>
        </w:rPr>
        <w:t>374</w:t>
      </w:r>
      <w:r>
        <w:rPr>
          <w:color w:val="000000" w:themeColor="text1"/>
          <w:spacing w:val="-6"/>
          <w:sz w:val="24"/>
          <w:szCs w:val="24"/>
          <w:lang w:eastAsia="en-US"/>
        </w:rPr>
        <w:t>号）的规定要求。</w:t>
      </w:r>
    </w:p>
    <w:p w14:paraId="555446CD" w14:textId="77777777" w:rsidR="002E0859" w:rsidRDefault="00000000">
      <w:pPr>
        <w:numPr>
          <w:ilvl w:val="0"/>
          <w:numId w:val="12"/>
        </w:numPr>
        <w:kinsoku w:val="0"/>
        <w:autoSpaceDE w:val="0"/>
        <w:autoSpaceDN w:val="0"/>
        <w:spacing w:line="360" w:lineRule="auto"/>
        <w:ind w:firstLine="456"/>
        <w:jc w:val="left"/>
        <w:textAlignment w:val="baseline"/>
        <w:rPr>
          <w:color w:val="000000" w:themeColor="text1"/>
          <w:spacing w:val="-6"/>
          <w:sz w:val="24"/>
          <w:szCs w:val="24"/>
          <w:lang w:eastAsia="en-US"/>
        </w:rPr>
      </w:pPr>
      <w:r>
        <w:rPr>
          <w:color w:val="000000" w:themeColor="text1"/>
          <w:spacing w:val="-6"/>
          <w:sz w:val="24"/>
          <w:szCs w:val="24"/>
          <w:lang w:eastAsia="en-US"/>
        </w:rPr>
        <w:t>井控装置选择</w:t>
      </w:r>
    </w:p>
    <w:p w14:paraId="1D2D0B1B" w14:textId="77777777" w:rsidR="002E0859" w:rsidRDefault="00000000">
      <w:pPr>
        <w:kinsoku w:val="0"/>
        <w:autoSpaceDE w:val="0"/>
        <w:autoSpaceDN w:val="0"/>
        <w:spacing w:line="360" w:lineRule="auto"/>
        <w:ind w:firstLine="456"/>
        <w:jc w:val="left"/>
        <w:textAlignment w:val="baseline"/>
        <w:rPr>
          <w:color w:val="000000" w:themeColor="text1"/>
          <w:spacing w:val="-6"/>
          <w:sz w:val="24"/>
          <w:szCs w:val="24"/>
          <w:lang w:eastAsia="en-US"/>
        </w:rPr>
      </w:pPr>
      <w:r>
        <w:rPr>
          <w:color w:val="000000" w:themeColor="text1"/>
          <w:spacing w:val="-6"/>
          <w:sz w:val="24"/>
          <w:szCs w:val="24"/>
          <w:lang w:eastAsia="en-US"/>
        </w:rPr>
        <w:t>根据预测地层压力、井口最大关井压力及套管抗内压强度等情况，选择井控装置压力等级。</w:t>
      </w:r>
    </w:p>
    <w:p w14:paraId="640FBC1C" w14:textId="77777777" w:rsidR="002E0859" w:rsidRDefault="00000000">
      <w:pPr>
        <w:kinsoku w:val="0"/>
        <w:autoSpaceDE w:val="0"/>
        <w:autoSpaceDN w:val="0"/>
        <w:spacing w:line="219" w:lineRule="auto"/>
        <w:ind w:firstLineChars="0" w:firstLine="0"/>
        <w:jc w:val="center"/>
        <w:textAlignment w:val="baseline"/>
        <w:rPr>
          <w:rFonts w:ascii="黑体" w:eastAsia="黑体" w:hAnsi="黑体" w:cs="黑体"/>
          <w:snapToGrid w:val="0"/>
          <w:color w:val="000000" w:themeColor="text1"/>
          <w:kern w:val="0"/>
          <w:sz w:val="24"/>
          <w:szCs w:val="24"/>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-1</w:t>
      </w:r>
      <w:r>
        <w:rPr>
          <w:rFonts w:eastAsia="黑体" w:hint="eastAsia"/>
          <w:color w:val="000000" w:themeColor="text1"/>
          <w:sz w:val="21"/>
          <w:szCs w:val="21"/>
        </w:rPr>
        <w:t xml:space="preserve">4 </w:t>
      </w:r>
      <w:r>
        <w:rPr>
          <w:rFonts w:eastAsia="黑体" w:hint="eastAsia"/>
          <w:color w:val="000000" w:themeColor="text1"/>
          <w:sz w:val="21"/>
          <w:szCs w:val="21"/>
          <w:lang w:eastAsia="en-US"/>
        </w:rPr>
        <w:t>井控装置选择依据表（以焦页</w:t>
      </w:r>
      <w:r>
        <w:rPr>
          <w:rFonts w:eastAsia="黑体" w:hint="eastAsia"/>
          <w:color w:val="000000" w:themeColor="text1"/>
          <w:sz w:val="21"/>
          <w:szCs w:val="21"/>
          <w:lang w:eastAsia="en-US"/>
        </w:rPr>
        <w:t>90-5HF</w:t>
      </w:r>
      <w:r>
        <w:rPr>
          <w:rFonts w:eastAsia="黑体" w:hint="eastAsia"/>
          <w:color w:val="000000" w:themeColor="text1"/>
          <w:sz w:val="21"/>
          <w:szCs w:val="21"/>
          <w:lang w:eastAsia="en-US"/>
        </w:rPr>
        <w:t>为例）</w:t>
      </w:r>
    </w:p>
    <w:p w14:paraId="4AB06BF1" w14:textId="77777777" w:rsidR="002E0859" w:rsidRDefault="002E0859">
      <w:pPr>
        <w:widowControl/>
        <w:kinsoku w:val="0"/>
        <w:topLinePunct w:val="0"/>
        <w:autoSpaceDE w:val="0"/>
        <w:autoSpaceDN w:val="0"/>
        <w:spacing w:line="50"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8943" w:type="dxa"/>
        <w:tblInd w:w="14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240"/>
        <w:gridCol w:w="2329"/>
        <w:gridCol w:w="1704"/>
        <w:gridCol w:w="1621"/>
        <w:gridCol w:w="2049"/>
      </w:tblGrid>
      <w:tr w:rsidR="002E0859" w14:paraId="313F73B8" w14:textId="77777777">
        <w:trPr>
          <w:trHeight w:val="23"/>
        </w:trPr>
        <w:tc>
          <w:tcPr>
            <w:tcW w:w="1240" w:type="dxa"/>
            <w:tcBorders>
              <w:tl2br w:val="nil"/>
              <w:tr2bl w:val="nil"/>
            </w:tcBorders>
            <w:vAlign w:val="center"/>
          </w:tcPr>
          <w:p w14:paraId="6D29DA5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开钻次序</w:t>
            </w:r>
          </w:p>
        </w:tc>
        <w:tc>
          <w:tcPr>
            <w:tcW w:w="2329" w:type="dxa"/>
            <w:tcBorders>
              <w:tl2br w:val="nil"/>
              <w:tr2bl w:val="nil"/>
            </w:tcBorders>
            <w:vAlign w:val="center"/>
          </w:tcPr>
          <w:p w14:paraId="79AAE524" w14:textId="77777777" w:rsidR="002E0859" w:rsidRDefault="00000000">
            <w:pPr>
              <w:widowControl/>
              <w:kinsoku w:val="0"/>
              <w:topLinePunct w:val="0"/>
              <w:autoSpaceDE w:val="0"/>
              <w:autoSpaceDN w:val="0"/>
              <w:spacing w:line="240" w:lineRule="auto"/>
              <w:ind w:firstLineChars="0" w:firstLine="0"/>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设计井深（垂深</w:t>
            </w:r>
            <w:r>
              <w:rPr>
                <w:rFonts w:hint="eastAsia"/>
                <w:snapToGrid w:val="0"/>
                <w:color w:val="000000" w:themeColor="text1"/>
                <w:spacing w:val="-3"/>
                <w:kern w:val="0"/>
                <w:sz w:val="21"/>
                <w:szCs w:val="21"/>
              </w:rPr>
              <w:t>）</w:t>
            </w:r>
            <w:r>
              <w:rPr>
                <w:snapToGrid w:val="0"/>
                <w:color w:val="000000" w:themeColor="text1"/>
                <w:kern w:val="0"/>
                <w:sz w:val="21"/>
                <w:szCs w:val="21"/>
                <w:lang w:eastAsia="en-US"/>
              </w:rPr>
              <w:t>m</w:t>
            </w:r>
          </w:p>
        </w:tc>
        <w:tc>
          <w:tcPr>
            <w:tcW w:w="1704" w:type="dxa"/>
            <w:tcBorders>
              <w:tl2br w:val="nil"/>
              <w:tr2bl w:val="nil"/>
            </w:tcBorders>
            <w:vAlign w:val="center"/>
          </w:tcPr>
          <w:p w14:paraId="2C25A1A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钻头直径</w:t>
            </w:r>
            <w:r>
              <w:rPr>
                <w:snapToGrid w:val="0"/>
                <w:color w:val="000000" w:themeColor="text1"/>
                <w:spacing w:val="-1"/>
                <w:kern w:val="0"/>
                <w:sz w:val="21"/>
                <w:szCs w:val="21"/>
                <w:lang w:eastAsia="en-US"/>
              </w:rPr>
              <w:t>mm</w:t>
            </w:r>
          </w:p>
        </w:tc>
        <w:tc>
          <w:tcPr>
            <w:tcW w:w="1621" w:type="dxa"/>
            <w:tcBorders>
              <w:tl2br w:val="nil"/>
              <w:tr2bl w:val="nil"/>
            </w:tcBorders>
            <w:vAlign w:val="center"/>
          </w:tcPr>
          <w:p w14:paraId="3AB8063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地层压力系数</w:t>
            </w:r>
          </w:p>
        </w:tc>
        <w:tc>
          <w:tcPr>
            <w:tcW w:w="2049" w:type="dxa"/>
            <w:tcBorders>
              <w:tl2br w:val="nil"/>
              <w:tr2bl w:val="nil"/>
            </w:tcBorders>
            <w:vAlign w:val="center"/>
          </w:tcPr>
          <w:p w14:paraId="40D472A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预测井底压力</w:t>
            </w:r>
            <w:r>
              <w:rPr>
                <w:snapToGrid w:val="0"/>
                <w:color w:val="000000" w:themeColor="text1"/>
                <w:kern w:val="0"/>
                <w:sz w:val="21"/>
                <w:szCs w:val="21"/>
                <w:lang w:eastAsia="en-US"/>
              </w:rPr>
              <w:t>MPa</w:t>
            </w:r>
          </w:p>
        </w:tc>
      </w:tr>
      <w:tr w:rsidR="002E0859" w14:paraId="23A9C3E5" w14:textId="77777777">
        <w:trPr>
          <w:trHeight w:val="23"/>
        </w:trPr>
        <w:tc>
          <w:tcPr>
            <w:tcW w:w="1240" w:type="dxa"/>
            <w:tcBorders>
              <w:tl2br w:val="nil"/>
              <w:tr2bl w:val="nil"/>
            </w:tcBorders>
            <w:vAlign w:val="center"/>
          </w:tcPr>
          <w:p w14:paraId="6A4727C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329" w:type="dxa"/>
            <w:tcBorders>
              <w:tl2br w:val="nil"/>
              <w:tr2bl w:val="nil"/>
            </w:tcBorders>
            <w:vAlign w:val="center"/>
          </w:tcPr>
          <w:p w14:paraId="46CD86C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1350</w:t>
            </w:r>
          </w:p>
        </w:tc>
        <w:tc>
          <w:tcPr>
            <w:tcW w:w="1704" w:type="dxa"/>
            <w:tcBorders>
              <w:tl2br w:val="nil"/>
              <w:tr2bl w:val="nil"/>
            </w:tcBorders>
            <w:vAlign w:val="center"/>
          </w:tcPr>
          <w:p w14:paraId="55B98FA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374.7</w:t>
            </w:r>
          </w:p>
        </w:tc>
        <w:tc>
          <w:tcPr>
            <w:tcW w:w="1621" w:type="dxa"/>
            <w:tcBorders>
              <w:tl2br w:val="nil"/>
              <w:tr2bl w:val="nil"/>
            </w:tcBorders>
            <w:vAlign w:val="center"/>
          </w:tcPr>
          <w:p w14:paraId="4AC925C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0.95</w:t>
            </w:r>
          </w:p>
        </w:tc>
        <w:tc>
          <w:tcPr>
            <w:tcW w:w="2049" w:type="dxa"/>
            <w:tcBorders>
              <w:tl2br w:val="nil"/>
              <w:tr2bl w:val="nil"/>
            </w:tcBorders>
            <w:vAlign w:val="center"/>
          </w:tcPr>
          <w:p w14:paraId="21BB25E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12.58</w:t>
            </w:r>
          </w:p>
        </w:tc>
      </w:tr>
      <w:tr w:rsidR="002E0859" w14:paraId="2D711733" w14:textId="77777777">
        <w:trPr>
          <w:trHeight w:val="23"/>
        </w:trPr>
        <w:tc>
          <w:tcPr>
            <w:tcW w:w="1240" w:type="dxa"/>
            <w:tcBorders>
              <w:tl2br w:val="nil"/>
              <w:tr2bl w:val="nil"/>
            </w:tcBorders>
            <w:vAlign w:val="center"/>
          </w:tcPr>
          <w:p w14:paraId="42CCEBC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329" w:type="dxa"/>
            <w:tcBorders>
              <w:tl2br w:val="nil"/>
              <w:tr2bl w:val="nil"/>
            </w:tcBorders>
            <w:vAlign w:val="center"/>
          </w:tcPr>
          <w:p w14:paraId="4A7E04F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3525</w:t>
            </w:r>
          </w:p>
        </w:tc>
        <w:tc>
          <w:tcPr>
            <w:tcW w:w="1704" w:type="dxa"/>
            <w:tcBorders>
              <w:tl2br w:val="nil"/>
              <w:tr2bl w:val="nil"/>
            </w:tcBorders>
            <w:vAlign w:val="center"/>
          </w:tcPr>
          <w:p w14:paraId="5F9233A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269.9</w:t>
            </w:r>
          </w:p>
        </w:tc>
        <w:tc>
          <w:tcPr>
            <w:tcW w:w="1621" w:type="dxa"/>
            <w:tcBorders>
              <w:tl2br w:val="nil"/>
              <w:tr2bl w:val="nil"/>
            </w:tcBorders>
            <w:vAlign w:val="center"/>
          </w:tcPr>
          <w:p w14:paraId="06D3798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1.25</w:t>
            </w:r>
          </w:p>
        </w:tc>
        <w:tc>
          <w:tcPr>
            <w:tcW w:w="2049" w:type="dxa"/>
            <w:tcBorders>
              <w:tl2br w:val="nil"/>
              <w:tr2bl w:val="nil"/>
            </w:tcBorders>
            <w:vAlign w:val="center"/>
          </w:tcPr>
          <w:p w14:paraId="79EA52A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43.23</w:t>
            </w:r>
          </w:p>
        </w:tc>
      </w:tr>
      <w:tr w:rsidR="002E0859" w14:paraId="330AE230" w14:textId="77777777">
        <w:trPr>
          <w:trHeight w:val="23"/>
        </w:trPr>
        <w:tc>
          <w:tcPr>
            <w:tcW w:w="1240" w:type="dxa"/>
            <w:tcBorders>
              <w:tl2br w:val="nil"/>
              <w:tr2bl w:val="nil"/>
            </w:tcBorders>
            <w:vAlign w:val="center"/>
          </w:tcPr>
          <w:p w14:paraId="6693CD3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2329" w:type="dxa"/>
            <w:tcBorders>
              <w:tl2br w:val="nil"/>
              <w:tr2bl w:val="nil"/>
            </w:tcBorders>
            <w:vAlign w:val="center"/>
          </w:tcPr>
          <w:p w14:paraId="4F3511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3919</w:t>
            </w:r>
          </w:p>
        </w:tc>
        <w:tc>
          <w:tcPr>
            <w:tcW w:w="1704" w:type="dxa"/>
            <w:tcBorders>
              <w:tl2br w:val="nil"/>
              <w:tr2bl w:val="nil"/>
            </w:tcBorders>
            <w:vAlign w:val="center"/>
          </w:tcPr>
          <w:p w14:paraId="41F79B6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190.5</w:t>
            </w:r>
          </w:p>
        </w:tc>
        <w:tc>
          <w:tcPr>
            <w:tcW w:w="1621" w:type="dxa"/>
            <w:tcBorders>
              <w:tl2br w:val="nil"/>
              <w:tr2bl w:val="nil"/>
            </w:tcBorders>
            <w:vAlign w:val="center"/>
          </w:tcPr>
          <w:p w14:paraId="5311299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1.30</w:t>
            </w:r>
          </w:p>
        </w:tc>
        <w:tc>
          <w:tcPr>
            <w:tcW w:w="2049" w:type="dxa"/>
            <w:tcBorders>
              <w:tl2br w:val="nil"/>
              <w:tr2bl w:val="nil"/>
            </w:tcBorders>
            <w:vAlign w:val="center"/>
          </w:tcPr>
          <w:p w14:paraId="54754CA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49.98</w:t>
            </w:r>
          </w:p>
        </w:tc>
      </w:tr>
    </w:tbl>
    <w:p w14:paraId="43940967" w14:textId="77777777" w:rsidR="002E0859" w:rsidRDefault="00000000">
      <w:pPr>
        <w:kinsoku w:val="0"/>
        <w:autoSpaceDE w:val="0"/>
        <w:autoSpaceDN w:val="0"/>
        <w:spacing w:beforeLines="50" w:before="120" w:line="360" w:lineRule="auto"/>
        <w:ind w:firstLine="480"/>
        <w:jc w:val="left"/>
        <w:textAlignment w:val="baseline"/>
        <w:rPr>
          <w:color w:val="000000" w:themeColor="text1"/>
          <w:kern w:val="0"/>
          <w:sz w:val="24"/>
          <w:szCs w:val="24"/>
          <w:lang w:eastAsia="en-US"/>
        </w:rPr>
      </w:pPr>
      <w:r>
        <w:rPr>
          <w:color w:val="000000" w:themeColor="text1"/>
          <w:kern w:val="0"/>
          <w:sz w:val="24"/>
          <w:szCs w:val="24"/>
          <w:lang w:eastAsia="en-US"/>
        </w:rPr>
        <w:t>一开压力等级：闸板防喷器</w:t>
      </w:r>
      <w:r>
        <w:rPr>
          <w:color w:val="000000" w:themeColor="text1"/>
          <w:kern w:val="0"/>
          <w:sz w:val="24"/>
          <w:szCs w:val="24"/>
          <w:lang w:eastAsia="en-US"/>
        </w:rPr>
        <w:t>21MPa</w:t>
      </w:r>
      <w:r>
        <w:rPr>
          <w:color w:val="000000" w:themeColor="text1"/>
          <w:kern w:val="0"/>
          <w:sz w:val="24"/>
          <w:szCs w:val="24"/>
          <w:lang w:eastAsia="en-US"/>
        </w:rPr>
        <w:t>。</w:t>
      </w:r>
    </w:p>
    <w:p w14:paraId="21399694" w14:textId="77777777" w:rsidR="002E0859" w:rsidRDefault="00000000">
      <w:pPr>
        <w:kinsoku w:val="0"/>
        <w:autoSpaceDE w:val="0"/>
        <w:autoSpaceDN w:val="0"/>
        <w:spacing w:line="360" w:lineRule="auto"/>
        <w:ind w:leftChars="170" w:left="476" w:firstLineChars="0" w:firstLine="0"/>
        <w:jc w:val="left"/>
        <w:textAlignment w:val="baseline"/>
        <w:rPr>
          <w:color w:val="000000" w:themeColor="text1"/>
          <w:kern w:val="0"/>
          <w:sz w:val="24"/>
          <w:szCs w:val="24"/>
          <w:lang w:eastAsia="en-US"/>
        </w:rPr>
      </w:pPr>
      <w:r>
        <w:rPr>
          <w:color w:val="000000" w:themeColor="text1"/>
          <w:kern w:val="0"/>
          <w:sz w:val="24"/>
          <w:szCs w:val="24"/>
          <w:lang w:eastAsia="en-US"/>
        </w:rPr>
        <w:t>二开压力等级：闸板防喷器</w:t>
      </w:r>
      <w:r>
        <w:rPr>
          <w:color w:val="000000" w:themeColor="text1"/>
          <w:kern w:val="0"/>
          <w:sz w:val="24"/>
          <w:szCs w:val="24"/>
          <w:lang w:eastAsia="en-US"/>
        </w:rPr>
        <w:t>70MPa</w:t>
      </w:r>
      <w:r>
        <w:rPr>
          <w:color w:val="000000" w:themeColor="text1"/>
          <w:kern w:val="0"/>
          <w:sz w:val="24"/>
          <w:szCs w:val="24"/>
          <w:lang w:eastAsia="en-US"/>
        </w:rPr>
        <w:t>，环形防喷器为</w:t>
      </w:r>
      <w:r>
        <w:rPr>
          <w:color w:val="000000" w:themeColor="text1"/>
          <w:kern w:val="0"/>
          <w:sz w:val="24"/>
          <w:szCs w:val="24"/>
          <w:lang w:eastAsia="en-US"/>
        </w:rPr>
        <w:t>35MPa</w:t>
      </w:r>
      <w:r>
        <w:rPr>
          <w:color w:val="000000" w:themeColor="text1"/>
          <w:kern w:val="0"/>
          <w:sz w:val="24"/>
          <w:szCs w:val="24"/>
          <w:lang w:eastAsia="en-US"/>
        </w:rPr>
        <w:t>，旋转防喷器</w:t>
      </w:r>
      <w:r>
        <w:rPr>
          <w:color w:val="000000" w:themeColor="text1"/>
          <w:kern w:val="0"/>
          <w:sz w:val="24"/>
          <w:szCs w:val="24"/>
          <w:lang w:eastAsia="en-US"/>
        </w:rPr>
        <w:t>17.5/35MPa</w:t>
      </w:r>
      <w:r>
        <w:rPr>
          <w:color w:val="000000" w:themeColor="text1"/>
          <w:kern w:val="0"/>
          <w:sz w:val="24"/>
          <w:szCs w:val="24"/>
          <w:lang w:eastAsia="en-US"/>
        </w:rPr>
        <w:t>。三开压力等级：闸板防喷器</w:t>
      </w:r>
      <w:r>
        <w:rPr>
          <w:color w:val="000000" w:themeColor="text1"/>
          <w:kern w:val="0"/>
          <w:sz w:val="24"/>
          <w:szCs w:val="24"/>
          <w:lang w:eastAsia="en-US"/>
        </w:rPr>
        <w:t>70MPa</w:t>
      </w:r>
      <w:r>
        <w:rPr>
          <w:color w:val="000000" w:themeColor="text1"/>
          <w:kern w:val="0"/>
          <w:sz w:val="24"/>
          <w:szCs w:val="24"/>
          <w:lang w:eastAsia="en-US"/>
        </w:rPr>
        <w:t>，环形防喷器为</w:t>
      </w:r>
      <w:r>
        <w:rPr>
          <w:color w:val="000000" w:themeColor="text1"/>
          <w:kern w:val="0"/>
          <w:sz w:val="24"/>
          <w:szCs w:val="24"/>
          <w:lang w:eastAsia="en-US"/>
        </w:rPr>
        <w:t>35MPa</w:t>
      </w:r>
      <w:r>
        <w:rPr>
          <w:color w:val="000000" w:themeColor="text1"/>
          <w:kern w:val="0"/>
          <w:sz w:val="24"/>
          <w:szCs w:val="24"/>
          <w:lang w:eastAsia="en-US"/>
        </w:rPr>
        <w:t>，旋转防喷器</w:t>
      </w:r>
      <w:r>
        <w:rPr>
          <w:color w:val="000000" w:themeColor="text1"/>
          <w:kern w:val="0"/>
          <w:sz w:val="24"/>
          <w:szCs w:val="24"/>
          <w:lang w:eastAsia="en-US"/>
        </w:rPr>
        <w:t>17.5/35MPa</w:t>
      </w:r>
      <w:r>
        <w:rPr>
          <w:color w:val="000000" w:themeColor="text1"/>
          <w:kern w:val="0"/>
          <w:sz w:val="24"/>
          <w:szCs w:val="24"/>
          <w:lang w:eastAsia="en-US"/>
        </w:rPr>
        <w:t>。</w:t>
      </w:r>
    </w:p>
    <w:p w14:paraId="39525D4B" w14:textId="77777777" w:rsidR="002E0859" w:rsidRDefault="00000000">
      <w:pPr>
        <w:kinsoku w:val="0"/>
        <w:autoSpaceDE w:val="0"/>
        <w:autoSpaceDN w:val="0"/>
        <w:spacing w:line="360" w:lineRule="auto"/>
        <w:ind w:firstLine="480"/>
        <w:jc w:val="left"/>
        <w:textAlignment w:val="baseline"/>
        <w:rPr>
          <w:color w:val="000000" w:themeColor="text1"/>
          <w:kern w:val="0"/>
          <w:sz w:val="24"/>
          <w:szCs w:val="24"/>
          <w:lang w:eastAsia="en-US"/>
        </w:rPr>
      </w:pPr>
      <w:r>
        <w:rPr>
          <w:color w:val="000000" w:themeColor="text1"/>
          <w:kern w:val="0"/>
          <w:sz w:val="24"/>
          <w:szCs w:val="24"/>
          <w:lang w:eastAsia="en-US"/>
        </w:rPr>
        <w:t>井控管汇压力等级为</w:t>
      </w:r>
      <w:r>
        <w:rPr>
          <w:color w:val="000000" w:themeColor="text1"/>
          <w:kern w:val="0"/>
          <w:sz w:val="24"/>
          <w:szCs w:val="24"/>
          <w:lang w:eastAsia="en-US"/>
        </w:rPr>
        <w:t>70MPa</w:t>
      </w:r>
      <w:r>
        <w:rPr>
          <w:color w:val="000000" w:themeColor="text1"/>
          <w:kern w:val="0"/>
          <w:sz w:val="24"/>
          <w:szCs w:val="24"/>
          <w:lang w:eastAsia="en-US"/>
        </w:rPr>
        <w:t>。</w:t>
      </w:r>
    </w:p>
    <w:p w14:paraId="27D1E28F" w14:textId="77777777" w:rsidR="002E0859" w:rsidRDefault="00000000">
      <w:pPr>
        <w:widowControl/>
        <w:kinsoku w:val="0"/>
        <w:topLinePunct w:val="0"/>
        <w:autoSpaceDE w:val="0"/>
        <w:autoSpaceDN w:val="0"/>
        <w:spacing w:line="360" w:lineRule="auto"/>
        <w:ind w:firstLine="420"/>
        <w:jc w:val="left"/>
        <w:textAlignment w:val="baseline"/>
        <w:rPr>
          <w:snapToGrid w:val="0"/>
          <w:color w:val="000000" w:themeColor="text1"/>
          <w:kern w:val="0"/>
          <w:sz w:val="24"/>
          <w:szCs w:val="24"/>
          <w:lang w:eastAsia="en-US"/>
        </w:rPr>
      </w:pPr>
      <w:r>
        <w:rPr>
          <w:rFonts w:hint="eastAsia"/>
          <w:snapToGrid w:val="0"/>
          <w:color w:val="000000" w:themeColor="text1"/>
          <w:kern w:val="0"/>
          <w:sz w:val="21"/>
          <w:szCs w:val="21"/>
        </w:rPr>
        <w:t>2</w:t>
      </w:r>
      <w:r>
        <w:rPr>
          <w:rFonts w:hint="eastAsia"/>
          <w:snapToGrid w:val="0"/>
          <w:color w:val="000000" w:themeColor="text1"/>
          <w:kern w:val="0"/>
          <w:sz w:val="21"/>
          <w:szCs w:val="21"/>
        </w:rPr>
        <w:t>、</w:t>
      </w:r>
      <w:r>
        <w:rPr>
          <w:snapToGrid w:val="0"/>
          <w:color w:val="000000" w:themeColor="text1"/>
          <w:kern w:val="0"/>
          <w:sz w:val="24"/>
          <w:szCs w:val="24"/>
          <w:lang w:eastAsia="en-US"/>
        </w:rPr>
        <w:t>钻杆内防喷工具要求</w:t>
      </w:r>
    </w:p>
    <w:p w14:paraId="39ED5966" w14:textId="77777777" w:rsidR="002E0859" w:rsidRDefault="00000000">
      <w:pPr>
        <w:kinsoku w:val="0"/>
        <w:autoSpaceDE w:val="0"/>
        <w:autoSpaceDN w:val="0"/>
        <w:spacing w:line="360" w:lineRule="auto"/>
        <w:ind w:firstLine="480"/>
        <w:jc w:val="left"/>
        <w:textAlignment w:val="baseline"/>
        <w:rPr>
          <w:color w:val="000000" w:themeColor="text1"/>
          <w:kern w:val="0"/>
          <w:sz w:val="24"/>
          <w:szCs w:val="24"/>
          <w:lang w:eastAsia="en-US"/>
        </w:rPr>
      </w:pPr>
      <w:r>
        <w:rPr>
          <w:color w:val="000000" w:themeColor="text1"/>
          <w:kern w:val="0"/>
          <w:sz w:val="24"/>
          <w:szCs w:val="24"/>
          <w:lang w:eastAsia="en-US"/>
        </w:rPr>
        <w:t>配齐抗硫气密封</w:t>
      </w:r>
      <w:r>
        <w:rPr>
          <w:color w:val="000000" w:themeColor="text1"/>
          <w:kern w:val="0"/>
          <w:sz w:val="24"/>
          <w:szCs w:val="24"/>
          <w:lang w:eastAsia="en-US"/>
        </w:rPr>
        <w:t>70MPa</w:t>
      </w:r>
      <w:r>
        <w:rPr>
          <w:color w:val="000000" w:themeColor="text1"/>
          <w:kern w:val="0"/>
          <w:sz w:val="24"/>
          <w:szCs w:val="24"/>
          <w:lang w:eastAsia="en-US"/>
        </w:rPr>
        <w:t>内防喷工具：方钻杆上下旋塞、钻杆回压凡尔（抗硫、承压能力与防喷器承压能力相一致）、抢装回压凡尔工具、钻具止回阀、箭型止回阀、旁通阀、活页式单流阀。除投入使用者之外，另在现场多备</w:t>
      </w:r>
      <w:r>
        <w:rPr>
          <w:color w:val="000000" w:themeColor="text1"/>
          <w:kern w:val="0"/>
          <w:sz w:val="24"/>
          <w:szCs w:val="24"/>
          <w:lang w:eastAsia="en-US"/>
        </w:rPr>
        <w:t>1</w:t>
      </w:r>
      <w:r>
        <w:rPr>
          <w:color w:val="000000" w:themeColor="text1"/>
          <w:kern w:val="0"/>
          <w:sz w:val="24"/>
          <w:szCs w:val="24"/>
          <w:lang w:eastAsia="en-US"/>
        </w:rPr>
        <w:t>套。另在现场配备各种防喷短节</w:t>
      </w:r>
      <w:r>
        <w:rPr>
          <w:color w:val="000000" w:themeColor="text1"/>
          <w:kern w:val="0"/>
          <w:sz w:val="24"/>
          <w:szCs w:val="24"/>
          <w:lang w:eastAsia="en-US"/>
        </w:rPr>
        <w:t>[</w:t>
      </w:r>
      <w:r>
        <w:rPr>
          <w:color w:val="000000" w:themeColor="text1"/>
          <w:kern w:val="0"/>
          <w:sz w:val="24"/>
          <w:szCs w:val="24"/>
          <w:lang w:eastAsia="en-US"/>
        </w:rPr>
        <w:t>旋塞</w:t>
      </w:r>
      <w:r>
        <w:rPr>
          <w:color w:val="000000" w:themeColor="text1"/>
          <w:kern w:val="0"/>
          <w:sz w:val="24"/>
          <w:szCs w:val="24"/>
          <w:lang w:eastAsia="en-US"/>
        </w:rPr>
        <w:t>+G105</w:t>
      </w:r>
      <w:r>
        <w:rPr>
          <w:color w:val="000000" w:themeColor="text1"/>
          <w:kern w:val="0"/>
          <w:sz w:val="24"/>
          <w:szCs w:val="24"/>
          <w:lang w:eastAsia="en-US"/>
        </w:rPr>
        <w:t>钻杆</w:t>
      </w:r>
      <w:r>
        <w:rPr>
          <w:color w:val="000000" w:themeColor="text1"/>
          <w:kern w:val="0"/>
          <w:sz w:val="24"/>
          <w:szCs w:val="24"/>
          <w:lang w:eastAsia="en-US"/>
        </w:rPr>
        <w:t>+</w:t>
      </w:r>
      <w:r>
        <w:rPr>
          <w:color w:val="000000" w:themeColor="text1"/>
          <w:kern w:val="0"/>
          <w:sz w:val="24"/>
          <w:szCs w:val="24"/>
          <w:lang w:eastAsia="en-US"/>
        </w:rPr>
        <w:t>转换接头</w:t>
      </w:r>
      <w:r>
        <w:rPr>
          <w:color w:val="000000" w:themeColor="text1"/>
          <w:kern w:val="0"/>
          <w:sz w:val="24"/>
          <w:szCs w:val="24"/>
          <w:lang w:eastAsia="en-US"/>
        </w:rPr>
        <w:t>(</w:t>
      </w:r>
      <w:r>
        <w:rPr>
          <w:color w:val="000000" w:themeColor="text1"/>
          <w:kern w:val="0"/>
          <w:sz w:val="24"/>
          <w:szCs w:val="24"/>
          <w:lang w:eastAsia="en-US"/>
        </w:rPr>
        <w:t>下端可直连钻铤或其它尺寸钻杆、起下钻铤或其它尺寸钻杆过程中遇井喷时使用</w:t>
      </w:r>
      <w:r>
        <w:rPr>
          <w:color w:val="000000" w:themeColor="text1"/>
          <w:kern w:val="0"/>
          <w:sz w:val="24"/>
          <w:szCs w:val="24"/>
          <w:lang w:eastAsia="en-US"/>
        </w:rPr>
        <w:t>)]</w:t>
      </w:r>
      <w:r>
        <w:rPr>
          <w:color w:val="000000" w:themeColor="text1"/>
          <w:kern w:val="0"/>
          <w:sz w:val="24"/>
          <w:szCs w:val="24"/>
          <w:lang w:eastAsia="en-US"/>
        </w:rPr>
        <w:t>各</w:t>
      </w:r>
      <w:r>
        <w:rPr>
          <w:color w:val="000000" w:themeColor="text1"/>
          <w:kern w:val="0"/>
          <w:sz w:val="24"/>
          <w:szCs w:val="24"/>
          <w:lang w:eastAsia="en-US"/>
        </w:rPr>
        <w:t>1</w:t>
      </w:r>
      <w:r>
        <w:rPr>
          <w:color w:val="000000" w:themeColor="text1"/>
          <w:kern w:val="0"/>
          <w:sz w:val="24"/>
          <w:szCs w:val="24"/>
          <w:lang w:eastAsia="en-US"/>
        </w:rPr>
        <w:t>套，配备各种尺寸钻杆死卡各</w:t>
      </w:r>
      <w:r>
        <w:rPr>
          <w:color w:val="000000" w:themeColor="text1"/>
          <w:kern w:val="0"/>
          <w:sz w:val="24"/>
          <w:szCs w:val="24"/>
          <w:lang w:eastAsia="en-US"/>
        </w:rPr>
        <w:t>1</w:t>
      </w:r>
      <w:r>
        <w:rPr>
          <w:color w:val="000000" w:themeColor="text1"/>
          <w:kern w:val="0"/>
          <w:sz w:val="24"/>
          <w:szCs w:val="24"/>
          <w:lang w:eastAsia="en-US"/>
        </w:rPr>
        <w:t>套并拴好绳、卡。</w:t>
      </w:r>
    </w:p>
    <w:p w14:paraId="618B628A" w14:textId="77777777" w:rsidR="002E0859" w:rsidRDefault="00000000">
      <w:pPr>
        <w:widowControl/>
        <w:kinsoku w:val="0"/>
        <w:topLinePunct w:val="0"/>
        <w:autoSpaceDE w:val="0"/>
        <w:autoSpaceDN w:val="0"/>
        <w:spacing w:line="360" w:lineRule="auto"/>
        <w:ind w:firstLine="420"/>
        <w:jc w:val="left"/>
        <w:textAlignment w:val="baseline"/>
        <w:rPr>
          <w:snapToGrid w:val="0"/>
          <w:color w:val="000000" w:themeColor="text1"/>
          <w:kern w:val="0"/>
          <w:sz w:val="24"/>
          <w:szCs w:val="24"/>
          <w:lang w:eastAsia="en-US"/>
        </w:rPr>
      </w:pPr>
      <w:r>
        <w:rPr>
          <w:rFonts w:hint="eastAsia"/>
          <w:snapToGrid w:val="0"/>
          <w:color w:val="000000" w:themeColor="text1"/>
          <w:kern w:val="0"/>
          <w:sz w:val="21"/>
          <w:szCs w:val="21"/>
        </w:rPr>
        <w:t>3</w:t>
      </w:r>
      <w:r>
        <w:rPr>
          <w:rFonts w:hint="eastAsia"/>
          <w:snapToGrid w:val="0"/>
          <w:color w:val="000000" w:themeColor="text1"/>
          <w:kern w:val="0"/>
          <w:sz w:val="21"/>
          <w:szCs w:val="21"/>
        </w:rPr>
        <w:t>、</w:t>
      </w:r>
      <w:r>
        <w:rPr>
          <w:snapToGrid w:val="0"/>
          <w:color w:val="000000" w:themeColor="text1"/>
          <w:kern w:val="0"/>
          <w:sz w:val="24"/>
          <w:szCs w:val="24"/>
          <w:lang w:eastAsia="en-US"/>
        </w:rPr>
        <w:t>各次开钻主要井控装置选择和试压要求</w:t>
      </w:r>
    </w:p>
    <w:p w14:paraId="3B5022B9" w14:textId="77777777" w:rsidR="002E0859" w:rsidRDefault="00000000">
      <w:pPr>
        <w:kinsoku w:val="0"/>
        <w:autoSpaceDE w:val="0"/>
        <w:autoSpaceDN w:val="0"/>
        <w:spacing w:line="219" w:lineRule="auto"/>
        <w:ind w:left="1905" w:firstLine="420"/>
        <w:jc w:val="left"/>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-1</w:t>
      </w:r>
      <w:r>
        <w:rPr>
          <w:rFonts w:eastAsia="黑体" w:hint="eastAsia"/>
          <w:color w:val="000000" w:themeColor="text1"/>
          <w:sz w:val="21"/>
          <w:szCs w:val="21"/>
        </w:rPr>
        <w:t xml:space="preserve">5 </w:t>
      </w:r>
      <w:r>
        <w:rPr>
          <w:rFonts w:eastAsia="黑体" w:hint="eastAsia"/>
          <w:color w:val="000000" w:themeColor="text1"/>
          <w:sz w:val="21"/>
          <w:szCs w:val="21"/>
          <w:lang w:eastAsia="en-US"/>
        </w:rPr>
        <w:t>各次开钻主要井控装置选择和试压要求</w:t>
      </w:r>
    </w:p>
    <w:p w14:paraId="0C50DDD7" w14:textId="77777777" w:rsidR="002E0859" w:rsidRDefault="002E0859">
      <w:pPr>
        <w:widowControl/>
        <w:kinsoku w:val="0"/>
        <w:topLinePunct w:val="0"/>
        <w:autoSpaceDE w:val="0"/>
        <w:autoSpaceDN w:val="0"/>
        <w:spacing w:line="47"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89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5"/>
        <w:gridCol w:w="1511"/>
        <w:gridCol w:w="3910"/>
        <w:gridCol w:w="1010"/>
        <w:gridCol w:w="789"/>
        <w:gridCol w:w="810"/>
      </w:tblGrid>
      <w:tr w:rsidR="002E0859" w14:paraId="3E1B8F10" w14:textId="77777777">
        <w:trPr>
          <w:trHeight w:val="23"/>
          <w:jc w:val="center"/>
        </w:trPr>
        <w:tc>
          <w:tcPr>
            <w:tcW w:w="915" w:type="dxa"/>
            <w:vMerge w:val="restart"/>
            <w:tcBorders>
              <w:top w:val="single" w:sz="12" w:space="0" w:color="000000"/>
              <w:left w:val="single" w:sz="12" w:space="0" w:color="000000"/>
              <w:bottom w:val="single" w:sz="4" w:space="0" w:color="000000"/>
            </w:tcBorders>
            <w:vAlign w:val="center"/>
          </w:tcPr>
          <w:p w14:paraId="155B314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开钻</w:t>
            </w:r>
          </w:p>
          <w:p w14:paraId="667E8F7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次数</w:t>
            </w:r>
          </w:p>
        </w:tc>
        <w:tc>
          <w:tcPr>
            <w:tcW w:w="1511" w:type="dxa"/>
            <w:vMerge w:val="restart"/>
            <w:tcBorders>
              <w:top w:val="single" w:sz="12" w:space="0" w:color="000000"/>
              <w:bottom w:val="single" w:sz="4" w:space="0" w:color="000000"/>
            </w:tcBorders>
            <w:vAlign w:val="center"/>
          </w:tcPr>
          <w:p w14:paraId="2053A3A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名称</w:t>
            </w:r>
          </w:p>
        </w:tc>
        <w:tc>
          <w:tcPr>
            <w:tcW w:w="3910" w:type="dxa"/>
            <w:vMerge w:val="restart"/>
            <w:tcBorders>
              <w:top w:val="single" w:sz="12" w:space="0" w:color="000000"/>
              <w:bottom w:val="single" w:sz="4" w:space="0" w:color="000000"/>
            </w:tcBorders>
            <w:vAlign w:val="center"/>
          </w:tcPr>
          <w:p w14:paraId="43BAE19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型号</w:t>
            </w:r>
          </w:p>
        </w:tc>
        <w:tc>
          <w:tcPr>
            <w:tcW w:w="2609" w:type="dxa"/>
            <w:gridSpan w:val="3"/>
            <w:tcBorders>
              <w:top w:val="single" w:sz="12" w:space="0" w:color="000000"/>
              <w:bottom w:val="single" w:sz="4" w:space="0" w:color="000000"/>
              <w:right w:val="single" w:sz="12" w:space="0" w:color="000000"/>
            </w:tcBorders>
            <w:vAlign w:val="center"/>
          </w:tcPr>
          <w:p w14:paraId="736D2B1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试压要求</w:t>
            </w:r>
          </w:p>
        </w:tc>
      </w:tr>
      <w:tr w:rsidR="002E0859" w14:paraId="78E2F6E9"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424C342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vMerge/>
            <w:tcBorders>
              <w:top w:val="single" w:sz="4" w:space="0" w:color="000000"/>
              <w:bottom w:val="single" w:sz="4" w:space="0" w:color="000000"/>
            </w:tcBorders>
            <w:vAlign w:val="center"/>
          </w:tcPr>
          <w:p w14:paraId="00797FC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3910" w:type="dxa"/>
            <w:vMerge/>
            <w:tcBorders>
              <w:top w:val="single" w:sz="4" w:space="0" w:color="000000"/>
              <w:bottom w:val="single" w:sz="4" w:space="0" w:color="000000"/>
            </w:tcBorders>
            <w:vAlign w:val="center"/>
          </w:tcPr>
          <w:p w14:paraId="5026E2C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010" w:type="dxa"/>
            <w:tcBorders>
              <w:top w:val="single" w:sz="4" w:space="0" w:color="000000"/>
              <w:bottom w:val="single" w:sz="4" w:space="0" w:color="000000"/>
            </w:tcBorders>
            <w:vAlign w:val="center"/>
          </w:tcPr>
          <w:p w14:paraId="7ED7F4E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试压值</w:t>
            </w:r>
            <w:r>
              <w:rPr>
                <w:snapToGrid w:val="0"/>
                <w:color w:val="000000" w:themeColor="text1"/>
                <w:spacing w:val="-2"/>
                <w:kern w:val="0"/>
                <w:sz w:val="21"/>
                <w:szCs w:val="21"/>
                <w:lang w:eastAsia="en-US"/>
              </w:rPr>
              <w:t>(MPa)</w:t>
            </w:r>
          </w:p>
        </w:tc>
        <w:tc>
          <w:tcPr>
            <w:tcW w:w="789" w:type="dxa"/>
            <w:tcBorders>
              <w:top w:val="single" w:sz="4" w:space="0" w:color="000000"/>
              <w:bottom w:val="single" w:sz="4" w:space="0" w:color="000000"/>
            </w:tcBorders>
            <w:vAlign w:val="center"/>
          </w:tcPr>
          <w:p w14:paraId="3DDBB8E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稳压时间</w:t>
            </w:r>
            <w:r>
              <w:rPr>
                <w:snapToGrid w:val="0"/>
                <w:color w:val="000000" w:themeColor="text1"/>
                <w:spacing w:val="-2"/>
                <w:kern w:val="0"/>
                <w:sz w:val="21"/>
                <w:szCs w:val="21"/>
                <w:lang w:eastAsia="en-US"/>
              </w:rPr>
              <w:t>(min)</w:t>
            </w:r>
          </w:p>
        </w:tc>
        <w:tc>
          <w:tcPr>
            <w:tcW w:w="810" w:type="dxa"/>
            <w:tcBorders>
              <w:top w:val="single" w:sz="4" w:space="0" w:color="000000"/>
              <w:bottom w:val="single" w:sz="4" w:space="0" w:color="000000"/>
              <w:right w:val="single" w:sz="12" w:space="0" w:color="000000"/>
            </w:tcBorders>
            <w:vAlign w:val="center"/>
          </w:tcPr>
          <w:p w14:paraId="315083F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允许压降</w:t>
            </w:r>
            <w:r>
              <w:rPr>
                <w:snapToGrid w:val="0"/>
                <w:color w:val="000000" w:themeColor="text1"/>
                <w:spacing w:val="-2"/>
                <w:kern w:val="0"/>
                <w:sz w:val="21"/>
                <w:szCs w:val="21"/>
                <w:lang w:eastAsia="en-US"/>
              </w:rPr>
              <w:t>(MPa)</w:t>
            </w:r>
          </w:p>
        </w:tc>
      </w:tr>
      <w:tr w:rsidR="002E0859" w14:paraId="704C1ED8" w14:textId="77777777">
        <w:trPr>
          <w:trHeight w:val="23"/>
          <w:jc w:val="center"/>
        </w:trPr>
        <w:tc>
          <w:tcPr>
            <w:tcW w:w="915" w:type="dxa"/>
            <w:tcBorders>
              <w:top w:val="single" w:sz="4" w:space="0" w:color="000000"/>
              <w:left w:val="single" w:sz="12" w:space="0" w:color="000000"/>
              <w:bottom w:val="single" w:sz="4" w:space="0" w:color="000000"/>
            </w:tcBorders>
            <w:vAlign w:val="center"/>
          </w:tcPr>
          <w:p w14:paraId="36274F9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导管</w:t>
            </w:r>
            <w:r>
              <w:rPr>
                <w:snapToGrid w:val="0"/>
                <w:color w:val="000000" w:themeColor="text1"/>
                <w:spacing w:val="-2"/>
                <w:kern w:val="0"/>
                <w:sz w:val="21"/>
                <w:szCs w:val="21"/>
                <w:lang w:eastAsia="en-US"/>
              </w:rPr>
              <w:t>2</w:t>
            </w:r>
          </w:p>
        </w:tc>
        <w:tc>
          <w:tcPr>
            <w:tcW w:w="5421" w:type="dxa"/>
            <w:gridSpan w:val="2"/>
            <w:tcBorders>
              <w:top w:val="single" w:sz="4" w:space="0" w:color="000000"/>
              <w:bottom w:val="single" w:sz="4" w:space="0" w:color="000000"/>
            </w:tcBorders>
            <w:vAlign w:val="center"/>
          </w:tcPr>
          <w:p w14:paraId="1D2532F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简易井口</w:t>
            </w:r>
          </w:p>
        </w:tc>
        <w:tc>
          <w:tcPr>
            <w:tcW w:w="1010" w:type="dxa"/>
            <w:tcBorders>
              <w:top w:val="single" w:sz="4" w:space="0" w:color="000000"/>
              <w:bottom w:val="single" w:sz="4" w:space="0" w:color="000000"/>
            </w:tcBorders>
            <w:vAlign w:val="center"/>
          </w:tcPr>
          <w:p w14:paraId="37200E4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789" w:type="dxa"/>
            <w:tcBorders>
              <w:top w:val="single" w:sz="4" w:space="0" w:color="000000"/>
              <w:bottom w:val="single" w:sz="4" w:space="0" w:color="000000"/>
            </w:tcBorders>
            <w:vAlign w:val="center"/>
          </w:tcPr>
          <w:p w14:paraId="63D0CBF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810" w:type="dxa"/>
            <w:tcBorders>
              <w:top w:val="single" w:sz="4" w:space="0" w:color="000000"/>
              <w:bottom w:val="single" w:sz="4" w:space="0" w:color="000000"/>
              <w:right w:val="single" w:sz="12" w:space="0" w:color="000000"/>
            </w:tcBorders>
            <w:vAlign w:val="center"/>
          </w:tcPr>
          <w:p w14:paraId="5C2E1E4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r>
      <w:tr w:rsidR="002E0859" w14:paraId="4255E0B1" w14:textId="77777777">
        <w:trPr>
          <w:trHeight w:val="23"/>
          <w:jc w:val="center"/>
        </w:trPr>
        <w:tc>
          <w:tcPr>
            <w:tcW w:w="915" w:type="dxa"/>
            <w:vMerge w:val="restart"/>
            <w:tcBorders>
              <w:top w:val="single" w:sz="4" w:space="0" w:color="000000"/>
              <w:left w:val="single" w:sz="12" w:space="0" w:color="000000"/>
              <w:bottom w:val="single" w:sz="4" w:space="0" w:color="000000"/>
            </w:tcBorders>
            <w:vAlign w:val="center"/>
          </w:tcPr>
          <w:p w14:paraId="3348463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lastRenderedPageBreak/>
              <w:t>一开</w:t>
            </w:r>
          </w:p>
        </w:tc>
        <w:tc>
          <w:tcPr>
            <w:tcW w:w="1511" w:type="dxa"/>
            <w:tcBorders>
              <w:top w:val="single" w:sz="4" w:space="0" w:color="000000"/>
              <w:bottom w:val="single" w:sz="4" w:space="0" w:color="000000"/>
            </w:tcBorders>
            <w:vAlign w:val="center"/>
          </w:tcPr>
          <w:p w14:paraId="76BBA97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单闸板</w:t>
            </w:r>
          </w:p>
        </w:tc>
        <w:tc>
          <w:tcPr>
            <w:tcW w:w="3910" w:type="dxa"/>
            <w:tcBorders>
              <w:top w:val="single" w:sz="4" w:space="0" w:color="000000"/>
              <w:bottom w:val="single" w:sz="4" w:space="0" w:color="000000"/>
            </w:tcBorders>
            <w:vAlign w:val="center"/>
          </w:tcPr>
          <w:p w14:paraId="186023A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FZ54-21</w:t>
            </w:r>
            <w:r>
              <w:rPr>
                <w:snapToGrid w:val="0"/>
                <w:color w:val="000000" w:themeColor="text1"/>
                <w:spacing w:val="-2"/>
                <w:kern w:val="0"/>
                <w:sz w:val="21"/>
                <w:szCs w:val="21"/>
                <w:lang w:eastAsia="en-US"/>
              </w:rPr>
              <w:t>（或</w:t>
            </w:r>
            <w:r>
              <w:rPr>
                <w:snapToGrid w:val="0"/>
                <w:color w:val="000000" w:themeColor="text1"/>
                <w:spacing w:val="-2"/>
                <w:kern w:val="0"/>
                <w:sz w:val="21"/>
                <w:szCs w:val="21"/>
                <w:lang w:eastAsia="en-US"/>
              </w:rPr>
              <w:t>FZ53-21</w:t>
            </w:r>
            <w:r>
              <w:rPr>
                <w:snapToGrid w:val="0"/>
                <w:color w:val="000000" w:themeColor="text1"/>
                <w:spacing w:val="-2"/>
                <w:kern w:val="0"/>
                <w:sz w:val="21"/>
                <w:szCs w:val="21"/>
                <w:lang w:eastAsia="en-US"/>
              </w:rPr>
              <w:t>）</w:t>
            </w:r>
          </w:p>
        </w:tc>
        <w:tc>
          <w:tcPr>
            <w:tcW w:w="1010" w:type="dxa"/>
            <w:tcBorders>
              <w:top w:val="single" w:sz="4" w:space="0" w:color="000000"/>
              <w:bottom w:val="single" w:sz="4" w:space="0" w:color="000000"/>
            </w:tcBorders>
            <w:vAlign w:val="center"/>
          </w:tcPr>
          <w:p w14:paraId="3B43875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15</w:t>
            </w:r>
          </w:p>
        </w:tc>
        <w:tc>
          <w:tcPr>
            <w:tcW w:w="789" w:type="dxa"/>
            <w:tcBorders>
              <w:top w:val="single" w:sz="4" w:space="0" w:color="000000"/>
              <w:bottom w:val="single" w:sz="4" w:space="0" w:color="000000"/>
            </w:tcBorders>
            <w:vAlign w:val="center"/>
          </w:tcPr>
          <w:p w14:paraId="28ACFD9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0F8A290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12D50DCB"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7399C1A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6CA6742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节流压井管汇</w:t>
            </w:r>
          </w:p>
        </w:tc>
        <w:tc>
          <w:tcPr>
            <w:tcW w:w="3910" w:type="dxa"/>
            <w:tcBorders>
              <w:top w:val="single" w:sz="4" w:space="0" w:color="000000"/>
              <w:bottom w:val="single" w:sz="4" w:space="0" w:color="000000"/>
            </w:tcBorders>
            <w:vAlign w:val="center"/>
          </w:tcPr>
          <w:p w14:paraId="48C3431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YG-35</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JG/S3-35</w:t>
            </w:r>
          </w:p>
        </w:tc>
        <w:tc>
          <w:tcPr>
            <w:tcW w:w="1010" w:type="dxa"/>
            <w:tcBorders>
              <w:top w:val="single" w:sz="4" w:space="0" w:color="000000"/>
              <w:bottom w:val="single" w:sz="4" w:space="0" w:color="000000"/>
            </w:tcBorders>
            <w:vAlign w:val="center"/>
          </w:tcPr>
          <w:p w14:paraId="05F2202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15</w:t>
            </w:r>
          </w:p>
        </w:tc>
        <w:tc>
          <w:tcPr>
            <w:tcW w:w="789" w:type="dxa"/>
            <w:tcBorders>
              <w:top w:val="single" w:sz="4" w:space="0" w:color="000000"/>
              <w:bottom w:val="single" w:sz="4" w:space="0" w:color="000000"/>
            </w:tcBorders>
            <w:vAlign w:val="center"/>
          </w:tcPr>
          <w:p w14:paraId="34C92F1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25218AC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38E79E97" w14:textId="77777777">
        <w:trPr>
          <w:trHeight w:val="23"/>
          <w:jc w:val="center"/>
        </w:trPr>
        <w:tc>
          <w:tcPr>
            <w:tcW w:w="915" w:type="dxa"/>
            <w:vMerge w:val="restart"/>
            <w:tcBorders>
              <w:top w:val="single" w:sz="4" w:space="0" w:color="000000"/>
              <w:left w:val="single" w:sz="12" w:space="0" w:color="000000"/>
              <w:bottom w:val="single" w:sz="4" w:space="0" w:color="000000"/>
            </w:tcBorders>
            <w:vAlign w:val="center"/>
          </w:tcPr>
          <w:p w14:paraId="127EEC0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二开</w:t>
            </w:r>
          </w:p>
        </w:tc>
        <w:tc>
          <w:tcPr>
            <w:tcW w:w="1511" w:type="dxa"/>
            <w:tcBorders>
              <w:top w:val="single" w:sz="4" w:space="0" w:color="000000"/>
              <w:bottom w:val="single" w:sz="4" w:space="0" w:color="000000"/>
            </w:tcBorders>
            <w:vAlign w:val="center"/>
          </w:tcPr>
          <w:p w14:paraId="2A30B23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环形防喷器</w:t>
            </w:r>
          </w:p>
        </w:tc>
        <w:tc>
          <w:tcPr>
            <w:tcW w:w="3910" w:type="dxa"/>
            <w:tcBorders>
              <w:top w:val="single" w:sz="4" w:space="0" w:color="000000"/>
              <w:bottom w:val="single" w:sz="4" w:space="0" w:color="000000"/>
            </w:tcBorders>
            <w:vAlign w:val="center"/>
          </w:tcPr>
          <w:p w14:paraId="293299C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FH28/35-35</w:t>
            </w:r>
          </w:p>
        </w:tc>
        <w:tc>
          <w:tcPr>
            <w:tcW w:w="1010" w:type="dxa"/>
            <w:tcBorders>
              <w:top w:val="single" w:sz="4" w:space="0" w:color="000000"/>
              <w:bottom w:val="single" w:sz="4" w:space="0" w:color="000000"/>
            </w:tcBorders>
            <w:vAlign w:val="center"/>
          </w:tcPr>
          <w:p w14:paraId="1541B23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24.5</w:t>
            </w:r>
          </w:p>
        </w:tc>
        <w:tc>
          <w:tcPr>
            <w:tcW w:w="789" w:type="dxa"/>
            <w:tcBorders>
              <w:top w:val="single" w:sz="4" w:space="0" w:color="000000"/>
              <w:bottom w:val="single" w:sz="4" w:space="0" w:color="000000"/>
            </w:tcBorders>
            <w:vAlign w:val="center"/>
          </w:tcPr>
          <w:p w14:paraId="145FDDA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3CC6FD1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6F534124"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28BBD4C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48DED2E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双闸板防喷器</w:t>
            </w:r>
          </w:p>
        </w:tc>
        <w:tc>
          <w:tcPr>
            <w:tcW w:w="3910" w:type="dxa"/>
            <w:tcBorders>
              <w:top w:val="single" w:sz="4" w:space="0" w:color="000000"/>
              <w:bottom w:val="single" w:sz="4" w:space="0" w:color="000000"/>
            </w:tcBorders>
            <w:vAlign w:val="center"/>
          </w:tcPr>
          <w:p w14:paraId="274D9E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2FZ28/35-70</w:t>
            </w:r>
          </w:p>
        </w:tc>
        <w:tc>
          <w:tcPr>
            <w:tcW w:w="1010" w:type="dxa"/>
            <w:tcBorders>
              <w:top w:val="single" w:sz="4" w:space="0" w:color="000000"/>
              <w:bottom w:val="single" w:sz="4" w:space="0" w:color="000000"/>
            </w:tcBorders>
            <w:vAlign w:val="center"/>
          </w:tcPr>
          <w:p w14:paraId="67B3DED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7A789A5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7FC623A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2194060A"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67F7032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0A41D45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单闸板防喷器</w:t>
            </w:r>
          </w:p>
        </w:tc>
        <w:tc>
          <w:tcPr>
            <w:tcW w:w="3910" w:type="dxa"/>
            <w:tcBorders>
              <w:top w:val="single" w:sz="4" w:space="0" w:color="000000"/>
              <w:bottom w:val="single" w:sz="4" w:space="0" w:color="000000"/>
            </w:tcBorders>
            <w:vAlign w:val="center"/>
          </w:tcPr>
          <w:p w14:paraId="1A7C55F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FZ28/35-70</w:t>
            </w:r>
          </w:p>
        </w:tc>
        <w:tc>
          <w:tcPr>
            <w:tcW w:w="1010" w:type="dxa"/>
            <w:tcBorders>
              <w:top w:val="single" w:sz="4" w:space="0" w:color="000000"/>
              <w:bottom w:val="single" w:sz="4" w:space="0" w:color="000000"/>
            </w:tcBorders>
            <w:vAlign w:val="center"/>
          </w:tcPr>
          <w:p w14:paraId="2EFAB35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62BE8C1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4311EBE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30F9E3CD"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46B8708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2CC2663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套管头</w:t>
            </w:r>
          </w:p>
        </w:tc>
        <w:tc>
          <w:tcPr>
            <w:tcW w:w="3910" w:type="dxa"/>
            <w:tcBorders>
              <w:top w:val="single" w:sz="4" w:space="0" w:color="000000"/>
              <w:bottom w:val="single" w:sz="4" w:space="0" w:color="000000"/>
            </w:tcBorders>
            <w:vAlign w:val="center"/>
          </w:tcPr>
          <w:p w14:paraId="38D7AD5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11-3/4"</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BTC</w:t>
            </w:r>
            <w:r>
              <w:rPr>
                <w:snapToGrid w:val="0"/>
                <w:color w:val="000000" w:themeColor="text1"/>
                <w:spacing w:val="-2"/>
                <w:kern w:val="0"/>
                <w:sz w:val="21"/>
                <w:szCs w:val="21"/>
                <w:lang w:eastAsia="en-US"/>
              </w:rPr>
              <w:t>扣）</w:t>
            </w:r>
            <w:r>
              <w:rPr>
                <w:snapToGrid w:val="0"/>
                <w:color w:val="000000" w:themeColor="text1"/>
                <w:spacing w:val="-2"/>
                <w:kern w:val="0"/>
                <w:sz w:val="21"/>
                <w:szCs w:val="21"/>
                <w:lang w:eastAsia="en-US"/>
              </w:rPr>
              <w:t>×8-5/8"-70</w:t>
            </w:r>
            <w:r>
              <w:rPr>
                <w:snapToGrid w:val="0"/>
                <w:color w:val="000000" w:themeColor="text1"/>
                <w:spacing w:val="-2"/>
                <w:kern w:val="0"/>
                <w:sz w:val="21"/>
                <w:szCs w:val="21"/>
                <w:lang w:eastAsia="en-US"/>
              </w:rPr>
              <w:t>（芯轴）</w:t>
            </w:r>
          </w:p>
        </w:tc>
        <w:tc>
          <w:tcPr>
            <w:tcW w:w="1010" w:type="dxa"/>
            <w:tcBorders>
              <w:top w:val="single" w:sz="4" w:space="0" w:color="000000"/>
              <w:bottom w:val="single" w:sz="4" w:space="0" w:color="000000"/>
            </w:tcBorders>
            <w:vAlign w:val="center"/>
          </w:tcPr>
          <w:p w14:paraId="45218AE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32DB289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1CB042A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≤0.5</w:t>
            </w:r>
          </w:p>
        </w:tc>
      </w:tr>
      <w:tr w:rsidR="002E0859" w14:paraId="6E15D1E7"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7DA4EED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3B6C616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节流压井管汇</w:t>
            </w:r>
          </w:p>
        </w:tc>
        <w:tc>
          <w:tcPr>
            <w:tcW w:w="3910" w:type="dxa"/>
            <w:tcBorders>
              <w:top w:val="single" w:sz="4" w:space="0" w:color="000000"/>
              <w:bottom w:val="single" w:sz="4" w:space="0" w:color="000000"/>
            </w:tcBorders>
            <w:vAlign w:val="center"/>
          </w:tcPr>
          <w:p w14:paraId="47E0E95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YG-35</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JG/S3-35</w:t>
            </w:r>
          </w:p>
        </w:tc>
        <w:tc>
          <w:tcPr>
            <w:tcW w:w="1010" w:type="dxa"/>
            <w:tcBorders>
              <w:top w:val="single" w:sz="4" w:space="0" w:color="000000"/>
              <w:bottom w:val="single" w:sz="4" w:space="0" w:color="000000"/>
            </w:tcBorders>
            <w:vAlign w:val="center"/>
          </w:tcPr>
          <w:p w14:paraId="1A65327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374D89A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34A662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4FA056F6" w14:textId="77777777">
        <w:trPr>
          <w:trHeight w:val="23"/>
          <w:jc w:val="center"/>
        </w:trPr>
        <w:tc>
          <w:tcPr>
            <w:tcW w:w="915" w:type="dxa"/>
            <w:vMerge w:val="restart"/>
            <w:tcBorders>
              <w:top w:val="single" w:sz="4" w:space="0" w:color="000000"/>
              <w:left w:val="single" w:sz="12" w:space="0" w:color="000000"/>
              <w:bottom w:val="single" w:sz="4" w:space="0" w:color="000000"/>
            </w:tcBorders>
            <w:vAlign w:val="center"/>
          </w:tcPr>
          <w:p w14:paraId="562272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三开</w:t>
            </w:r>
          </w:p>
        </w:tc>
        <w:tc>
          <w:tcPr>
            <w:tcW w:w="1511" w:type="dxa"/>
            <w:tcBorders>
              <w:top w:val="single" w:sz="4" w:space="0" w:color="000000"/>
              <w:bottom w:val="single" w:sz="4" w:space="0" w:color="000000"/>
            </w:tcBorders>
            <w:vAlign w:val="center"/>
          </w:tcPr>
          <w:p w14:paraId="027D014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旋转防喷器</w:t>
            </w:r>
          </w:p>
        </w:tc>
        <w:tc>
          <w:tcPr>
            <w:tcW w:w="3910" w:type="dxa"/>
            <w:tcBorders>
              <w:top w:val="single" w:sz="4" w:space="0" w:color="000000"/>
              <w:bottom w:val="single" w:sz="4" w:space="0" w:color="000000"/>
            </w:tcBorders>
            <w:vAlign w:val="center"/>
          </w:tcPr>
          <w:p w14:paraId="10A619D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FX28/35-17.5/35</w:t>
            </w:r>
          </w:p>
        </w:tc>
        <w:tc>
          <w:tcPr>
            <w:tcW w:w="1010" w:type="dxa"/>
            <w:tcBorders>
              <w:top w:val="single" w:sz="4" w:space="0" w:color="000000"/>
              <w:bottom w:val="single" w:sz="4" w:space="0" w:color="000000"/>
            </w:tcBorders>
            <w:vAlign w:val="center"/>
          </w:tcPr>
          <w:p w14:paraId="4F3A374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17.5/35</w:t>
            </w:r>
          </w:p>
        </w:tc>
        <w:tc>
          <w:tcPr>
            <w:tcW w:w="789" w:type="dxa"/>
            <w:tcBorders>
              <w:top w:val="single" w:sz="4" w:space="0" w:color="000000"/>
              <w:bottom w:val="single" w:sz="4" w:space="0" w:color="000000"/>
            </w:tcBorders>
            <w:vAlign w:val="center"/>
          </w:tcPr>
          <w:p w14:paraId="07679E6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2D346F5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rPr>
            </w:pPr>
            <w:r>
              <w:rPr>
                <w:snapToGrid w:val="0"/>
                <w:color w:val="000000" w:themeColor="text1"/>
                <w:spacing w:val="-2"/>
                <w:kern w:val="0"/>
                <w:sz w:val="21"/>
                <w:szCs w:val="21"/>
                <w:lang w:eastAsia="en-US"/>
              </w:rPr>
              <w:t>≤</w:t>
            </w:r>
            <w:r>
              <w:rPr>
                <w:rFonts w:hint="eastAsia"/>
                <w:snapToGrid w:val="0"/>
                <w:color w:val="000000" w:themeColor="text1"/>
                <w:spacing w:val="-2"/>
                <w:kern w:val="0"/>
                <w:sz w:val="21"/>
                <w:szCs w:val="21"/>
              </w:rPr>
              <w:t>0.7</w:t>
            </w:r>
          </w:p>
        </w:tc>
      </w:tr>
      <w:tr w:rsidR="002E0859" w14:paraId="150D9BDE"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55350CF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6F3EFAE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环形防喷器</w:t>
            </w:r>
          </w:p>
        </w:tc>
        <w:tc>
          <w:tcPr>
            <w:tcW w:w="3910" w:type="dxa"/>
            <w:tcBorders>
              <w:top w:val="single" w:sz="4" w:space="0" w:color="000000"/>
              <w:bottom w:val="single" w:sz="4" w:space="0" w:color="000000"/>
            </w:tcBorders>
            <w:vAlign w:val="center"/>
          </w:tcPr>
          <w:p w14:paraId="5E2D53D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FH28/35-35</w:t>
            </w:r>
          </w:p>
        </w:tc>
        <w:tc>
          <w:tcPr>
            <w:tcW w:w="1010" w:type="dxa"/>
            <w:tcBorders>
              <w:top w:val="single" w:sz="4" w:space="0" w:color="000000"/>
              <w:bottom w:val="single" w:sz="4" w:space="0" w:color="000000"/>
            </w:tcBorders>
            <w:vAlign w:val="center"/>
          </w:tcPr>
          <w:p w14:paraId="0BF5BE1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24.5</w:t>
            </w:r>
          </w:p>
        </w:tc>
        <w:tc>
          <w:tcPr>
            <w:tcW w:w="789" w:type="dxa"/>
            <w:tcBorders>
              <w:top w:val="single" w:sz="4" w:space="0" w:color="000000"/>
              <w:bottom w:val="single" w:sz="4" w:space="0" w:color="000000"/>
            </w:tcBorders>
            <w:vAlign w:val="center"/>
          </w:tcPr>
          <w:p w14:paraId="6D8941A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45A9903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747BD6F1"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462154F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07C6306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双闸板防喷器</w:t>
            </w:r>
          </w:p>
        </w:tc>
        <w:tc>
          <w:tcPr>
            <w:tcW w:w="3910" w:type="dxa"/>
            <w:tcBorders>
              <w:top w:val="single" w:sz="4" w:space="0" w:color="000000"/>
              <w:bottom w:val="single" w:sz="4" w:space="0" w:color="000000"/>
            </w:tcBorders>
            <w:vAlign w:val="center"/>
          </w:tcPr>
          <w:p w14:paraId="593A8A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2FZ28/35-70</w:t>
            </w:r>
          </w:p>
        </w:tc>
        <w:tc>
          <w:tcPr>
            <w:tcW w:w="1010" w:type="dxa"/>
            <w:tcBorders>
              <w:top w:val="single" w:sz="4" w:space="0" w:color="000000"/>
              <w:bottom w:val="single" w:sz="4" w:space="0" w:color="000000"/>
            </w:tcBorders>
            <w:vAlign w:val="center"/>
          </w:tcPr>
          <w:p w14:paraId="35EA94B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0358E31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040CA75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0A8E0CFD"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4DF1D9C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523D903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单闸板防喷器</w:t>
            </w:r>
          </w:p>
        </w:tc>
        <w:tc>
          <w:tcPr>
            <w:tcW w:w="3910" w:type="dxa"/>
            <w:tcBorders>
              <w:top w:val="single" w:sz="4" w:space="0" w:color="000000"/>
              <w:bottom w:val="single" w:sz="4" w:space="0" w:color="000000"/>
            </w:tcBorders>
            <w:vAlign w:val="center"/>
          </w:tcPr>
          <w:p w14:paraId="1ED2B32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FZ28/35-70</w:t>
            </w:r>
          </w:p>
        </w:tc>
        <w:tc>
          <w:tcPr>
            <w:tcW w:w="1010" w:type="dxa"/>
            <w:tcBorders>
              <w:top w:val="single" w:sz="4" w:space="0" w:color="000000"/>
              <w:bottom w:val="single" w:sz="4" w:space="0" w:color="000000"/>
            </w:tcBorders>
            <w:vAlign w:val="center"/>
          </w:tcPr>
          <w:p w14:paraId="142E92F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59C9CED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2E122E7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58F2DD8D" w14:textId="77777777">
        <w:trPr>
          <w:trHeight w:val="23"/>
          <w:jc w:val="center"/>
        </w:trPr>
        <w:tc>
          <w:tcPr>
            <w:tcW w:w="915" w:type="dxa"/>
            <w:vMerge/>
            <w:tcBorders>
              <w:top w:val="single" w:sz="4" w:space="0" w:color="000000"/>
              <w:left w:val="single" w:sz="12" w:space="0" w:color="000000"/>
              <w:bottom w:val="single" w:sz="4" w:space="0" w:color="000000"/>
            </w:tcBorders>
            <w:vAlign w:val="center"/>
          </w:tcPr>
          <w:p w14:paraId="0694F36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4" w:space="0" w:color="000000"/>
            </w:tcBorders>
            <w:vAlign w:val="center"/>
          </w:tcPr>
          <w:p w14:paraId="1B4A26F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套管头</w:t>
            </w:r>
          </w:p>
        </w:tc>
        <w:tc>
          <w:tcPr>
            <w:tcW w:w="3910" w:type="dxa"/>
            <w:tcBorders>
              <w:top w:val="single" w:sz="4" w:space="0" w:color="000000"/>
              <w:bottom w:val="single" w:sz="4" w:space="0" w:color="000000"/>
            </w:tcBorders>
            <w:vAlign w:val="center"/>
          </w:tcPr>
          <w:p w14:paraId="06C65B5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11-3/4"</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BTC</w:t>
            </w:r>
            <w:r>
              <w:rPr>
                <w:snapToGrid w:val="0"/>
                <w:color w:val="000000" w:themeColor="text1"/>
                <w:spacing w:val="-2"/>
                <w:kern w:val="0"/>
                <w:sz w:val="21"/>
                <w:szCs w:val="21"/>
                <w:lang w:eastAsia="en-US"/>
              </w:rPr>
              <w:t>扣）</w:t>
            </w:r>
            <w:r>
              <w:rPr>
                <w:snapToGrid w:val="0"/>
                <w:color w:val="000000" w:themeColor="text1"/>
                <w:spacing w:val="-2"/>
                <w:kern w:val="0"/>
                <w:sz w:val="21"/>
                <w:szCs w:val="21"/>
                <w:lang w:eastAsia="en-US"/>
              </w:rPr>
              <w:t>×8-5/8"-70</w:t>
            </w:r>
            <w:r>
              <w:rPr>
                <w:snapToGrid w:val="0"/>
                <w:color w:val="000000" w:themeColor="text1"/>
                <w:spacing w:val="-2"/>
                <w:kern w:val="0"/>
                <w:sz w:val="21"/>
                <w:szCs w:val="21"/>
                <w:lang w:eastAsia="en-US"/>
              </w:rPr>
              <w:t>（芯轴）</w:t>
            </w:r>
            <w:r>
              <w:rPr>
                <w:snapToGrid w:val="0"/>
                <w:color w:val="000000" w:themeColor="text1"/>
                <w:spacing w:val="-2"/>
                <w:kern w:val="0"/>
                <w:sz w:val="21"/>
                <w:szCs w:val="21"/>
                <w:lang w:eastAsia="en-US"/>
              </w:rPr>
              <w:t>8-5/8"-70</w:t>
            </w:r>
            <w:r>
              <w:rPr>
                <w:snapToGrid w:val="0"/>
                <w:color w:val="000000" w:themeColor="text1"/>
                <w:spacing w:val="-2"/>
                <w:kern w:val="0"/>
                <w:sz w:val="21"/>
                <w:szCs w:val="21"/>
                <w:lang w:eastAsia="en-US"/>
              </w:rPr>
              <w:t>（芯轴）</w:t>
            </w:r>
            <w:r>
              <w:rPr>
                <w:snapToGrid w:val="0"/>
                <w:color w:val="000000" w:themeColor="text1"/>
                <w:spacing w:val="-2"/>
                <w:kern w:val="0"/>
                <w:sz w:val="21"/>
                <w:szCs w:val="21"/>
                <w:lang w:eastAsia="en-US"/>
              </w:rPr>
              <w:t>×5-1/2"-105</w:t>
            </w:r>
            <w:r>
              <w:rPr>
                <w:snapToGrid w:val="0"/>
                <w:color w:val="000000" w:themeColor="text1"/>
                <w:spacing w:val="-2"/>
                <w:kern w:val="0"/>
                <w:sz w:val="21"/>
                <w:szCs w:val="21"/>
                <w:lang w:eastAsia="en-US"/>
              </w:rPr>
              <w:t>（芯轴）</w:t>
            </w:r>
          </w:p>
        </w:tc>
        <w:tc>
          <w:tcPr>
            <w:tcW w:w="1010" w:type="dxa"/>
            <w:tcBorders>
              <w:top w:val="single" w:sz="4" w:space="0" w:color="000000"/>
              <w:bottom w:val="single" w:sz="4" w:space="0" w:color="000000"/>
            </w:tcBorders>
            <w:vAlign w:val="center"/>
          </w:tcPr>
          <w:p w14:paraId="02AB625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4" w:space="0" w:color="000000"/>
            </w:tcBorders>
            <w:vAlign w:val="center"/>
          </w:tcPr>
          <w:p w14:paraId="03E7700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4" w:space="0" w:color="000000"/>
              <w:right w:val="single" w:sz="12" w:space="0" w:color="000000"/>
            </w:tcBorders>
            <w:vAlign w:val="center"/>
          </w:tcPr>
          <w:p w14:paraId="60C0A12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r w:rsidR="002E0859" w14:paraId="4F1A2C01" w14:textId="77777777">
        <w:trPr>
          <w:trHeight w:val="23"/>
          <w:jc w:val="center"/>
        </w:trPr>
        <w:tc>
          <w:tcPr>
            <w:tcW w:w="915" w:type="dxa"/>
            <w:tcBorders>
              <w:top w:val="single" w:sz="4" w:space="0" w:color="000000"/>
              <w:left w:val="single" w:sz="12" w:space="0" w:color="000000"/>
              <w:bottom w:val="single" w:sz="12" w:space="0" w:color="000000"/>
            </w:tcBorders>
            <w:vAlign w:val="center"/>
          </w:tcPr>
          <w:p w14:paraId="782A41F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11" w:type="dxa"/>
            <w:tcBorders>
              <w:top w:val="single" w:sz="4" w:space="0" w:color="000000"/>
              <w:bottom w:val="single" w:sz="12" w:space="0" w:color="000000"/>
            </w:tcBorders>
            <w:vAlign w:val="center"/>
          </w:tcPr>
          <w:p w14:paraId="08316F1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节流压井管汇</w:t>
            </w:r>
          </w:p>
        </w:tc>
        <w:tc>
          <w:tcPr>
            <w:tcW w:w="3910" w:type="dxa"/>
            <w:tcBorders>
              <w:top w:val="single" w:sz="4" w:space="0" w:color="000000"/>
              <w:bottom w:val="single" w:sz="12" w:space="0" w:color="000000"/>
            </w:tcBorders>
            <w:vAlign w:val="center"/>
          </w:tcPr>
          <w:p w14:paraId="6B8038A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YG-70</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JG/S3-70</w:t>
            </w:r>
          </w:p>
        </w:tc>
        <w:tc>
          <w:tcPr>
            <w:tcW w:w="1010" w:type="dxa"/>
            <w:tcBorders>
              <w:top w:val="single" w:sz="4" w:space="0" w:color="000000"/>
              <w:bottom w:val="single" w:sz="12" w:space="0" w:color="000000"/>
            </w:tcBorders>
            <w:vAlign w:val="center"/>
          </w:tcPr>
          <w:p w14:paraId="310A09F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w:t>
            </w:r>
          </w:p>
        </w:tc>
        <w:tc>
          <w:tcPr>
            <w:tcW w:w="789" w:type="dxa"/>
            <w:tcBorders>
              <w:top w:val="single" w:sz="4" w:space="0" w:color="000000"/>
              <w:bottom w:val="single" w:sz="12" w:space="0" w:color="000000"/>
            </w:tcBorders>
            <w:vAlign w:val="center"/>
          </w:tcPr>
          <w:p w14:paraId="692D955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w:t>
            </w:r>
          </w:p>
        </w:tc>
        <w:tc>
          <w:tcPr>
            <w:tcW w:w="810" w:type="dxa"/>
            <w:tcBorders>
              <w:top w:val="single" w:sz="4" w:space="0" w:color="000000"/>
              <w:bottom w:val="single" w:sz="12" w:space="0" w:color="000000"/>
              <w:right w:val="single" w:sz="12" w:space="0" w:color="000000"/>
            </w:tcBorders>
            <w:vAlign w:val="center"/>
          </w:tcPr>
          <w:p w14:paraId="14C7C69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≤0.7</w:t>
            </w:r>
          </w:p>
        </w:tc>
      </w:tr>
    </w:tbl>
    <w:p w14:paraId="3A16EF17" w14:textId="77777777" w:rsidR="002E0859" w:rsidRDefault="00000000">
      <w:pPr>
        <w:autoSpaceDE w:val="0"/>
        <w:autoSpaceDN w:val="0"/>
        <w:spacing w:beforeLines="50" w:before="120" w:line="360" w:lineRule="auto"/>
        <w:ind w:firstLine="480"/>
        <w:jc w:val="left"/>
        <w:textAlignment w:val="baseline"/>
        <w:rPr>
          <w:color w:val="000000" w:themeColor="text1"/>
          <w:kern w:val="0"/>
          <w:sz w:val="24"/>
          <w:szCs w:val="24"/>
          <w:lang w:eastAsia="en-US"/>
        </w:rPr>
      </w:pPr>
      <w:r>
        <w:rPr>
          <w:color w:val="000000" w:themeColor="text1"/>
          <w:kern w:val="0"/>
          <w:sz w:val="24"/>
          <w:szCs w:val="24"/>
          <w:lang w:eastAsia="en-US"/>
        </w:rPr>
        <w:t>注：</w:t>
      </w:r>
      <w:r>
        <w:rPr>
          <w:color w:val="000000" w:themeColor="text1"/>
          <w:kern w:val="0"/>
          <w:sz w:val="24"/>
          <w:szCs w:val="24"/>
          <w:lang w:eastAsia="en-US"/>
        </w:rPr>
        <w:t>1</w:t>
      </w:r>
      <w:r>
        <w:rPr>
          <w:color w:val="000000" w:themeColor="text1"/>
          <w:kern w:val="0"/>
          <w:sz w:val="24"/>
          <w:szCs w:val="24"/>
          <w:lang w:eastAsia="en-US"/>
        </w:rPr>
        <w:t>）试压介质均为清水；防喷器还应做低压密封试验，试验压力</w:t>
      </w:r>
      <w:r>
        <w:rPr>
          <w:color w:val="000000" w:themeColor="text1"/>
          <w:kern w:val="0"/>
          <w:sz w:val="24"/>
          <w:szCs w:val="24"/>
          <w:lang w:eastAsia="en-US"/>
        </w:rPr>
        <w:t>1.4</w:t>
      </w:r>
      <w:r>
        <w:rPr>
          <w:color w:val="000000" w:themeColor="text1"/>
          <w:kern w:val="0"/>
          <w:sz w:val="24"/>
          <w:szCs w:val="24"/>
          <w:lang w:eastAsia="en-US"/>
        </w:rPr>
        <w:t>～</w:t>
      </w:r>
      <w:r>
        <w:rPr>
          <w:color w:val="000000" w:themeColor="text1"/>
          <w:kern w:val="0"/>
          <w:sz w:val="24"/>
          <w:szCs w:val="24"/>
          <w:lang w:eastAsia="en-US"/>
        </w:rPr>
        <w:t>2.1MPa</w:t>
      </w:r>
      <w:r>
        <w:rPr>
          <w:color w:val="000000" w:themeColor="text1"/>
          <w:kern w:val="0"/>
          <w:sz w:val="24"/>
          <w:szCs w:val="24"/>
          <w:lang w:eastAsia="en-US"/>
        </w:rPr>
        <w:t>，稳压</w:t>
      </w:r>
      <w:r>
        <w:rPr>
          <w:color w:val="000000" w:themeColor="text1"/>
          <w:kern w:val="0"/>
          <w:sz w:val="24"/>
          <w:szCs w:val="24"/>
          <w:lang w:eastAsia="en-US"/>
        </w:rPr>
        <w:t>10min</w:t>
      </w:r>
      <w:r>
        <w:rPr>
          <w:color w:val="000000" w:themeColor="text1"/>
          <w:kern w:val="0"/>
          <w:sz w:val="24"/>
          <w:szCs w:val="24"/>
          <w:lang w:eastAsia="en-US"/>
        </w:rPr>
        <w:t>，允许降压</w:t>
      </w:r>
      <w:r>
        <w:rPr>
          <w:color w:val="000000" w:themeColor="text1"/>
          <w:kern w:val="0"/>
          <w:sz w:val="24"/>
          <w:szCs w:val="24"/>
          <w:lang w:eastAsia="en-US"/>
        </w:rPr>
        <w:t>≤0.07MPa</w:t>
      </w:r>
      <w:r>
        <w:rPr>
          <w:color w:val="000000" w:themeColor="text1"/>
          <w:kern w:val="0"/>
          <w:sz w:val="24"/>
          <w:szCs w:val="24"/>
          <w:lang w:eastAsia="en-US"/>
        </w:rPr>
        <w:t>。</w:t>
      </w:r>
      <w:r>
        <w:rPr>
          <w:color w:val="000000" w:themeColor="text1"/>
          <w:kern w:val="0"/>
          <w:sz w:val="24"/>
          <w:szCs w:val="24"/>
          <w:lang w:eastAsia="en-US"/>
        </w:rPr>
        <w:t>2</w:t>
      </w:r>
      <w:r>
        <w:rPr>
          <w:color w:val="000000" w:themeColor="text1"/>
          <w:kern w:val="0"/>
          <w:sz w:val="24"/>
          <w:szCs w:val="24"/>
          <w:lang w:eastAsia="en-US"/>
        </w:rPr>
        <w:t>）对放喷管线进行试压，试压</w:t>
      </w:r>
      <w:r>
        <w:rPr>
          <w:color w:val="000000" w:themeColor="text1"/>
          <w:kern w:val="0"/>
          <w:sz w:val="24"/>
          <w:szCs w:val="24"/>
          <w:lang w:eastAsia="en-US"/>
        </w:rPr>
        <w:t>10MPa</w:t>
      </w:r>
      <w:r>
        <w:rPr>
          <w:color w:val="000000" w:themeColor="text1"/>
          <w:kern w:val="0"/>
          <w:sz w:val="24"/>
          <w:szCs w:val="24"/>
          <w:lang w:eastAsia="en-US"/>
        </w:rPr>
        <w:t>，稳压</w:t>
      </w:r>
      <w:r>
        <w:rPr>
          <w:color w:val="000000" w:themeColor="text1"/>
          <w:kern w:val="0"/>
          <w:sz w:val="24"/>
          <w:szCs w:val="24"/>
          <w:lang w:eastAsia="en-US"/>
        </w:rPr>
        <w:t>10min</w:t>
      </w:r>
      <w:r>
        <w:rPr>
          <w:color w:val="000000" w:themeColor="text1"/>
          <w:kern w:val="0"/>
          <w:sz w:val="24"/>
          <w:szCs w:val="24"/>
          <w:lang w:eastAsia="en-US"/>
        </w:rPr>
        <w:t>不降。</w:t>
      </w:r>
      <w:r>
        <w:rPr>
          <w:color w:val="000000" w:themeColor="text1"/>
          <w:kern w:val="0"/>
          <w:sz w:val="24"/>
          <w:szCs w:val="24"/>
          <w:lang w:eastAsia="en-US"/>
        </w:rPr>
        <w:t>3</w:t>
      </w:r>
      <w:r>
        <w:rPr>
          <w:color w:val="000000" w:themeColor="text1"/>
          <w:kern w:val="0"/>
          <w:sz w:val="24"/>
          <w:szCs w:val="24"/>
          <w:lang w:eastAsia="en-US"/>
        </w:rPr>
        <w:t>）井口试压应由具有资质的专业试压服务单位承担，井口试压应有自动记录曲线、提供试压合格报告，资料列入井史。</w:t>
      </w:r>
      <w:r>
        <w:rPr>
          <w:color w:val="000000" w:themeColor="text1"/>
          <w:kern w:val="0"/>
          <w:sz w:val="24"/>
          <w:szCs w:val="24"/>
          <w:lang w:eastAsia="en-US"/>
        </w:rPr>
        <w:t>4</w:t>
      </w:r>
      <w:r>
        <w:rPr>
          <w:color w:val="000000" w:themeColor="text1"/>
          <w:kern w:val="0"/>
          <w:sz w:val="24"/>
          <w:szCs w:val="24"/>
          <w:lang w:eastAsia="en-US"/>
        </w:rPr>
        <w:t>）要求接好反循环管线，且材质为硬质管线；在钻开油气层前必须完成试压，试压到</w:t>
      </w:r>
      <w:r>
        <w:rPr>
          <w:color w:val="000000" w:themeColor="text1"/>
          <w:kern w:val="0"/>
          <w:sz w:val="24"/>
          <w:szCs w:val="24"/>
          <w:lang w:eastAsia="en-US"/>
        </w:rPr>
        <w:t>40MPa</w:t>
      </w:r>
      <w:r>
        <w:rPr>
          <w:color w:val="000000" w:themeColor="text1"/>
          <w:kern w:val="0"/>
          <w:sz w:val="24"/>
          <w:szCs w:val="24"/>
          <w:lang w:eastAsia="en-US"/>
        </w:rPr>
        <w:t>。（</w:t>
      </w:r>
      <w:r>
        <w:rPr>
          <w:color w:val="000000" w:themeColor="text1"/>
          <w:kern w:val="0"/>
          <w:sz w:val="24"/>
          <w:szCs w:val="24"/>
          <w:lang w:eastAsia="en-US"/>
        </w:rPr>
        <w:t>5</w:t>
      </w:r>
      <w:r>
        <w:rPr>
          <w:color w:val="000000" w:themeColor="text1"/>
          <w:kern w:val="0"/>
          <w:sz w:val="24"/>
          <w:szCs w:val="24"/>
          <w:lang w:eastAsia="en-US"/>
        </w:rPr>
        <w:t>）开钻前对地面高压管汇、立管、水龙带一并试压，试压到</w:t>
      </w:r>
      <w:r>
        <w:rPr>
          <w:color w:val="000000" w:themeColor="text1"/>
          <w:kern w:val="0"/>
          <w:sz w:val="24"/>
          <w:szCs w:val="24"/>
          <w:lang w:eastAsia="en-US"/>
        </w:rPr>
        <w:t>40MPa</w:t>
      </w:r>
      <w:r>
        <w:rPr>
          <w:color w:val="000000" w:themeColor="text1"/>
          <w:kern w:val="0"/>
          <w:sz w:val="24"/>
          <w:szCs w:val="24"/>
          <w:lang w:eastAsia="en-US"/>
        </w:rPr>
        <w:t>。</w:t>
      </w:r>
      <w:r>
        <w:rPr>
          <w:color w:val="000000" w:themeColor="text1"/>
          <w:kern w:val="0"/>
          <w:sz w:val="24"/>
          <w:szCs w:val="24"/>
          <w:lang w:eastAsia="en-US"/>
        </w:rPr>
        <w:t>6</w:t>
      </w:r>
      <w:r>
        <w:rPr>
          <w:color w:val="000000" w:themeColor="text1"/>
          <w:kern w:val="0"/>
          <w:sz w:val="24"/>
          <w:szCs w:val="24"/>
          <w:lang w:eastAsia="en-US"/>
        </w:rPr>
        <w:t>）现场使用变径闸板的，每次开钻前试压作业时应针对下一开次需使用的不同的管具（含套管）外径尺寸，分别进行关井密封有效性验证；下套管前换成相应的阐板芯子并试。</w:t>
      </w:r>
    </w:p>
    <w:p w14:paraId="1CDF1F32" w14:textId="77777777" w:rsidR="002E0859" w:rsidRDefault="00000000">
      <w:pPr>
        <w:autoSpaceDE w:val="0"/>
        <w:autoSpaceDN w:val="0"/>
        <w:spacing w:line="360" w:lineRule="auto"/>
        <w:ind w:firstLine="456"/>
        <w:jc w:val="left"/>
        <w:textAlignment w:val="baseline"/>
        <w:rPr>
          <w:color w:val="000000" w:themeColor="text1"/>
          <w:spacing w:val="-6"/>
          <w:sz w:val="24"/>
          <w:szCs w:val="24"/>
          <w:lang w:eastAsia="en-US"/>
        </w:rPr>
      </w:pPr>
      <w:r>
        <w:rPr>
          <w:rFonts w:hint="eastAsia"/>
          <w:color w:val="000000" w:themeColor="text1"/>
          <w:spacing w:val="-6"/>
          <w:sz w:val="24"/>
          <w:szCs w:val="24"/>
        </w:rPr>
        <w:t>4</w:t>
      </w:r>
      <w:r>
        <w:rPr>
          <w:rFonts w:hint="eastAsia"/>
          <w:color w:val="000000" w:themeColor="text1"/>
          <w:spacing w:val="-6"/>
          <w:sz w:val="24"/>
          <w:szCs w:val="24"/>
        </w:rPr>
        <w:t>、</w:t>
      </w:r>
      <w:r>
        <w:rPr>
          <w:color w:val="000000" w:themeColor="text1"/>
          <w:spacing w:val="-6"/>
          <w:sz w:val="24"/>
          <w:szCs w:val="24"/>
          <w:lang w:eastAsia="en-US"/>
        </w:rPr>
        <w:t>各次开钻井口装置及节流压井管汇示意图</w:t>
      </w:r>
    </w:p>
    <w:p w14:paraId="36BC92D6"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rPr>
      </w:pPr>
      <w:r>
        <w:rPr>
          <w:rFonts w:hint="eastAsia"/>
          <w:snapToGrid w:val="0"/>
          <w:color w:val="000000" w:themeColor="text1"/>
          <w:kern w:val="0"/>
          <w:sz w:val="24"/>
          <w:szCs w:val="24"/>
        </w:rPr>
        <w:t>（</w:t>
      </w:r>
      <w:r>
        <w:rPr>
          <w:snapToGrid w:val="0"/>
          <w:color w:val="000000" w:themeColor="text1"/>
          <w:kern w:val="0"/>
          <w:sz w:val="24"/>
          <w:szCs w:val="24"/>
          <w:lang w:eastAsia="en-US"/>
        </w:rPr>
        <w:t>1</w:t>
      </w:r>
      <w:r>
        <w:rPr>
          <w:rFonts w:hint="eastAsia"/>
          <w:snapToGrid w:val="0"/>
          <w:color w:val="000000" w:themeColor="text1"/>
          <w:kern w:val="0"/>
          <w:sz w:val="24"/>
          <w:szCs w:val="24"/>
        </w:rPr>
        <w:t>）</w:t>
      </w:r>
      <w:r>
        <w:rPr>
          <w:snapToGrid w:val="0"/>
          <w:color w:val="000000" w:themeColor="text1"/>
          <w:kern w:val="0"/>
          <w:sz w:val="24"/>
          <w:szCs w:val="24"/>
          <w:lang w:eastAsia="en-US"/>
        </w:rPr>
        <w:t>导管</w:t>
      </w:r>
      <w:r>
        <w:rPr>
          <w:snapToGrid w:val="0"/>
          <w:color w:val="000000" w:themeColor="text1"/>
          <w:kern w:val="0"/>
          <w:sz w:val="24"/>
          <w:szCs w:val="24"/>
          <w:lang w:eastAsia="en-US"/>
        </w:rPr>
        <w:t>1</w:t>
      </w:r>
      <w:r>
        <w:rPr>
          <w:snapToGrid w:val="0"/>
          <w:color w:val="000000" w:themeColor="text1"/>
          <w:kern w:val="0"/>
          <w:sz w:val="24"/>
          <w:szCs w:val="24"/>
          <w:lang w:eastAsia="en-US"/>
        </w:rPr>
        <w:t>井口装置</w:t>
      </w:r>
      <w:r>
        <w:rPr>
          <w:rFonts w:hint="eastAsia"/>
          <w:snapToGrid w:val="0"/>
          <w:color w:val="000000" w:themeColor="text1"/>
          <w:kern w:val="0"/>
          <w:sz w:val="24"/>
          <w:szCs w:val="24"/>
        </w:rPr>
        <w:t>（</w:t>
      </w:r>
      <w:r>
        <w:rPr>
          <w:snapToGrid w:val="0"/>
          <w:color w:val="000000" w:themeColor="text1"/>
          <w:kern w:val="0"/>
          <w:sz w:val="24"/>
          <w:szCs w:val="24"/>
          <w:lang w:eastAsia="en-US"/>
        </w:rPr>
        <w:t>见图</w:t>
      </w:r>
      <w:r>
        <w:rPr>
          <w:rFonts w:hint="eastAsia"/>
          <w:snapToGrid w:val="0"/>
          <w:color w:val="000000" w:themeColor="text1"/>
          <w:kern w:val="0"/>
          <w:sz w:val="24"/>
          <w:szCs w:val="24"/>
        </w:rPr>
        <w:t>2.4</w:t>
      </w:r>
      <w:r>
        <w:rPr>
          <w:snapToGrid w:val="0"/>
          <w:color w:val="000000" w:themeColor="text1"/>
          <w:kern w:val="0"/>
          <w:sz w:val="24"/>
          <w:szCs w:val="24"/>
          <w:lang w:eastAsia="en-US"/>
        </w:rPr>
        <w:t>-</w:t>
      </w:r>
      <w:r>
        <w:rPr>
          <w:rFonts w:hint="eastAsia"/>
          <w:snapToGrid w:val="0"/>
          <w:color w:val="000000" w:themeColor="text1"/>
          <w:kern w:val="0"/>
          <w:sz w:val="24"/>
          <w:szCs w:val="24"/>
        </w:rPr>
        <w:t>1</w:t>
      </w:r>
      <w:r>
        <w:rPr>
          <w:rFonts w:hint="eastAsia"/>
          <w:snapToGrid w:val="0"/>
          <w:color w:val="000000" w:themeColor="text1"/>
          <w:kern w:val="0"/>
          <w:sz w:val="24"/>
          <w:szCs w:val="24"/>
        </w:rPr>
        <w:t>）</w:t>
      </w:r>
    </w:p>
    <w:p w14:paraId="7B59F521" w14:textId="5D9D2DCF" w:rsidR="002E0859" w:rsidRDefault="00000000">
      <w:pPr>
        <w:widowControl/>
        <w:kinsoku w:val="0"/>
        <w:topLinePunct w:val="0"/>
        <w:autoSpaceDE w:val="0"/>
        <w:autoSpaceDN w:val="0"/>
        <w:spacing w:line="36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图</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 xml:space="preserve">1 </w:t>
      </w:r>
      <w:r>
        <w:rPr>
          <w:rFonts w:eastAsia="黑体" w:hint="eastAsia"/>
          <w:color w:val="000000" w:themeColor="text1"/>
          <w:sz w:val="21"/>
          <w:szCs w:val="21"/>
          <w:lang w:eastAsia="en-US"/>
        </w:rPr>
        <w:t>导管</w:t>
      </w:r>
      <w:r>
        <w:rPr>
          <w:rFonts w:eastAsia="黑体" w:hint="eastAsia"/>
          <w:color w:val="000000" w:themeColor="text1"/>
          <w:sz w:val="21"/>
          <w:szCs w:val="21"/>
          <w:lang w:eastAsia="en-US"/>
        </w:rPr>
        <w:t>1</w:t>
      </w:r>
      <w:r>
        <w:rPr>
          <w:rFonts w:eastAsia="黑体" w:hint="eastAsia"/>
          <w:color w:val="000000" w:themeColor="text1"/>
          <w:sz w:val="21"/>
          <w:szCs w:val="21"/>
          <w:lang w:eastAsia="en-US"/>
        </w:rPr>
        <w:t>井口装置示意图</w:t>
      </w:r>
    </w:p>
    <w:p w14:paraId="451DE794" w14:textId="77777777" w:rsidR="002E0859" w:rsidRDefault="00000000">
      <w:pPr>
        <w:pStyle w:val="a0"/>
        <w:numPr>
          <w:ilvl w:val="0"/>
          <w:numId w:val="13"/>
        </w:numPr>
        <w:spacing w:line="360" w:lineRule="auto"/>
        <w:ind w:firstLine="456"/>
        <w:rPr>
          <w:color w:val="000000" w:themeColor="text1"/>
          <w:spacing w:val="-6"/>
          <w:sz w:val="24"/>
          <w:szCs w:val="24"/>
        </w:rPr>
      </w:pPr>
      <w:r>
        <w:rPr>
          <w:color w:val="000000" w:themeColor="text1"/>
          <w:spacing w:val="-6"/>
          <w:sz w:val="24"/>
          <w:szCs w:val="24"/>
          <w:lang w:eastAsia="en-US"/>
        </w:rPr>
        <w:t>导管</w:t>
      </w:r>
      <w:r>
        <w:rPr>
          <w:color w:val="000000" w:themeColor="text1"/>
          <w:spacing w:val="-6"/>
          <w:sz w:val="24"/>
          <w:szCs w:val="24"/>
          <w:lang w:eastAsia="en-US"/>
        </w:rPr>
        <w:t>2</w:t>
      </w:r>
      <w:r>
        <w:rPr>
          <w:color w:val="000000" w:themeColor="text1"/>
          <w:spacing w:val="-6"/>
          <w:sz w:val="24"/>
          <w:szCs w:val="24"/>
          <w:lang w:eastAsia="en-US"/>
        </w:rPr>
        <w:t>井口装置</w:t>
      </w:r>
      <w:r>
        <w:rPr>
          <w:rFonts w:hint="eastAsia"/>
          <w:color w:val="000000" w:themeColor="text1"/>
          <w:spacing w:val="-6"/>
          <w:sz w:val="24"/>
          <w:szCs w:val="24"/>
        </w:rPr>
        <w:t>（</w:t>
      </w:r>
      <w:r>
        <w:rPr>
          <w:color w:val="000000" w:themeColor="text1"/>
          <w:spacing w:val="-6"/>
          <w:sz w:val="24"/>
          <w:szCs w:val="24"/>
          <w:lang w:eastAsia="en-US"/>
        </w:rPr>
        <w:t>见图</w:t>
      </w:r>
      <w:r>
        <w:rPr>
          <w:rFonts w:hint="eastAsia"/>
          <w:color w:val="000000" w:themeColor="text1"/>
          <w:spacing w:val="-6"/>
          <w:sz w:val="24"/>
          <w:szCs w:val="24"/>
        </w:rPr>
        <w:t>2.4-2</w:t>
      </w:r>
      <w:r>
        <w:rPr>
          <w:rFonts w:hint="eastAsia"/>
          <w:color w:val="000000" w:themeColor="text1"/>
          <w:spacing w:val="-6"/>
          <w:sz w:val="24"/>
          <w:szCs w:val="24"/>
        </w:rPr>
        <w:t>）</w:t>
      </w:r>
    </w:p>
    <w:p w14:paraId="2749E485" w14:textId="71F357CE" w:rsidR="002E0859" w:rsidRDefault="002E0859">
      <w:pPr>
        <w:pStyle w:val="a0"/>
        <w:spacing w:line="360" w:lineRule="auto"/>
        <w:ind w:firstLineChars="0" w:firstLine="0"/>
        <w:jc w:val="center"/>
        <w:rPr>
          <w:color w:val="000000" w:themeColor="text1"/>
          <w:spacing w:val="-6"/>
          <w:sz w:val="24"/>
          <w:szCs w:val="24"/>
          <w:lang w:eastAsia="en-US"/>
        </w:rPr>
      </w:pPr>
    </w:p>
    <w:p w14:paraId="58D08E4B" w14:textId="77777777" w:rsidR="002E0859" w:rsidRDefault="00000000">
      <w:pPr>
        <w:pStyle w:val="a0"/>
        <w:spacing w:line="360" w:lineRule="auto"/>
        <w:ind w:firstLineChars="0" w:firstLine="0"/>
        <w:jc w:val="center"/>
        <w:rPr>
          <w:rFonts w:eastAsia="黑体"/>
          <w:color w:val="000000" w:themeColor="text1"/>
          <w:sz w:val="21"/>
          <w:szCs w:val="21"/>
          <w:lang w:eastAsia="en-US"/>
        </w:rPr>
      </w:pPr>
      <w:r>
        <w:rPr>
          <w:rFonts w:eastAsia="黑体" w:hint="eastAsia"/>
          <w:color w:val="000000" w:themeColor="text1"/>
          <w:sz w:val="21"/>
          <w:szCs w:val="21"/>
          <w:lang w:eastAsia="en-US"/>
        </w:rPr>
        <w:t>图</w:t>
      </w:r>
      <w:r>
        <w:rPr>
          <w:rFonts w:eastAsia="黑体" w:hint="eastAsia"/>
          <w:color w:val="000000" w:themeColor="text1"/>
          <w:sz w:val="21"/>
          <w:szCs w:val="21"/>
        </w:rPr>
        <w:t xml:space="preserve">2.4-2 </w:t>
      </w:r>
      <w:r>
        <w:rPr>
          <w:rFonts w:eastAsia="黑体" w:hint="eastAsia"/>
          <w:color w:val="000000" w:themeColor="text1"/>
          <w:sz w:val="21"/>
          <w:szCs w:val="21"/>
          <w:lang w:eastAsia="en-US"/>
        </w:rPr>
        <w:t>导管</w:t>
      </w:r>
      <w:r>
        <w:rPr>
          <w:rFonts w:eastAsia="黑体" w:hint="eastAsia"/>
          <w:color w:val="000000" w:themeColor="text1"/>
          <w:sz w:val="21"/>
          <w:szCs w:val="21"/>
          <w:lang w:eastAsia="en-US"/>
        </w:rPr>
        <w:t>2</w:t>
      </w:r>
      <w:r>
        <w:rPr>
          <w:rFonts w:eastAsia="黑体" w:hint="eastAsia"/>
          <w:color w:val="000000" w:themeColor="text1"/>
          <w:sz w:val="21"/>
          <w:szCs w:val="21"/>
          <w:lang w:eastAsia="en-US"/>
        </w:rPr>
        <w:t>井口装置示意图</w:t>
      </w:r>
    </w:p>
    <w:p w14:paraId="53EFB421" w14:textId="77777777" w:rsidR="002E0859" w:rsidRDefault="00000000">
      <w:pPr>
        <w:autoSpaceDE w:val="0"/>
        <w:autoSpaceDN w:val="0"/>
        <w:spacing w:beforeLines="50" w:before="120" w:line="360" w:lineRule="auto"/>
        <w:ind w:firstLine="456"/>
        <w:jc w:val="left"/>
        <w:textAlignment w:val="baseline"/>
        <w:rPr>
          <w:color w:val="000000" w:themeColor="text1"/>
          <w:spacing w:val="-6"/>
          <w:sz w:val="24"/>
          <w:szCs w:val="24"/>
        </w:rPr>
      </w:pPr>
      <w:r>
        <w:rPr>
          <w:rFonts w:hint="eastAsia"/>
          <w:color w:val="000000" w:themeColor="text1"/>
          <w:spacing w:val="-6"/>
          <w:sz w:val="24"/>
          <w:szCs w:val="24"/>
        </w:rPr>
        <w:t>（</w:t>
      </w:r>
      <w:r>
        <w:rPr>
          <w:rFonts w:hint="eastAsia"/>
          <w:color w:val="000000" w:themeColor="text1"/>
          <w:spacing w:val="-6"/>
          <w:sz w:val="24"/>
          <w:szCs w:val="24"/>
        </w:rPr>
        <w:t>3</w:t>
      </w:r>
      <w:r>
        <w:rPr>
          <w:rFonts w:hint="eastAsia"/>
          <w:color w:val="000000" w:themeColor="text1"/>
          <w:spacing w:val="-6"/>
          <w:sz w:val="24"/>
          <w:szCs w:val="24"/>
        </w:rPr>
        <w:t>）</w:t>
      </w:r>
      <w:r>
        <w:rPr>
          <w:color w:val="000000" w:themeColor="text1"/>
          <w:spacing w:val="-6"/>
          <w:sz w:val="24"/>
          <w:szCs w:val="24"/>
          <w:lang w:eastAsia="en-US"/>
        </w:rPr>
        <w:t>第一次开钻井口装置</w:t>
      </w:r>
      <w:r>
        <w:rPr>
          <w:rFonts w:hint="eastAsia"/>
          <w:color w:val="000000" w:themeColor="text1"/>
          <w:spacing w:val="-6"/>
          <w:sz w:val="24"/>
          <w:szCs w:val="24"/>
        </w:rPr>
        <w:t>（</w:t>
      </w:r>
      <w:r>
        <w:rPr>
          <w:color w:val="000000" w:themeColor="text1"/>
          <w:spacing w:val="-6"/>
          <w:sz w:val="24"/>
          <w:szCs w:val="24"/>
          <w:lang w:eastAsia="en-US"/>
        </w:rPr>
        <w:t>见图</w:t>
      </w:r>
      <w:r>
        <w:rPr>
          <w:rFonts w:hint="eastAsia"/>
          <w:color w:val="000000" w:themeColor="text1"/>
          <w:spacing w:val="-6"/>
          <w:sz w:val="24"/>
          <w:szCs w:val="24"/>
        </w:rPr>
        <w:t>2.4-3</w:t>
      </w:r>
      <w:r>
        <w:rPr>
          <w:rFonts w:hint="eastAsia"/>
          <w:color w:val="000000" w:themeColor="text1"/>
          <w:spacing w:val="-6"/>
          <w:sz w:val="24"/>
          <w:szCs w:val="24"/>
        </w:rPr>
        <w:t>）</w:t>
      </w:r>
    </w:p>
    <w:p w14:paraId="2DDE2A82" w14:textId="1F7C7279" w:rsidR="002E0859" w:rsidRDefault="002E0859">
      <w:pPr>
        <w:spacing w:line="360" w:lineRule="auto"/>
        <w:ind w:firstLineChars="0" w:firstLine="0"/>
        <w:jc w:val="center"/>
        <w:rPr>
          <w:color w:val="000000" w:themeColor="text1"/>
        </w:rPr>
      </w:pPr>
    </w:p>
    <w:p w14:paraId="3F1192DF" w14:textId="77777777" w:rsidR="002E0859" w:rsidRDefault="00000000">
      <w:pPr>
        <w:kinsoku w:val="0"/>
        <w:autoSpaceDE w:val="0"/>
        <w:autoSpaceDN w:val="0"/>
        <w:spacing w:line="36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图</w:t>
      </w:r>
      <w:r>
        <w:rPr>
          <w:rFonts w:eastAsia="黑体" w:hint="eastAsia"/>
          <w:color w:val="000000" w:themeColor="text1"/>
          <w:sz w:val="21"/>
          <w:szCs w:val="21"/>
        </w:rPr>
        <w:t xml:space="preserve">2.4-3 </w:t>
      </w:r>
      <w:r>
        <w:rPr>
          <w:rFonts w:eastAsia="黑体" w:hint="eastAsia"/>
          <w:color w:val="000000" w:themeColor="text1"/>
          <w:sz w:val="21"/>
          <w:szCs w:val="21"/>
          <w:lang w:eastAsia="en-US"/>
        </w:rPr>
        <w:t>一开井口装置示意图</w:t>
      </w:r>
    </w:p>
    <w:p w14:paraId="203C4018" w14:textId="77777777" w:rsidR="002E0859" w:rsidRDefault="00000000">
      <w:pPr>
        <w:spacing w:line="360" w:lineRule="auto"/>
        <w:ind w:firstLine="472"/>
        <w:rPr>
          <w:rFonts w:ascii="宋体" w:hAnsi="宋体" w:cs="宋体"/>
          <w:color w:val="000000" w:themeColor="text1"/>
          <w:spacing w:val="-2"/>
          <w:sz w:val="24"/>
          <w:szCs w:val="24"/>
        </w:rPr>
      </w:pPr>
      <w:r>
        <w:rPr>
          <w:rFonts w:ascii="宋体" w:hAnsi="宋体" w:cs="宋体"/>
          <w:color w:val="000000" w:themeColor="text1"/>
          <w:spacing w:val="-2"/>
          <w:sz w:val="24"/>
          <w:szCs w:val="24"/>
        </w:rPr>
        <w:t>注：半封闸板胶芯根据钻杆尺寸作相应变更，压力等级不变。</w:t>
      </w:r>
    </w:p>
    <w:p w14:paraId="42738C58" w14:textId="77777777" w:rsidR="002E0859" w:rsidRDefault="00000000">
      <w:pPr>
        <w:pStyle w:val="a0"/>
        <w:numPr>
          <w:ilvl w:val="0"/>
          <w:numId w:val="14"/>
        </w:numPr>
        <w:tabs>
          <w:tab w:val="center" w:pos="4592"/>
        </w:tabs>
        <w:spacing w:line="360" w:lineRule="auto"/>
        <w:ind w:firstLine="472"/>
        <w:rPr>
          <w:rFonts w:ascii="宋体" w:hAnsi="宋体" w:cs="宋体"/>
          <w:color w:val="000000" w:themeColor="text1"/>
          <w:spacing w:val="-2"/>
          <w:sz w:val="24"/>
          <w:szCs w:val="24"/>
        </w:rPr>
      </w:pPr>
      <w:r>
        <w:rPr>
          <w:rFonts w:ascii="宋体" w:hAnsi="宋体" w:cs="宋体"/>
          <w:color w:val="000000" w:themeColor="text1"/>
          <w:spacing w:val="-2"/>
          <w:sz w:val="24"/>
          <w:szCs w:val="24"/>
        </w:rPr>
        <w:t>第二次开钻井口装置</w:t>
      </w:r>
    </w:p>
    <w:p w14:paraId="65DBEB93" w14:textId="04405085" w:rsidR="002E0859" w:rsidRDefault="002E0859">
      <w:pPr>
        <w:pStyle w:val="a0"/>
        <w:tabs>
          <w:tab w:val="center" w:pos="4592"/>
        </w:tabs>
        <w:spacing w:line="360" w:lineRule="auto"/>
        <w:ind w:firstLineChars="0" w:firstLine="0"/>
        <w:jc w:val="center"/>
        <w:rPr>
          <w:color w:val="000000" w:themeColor="text1"/>
          <w:position w:val="-114"/>
        </w:rPr>
      </w:pPr>
    </w:p>
    <w:p w14:paraId="40E95DEA" w14:textId="77777777" w:rsidR="002E0859" w:rsidRDefault="00000000">
      <w:pPr>
        <w:kinsoku w:val="0"/>
        <w:autoSpaceDE w:val="0"/>
        <w:autoSpaceDN w:val="0"/>
        <w:spacing w:line="36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图</w:t>
      </w:r>
      <w:r>
        <w:rPr>
          <w:rFonts w:eastAsia="黑体" w:hint="eastAsia"/>
          <w:color w:val="000000" w:themeColor="text1"/>
          <w:sz w:val="21"/>
          <w:szCs w:val="21"/>
        </w:rPr>
        <w:t xml:space="preserve">2.4-4 </w:t>
      </w:r>
      <w:r>
        <w:rPr>
          <w:rFonts w:eastAsia="黑体" w:hint="eastAsia"/>
          <w:color w:val="000000" w:themeColor="text1"/>
          <w:sz w:val="21"/>
          <w:szCs w:val="21"/>
          <w:lang w:eastAsia="en-US"/>
        </w:rPr>
        <w:t>二开井口装置示意图</w:t>
      </w:r>
    </w:p>
    <w:p w14:paraId="53C4A8FB" w14:textId="77777777" w:rsidR="002E0859" w:rsidRDefault="00000000">
      <w:pPr>
        <w:pStyle w:val="a0"/>
        <w:tabs>
          <w:tab w:val="center" w:pos="4592"/>
        </w:tabs>
        <w:spacing w:line="360" w:lineRule="auto"/>
        <w:ind w:firstLine="472"/>
        <w:rPr>
          <w:rFonts w:ascii="宋体" w:hAnsi="宋体" w:cs="宋体"/>
          <w:color w:val="000000" w:themeColor="text1"/>
          <w:spacing w:val="-2"/>
          <w:sz w:val="24"/>
          <w:szCs w:val="24"/>
        </w:rPr>
      </w:pPr>
      <w:r>
        <w:rPr>
          <w:rFonts w:ascii="宋体" w:hAnsi="宋体" w:cs="宋体"/>
          <w:color w:val="000000" w:themeColor="text1"/>
          <w:spacing w:val="-2"/>
          <w:sz w:val="24"/>
          <w:szCs w:val="24"/>
        </w:rPr>
        <w:t>注：半封闸板胶芯根据钻杆尺寸作相应变更，压力等级不变。</w:t>
      </w:r>
    </w:p>
    <w:p w14:paraId="3A939042" w14:textId="325DB983" w:rsidR="002E0859" w:rsidRDefault="00000000">
      <w:pPr>
        <w:spacing w:line="360" w:lineRule="auto"/>
        <w:ind w:firstLine="472"/>
        <w:rPr>
          <w:color w:val="000000" w:themeColor="text1"/>
          <w:sz w:val="24"/>
          <w:szCs w:val="24"/>
        </w:rPr>
      </w:pPr>
      <w:r>
        <w:rPr>
          <w:color w:val="000000" w:themeColor="text1"/>
          <w:spacing w:val="-2"/>
          <w:sz w:val="24"/>
          <w:szCs w:val="24"/>
        </w:rPr>
        <w:t>（</w:t>
      </w:r>
      <w:r>
        <w:rPr>
          <w:color w:val="000000" w:themeColor="text1"/>
          <w:spacing w:val="-2"/>
          <w:sz w:val="24"/>
          <w:szCs w:val="24"/>
        </w:rPr>
        <w:t>5</w:t>
      </w:r>
      <w:r>
        <w:rPr>
          <w:color w:val="000000" w:themeColor="text1"/>
          <w:spacing w:val="-2"/>
          <w:sz w:val="24"/>
          <w:szCs w:val="24"/>
        </w:rPr>
        <w:t>）第二次开钻井口装置</w:t>
      </w:r>
      <w:r>
        <w:rPr>
          <w:color w:val="000000" w:themeColor="text1"/>
          <w:spacing w:val="-2"/>
          <w:sz w:val="24"/>
          <w:szCs w:val="24"/>
        </w:rPr>
        <w:t>(</w:t>
      </w:r>
      <w:r>
        <w:rPr>
          <w:color w:val="000000" w:themeColor="text1"/>
          <w:spacing w:val="-2"/>
          <w:sz w:val="24"/>
          <w:szCs w:val="24"/>
        </w:rPr>
        <w:t>见图</w:t>
      </w:r>
      <w:r>
        <w:rPr>
          <w:rFonts w:hint="eastAsia"/>
          <w:color w:val="000000" w:themeColor="text1"/>
          <w:kern w:val="0"/>
          <w:sz w:val="24"/>
          <w:szCs w:val="24"/>
        </w:rPr>
        <w:t>2.4-5</w:t>
      </w:r>
      <w:r>
        <w:rPr>
          <w:color w:val="000000" w:themeColor="text1"/>
          <w:kern w:val="0"/>
          <w:sz w:val="24"/>
          <w:szCs w:val="24"/>
        </w:rPr>
        <w:t>)</w:t>
      </w:r>
    </w:p>
    <w:p w14:paraId="4A11FD1B" w14:textId="77777777" w:rsidR="002E0859" w:rsidRDefault="00000000">
      <w:pPr>
        <w:kinsoku w:val="0"/>
        <w:autoSpaceDE w:val="0"/>
        <w:autoSpaceDN w:val="0"/>
        <w:spacing w:line="36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图</w:t>
      </w:r>
      <w:r>
        <w:rPr>
          <w:rFonts w:eastAsia="黑体" w:hint="eastAsia"/>
          <w:color w:val="000000" w:themeColor="text1"/>
          <w:sz w:val="21"/>
          <w:szCs w:val="21"/>
        </w:rPr>
        <w:t xml:space="preserve">2.4-5 </w:t>
      </w:r>
      <w:r>
        <w:rPr>
          <w:rFonts w:eastAsia="黑体" w:hint="eastAsia"/>
          <w:color w:val="000000" w:themeColor="text1"/>
          <w:sz w:val="21"/>
          <w:szCs w:val="21"/>
          <w:lang w:eastAsia="en-US"/>
        </w:rPr>
        <w:t>三开井口装置示意图</w:t>
      </w:r>
    </w:p>
    <w:p w14:paraId="2F27D970" w14:textId="77777777" w:rsidR="002E0859" w:rsidRDefault="00000000">
      <w:pPr>
        <w:spacing w:line="360" w:lineRule="auto"/>
        <w:ind w:firstLine="468"/>
        <w:rPr>
          <w:rFonts w:ascii="宋体" w:hAnsi="宋体" w:cs="宋体"/>
          <w:color w:val="000000" w:themeColor="text1"/>
          <w:sz w:val="24"/>
          <w:szCs w:val="24"/>
        </w:rPr>
      </w:pPr>
      <w:r>
        <w:rPr>
          <w:rFonts w:ascii="宋体" w:hAnsi="宋体" w:cs="宋体"/>
          <w:color w:val="000000" w:themeColor="text1"/>
          <w:spacing w:val="-3"/>
          <w:sz w:val="24"/>
          <w:szCs w:val="24"/>
        </w:rPr>
        <w:t>（</w:t>
      </w:r>
      <w:r>
        <w:rPr>
          <w:color w:val="000000" w:themeColor="text1"/>
          <w:spacing w:val="-3"/>
          <w:sz w:val="24"/>
          <w:szCs w:val="24"/>
        </w:rPr>
        <w:t>6</w:t>
      </w:r>
      <w:r>
        <w:rPr>
          <w:rFonts w:ascii="宋体" w:hAnsi="宋体" w:cs="宋体"/>
          <w:color w:val="000000" w:themeColor="text1"/>
          <w:spacing w:val="-3"/>
          <w:sz w:val="24"/>
          <w:szCs w:val="24"/>
        </w:rPr>
        <w:t>）节流压井管汇</w:t>
      </w:r>
    </w:p>
    <w:p w14:paraId="26CD755B" w14:textId="50A29D19" w:rsidR="002E0859" w:rsidRDefault="002E0859">
      <w:pPr>
        <w:spacing w:before="149" w:line="4070" w:lineRule="exact"/>
        <w:ind w:firstLine="560"/>
        <w:rPr>
          <w:color w:val="000000" w:themeColor="text1"/>
        </w:rPr>
      </w:pPr>
    </w:p>
    <w:p w14:paraId="331BEB77" w14:textId="77777777" w:rsidR="002E0859" w:rsidRDefault="00000000">
      <w:pPr>
        <w:kinsoku w:val="0"/>
        <w:autoSpaceDE w:val="0"/>
        <w:autoSpaceDN w:val="0"/>
        <w:spacing w:beforeLines="50" w:before="120" w:line="36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图</w:t>
      </w:r>
      <w:r>
        <w:rPr>
          <w:rFonts w:eastAsia="黑体" w:hint="eastAsia"/>
          <w:color w:val="000000" w:themeColor="text1"/>
          <w:sz w:val="21"/>
          <w:szCs w:val="21"/>
        </w:rPr>
        <w:t xml:space="preserve">2.4-6 </w:t>
      </w:r>
      <w:r>
        <w:rPr>
          <w:rFonts w:eastAsia="黑体" w:hint="eastAsia"/>
          <w:color w:val="000000" w:themeColor="text1"/>
          <w:sz w:val="21"/>
          <w:szCs w:val="21"/>
          <w:lang w:eastAsia="en-US"/>
        </w:rPr>
        <w:t>节流压井管汇示意图</w:t>
      </w:r>
    </w:p>
    <w:p w14:paraId="5125120A" w14:textId="77168B53" w:rsidR="002E0859" w:rsidRDefault="00000000">
      <w:pPr>
        <w:spacing w:line="360" w:lineRule="auto"/>
        <w:ind w:firstLine="560"/>
        <w:rPr>
          <w:snapToGrid w:val="0"/>
          <w:color w:val="000000" w:themeColor="text1"/>
          <w:kern w:val="0"/>
          <w:sz w:val="24"/>
          <w:szCs w:val="24"/>
        </w:rPr>
      </w:pPr>
      <w:hyperlink r:id="rId23" w:history="1">
        <w:r>
          <w:rPr>
            <w:snapToGrid w:val="0"/>
            <w:color w:val="000000" w:themeColor="text1"/>
            <w:kern w:val="0"/>
            <w:sz w:val="24"/>
            <w:szCs w:val="24"/>
          </w:rPr>
          <w:t>5</w:t>
        </w:r>
      </w:hyperlink>
      <w:r>
        <w:rPr>
          <w:rFonts w:hint="eastAsia"/>
          <w:snapToGrid w:val="0"/>
          <w:color w:val="000000" w:themeColor="text1"/>
          <w:kern w:val="0"/>
          <w:sz w:val="24"/>
          <w:szCs w:val="24"/>
        </w:rPr>
        <w:t>、</w:t>
      </w:r>
      <w:r>
        <w:rPr>
          <w:snapToGrid w:val="0"/>
          <w:color w:val="000000" w:themeColor="text1"/>
          <w:kern w:val="0"/>
          <w:sz w:val="24"/>
          <w:szCs w:val="24"/>
        </w:rPr>
        <w:t>井控重点要求</w:t>
      </w:r>
    </w:p>
    <w:p w14:paraId="1631F35C"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按《石油天然气钻井井控技术规范》（</w:t>
      </w:r>
      <w:r>
        <w:rPr>
          <w:snapToGrid w:val="0"/>
          <w:color w:val="000000" w:themeColor="text1"/>
          <w:kern w:val="0"/>
          <w:sz w:val="24"/>
          <w:szCs w:val="24"/>
        </w:rPr>
        <w:t>GB/T31033-2014</w:t>
      </w:r>
      <w:r>
        <w:rPr>
          <w:snapToGrid w:val="0"/>
          <w:color w:val="000000" w:themeColor="text1"/>
          <w:kern w:val="0"/>
          <w:sz w:val="24"/>
          <w:szCs w:val="24"/>
        </w:rPr>
        <w:t>）和《钻井井控装置组合配套、安装调试与使用规范》</w:t>
      </w:r>
      <w:r>
        <w:rPr>
          <w:snapToGrid w:val="0"/>
          <w:color w:val="000000" w:themeColor="text1"/>
          <w:kern w:val="0"/>
          <w:sz w:val="24"/>
          <w:szCs w:val="24"/>
        </w:rPr>
        <w:t>(SY/T5964-2019)</w:t>
      </w:r>
      <w:r>
        <w:rPr>
          <w:snapToGrid w:val="0"/>
          <w:color w:val="000000" w:themeColor="text1"/>
          <w:kern w:val="0"/>
          <w:sz w:val="24"/>
          <w:szCs w:val="24"/>
        </w:rPr>
        <w:t>的要求执行，同时执行井控相关管理制度，即：井控分级管理制度，井控工作责任制度，井控工作检查制度，井控工作例会制度，井控持证上岗制度，井控和</w:t>
      </w:r>
      <w:r>
        <w:rPr>
          <w:snapToGrid w:val="0"/>
          <w:color w:val="000000" w:themeColor="text1"/>
          <w:kern w:val="0"/>
          <w:sz w:val="24"/>
          <w:szCs w:val="24"/>
        </w:rPr>
        <w:t>H</w:t>
      </w:r>
      <w:r>
        <w:rPr>
          <w:snapToGrid w:val="0"/>
          <w:color w:val="000000" w:themeColor="text1"/>
          <w:kern w:val="0"/>
          <w:sz w:val="12"/>
          <w:szCs w:val="12"/>
        </w:rPr>
        <w:t>2</w:t>
      </w:r>
      <w:r>
        <w:rPr>
          <w:snapToGrid w:val="0"/>
          <w:color w:val="000000" w:themeColor="text1"/>
          <w:kern w:val="0"/>
          <w:sz w:val="24"/>
          <w:szCs w:val="24"/>
        </w:rPr>
        <w:t>S</w:t>
      </w:r>
      <w:r>
        <w:rPr>
          <w:snapToGrid w:val="0"/>
          <w:color w:val="000000" w:themeColor="text1"/>
          <w:kern w:val="0"/>
          <w:sz w:val="24"/>
          <w:szCs w:val="24"/>
        </w:rPr>
        <w:t>防护演习制度，井控设备管理制度，井控装置现场安装、调试与维护制度，开钻（开工）检查验收制度，钻（射）开油气层审批（确认）制度，干部带班值班制度，坐岗观察制度，井喷应急管理制度，井喷事故管理制度。</w:t>
      </w:r>
    </w:p>
    <w:p w14:paraId="1551CF37"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w:t>
      </w:r>
      <w:r>
        <w:rPr>
          <w:snapToGrid w:val="0"/>
          <w:color w:val="000000" w:themeColor="text1"/>
          <w:kern w:val="0"/>
          <w:sz w:val="24"/>
          <w:szCs w:val="24"/>
        </w:rPr>
        <w:t>1</w:t>
      </w:r>
      <w:r>
        <w:rPr>
          <w:snapToGrid w:val="0"/>
          <w:color w:val="000000" w:themeColor="text1"/>
          <w:kern w:val="0"/>
          <w:sz w:val="24"/>
          <w:szCs w:val="24"/>
        </w:rPr>
        <w:t>）一级井控重点要求</w:t>
      </w:r>
    </w:p>
    <w:p w14:paraId="7E872CB2"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①</w:t>
      </w:r>
      <w:r>
        <w:rPr>
          <w:snapToGrid w:val="0"/>
          <w:color w:val="000000" w:themeColor="text1"/>
          <w:kern w:val="0"/>
          <w:sz w:val="24"/>
          <w:szCs w:val="24"/>
          <w:lang w:eastAsia="en-US"/>
        </w:rPr>
        <w:t>一开保证井眼规则稳定，按设计深度下好套管，采用常规固井，水泥浆返到井口，否则要补打水泥帽，且固井质量良好。</w:t>
      </w:r>
    </w:p>
    <w:p w14:paraId="22CA9FF4"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②</w:t>
      </w:r>
      <w:r>
        <w:rPr>
          <w:snapToGrid w:val="0"/>
          <w:color w:val="000000" w:themeColor="text1"/>
          <w:kern w:val="0"/>
          <w:sz w:val="24"/>
          <w:szCs w:val="24"/>
          <w:lang w:eastAsia="en-US"/>
        </w:rPr>
        <w:t>二开后用优质钻井液钻进，保证井眼稳定和每次固井质量。</w:t>
      </w:r>
    </w:p>
    <w:p w14:paraId="52670DB6"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lastRenderedPageBreak/>
        <w:t>③</w:t>
      </w:r>
      <w:r>
        <w:rPr>
          <w:snapToGrid w:val="0"/>
          <w:color w:val="000000" w:themeColor="text1"/>
          <w:kern w:val="0"/>
          <w:sz w:val="24"/>
          <w:szCs w:val="24"/>
          <w:lang w:eastAsia="en-US"/>
        </w:rPr>
        <w:t>钻井施工过程中严格执行设计，情况发生变化时须及时调整钻井液密度，保证安全施工。</w:t>
      </w:r>
    </w:p>
    <w:p w14:paraId="5685D030"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④</w:t>
      </w:r>
      <w:r>
        <w:rPr>
          <w:snapToGrid w:val="0"/>
          <w:color w:val="000000" w:themeColor="text1"/>
          <w:kern w:val="0"/>
          <w:sz w:val="24"/>
          <w:szCs w:val="24"/>
          <w:lang w:eastAsia="en-US"/>
        </w:rPr>
        <w:t>按钻井液设计要求储备足够的重钻井液及加重处理剂。</w:t>
      </w:r>
    </w:p>
    <w:p w14:paraId="6690AFCE"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⑤</w:t>
      </w:r>
      <w:r>
        <w:rPr>
          <w:snapToGrid w:val="0"/>
          <w:color w:val="000000" w:themeColor="text1"/>
          <w:kern w:val="0"/>
          <w:sz w:val="24"/>
          <w:szCs w:val="24"/>
          <w:lang w:eastAsia="en-US"/>
        </w:rPr>
        <w:t>钻时变快时，必须停钻停泵观察溢流。</w:t>
      </w:r>
    </w:p>
    <w:p w14:paraId="57B56107"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⑥</w:t>
      </w:r>
      <w:r>
        <w:rPr>
          <w:snapToGrid w:val="0"/>
          <w:color w:val="000000" w:themeColor="text1"/>
          <w:kern w:val="0"/>
          <w:sz w:val="24"/>
          <w:szCs w:val="24"/>
          <w:lang w:eastAsia="en-US"/>
        </w:rPr>
        <w:t>钻进中应有专人观察记录钻井液出口管，发现钻井液液面升高、油气侵、钻井液密度降低、粘度升高等情况应停止钻进，采取相应措施并汇报。</w:t>
      </w:r>
    </w:p>
    <w:p w14:paraId="645838A9"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⑦</w:t>
      </w:r>
      <w:r>
        <w:rPr>
          <w:snapToGrid w:val="0"/>
          <w:color w:val="000000" w:themeColor="text1"/>
          <w:kern w:val="0"/>
          <w:sz w:val="24"/>
          <w:szCs w:val="24"/>
          <w:lang w:eastAsia="en-US"/>
        </w:rPr>
        <w:t>下钻控制速度，防止压力激动造成井漏。分段循环以防止后效诱喷；下钻到底先顶通水眼，形成循环再提高排量，以防蹩漏地层中断循环，失去平衡造成井喷。</w:t>
      </w:r>
    </w:p>
    <w:p w14:paraId="2782938C"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⑧</w:t>
      </w:r>
      <w:r>
        <w:rPr>
          <w:snapToGrid w:val="0"/>
          <w:color w:val="000000" w:themeColor="text1"/>
          <w:kern w:val="0"/>
          <w:sz w:val="24"/>
          <w:szCs w:val="24"/>
          <w:lang w:eastAsia="en-US"/>
        </w:rPr>
        <w:t>下钻要注意悬重变化和钻井液返出量是否正常，若连续五柱悬重增加不明显和钻井液返出量过大，可能钻头水眼被堵，应停止下钻灌满钻井液，接方钻杆小排量顶通，</w:t>
      </w:r>
    </w:p>
    <w:p w14:paraId="576327C4"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如开泵不通，可蹩通旁通接头循环好后再分段循环下钻到底，充分循环后再起钻换钻具，也可灌好钻井液、在能保证井控安全的前提下低速档起出钻具。</w:t>
      </w:r>
    </w:p>
    <w:p w14:paraId="11F9761A"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⑨</w:t>
      </w:r>
      <w:r>
        <w:rPr>
          <w:snapToGrid w:val="0"/>
          <w:color w:val="000000" w:themeColor="text1"/>
          <w:kern w:val="0"/>
          <w:sz w:val="24"/>
          <w:szCs w:val="24"/>
          <w:lang w:eastAsia="en-US"/>
        </w:rPr>
        <w:t>井下使用不带小通孔的内防喷工具，下钻时应往钻具内灌好、灌满钻井液，分段循环好，防止诱导井喷。</w:t>
      </w:r>
    </w:p>
    <w:p w14:paraId="2A348C81"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⑩</w:t>
      </w:r>
      <w:r>
        <w:rPr>
          <w:snapToGrid w:val="0"/>
          <w:color w:val="000000" w:themeColor="text1"/>
          <w:kern w:val="0"/>
          <w:sz w:val="24"/>
          <w:szCs w:val="24"/>
          <w:lang w:eastAsia="en-US"/>
        </w:rPr>
        <w:t>井眼要畅通，防止拔活塞起钻，起钻灌好钻井液（每起出一柱灌满一次），管内外都要注意灌满钻井液。灌入的钻井液性能与井内钻井液性能相同，灌入量与起出钻具体积相符。</w:t>
      </w:r>
    </w:p>
    <w:p w14:paraId="3CFEE829"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⑪</w:t>
      </w:r>
      <w:r>
        <w:rPr>
          <w:snapToGrid w:val="0"/>
          <w:color w:val="000000" w:themeColor="text1"/>
          <w:kern w:val="0"/>
          <w:sz w:val="24"/>
          <w:szCs w:val="24"/>
          <w:lang w:eastAsia="en-US"/>
        </w:rPr>
        <w:t>钻遇油气层和复杂层位，一次不宜钻开太多，在压稳不漏并对井下情况准确判断且没有安全隐患后才继续钻进。</w:t>
      </w:r>
    </w:p>
    <w:p w14:paraId="1A1D48AF"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⑫</w:t>
      </w:r>
      <w:r>
        <w:rPr>
          <w:snapToGrid w:val="0"/>
          <w:color w:val="000000" w:themeColor="text1"/>
          <w:kern w:val="0"/>
          <w:sz w:val="24"/>
          <w:szCs w:val="24"/>
          <w:lang w:eastAsia="en-US"/>
        </w:rPr>
        <w:t>钻开油气层每次起钻前应充分循环钻井液，认真观察，至少测量一个循环周的钻井液密度，并记录、对比，达到循环均匀、进出口平衡。</w:t>
      </w:r>
    </w:p>
    <w:p w14:paraId="707A289B"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⑬</w:t>
      </w:r>
      <w:r>
        <w:rPr>
          <w:snapToGrid w:val="0"/>
          <w:color w:val="000000" w:themeColor="text1"/>
          <w:kern w:val="0"/>
          <w:sz w:val="24"/>
          <w:szCs w:val="24"/>
          <w:lang w:eastAsia="en-US"/>
        </w:rPr>
        <w:t>钻开油气层后起钻，必须控制起钻速度，全井用低速档起钻，起钻前应采取措施证实地层流体已被切实压稳并有安全的起下钻、作业时间，起完钻应立即下钻，尽量缩短空井时间。</w:t>
      </w:r>
    </w:p>
    <w:p w14:paraId="1974A3A5" w14:textId="77777777" w:rsidR="002E0859" w:rsidRDefault="00000000">
      <w:pPr>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⑭</w:t>
      </w:r>
      <w:r>
        <w:rPr>
          <w:snapToGrid w:val="0"/>
          <w:color w:val="000000" w:themeColor="text1"/>
          <w:kern w:val="0"/>
          <w:sz w:val="24"/>
          <w:szCs w:val="24"/>
          <w:lang w:eastAsia="en-US"/>
        </w:rPr>
        <w:t>下列情况需进行短程起下钻检查油气浸：</w:t>
      </w:r>
    </w:p>
    <w:p w14:paraId="2AB6A29F"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a</w:t>
      </w:r>
      <w:r>
        <w:rPr>
          <w:snapToGrid w:val="0"/>
          <w:color w:val="000000" w:themeColor="text1"/>
          <w:kern w:val="0"/>
          <w:sz w:val="24"/>
          <w:szCs w:val="24"/>
        </w:rPr>
        <w:t>当钻开油气层后每次起钻前。</w:t>
      </w:r>
    </w:p>
    <w:p w14:paraId="3B8971A6"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b</w:t>
      </w:r>
      <w:r>
        <w:rPr>
          <w:snapToGrid w:val="0"/>
          <w:color w:val="000000" w:themeColor="text1"/>
          <w:kern w:val="0"/>
          <w:sz w:val="24"/>
          <w:szCs w:val="24"/>
        </w:rPr>
        <w:t>溢流压井后起钻前。</w:t>
      </w:r>
    </w:p>
    <w:p w14:paraId="22D9B683"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c</w:t>
      </w:r>
      <w:r>
        <w:rPr>
          <w:snapToGrid w:val="0"/>
          <w:color w:val="000000" w:themeColor="text1"/>
          <w:kern w:val="0"/>
          <w:sz w:val="24"/>
          <w:szCs w:val="24"/>
        </w:rPr>
        <w:t>钻开油气层井漏堵漏后或尚未完全堵住起钻前。</w:t>
      </w:r>
    </w:p>
    <w:p w14:paraId="153B84D4"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d</w:t>
      </w:r>
      <w:r>
        <w:rPr>
          <w:snapToGrid w:val="0"/>
          <w:color w:val="000000" w:themeColor="text1"/>
          <w:kern w:val="0"/>
          <w:sz w:val="24"/>
          <w:szCs w:val="24"/>
        </w:rPr>
        <w:t>钻进中曾发生严重油气浸但未溢流起钻前。</w:t>
      </w:r>
    </w:p>
    <w:p w14:paraId="27636633"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e</w:t>
      </w:r>
      <w:r>
        <w:rPr>
          <w:snapToGrid w:val="0"/>
          <w:color w:val="000000" w:themeColor="text1"/>
          <w:kern w:val="0"/>
          <w:sz w:val="24"/>
          <w:szCs w:val="24"/>
        </w:rPr>
        <w:t>钻头在井底连续长时间工作后中途需刮井壁时。</w:t>
      </w:r>
    </w:p>
    <w:p w14:paraId="2B547A4F"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lastRenderedPageBreak/>
        <w:t>f</w:t>
      </w:r>
      <w:r>
        <w:rPr>
          <w:snapToGrid w:val="0"/>
          <w:color w:val="000000" w:themeColor="text1"/>
          <w:kern w:val="0"/>
          <w:sz w:val="24"/>
          <w:szCs w:val="24"/>
        </w:rPr>
        <w:t>需长时间停止循环进行其他作业（电测、下套管、下油管、中途测试等）起钻前。</w:t>
      </w:r>
    </w:p>
    <w:p w14:paraId="62E502FC" w14:textId="77777777" w:rsidR="002E0859" w:rsidRDefault="00000000">
      <w:pPr>
        <w:spacing w:line="360" w:lineRule="auto"/>
        <w:ind w:firstLine="480"/>
        <w:jc w:val="left"/>
        <w:rPr>
          <w:snapToGrid w:val="0"/>
          <w:color w:val="000000" w:themeColor="text1"/>
          <w:kern w:val="0"/>
          <w:sz w:val="24"/>
          <w:szCs w:val="24"/>
        </w:rPr>
      </w:pPr>
      <w:r>
        <w:rPr>
          <w:snapToGrid w:val="0"/>
          <w:color w:val="000000" w:themeColor="text1"/>
          <w:kern w:val="0"/>
          <w:sz w:val="24"/>
          <w:szCs w:val="24"/>
        </w:rPr>
        <w:t>⑮</w:t>
      </w:r>
      <w:r>
        <w:rPr>
          <w:snapToGrid w:val="0"/>
          <w:color w:val="000000" w:themeColor="text1"/>
          <w:kern w:val="0"/>
          <w:sz w:val="24"/>
          <w:szCs w:val="24"/>
        </w:rPr>
        <w:t>换钻头、完钻后或中途电测起钻前，应调整钻井液，充分循环达到进出口平衡，起钻中途若发现溢流应下钻到底加重，达到密度合适均匀（循环一周以上证实），性能稳定，溢流停止，有安全的起下钻时间方可起钻。</w:t>
      </w:r>
    </w:p>
    <w:p w14:paraId="06B07908"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⑯</w:t>
      </w:r>
      <w:r>
        <w:rPr>
          <w:snapToGrid w:val="0"/>
          <w:color w:val="000000" w:themeColor="text1"/>
          <w:kern w:val="0"/>
          <w:sz w:val="24"/>
          <w:szCs w:val="24"/>
        </w:rPr>
        <w:t>完井电测时专人观察井口，正常情况下每测完一趟至少灌满一次钻井液。若发现溢流须停止电测作业，起出电缆或将电缆切断，强行下钻，控制好井口，进入井控程序。若电测时间过长，中途应及时下钻通井。</w:t>
      </w:r>
    </w:p>
    <w:p w14:paraId="3B1FE892"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⑰</w:t>
      </w:r>
      <w:r>
        <w:rPr>
          <w:snapToGrid w:val="0"/>
          <w:color w:val="000000" w:themeColor="text1"/>
          <w:kern w:val="0"/>
          <w:sz w:val="24"/>
          <w:szCs w:val="24"/>
        </w:rPr>
        <w:t>电测、起下钻前必须采取措施确保有安全的作业时间。</w:t>
      </w:r>
    </w:p>
    <w:p w14:paraId="5229F983"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⑱</w:t>
      </w:r>
      <w:r>
        <w:rPr>
          <w:snapToGrid w:val="0"/>
          <w:color w:val="000000" w:themeColor="text1"/>
          <w:kern w:val="0"/>
          <w:sz w:val="24"/>
          <w:szCs w:val="24"/>
        </w:rPr>
        <w:t>认真做好防火工作，井场按消防规定备齐消防器材，电器设备、照明器具、输电线路及其开关符合安全规定和防火放爆要求，钻台与机泵房下面应无积油；井喷失控时，应立即停车、停炉、断电、断掉一切火源。</w:t>
      </w:r>
    </w:p>
    <w:p w14:paraId="2F55F394"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⑲</w:t>
      </w:r>
      <w:r>
        <w:rPr>
          <w:snapToGrid w:val="0"/>
          <w:color w:val="000000" w:themeColor="text1"/>
          <w:kern w:val="0"/>
          <w:sz w:val="24"/>
          <w:szCs w:val="24"/>
        </w:rPr>
        <w:t>固井中发生井漏应及时按固井施工设计有关要求处理。</w:t>
      </w:r>
    </w:p>
    <w:p w14:paraId="0F6E3834"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⑳</w:t>
      </w:r>
      <w:r>
        <w:rPr>
          <w:snapToGrid w:val="0"/>
          <w:color w:val="000000" w:themeColor="text1"/>
          <w:kern w:val="0"/>
          <w:sz w:val="24"/>
          <w:szCs w:val="24"/>
        </w:rPr>
        <w:t>对钻进、起下钻、空井、测井、起下套管、处理事故复杂等所有工况，施工单位均应安排专人坐岗观察溢流情况，出现异常及时处理汇报。</w:t>
      </w:r>
    </w:p>
    <w:p w14:paraId="126EE8A7" w14:textId="77777777" w:rsidR="002E0859" w:rsidRDefault="00000000">
      <w:pPr>
        <w:spacing w:line="360" w:lineRule="auto"/>
        <w:ind w:firstLine="480"/>
        <w:rPr>
          <w:snapToGrid w:val="0"/>
          <w:color w:val="000000" w:themeColor="text1"/>
          <w:kern w:val="0"/>
          <w:sz w:val="24"/>
          <w:szCs w:val="24"/>
        </w:rPr>
      </w:pPr>
      <w:r>
        <w:rPr>
          <w:rFonts w:hint="eastAsia"/>
          <w:snapToGrid w:val="0"/>
          <w:color w:val="000000" w:themeColor="text1"/>
          <w:kern w:val="0"/>
          <w:sz w:val="24"/>
          <w:szCs w:val="24"/>
        </w:rPr>
        <w:t>（</w:t>
      </w:r>
      <w:r>
        <w:rPr>
          <w:rFonts w:hint="eastAsia"/>
          <w:snapToGrid w:val="0"/>
          <w:color w:val="000000" w:themeColor="text1"/>
          <w:kern w:val="0"/>
          <w:sz w:val="24"/>
          <w:szCs w:val="24"/>
        </w:rPr>
        <w:t>2</w:t>
      </w:r>
      <w:r>
        <w:rPr>
          <w:rFonts w:hint="eastAsia"/>
          <w:snapToGrid w:val="0"/>
          <w:color w:val="000000" w:themeColor="text1"/>
          <w:kern w:val="0"/>
          <w:sz w:val="24"/>
          <w:szCs w:val="24"/>
        </w:rPr>
        <w:t>）</w:t>
      </w:r>
      <w:r>
        <w:rPr>
          <w:snapToGrid w:val="0"/>
          <w:color w:val="000000" w:themeColor="text1"/>
          <w:kern w:val="0"/>
          <w:sz w:val="24"/>
          <w:szCs w:val="24"/>
        </w:rPr>
        <w:t>二级井控重点要求</w:t>
      </w:r>
    </w:p>
    <w:p w14:paraId="43E00644"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rPr>
        <w:t>井控装置应随时处于完好的工况，及时更换疲劳、老化的部件，易损件、抢装工具、</w:t>
      </w:r>
      <w:r>
        <w:rPr>
          <w:snapToGrid w:val="0"/>
          <w:color w:val="000000" w:themeColor="text1"/>
          <w:kern w:val="0"/>
          <w:sz w:val="24"/>
          <w:szCs w:val="24"/>
          <w:lang w:eastAsia="en-US"/>
        </w:rPr>
        <w:t>抢修工具应在现场有备用并妥善保存。还应特别注意：</w:t>
      </w:r>
    </w:p>
    <w:p w14:paraId="045D3001"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A.</w:t>
      </w:r>
      <w:r>
        <w:rPr>
          <w:snapToGrid w:val="0"/>
          <w:color w:val="000000" w:themeColor="text1"/>
          <w:kern w:val="0"/>
          <w:sz w:val="24"/>
          <w:szCs w:val="24"/>
          <w:lang w:eastAsia="en-US"/>
        </w:rPr>
        <w:t>防喷器的安装及使用主要要求</w:t>
      </w:r>
    </w:p>
    <w:p w14:paraId="06074CEA"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①</w:t>
      </w:r>
      <w:r>
        <w:rPr>
          <w:snapToGrid w:val="0"/>
          <w:color w:val="000000" w:themeColor="text1"/>
          <w:kern w:val="0"/>
          <w:sz w:val="24"/>
          <w:szCs w:val="24"/>
          <w:lang w:eastAsia="en-US"/>
        </w:rPr>
        <w:t>安装钻井四通及其它井控装置时，应认真检查、清洗钢圈和钢圈槽，确保其完好、清洁，各连结部位平整，螺栓受力均匀、匀称。</w:t>
      </w:r>
    </w:p>
    <w:p w14:paraId="611E6979"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②</w:t>
      </w:r>
      <w:r>
        <w:rPr>
          <w:snapToGrid w:val="0"/>
          <w:color w:val="000000" w:themeColor="text1"/>
          <w:kern w:val="0"/>
          <w:sz w:val="24"/>
          <w:szCs w:val="24"/>
          <w:lang w:eastAsia="en-US"/>
        </w:rPr>
        <w:t>试用手动锁紧装置关闭及锁紧闸板，必须灵活好用。</w:t>
      </w:r>
    </w:p>
    <w:p w14:paraId="66C13733"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③</w:t>
      </w:r>
      <w:r>
        <w:rPr>
          <w:snapToGrid w:val="0"/>
          <w:color w:val="000000" w:themeColor="text1"/>
          <w:kern w:val="0"/>
          <w:sz w:val="24"/>
          <w:szCs w:val="24"/>
          <w:lang w:eastAsia="en-US"/>
        </w:rPr>
        <w:t>溢流、井喷时可用闸板防喷器封闭空井或与闸板尺寸相同的钻具。需较长时间关闭时，应手动（或液动）锁紧闸板并挂牌标明开关和锁紧状态，以免误操作。锁紧或解锁后，手轮均不得强行扳紧，扳到位后回转</w:t>
      </w:r>
      <w:r>
        <w:rPr>
          <w:snapToGrid w:val="0"/>
          <w:color w:val="000000" w:themeColor="text1"/>
          <w:kern w:val="0"/>
          <w:sz w:val="24"/>
          <w:szCs w:val="24"/>
          <w:lang w:eastAsia="en-US"/>
        </w:rPr>
        <w:t>0.25</w:t>
      </w:r>
      <w:r>
        <w:rPr>
          <w:snapToGrid w:val="0"/>
          <w:color w:val="000000" w:themeColor="text1"/>
          <w:kern w:val="0"/>
          <w:sz w:val="24"/>
          <w:szCs w:val="24"/>
          <w:lang w:eastAsia="en-US"/>
        </w:rPr>
        <w:t>～</w:t>
      </w:r>
      <w:r>
        <w:rPr>
          <w:snapToGrid w:val="0"/>
          <w:color w:val="000000" w:themeColor="text1"/>
          <w:kern w:val="0"/>
          <w:sz w:val="24"/>
          <w:szCs w:val="24"/>
          <w:lang w:eastAsia="en-US"/>
        </w:rPr>
        <w:t>0.5</w:t>
      </w:r>
      <w:r>
        <w:rPr>
          <w:snapToGrid w:val="0"/>
          <w:color w:val="000000" w:themeColor="text1"/>
          <w:kern w:val="0"/>
          <w:sz w:val="24"/>
          <w:szCs w:val="24"/>
          <w:lang w:eastAsia="en-US"/>
        </w:rPr>
        <w:t>圈。</w:t>
      </w:r>
    </w:p>
    <w:p w14:paraId="1D6F7D1D"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④</w:t>
      </w:r>
      <w:r>
        <w:rPr>
          <w:snapToGrid w:val="0"/>
          <w:color w:val="000000" w:themeColor="text1"/>
          <w:kern w:val="0"/>
          <w:sz w:val="24"/>
          <w:szCs w:val="24"/>
          <w:lang w:eastAsia="en-US"/>
        </w:rPr>
        <w:t>进入目的层，每天应开关半封闸板一次，检查开关是否灵活；每次起钻完，还须检查全封闸板开关及手动锁紧装置开关是否灵活。</w:t>
      </w:r>
    </w:p>
    <w:p w14:paraId="591F965A"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⑤</w:t>
      </w:r>
      <w:r>
        <w:rPr>
          <w:snapToGrid w:val="0"/>
          <w:color w:val="000000" w:themeColor="text1"/>
          <w:kern w:val="0"/>
          <w:sz w:val="24"/>
          <w:szCs w:val="24"/>
          <w:lang w:eastAsia="en-US"/>
        </w:rPr>
        <w:t>手动放喷阀、闸板处于浮动状态才能密封，因此，开关到位后必须再回转</w:t>
      </w:r>
      <w:r>
        <w:rPr>
          <w:snapToGrid w:val="0"/>
          <w:color w:val="000000" w:themeColor="text1"/>
          <w:kern w:val="0"/>
          <w:sz w:val="24"/>
          <w:szCs w:val="24"/>
          <w:lang w:eastAsia="en-US"/>
        </w:rPr>
        <w:t>0.25~0.5</w:t>
      </w:r>
      <w:r>
        <w:rPr>
          <w:snapToGrid w:val="0"/>
          <w:color w:val="000000" w:themeColor="text1"/>
          <w:kern w:val="0"/>
          <w:sz w:val="24"/>
          <w:szCs w:val="24"/>
          <w:lang w:eastAsia="en-US"/>
        </w:rPr>
        <w:t>圈，严禁开关扳死。</w:t>
      </w:r>
    </w:p>
    <w:p w14:paraId="2BD7EC37"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⑥</w:t>
      </w:r>
      <w:r>
        <w:rPr>
          <w:snapToGrid w:val="0"/>
          <w:color w:val="000000" w:themeColor="text1"/>
          <w:kern w:val="0"/>
          <w:sz w:val="24"/>
          <w:szCs w:val="24"/>
          <w:lang w:eastAsia="en-US"/>
        </w:rPr>
        <w:t>液动放喷阀，应在</w:t>
      </w:r>
      <w:r>
        <w:rPr>
          <w:snapToGrid w:val="0"/>
          <w:color w:val="000000" w:themeColor="text1"/>
          <w:kern w:val="0"/>
          <w:sz w:val="24"/>
          <w:szCs w:val="24"/>
          <w:lang w:eastAsia="en-US"/>
        </w:rPr>
        <w:t>1</w:t>
      </w:r>
      <w:r>
        <w:rPr>
          <w:snapToGrid w:val="0"/>
          <w:color w:val="000000" w:themeColor="text1"/>
          <w:kern w:val="0"/>
          <w:sz w:val="24"/>
          <w:szCs w:val="24"/>
          <w:lang w:eastAsia="en-US"/>
        </w:rPr>
        <w:t>～</w:t>
      </w:r>
      <w:r>
        <w:rPr>
          <w:snapToGrid w:val="0"/>
          <w:color w:val="000000" w:themeColor="text1"/>
          <w:kern w:val="0"/>
          <w:sz w:val="24"/>
          <w:szCs w:val="24"/>
          <w:lang w:eastAsia="en-US"/>
        </w:rPr>
        <w:t>3s</w:t>
      </w:r>
      <w:r>
        <w:rPr>
          <w:snapToGrid w:val="0"/>
          <w:color w:val="000000" w:themeColor="text1"/>
          <w:kern w:val="0"/>
          <w:sz w:val="24"/>
          <w:szCs w:val="24"/>
          <w:lang w:eastAsia="en-US"/>
        </w:rPr>
        <w:t>内即可开关。严禁井内高压关闭的情况下用来节流，节流可用针形阀进行。进入目的层，每起下钻一次，应开关活动液动放喷阀</w:t>
      </w:r>
      <w:r>
        <w:rPr>
          <w:snapToGrid w:val="0"/>
          <w:color w:val="000000" w:themeColor="text1"/>
          <w:kern w:val="0"/>
          <w:sz w:val="24"/>
          <w:szCs w:val="24"/>
          <w:lang w:eastAsia="en-US"/>
        </w:rPr>
        <w:t>1</w:t>
      </w:r>
      <w:r>
        <w:rPr>
          <w:snapToGrid w:val="0"/>
          <w:color w:val="000000" w:themeColor="text1"/>
          <w:kern w:val="0"/>
          <w:sz w:val="24"/>
          <w:szCs w:val="24"/>
          <w:lang w:eastAsia="en-US"/>
        </w:rPr>
        <w:t>～</w:t>
      </w:r>
      <w:r>
        <w:rPr>
          <w:snapToGrid w:val="0"/>
          <w:color w:val="000000" w:themeColor="text1"/>
          <w:kern w:val="0"/>
          <w:sz w:val="24"/>
          <w:szCs w:val="24"/>
          <w:lang w:eastAsia="en-US"/>
        </w:rPr>
        <w:t>2</w:t>
      </w:r>
      <w:r>
        <w:rPr>
          <w:snapToGrid w:val="0"/>
          <w:color w:val="000000" w:themeColor="text1"/>
          <w:kern w:val="0"/>
          <w:sz w:val="24"/>
          <w:szCs w:val="24"/>
          <w:lang w:eastAsia="en-US"/>
        </w:rPr>
        <w:t>次。</w:t>
      </w:r>
    </w:p>
    <w:p w14:paraId="158DB494"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lastRenderedPageBreak/>
        <w:t>B.</w:t>
      </w:r>
      <w:r>
        <w:rPr>
          <w:snapToGrid w:val="0"/>
          <w:color w:val="000000" w:themeColor="text1"/>
          <w:kern w:val="0"/>
          <w:sz w:val="24"/>
          <w:szCs w:val="24"/>
          <w:lang w:eastAsia="en-US"/>
        </w:rPr>
        <w:t>控制系统的安装及使用主要要求</w:t>
      </w:r>
    </w:p>
    <w:p w14:paraId="785546E3"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①</w:t>
      </w:r>
      <w:r>
        <w:rPr>
          <w:snapToGrid w:val="0"/>
          <w:color w:val="000000" w:themeColor="text1"/>
          <w:kern w:val="0"/>
          <w:sz w:val="24"/>
          <w:szCs w:val="24"/>
          <w:lang w:eastAsia="en-US"/>
        </w:rPr>
        <w:t>远程控制台应按规定位置摆放。</w:t>
      </w:r>
    </w:p>
    <w:p w14:paraId="7A8D6A59"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②</w:t>
      </w:r>
      <w:r>
        <w:rPr>
          <w:snapToGrid w:val="0"/>
          <w:color w:val="000000" w:themeColor="text1"/>
          <w:kern w:val="0"/>
          <w:sz w:val="24"/>
          <w:szCs w:val="24"/>
          <w:lang w:eastAsia="en-US"/>
        </w:rPr>
        <w:t>司钻控制台安装在钻台上司钻工作位置附近，便于司钻操作。</w:t>
      </w:r>
    </w:p>
    <w:p w14:paraId="1E35CA27"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③</w:t>
      </w:r>
      <w:r>
        <w:rPr>
          <w:snapToGrid w:val="0"/>
          <w:color w:val="000000" w:themeColor="text1"/>
          <w:kern w:val="0"/>
          <w:sz w:val="24"/>
          <w:szCs w:val="24"/>
          <w:lang w:eastAsia="en-US"/>
        </w:rPr>
        <w:t>电源线必须接在井队总电闸之前，专线控制。</w:t>
      </w:r>
    </w:p>
    <w:p w14:paraId="1098EA5A"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④</w:t>
      </w:r>
      <w:r>
        <w:rPr>
          <w:snapToGrid w:val="0"/>
          <w:color w:val="000000" w:themeColor="text1"/>
          <w:kern w:val="0"/>
          <w:sz w:val="24"/>
          <w:szCs w:val="24"/>
          <w:lang w:eastAsia="en-US"/>
        </w:rPr>
        <w:t>不允许在储能器旁堆放氧气瓶，储能器只允许充氮气。</w:t>
      </w:r>
    </w:p>
    <w:p w14:paraId="55632A4D"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⑤</w:t>
      </w:r>
      <w:r>
        <w:rPr>
          <w:snapToGrid w:val="0"/>
          <w:color w:val="000000" w:themeColor="text1"/>
          <w:kern w:val="0"/>
          <w:sz w:val="24"/>
          <w:szCs w:val="24"/>
          <w:lang w:eastAsia="en-US"/>
        </w:rPr>
        <w:t>正常钻进时，每周应全面检查一次控制系统，接近油气层到完井，每天检查一次（设备运转是否正常、各压力是否达标、油量是否充足、气液管汇密封是否良好等）。</w:t>
      </w:r>
    </w:p>
    <w:p w14:paraId="585AC13C"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C.</w:t>
      </w:r>
      <w:r>
        <w:rPr>
          <w:snapToGrid w:val="0"/>
          <w:color w:val="000000" w:themeColor="text1"/>
          <w:kern w:val="0"/>
          <w:sz w:val="24"/>
          <w:szCs w:val="24"/>
          <w:lang w:eastAsia="en-US"/>
        </w:rPr>
        <w:t>严格执行</w:t>
      </w:r>
      <w:r>
        <w:rPr>
          <w:snapToGrid w:val="0"/>
          <w:color w:val="000000" w:themeColor="text1"/>
          <w:kern w:val="0"/>
          <w:sz w:val="24"/>
          <w:szCs w:val="24"/>
          <w:lang w:eastAsia="en-US"/>
        </w:rPr>
        <w:t>“</w:t>
      </w:r>
      <w:r>
        <w:rPr>
          <w:snapToGrid w:val="0"/>
          <w:color w:val="000000" w:themeColor="text1"/>
          <w:kern w:val="0"/>
          <w:sz w:val="24"/>
          <w:szCs w:val="24"/>
          <w:lang w:eastAsia="en-US"/>
        </w:rPr>
        <w:t>防喷措施</w:t>
      </w:r>
      <w:r>
        <w:rPr>
          <w:snapToGrid w:val="0"/>
          <w:color w:val="000000" w:themeColor="text1"/>
          <w:kern w:val="0"/>
          <w:sz w:val="24"/>
          <w:szCs w:val="24"/>
          <w:lang w:eastAsia="en-US"/>
        </w:rPr>
        <w:t>”</w:t>
      </w:r>
      <w:r>
        <w:rPr>
          <w:snapToGrid w:val="0"/>
          <w:color w:val="000000" w:themeColor="text1"/>
          <w:kern w:val="0"/>
          <w:sz w:val="24"/>
          <w:szCs w:val="24"/>
          <w:lang w:eastAsia="en-US"/>
        </w:rPr>
        <w:t>有关规定，熟练</w:t>
      </w:r>
      <w:r>
        <w:rPr>
          <w:snapToGrid w:val="0"/>
          <w:color w:val="000000" w:themeColor="text1"/>
          <w:kern w:val="0"/>
          <w:sz w:val="24"/>
          <w:szCs w:val="24"/>
          <w:lang w:eastAsia="en-US"/>
        </w:rPr>
        <w:t>“</w:t>
      </w:r>
      <w:r>
        <w:rPr>
          <w:snapToGrid w:val="0"/>
          <w:color w:val="000000" w:themeColor="text1"/>
          <w:kern w:val="0"/>
          <w:sz w:val="24"/>
          <w:szCs w:val="24"/>
          <w:lang w:eastAsia="en-US"/>
        </w:rPr>
        <w:t>关井操作程序</w:t>
      </w:r>
      <w:r>
        <w:rPr>
          <w:snapToGrid w:val="0"/>
          <w:color w:val="000000" w:themeColor="text1"/>
          <w:kern w:val="0"/>
          <w:sz w:val="24"/>
          <w:szCs w:val="24"/>
          <w:lang w:eastAsia="en-US"/>
        </w:rPr>
        <w:t>”</w:t>
      </w:r>
      <w:r>
        <w:rPr>
          <w:snapToGrid w:val="0"/>
          <w:color w:val="000000" w:themeColor="text1"/>
          <w:kern w:val="0"/>
          <w:sz w:val="24"/>
          <w:szCs w:val="24"/>
          <w:lang w:eastAsia="en-US"/>
        </w:rPr>
        <w:t>，钻开油气层前进行一次各工况的防喷演习。熟练掌握司钻法、工程师法的压井方法。</w:t>
      </w:r>
    </w:p>
    <w:p w14:paraId="2CB3FEE7"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固井工艺</w:t>
      </w:r>
    </w:p>
    <w:p w14:paraId="1046B12C" w14:textId="77777777" w:rsidR="002E0859" w:rsidRDefault="00000000">
      <w:pPr>
        <w:widowControl/>
        <w:kinsoku w:val="0"/>
        <w:topLinePunct w:val="0"/>
        <w:autoSpaceDE w:val="0"/>
        <w:autoSpaceDN w:val="0"/>
        <w:spacing w:line="360" w:lineRule="auto"/>
        <w:ind w:firstLine="420"/>
        <w:jc w:val="left"/>
        <w:textAlignment w:val="baseline"/>
        <w:rPr>
          <w:snapToGrid w:val="0"/>
          <w:color w:val="000000" w:themeColor="text1"/>
          <w:kern w:val="0"/>
          <w:sz w:val="24"/>
          <w:szCs w:val="24"/>
          <w:lang w:eastAsia="en-US"/>
        </w:rPr>
      </w:pPr>
      <w:r>
        <w:rPr>
          <w:rFonts w:hint="eastAsia"/>
          <w:snapToGrid w:val="0"/>
          <w:color w:val="000000" w:themeColor="text1"/>
          <w:kern w:val="0"/>
          <w:sz w:val="21"/>
          <w:szCs w:val="21"/>
        </w:rPr>
        <w:t>1</w:t>
      </w:r>
      <w:r>
        <w:rPr>
          <w:rFonts w:hint="eastAsia"/>
          <w:snapToGrid w:val="0"/>
          <w:color w:val="000000" w:themeColor="text1"/>
          <w:kern w:val="0"/>
          <w:sz w:val="21"/>
          <w:szCs w:val="21"/>
        </w:rPr>
        <w:t>、</w:t>
      </w:r>
      <w:r>
        <w:rPr>
          <w:snapToGrid w:val="0"/>
          <w:color w:val="000000" w:themeColor="text1"/>
          <w:spacing w:val="-1"/>
          <w:kern w:val="0"/>
          <w:sz w:val="24"/>
          <w:szCs w:val="24"/>
          <w:lang w:eastAsia="en-US"/>
        </w:rPr>
        <w:t>套管柱设计</w:t>
      </w:r>
    </w:p>
    <w:p w14:paraId="0307A2E1" w14:textId="77777777" w:rsidR="002E0859" w:rsidRDefault="00000000">
      <w:pPr>
        <w:spacing w:line="360" w:lineRule="auto"/>
        <w:ind w:firstLine="480"/>
        <w:rPr>
          <w:snapToGrid w:val="0"/>
          <w:color w:val="000000" w:themeColor="text1"/>
          <w:kern w:val="0"/>
          <w:sz w:val="24"/>
          <w:szCs w:val="24"/>
          <w:lang w:eastAsia="en-US"/>
        </w:rPr>
      </w:pPr>
      <w:r>
        <w:rPr>
          <w:snapToGrid w:val="0"/>
          <w:color w:val="000000" w:themeColor="text1"/>
          <w:kern w:val="0"/>
          <w:sz w:val="24"/>
          <w:szCs w:val="24"/>
          <w:lang w:eastAsia="en-US"/>
        </w:rPr>
        <w:t>生产套管采用外径</w:t>
      </w:r>
      <w:r>
        <w:rPr>
          <w:snapToGrid w:val="0"/>
          <w:color w:val="000000" w:themeColor="text1"/>
          <w:kern w:val="0"/>
          <w:sz w:val="24"/>
          <w:szCs w:val="24"/>
          <w:lang w:eastAsia="en-US"/>
        </w:rPr>
        <w:t>139.7mm</w:t>
      </w:r>
      <w:r>
        <w:rPr>
          <w:snapToGrid w:val="0"/>
          <w:color w:val="000000" w:themeColor="text1"/>
          <w:kern w:val="0"/>
          <w:sz w:val="24"/>
          <w:szCs w:val="24"/>
          <w:lang w:eastAsia="en-US"/>
        </w:rPr>
        <w:t>、钢级</w:t>
      </w:r>
      <w:r>
        <w:rPr>
          <w:snapToGrid w:val="0"/>
          <w:color w:val="000000" w:themeColor="text1"/>
          <w:kern w:val="0"/>
          <w:sz w:val="24"/>
          <w:szCs w:val="24"/>
          <w:lang w:eastAsia="en-US"/>
        </w:rPr>
        <w:t>P110</w:t>
      </w:r>
      <w:r>
        <w:rPr>
          <w:snapToGrid w:val="0"/>
          <w:color w:val="000000" w:themeColor="text1"/>
          <w:kern w:val="0"/>
          <w:sz w:val="24"/>
          <w:szCs w:val="24"/>
          <w:lang w:eastAsia="en-US"/>
        </w:rPr>
        <w:t>（壁厚</w:t>
      </w:r>
      <w:r>
        <w:rPr>
          <w:snapToGrid w:val="0"/>
          <w:color w:val="000000" w:themeColor="text1"/>
          <w:kern w:val="0"/>
          <w:sz w:val="24"/>
          <w:szCs w:val="24"/>
          <w:lang w:eastAsia="en-US"/>
        </w:rPr>
        <w:t>12.34</w:t>
      </w:r>
      <w:r>
        <w:rPr>
          <w:snapToGrid w:val="0"/>
          <w:color w:val="000000" w:themeColor="text1"/>
          <w:kern w:val="0"/>
          <w:sz w:val="24"/>
          <w:szCs w:val="24"/>
          <w:lang w:eastAsia="en-US"/>
        </w:rPr>
        <w:t>毫米）</w:t>
      </w:r>
      <w:r>
        <w:rPr>
          <w:snapToGrid w:val="0"/>
          <w:color w:val="000000" w:themeColor="text1"/>
          <w:kern w:val="0"/>
          <w:sz w:val="24"/>
          <w:szCs w:val="24"/>
          <w:lang w:eastAsia="en-US"/>
        </w:rPr>
        <w:t>+110T</w:t>
      </w:r>
      <w:r>
        <w:rPr>
          <w:snapToGrid w:val="0"/>
          <w:color w:val="000000" w:themeColor="text1"/>
          <w:kern w:val="0"/>
          <w:sz w:val="24"/>
          <w:szCs w:val="24"/>
          <w:lang w:eastAsia="en-US"/>
        </w:rPr>
        <w:t>（壁厚</w:t>
      </w:r>
      <w:r>
        <w:rPr>
          <w:snapToGrid w:val="0"/>
          <w:color w:val="000000" w:themeColor="text1"/>
          <w:kern w:val="0"/>
          <w:sz w:val="24"/>
          <w:szCs w:val="24"/>
          <w:lang w:eastAsia="en-US"/>
        </w:rPr>
        <w:t>12.34</w:t>
      </w:r>
      <w:r>
        <w:rPr>
          <w:snapToGrid w:val="0"/>
          <w:color w:val="000000" w:themeColor="text1"/>
          <w:kern w:val="0"/>
          <w:sz w:val="24"/>
          <w:szCs w:val="24"/>
          <w:lang w:eastAsia="en-US"/>
        </w:rPr>
        <w:t>毫米）复合套管。</w:t>
      </w:r>
    </w:p>
    <w:p w14:paraId="57004690"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 xml:space="preserve">2.4-16 </w:t>
      </w:r>
      <w:r>
        <w:rPr>
          <w:rFonts w:eastAsia="黑体" w:hint="eastAsia"/>
          <w:color w:val="000000" w:themeColor="text1"/>
          <w:sz w:val="21"/>
          <w:szCs w:val="21"/>
          <w:lang w:eastAsia="en-US"/>
        </w:rPr>
        <w:t>套管柱设计（以焦页</w:t>
      </w:r>
      <w:r>
        <w:rPr>
          <w:rFonts w:eastAsia="黑体" w:hint="eastAsia"/>
          <w:color w:val="000000" w:themeColor="text1"/>
          <w:sz w:val="21"/>
          <w:szCs w:val="21"/>
          <w:lang w:eastAsia="en-US"/>
        </w:rPr>
        <w:t>90-5HF</w:t>
      </w:r>
      <w:r>
        <w:rPr>
          <w:rFonts w:eastAsia="黑体" w:hint="eastAsia"/>
          <w:color w:val="000000" w:themeColor="text1"/>
          <w:sz w:val="21"/>
          <w:szCs w:val="21"/>
          <w:lang w:eastAsia="en-US"/>
        </w:rPr>
        <w:t>为例）</w:t>
      </w:r>
    </w:p>
    <w:p w14:paraId="409FDE54" w14:textId="77777777" w:rsidR="002E0859" w:rsidRDefault="002E0859">
      <w:pPr>
        <w:widowControl/>
        <w:kinsoku w:val="0"/>
        <w:topLinePunct w:val="0"/>
        <w:autoSpaceDE w:val="0"/>
        <w:autoSpaceDN w:val="0"/>
        <w:spacing w:line="28"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4996"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533"/>
        <w:gridCol w:w="1172"/>
        <w:gridCol w:w="717"/>
        <w:gridCol w:w="629"/>
        <w:gridCol w:w="571"/>
        <w:gridCol w:w="673"/>
        <w:gridCol w:w="756"/>
        <w:gridCol w:w="823"/>
        <w:gridCol w:w="713"/>
        <w:gridCol w:w="750"/>
        <w:gridCol w:w="596"/>
        <w:gridCol w:w="596"/>
        <w:gridCol w:w="618"/>
      </w:tblGrid>
      <w:tr w:rsidR="002E0859" w14:paraId="6C277A20" w14:textId="77777777">
        <w:trPr>
          <w:trHeight w:val="23"/>
        </w:trPr>
        <w:tc>
          <w:tcPr>
            <w:tcW w:w="291" w:type="pct"/>
            <w:vMerge w:val="restart"/>
            <w:tcBorders>
              <w:top w:val="single" w:sz="12" w:space="0" w:color="000000"/>
              <w:left w:val="single" w:sz="12" w:space="0" w:color="000000"/>
              <w:bottom w:val="single" w:sz="4" w:space="0" w:color="000000"/>
              <w:right w:val="single" w:sz="4" w:space="0" w:color="000000"/>
            </w:tcBorders>
            <w:vAlign w:val="center"/>
          </w:tcPr>
          <w:p w14:paraId="5021091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套管程序</w:t>
            </w:r>
          </w:p>
        </w:tc>
        <w:tc>
          <w:tcPr>
            <w:tcW w:w="639" w:type="pct"/>
            <w:vMerge w:val="restart"/>
            <w:tcBorders>
              <w:top w:val="single" w:sz="12" w:space="0" w:color="000000"/>
              <w:left w:val="single" w:sz="4" w:space="0" w:color="000000"/>
              <w:bottom w:val="single" w:sz="4" w:space="0" w:color="000000"/>
              <w:right w:val="single" w:sz="4" w:space="0" w:color="000000"/>
            </w:tcBorders>
            <w:vAlign w:val="center"/>
          </w:tcPr>
          <w:p w14:paraId="1E66A9A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井段（</w:t>
            </w:r>
            <w:r>
              <w:rPr>
                <w:snapToGrid w:val="0"/>
                <w:color w:val="000000" w:themeColor="text1"/>
                <w:spacing w:val="-2"/>
                <w:kern w:val="0"/>
                <w:sz w:val="21"/>
                <w:szCs w:val="21"/>
                <w:lang w:eastAsia="en-US"/>
              </w:rPr>
              <w:t>m</w:t>
            </w:r>
            <w:r>
              <w:rPr>
                <w:snapToGrid w:val="0"/>
                <w:color w:val="000000" w:themeColor="text1"/>
                <w:spacing w:val="-2"/>
                <w:kern w:val="0"/>
                <w:sz w:val="21"/>
                <w:szCs w:val="21"/>
                <w:lang w:eastAsia="en-US"/>
              </w:rPr>
              <w:t>）</w:t>
            </w:r>
          </w:p>
        </w:tc>
        <w:tc>
          <w:tcPr>
            <w:tcW w:w="735" w:type="pct"/>
            <w:gridSpan w:val="2"/>
            <w:tcBorders>
              <w:top w:val="single" w:sz="12" w:space="0" w:color="000000"/>
              <w:left w:val="single" w:sz="4" w:space="0" w:color="000000"/>
              <w:bottom w:val="single" w:sz="4" w:space="0" w:color="000000"/>
              <w:right w:val="single" w:sz="4" w:space="0" w:color="000000"/>
            </w:tcBorders>
            <w:vAlign w:val="center"/>
          </w:tcPr>
          <w:p w14:paraId="638612A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规范</w:t>
            </w:r>
          </w:p>
        </w:tc>
        <w:tc>
          <w:tcPr>
            <w:tcW w:w="312" w:type="pct"/>
            <w:vMerge w:val="restart"/>
            <w:tcBorders>
              <w:top w:val="single" w:sz="12" w:space="0" w:color="000000"/>
              <w:left w:val="single" w:sz="4" w:space="0" w:color="000000"/>
              <w:bottom w:val="single" w:sz="4" w:space="0" w:color="000000"/>
              <w:right w:val="single" w:sz="4" w:space="0" w:color="000000"/>
            </w:tcBorders>
            <w:vAlign w:val="center"/>
          </w:tcPr>
          <w:p w14:paraId="29874F7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段长（</w:t>
            </w:r>
            <w:r>
              <w:rPr>
                <w:snapToGrid w:val="0"/>
                <w:color w:val="000000" w:themeColor="text1"/>
                <w:spacing w:val="-2"/>
                <w:kern w:val="0"/>
                <w:sz w:val="21"/>
                <w:szCs w:val="21"/>
                <w:lang w:eastAsia="en-US"/>
              </w:rPr>
              <w:t>m</w:t>
            </w:r>
            <w:r>
              <w:rPr>
                <w:snapToGrid w:val="0"/>
                <w:color w:val="000000" w:themeColor="text1"/>
                <w:spacing w:val="-2"/>
                <w:kern w:val="0"/>
                <w:sz w:val="21"/>
                <w:szCs w:val="21"/>
                <w:lang w:eastAsia="en-US"/>
              </w:rPr>
              <w:t>）</w:t>
            </w:r>
          </w:p>
        </w:tc>
        <w:tc>
          <w:tcPr>
            <w:tcW w:w="367" w:type="pct"/>
            <w:vMerge w:val="restart"/>
            <w:tcBorders>
              <w:top w:val="single" w:sz="12" w:space="0" w:color="000000"/>
              <w:left w:val="single" w:sz="4" w:space="0" w:color="000000"/>
              <w:bottom w:val="single" w:sz="4" w:space="0" w:color="000000"/>
              <w:right w:val="single" w:sz="4" w:space="0" w:color="000000"/>
            </w:tcBorders>
            <w:vAlign w:val="center"/>
          </w:tcPr>
          <w:p w14:paraId="470143A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钢级</w:t>
            </w:r>
          </w:p>
        </w:tc>
        <w:tc>
          <w:tcPr>
            <w:tcW w:w="412" w:type="pct"/>
            <w:vMerge w:val="restart"/>
            <w:tcBorders>
              <w:top w:val="single" w:sz="12" w:space="0" w:color="000000"/>
              <w:left w:val="single" w:sz="4" w:space="0" w:color="000000"/>
              <w:bottom w:val="single" w:sz="4" w:space="0" w:color="000000"/>
              <w:right w:val="single" w:sz="4" w:space="0" w:color="000000"/>
            </w:tcBorders>
            <w:vAlign w:val="center"/>
          </w:tcPr>
          <w:p w14:paraId="168E38D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壁厚（</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449" w:type="pct"/>
            <w:vMerge w:val="restart"/>
            <w:tcBorders>
              <w:top w:val="single" w:sz="12" w:space="0" w:color="000000"/>
              <w:left w:val="single" w:sz="4" w:space="0" w:color="000000"/>
              <w:bottom w:val="single" w:sz="4" w:space="0" w:color="000000"/>
              <w:right w:val="single" w:sz="4" w:space="0" w:color="000000"/>
            </w:tcBorders>
            <w:vAlign w:val="center"/>
          </w:tcPr>
          <w:p w14:paraId="69264BC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每米重量（</w:t>
            </w:r>
            <w:r>
              <w:rPr>
                <w:snapToGrid w:val="0"/>
                <w:color w:val="000000" w:themeColor="text1"/>
                <w:spacing w:val="-2"/>
                <w:kern w:val="0"/>
                <w:sz w:val="21"/>
                <w:szCs w:val="21"/>
                <w:lang w:eastAsia="en-US"/>
              </w:rPr>
              <w:t>kg/m</w:t>
            </w:r>
            <w:r>
              <w:rPr>
                <w:snapToGrid w:val="0"/>
                <w:color w:val="000000" w:themeColor="text1"/>
                <w:spacing w:val="-2"/>
                <w:kern w:val="0"/>
                <w:sz w:val="21"/>
                <w:szCs w:val="21"/>
                <w:lang w:eastAsia="en-US"/>
              </w:rPr>
              <w:t>）</w:t>
            </w:r>
          </w:p>
        </w:tc>
        <w:tc>
          <w:tcPr>
            <w:tcW w:w="389" w:type="pct"/>
            <w:vMerge w:val="restart"/>
            <w:tcBorders>
              <w:top w:val="single" w:sz="12" w:space="0" w:color="000000"/>
              <w:left w:val="single" w:sz="4" w:space="0" w:color="000000"/>
              <w:bottom w:val="single" w:sz="4" w:space="0" w:color="000000"/>
              <w:right w:val="single" w:sz="4" w:space="0" w:color="000000"/>
            </w:tcBorders>
            <w:vAlign w:val="center"/>
          </w:tcPr>
          <w:p w14:paraId="7D36887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段重</w:t>
            </w:r>
          </w:p>
          <w:p w14:paraId="301EB97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t</w:t>
            </w:r>
            <w:r>
              <w:rPr>
                <w:snapToGrid w:val="0"/>
                <w:color w:val="000000" w:themeColor="text1"/>
                <w:spacing w:val="-2"/>
                <w:kern w:val="0"/>
                <w:sz w:val="21"/>
                <w:szCs w:val="21"/>
                <w:lang w:eastAsia="en-US"/>
              </w:rPr>
              <w:t>）</w:t>
            </w:r>
          </w:p>
        </w:tc>
        <w:tc>
          <w:tcPr>
            <w:tcW w:w="409" w:type="pct"/>
            <w:vMerge w:val="restart"/>
            <w:tcBorders>
              <w:top w:val="single" w:sz="12" w:space="0" w:color="000000"/>
              <w:left w:val="single" w:sz="4" w:space="0" w:color="000000"/>
              <w:bottom w:val="single" w:sz="4" w:space="0" w:color="000000"/>
              <w:right w:val="single" w:sz="4" w:space="0" w:color="000000"/>
            </w:tcBorders>
            <w:vAlign w:val="center"/>
          </w:tcPr>
          <w:p w14:paraId="25BCE71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累重</w:t>
            </w:r>
            <w:r>
              <w:rPr>
                <w:snapToGrid w:val="0"/>
                <w:color w:val="000000" w:themeColor="text1"/>
                <w:spacing w:val="-2"/>
                <w:kern w:val="0"/>
                <w:sz w:val="21"/>
                <w:szCs w:val="21"/>
                <w:lang w:eastAsia="en-US"/>
              </w:rPr>
              <w:t>(t)</w:t>
            </w:r>
          </w:p>
        </w:tc>
        <w:tc>
          <w:tcPr>
            <w:tcW w:w="990" w:type="pct"/>
            <w:gridSpan w:val="3"/>
            <w:tcBorders>
              <w:top w:val="single" w:sz="12" w:space="0" w:color="000000"/>
              <w:left w:val="single" w:sz="4" w:space="0" w:color="000000"/>
              <w:bottom w:val="single" w:sz="4" w:space="0" w:color="000000"/>
              <w:right w:val="single" w:sz="12" w:space="0" w:color="000000"/>
            </w:tcBorders>
            <w:vAlign w:val="center"/>
          </w:tcPr>
          <w:p w14:paraId="5AFB0CD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安全系数</w:t>
            </w:r>
          </w:p>
        </w:tc>
      </w:tr>
      <w:tr w:rsidR="002E0859" w14:paraId="5F134DC7" w14:textId="77777777">
        <w:trPr>
          <w:trHeight w:val="23"/>
        </w:trPr>
        <w:tc>
          <w:tcPr>
            <w:tcW w:w="291" w:type="pct"/>
            <w:vMerge/>
            <w:tcBorders>
              <w:top w:val="single" w:sz="4" w:space="0" w:color="000000"/>
              <w:left w:val="single" w:sz="12" w:space="0" w:color="000000"/>
              <w:bottom w:val="single" w:sz="4" w:space="0" w:color="000000"/>
              <w:right w:val="single" w:sz="4" w:space="0" w:color="000000"/>
            </w:tcBorders>
            <w:vAlign w:val="center"/>
          </w:tcPr>
          <w:p w14:paraId="4185136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639" w:type="pct"/>
            <w:vMerge/>
            <w:tcBorders>
              <w:top w:val="single" w:sz="4" w:space="0" w:color="000000"/>
              <w:left w:val="single" w:sz="4" w:space="0" w:color="000000"/>
              <w:bottom w:val="single" w:sz="4" w:space="0" w:color="000000"/>
              <w:right w:val="single" w:sz="4" w:space="0" w:color="000000"/>
            </w:tcBorders>
            <w:vAlign w:val="center"/>
          </w:tcPr>
          <w:p w14:paraId="294691A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391" w:type="pct"/>
            <w:tcBorders>
              <w:top w:val="single" w:sz="4" w:space="0" w:color="000000"/>
              <w:left w:val="single" w:sz="4" w:space="0" w:color="000000"/>
              <w:bottom w:val="single" w:sz="4" w:space="0" w:color="000000"/>
              <w:right w:val="single" w:sz="4" w:space="0" w:color="000000"/>
            </w:tcBorders>
            <w:vAlign w:val="center"/>
          </w:tcPr>
          <w:p w14:paraId="134EFD8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尺寸（</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344" w:type="pct"/>
            <w:tcBorders>
              <w:top w:val="single" w:sz="4" w:space="0" w:color="000000"/>
              <w:left w:val="single" w:sz="4" w:space="0" w:color="000000"/>
              <w:bottom w:val="single" w:sz="4" w:space="0" w:color="000000"/>
              <w:right w:val="single" w:sz="4" w:space="0" w:color="000000"/>
            </w:tcBorders>
            <w:vAlign w:val="center"/>
          </w:tcPr>
          <w:p w14:paraId="5860E48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扣型</w:t>
            </w:r>
          </w:p>
        </w:tc>
        <w:tc>
          <w:tcPr>
            <w:tcW w:w="312" w:type="pct"/>
            <w:vMerge/>
            <w:tcBorders>
              <w:top w:val="single" w:sz="4" w:space="0" w:color="000000"/>
              <w:left w:val="single" w:sz="4" w:space="0" w:color="000000"/>
              <w:bottom w:val="single" w:sz="4" w:space="0" w:color="000000"/>
              <w:right w:val="single" w:sz="4" w:space="0" w:color="000000"/>
            </w:tcBorders>
            <w:vAlign w:val="center"/>
          </w:tcPr>
          <w:p w14:paraId="182D047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367" w:type="pct"/>
            <w:vMerge/>
            <w:tcBorders>
              <w:top w:val="single" w:sz="4" w:space="0" w:color="000000"/>
              <w:left w:val="single" w:sz="4" w:space="0" w:color="000000"/>
              <w:bottom w:val="single" w:sz="4" w:space="0" w:color="000000"/>
              <w:right w:val="single" w:sz="4" w:space="0" w:color="000000"/>
            </w:tcBorders>
            <w:vAlign w:val="center"/>
          </w:tcPr>
          <w:p w14:paraId="1211EE4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412" w:type="pct"/>
            <w:vMerge/>
            <w:tcBorders>
              <w:top w:val="single" w:sz="4" w:space="0" w:color="000000"/>
              <w:left w:val="single" w:sz="4" w:space="0" w:color="000000"/>
              <w:bottom w:val="single" w:sz="4" w:space="0" w:color="000000"/>
              <w:right w:val="single" w:sz="4" w:space="0" w:color="000000"/>
            </w:tcBorders>
            <w:vAlign w:val="center"/>
          </w:tcPr>
          <w:p w14:paraId="54EEDC7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449" w:type="pct"/>
            <w:vMerge/>
            <w:tcBorders>
              <w:top w:val="single" w:sz="4" w:space="0" w:color="000000"/>
              <w:left w:val="single" w:sz="4" w:space="0" w:color="000000"/>
              <w:bottom w:val="single" w:sz="4" w:space="0" w:color="000000"/>
              <w:right w:val="single" w:sz="4" w:space="0" w:color="000000"/>
            </w:tcBorders>
            <w:vAlign w:val="center"/>
          </w:tcPr>
          <w:p w14:paraId="6A8D277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389" w:type="pct"/>
            <w:vMerge/>
            <w:tcBorders>
              <w:top w:val="single" w:sz="4" w:space="0" w:color="000000"/>
              <w:left w:val="single" w:sz="4" w:space="0" w:color="000000"/>
              <w:bottom w:val="single" w:sz="4" w:space="0" w:color="000000"/>
              <w:right w:val="single" w:sz="4" w:space="0" w:color="000000"/>
            </w:tcBorders>
            <w:vAlign w:val="center"/>
          </w:tcPr>
          <w:p w14:paraId="4430A0D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409" w:type="pct"/>
            <w:vMerge/>
            <w:tcBorders>
              <w:top w:val="single" w:sz="4" w:space="0" w:color="000000"/>
              <w:left w:val="single" w:sz="4" w:space="0" w:color="000000"/>
              <w:bottom w:val="single" w:sz="4" w:space="0" w:color="000000"/>
              <w:right w:val="single" w:sz="4" w:space="0" w:color="000000"/>
            </w:tcBorders>
            <w:vAlign w:val="center"/>
          </w:tcPr>
          <w:p w14:paraId="1897BF1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326" w:type="pct"/>
            <w:tcBorders>
              <w:top w:val="single" w:sz="4" w:space="0" w:color="000000"/>
              <w:left w:val="single" w:sz="4" w:space="0" w:color="000000"/>
              <w:bottom w:val="single" w:sz="4" w:space="0" w:color="000000"/>
              <w:right w:val="single" w:sz="4" w:space="0" w:color="000000"/>
            </w:tcBorders>
            <w:vAlign w:val="center"/>
          </w:tcPr>
          <w:p w14:paraId="108B6E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抗挤</w:t>
            </w:r>
          </w:p>
        </w:tc>
        <w:tc>
          <w:tcPr>
            <w:tcW w:w="326" w:type="pct"/>
            <w:tcBorders>
              <w:top w:val="single" w:sz="4" w:space="0" w:color="000000"/>
              <w:left w:val="single" w:sz="4" w:space="0" w:color="000000"/>
              <w:bottom w:val="single" w:sz="4" w:space="0" w:color="000000"/>
              <w:right w:val="single" w:sz="4" w:space="0" w:color="000000"/>
            </w:tcBorders>
            <w:vAlign w:val="center"/>
          </w:tcPr>
          <w:p w14:paraId="502BB7E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抗内</w:t>
            </w:r>
          </w:p>
          <w:p w14:paraId="383A835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压</w:t>
            </w:r>
          </w:p>
        </w:tc>
        <w:tc>
          <w:tcPr>
            <w:tcW w:w="338" w:type="pct"/>
            <w:tcBorders>
              <w:top w:val="single" w:sz="4" w:space="0" w:color="000000"/>
              <w:left w:val="single" w:sz="4" w:space="0" w:color="000000"/>
              <w:bottom w:val="single" w:sz="4" w:space="0" w:color="000000"/>
              <w:right w:val="single" w:sz="12" w:space="0" w:color="000000"/>
            </w:tcBorders>
            <w:vAlign w:val="center"/>
          </w:tcPr>
          <w:p w14:paraId="37CD6E7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抗拉</w:t>
            </w:r>
          </w:p>
        </w:tc>
      </w:tr>
      <w:tr w:rsidR="002E0859" w14:paraId="67FC2141" w14:textId="77777777">
        <w:trPr>
          <w:trHeight w:val="23"/>
        </w:trPr>
        <w:tc>
          <w:tcPr>
            <w:tcW w:w="291" w:type="pct"/>
            <w:tcBorders>
              <w:top w:val="single" w:sz="4" w:space="0" w:color="000000"/>
              <w:left w:val="single" w:sz="12" w:space="0" w:color="000000"/>
              <w:bottom w:val="single" w:sz="4" w:space="0" w:color="000000"/>
              <w:right w:val="single" w:sz="4" w:space="0" w:color="000000"/>
            </w:tcBorders>
            <w:vAlign w:val="center"/>
          </w:tcPr>
          <w:p w14:paraId="029BABE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导管</w:t>
            </w:r>
          </w:p>
        </w:tc>
        <w:tc>
          <w:tcPr>
            <w:tcW w:w="639" w:type="pct"/>
            <w:tcBorders>
              <w:top w:val="single" w:sz="4" w:space="0" w:color="000000"/>
              <w:left w:val="single" w:sz="4" w:space="0" w:color="000000"/>
              <w:bottom w:val="single" w:sz="4" w:space="0" w:color="000000"/>
              <w:right w:val="single" w:sz="4" w:space="0" w:color="000000"/>
            </w:tcBorders>
            <w:vAlign w:val="center"/>
          </w:tcPr>
          <w:p w14:paraId="291D8F6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402</w:t>
            </w:r>
          </w:p>
        </w:tc>
        <w:tc>
          <w:tcPr>
            <w:tcW w:w="391" w:type="pct"/>
            <w:tcBorders>
              <w:top w:val="single" w:sz="4" w:space="0" w:color="000000"/>
              <w:left w:val="single" w:sz="4" w:space="0" w:color="000000"/>
              <w:bottom w:val="single" w:sz="4" w:space="0" w:color="000000"/>
              <w:right w:val="single" w:sz="4" w:space="0" w:color="000000"/>
            </w:tcBorders>
            <w:vAlign w:val="center"/>
          </w:tcPr>
          <w:p w14:paraId="6E1288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406.4</w:t>
            </w:r>
          </w:p>
        </w:tc>
        <w:tc>
          <w:tcPr>
            <w:tcW w:w="344" w:type="pct"/>
            <w:tcBorders>
              <w:top w:val="single" w:sz="4" w:space="0" w:color="000000"/>
              <w:left w:val="single" w:sz="4" w:space="0" w:color="000000"/>
              <w:bottom w:val="single" w:sz="4" w:space="0" w:color="000000"/>
              <w:right w:val="single" w:sz="4" w:space="0" w:color="000000"/>
            </w:tcBorders>
            <w:vAlign w:val="center"/>
          </w:tcPr>
          <w:p w14:paraId="58144E8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BTC</w:t>
            </w:r>
          </w:p>
        </w:tc>
        <w:tc>
          <w:tcPr>
            <w:tcW w:w="312" w:type="pct"/>
            <w:tcBorders>
              <w:top w:val="single" w:sz="4" w:space="0" w:color="000000"/>
              <w:left w:val="single" w:sz="4" w:space="0" w:color="000000"/>
              <w:bottom w:val="single" w:sz="4" w:space="0" w:color="000000"/>
              <w:right w:val="single" w:sz="4" w:space="0" w:color="000000"/>
            </w:tcBorders>
            <w:vAlign w:val="center"/>
          </w:tcPr>
          <w:p w14:paraId="1E14FD0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400</w:t>
            </w:r>
          </w:p>
        </w:tc>
        <w:tc>
          <w:tcPr>
            <w:tcW w:w="367" w:type="pct"/>
            <w:tcBorders>
              <w:top w:val="single" w:sz="4" w:space="0" w:color="000000"/>
              <w:left w:val="single" w:sz="4" w:space="0" w:color="000000"/>
              <w:bottom w:val="single" w:sz="4" w:space="0" w:color="000000"/>
              <w:right w:val="single" w:sz="4" w:space="0" w:color="000000"/>
            </w:tcBorders>
            <w:vAlign w:val="center"/>
          </w:tcPr>
          <w:p w14:paraId="263C2F5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J55</w:t>
            </w:r>
          </w:p>
        </w:tc>
        <w:tc>
          <w:tcPr>
            <w:tcW w:w="412" w:type="pct"/>
            <w:tcBorders>
              <w:top w:val="single" w:sz="4" w:space="0" w:color="000000"/>
              <w:left w:val="single" w:sz="4" w:space="0" w:color="000000"/>
              <w:bottom w:val="single" w:sz="4" w:space="0" w:color="000000"/>
              <w:right w:val="single" w:sz="4" w:space="0" w:color="000000"/>
            </w:tcBorders>
            <w:vAlign w:val="center"/>
          </w:tcPr>
          <w:p w14:paraId="6DF1EE9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11.13</w:t>
            </w:r>
          </w:p>
        </w:tc>
        <w:tc>
          <w:tcPr>
            <w:tcW w:w="449" w:type="pct"/>
            <w:tcBorders>
              <w:top w:val="single" w:sz="4" w:space="0" w:color="000000"/>
              <w:left w:val="single" w:sz="4" w:space="0" w:color="000000"/>
              <w:bottom w:val="single" w:sz="4" w:space="0" w:color="000000"/>
              <w:right w:val="single" w:sz="4" w:space="0" w:color="000000"/>
            </w:tcBorders>
            <w:vAlign w:val="center"/>
          </w:tcPr>
          <w:p w14:paraId="755B98C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111.61</w:t>
            </w:r>
          </w:p>
        </w:tc>
        <w:tc>
          <w:tcPr>
            <w:tcW w:w="389" w:type="pct"/>
            <w:tcBorders>
              <w:top w:val="single" w:sz="4" w:space="0" w:color="000000"/>
              <w:left w:val="single" w:sz="4" w:space="0" w:color="000000"/>
              <w:bottom w:val="single" w:sz="4" w:space="0" w:color="000000"/>
              <w:right w:val="single" w:sz="4" w:space="0" w:color="000000"/>
            </w:tcBorders>
            <w:vAlign w:val="center"/>
          </w:tcPr>
          <w:p w14:paraId="56002C6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44.64</w:t>
            </w:r>
          </w:p>
        </w:tc>
        <w:tc>
          <w:tcPr>
            <w:tcW w:w="409" w:type="pct"/>
            <w:tcBorders>
              <w:top w:val="single" w:sz="4" w:space="0" w:color="000000"/>
              <w:left w:val="single" w:sz="4" w:space="0" w:color="000000"/>
              <w:bottom w:val="single" w:sz="4" w:space="0" w:color="000000"/>
              <w:right w:val="single" w:sz="4" w:space="0" w:color="000000"/>
            </w:tcBorders>
            <w:vAlign w:val="center"/>
          </w:tcPr>
          <w:p w14:paraId="5FB47B3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44.64</w:t>
            </w:r>
          </w:p>
        </w:tc>
        <w:tc>
          <w:tcPr>
            <w:tcW w:w="326" w:type="pct"/>
            <w:tcBorders>
              <w:top w:val="single" w:sz="4" w:space="0" w:color="000000"/>
              <w:left w:val="single" w:sz="4" w:space="0" w:color="000000"/>
              <w:bottom w:val="single" w:sz="4" w:space="0" w:color="000000"/>
              <w:right w:val="single" w:sz="4" w:space="0" w:color="000000"/>
            </w:tcBorders>
            <w:vAlign w:val="center"/>
          </w:tcPr>
          <w:p w14:paraId="29E7698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2.47</w:t>
            </w:r>
          </w:p>
        </w:tc>
        <w:tc>
          <w:tcPr>
            <w:tcW w:w="326" w:type="pct"/>
            <w:tcBorders>
              <w:top w:val="single" w:sz="4" w:space="0" w:color="000000"/>
              <w:left w:val="single" w:sz="4" w:space="0" w:color="000000"/>
              <w:bottom w:val="single" w:sz="4" w:space="0" w:color="000000"/>
              <w:right w:val="single" w:sz="4" w:space="0" w:color="000000"/>
            </w:tcBorders>
            <w:vAlign w:val="center"/>
          </w:tcPr>
          <w:p w14:paraId="2DC878F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2.94</w:t>
            </w:r>
          </w:p>
        </w:tc>
        <w:tc>
          <w:tcPr>
            <w:tcW w:w="338" w:type="pct"/>
            <w:tcBorders>
              <w:top w:val="single" w:sz="4" w:space="0" w:color="000000"/>
              <w:left w:val="single" w:sz="4" w:space="0" w:color="000000"/>
              <w:bottom w:val="single" w:sz="4" w:space="0" w:color="000000"/>
              <w:right w:val="single" w:sz="12" w:space="0" w:color="000000"/>
            </w:tcBorders>
            <w:vAlign w:val="center"/>
          </w:tcPr>
          <w:p w14:paraId="7ED5B7E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8.29</w:t>
            </w:r>
          </w:p>
        </w:tc>
      </w:tr>
      <w:tr w:rsidR="002E0859" w14:paraId="516D9370" w14:textId="77777777">
        <w:trPr>
          <w:trHeight w:val="23"/>
        </w:trPr>
        <w:tc>
          <w:tcPr>
            <w:tcW w:w="291" w:type="pct"/>
            <w:tcBorders>
              <w:top w:val="single" w:sz="4" w:space="0" w:color="000000"/>
              <w:left w:val="single" w:sz="12" w:space="0" w:color="000000"/>
              <w:bottom w:val="single" w:sz="4" w:space="0" w:color="000000"/>
              <w:right w:val="single" w:sz="4" w:space="0" w:color="000000"/>
            </w:tcBorders>
            <w:vAlign w:val="center"/>
          </w:tcPr>
          <w:p w14:paraId="4E94B7D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表层套管</w:t>
            </w:r>
          </w:p>
        </w:tc>
        <w:tc>
          <w:tcPr>
            <w:tcW w:w="639" w:type="pct"/>
            <w:tcBorders>
              <w:top w:val="single" w:sz="4" w:space="0" w:color="000000"/>
              <w:left w:val="single" w:sz="4" w:space="0" w:color="000000"/>
              <w:bottom w:val="single" w:sz="4" w:space="0" w:color="000000"/>
              <w:right w:val="single" w:sz="4" w:space="0" w:color="000000"/>
            </w:tcBorders>
            <w:vAlign w:val="center"/>
          </w:tcPr>
          <w:p w14:paraId="3A5CBA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1352</w:t>
            </w:r>
          </w:p>
        </w:tc>
        <w:tc>
          <w:tcPr>
            <w:tcW w:w="391" w:type="pct"/>
            <w:tcBorders>
              <w:top w:val="single" w:sz="4" w:space="0" w:color="000000"/>
              <w:left w:val="single" w:sz="4" w:space="0" w:color="000000"/>
              <w:bottom w:val="single" w:sz="4" w:space="0" w:color="000000"/>
              <w:right w:val="single" w:sz="4" w:space="0" w:color="000000"/>
            </w:tcBorders>
            <w:vAlign w:val="center"/>
          </w:tcPr>
          <w:p w14:paraId="1275FC5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298.5</w:t>
            </w:r>
          </w:p>
        </w:tc>
        <w:tc>
          <w:tcPr>
            <w:tcW w:w="344" w:type="pct"/>
            <w:tcBorders>
              <w:top w:val="single" w:sz="4" w:space="0" w:color="000000"/>
              <w:left w:val="single" w:sz="4" w:space="0" w:color="000000"/>
              <w:bottom w:val="single" w:sz="4" w:space="0" w:color="000000"/>
              <w:right w:val="single" w:sz="4" w:space="0" w:color="000000"/>
            </w:tcBorders>
            <w:vAlign w:val="center"/>
          </w:tcPr>
          <w:p w14:paraId="535EA19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BTC</w:t>
            </w:r>
          </w:p>
        </w:tc>
        <w:tc>
          <w:tcPr>
            <w:tcW w:w="312" w:type="pct"/>
            <w:tcBorders>
              <w:top w:val="single" w:sz="4" w:space="0" w:color="000000"/>
              <w:left w:val="single" w:sz="4" w:space="0" w:color="000000"/>
              <w:bottom w:val="single" w:sz="4" w:space="0" w:color="000000"/>
              <w:right w:val="single" w:sz="4" w:space="0" w:color="000000"/>
            </w:tcBorders>
            <w:vAlign w:val="center"/>
          </w:tcPr>
          <w:p w14:paraId="7069439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1350</w:t>
            </w:r>
          </w:p>
        </w:tc>
        <w:tc>
          <w:tcPr>
            <w:tcW w:w="367" w:type="pct"/>
            <w:tcBorders>
              <w:top w:val="single" w:sz="4" w:space="0" w:color="000000"/>
              <w:left w:val="single" w:sz="4" w:space="0" w:color="000000"/>
              <w:bottom w:val="single" w:sz="4" w:space="0" w:color="000000"/>
              <w:right w:val="single" w:sz="4" w:space="0" w:color="000000"/>
            </w:tcBorders>
            <w:vAlign w:val="center"/>
          </w:tcPr>
          <w:p w14:paraId="1151F03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J55</w:t>
            </w:r>
          </w:p>
        </w:tc>
        <w:tc>
          <w:tcPr>
            <w:tcW w:w="412" w:type="pct"/>
            <w:tcBorders>
              <w:top w:val="single" w:sz="4" w:space="0" w:color="000000"/>
              <w:left w:val="single" w:sz="4" w:space="0" w:color="000000"/>
              <w:bottom w:val="single" w:sz="4" w:space="0" w:color="000000"/>
              <w:right w:val="single" w:sz="4" w:space="0" w:color="000000"/>
            </w:tcBorders>
            <w:vAlign w:val="center"/>
          </w:tcPr>
          <w:p w14:paraId="0F7A10A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11.05</w:t>
            </w:r>
          </w:p>
        </w:tc>
        <w:tc>
          <w:tcPr>
            <w:tcW w:w="449" w:type="pct"/>
            <w:tcBorders>
              <w:top w:val="single" w:sz="4" w:space="0" w:color="000000"/>
              <w:left w:val="single" w:sz="4" w:space="0" w:color="000000"/>
              <w:bottom w:val="single" w:sz="4" w:space="0" w:color="000000"/>
              <w:right w:val="single" w:sz="4" w:space="0" w:color="000000"/>
            </w:tcBorders>
            <w:vAlign w:val="center"/>
          </w:tcPr>
          <w:p w14:paraId="58DCBA5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80.36</w:t>
            </w:r>
          </w:p>
        </w:tc>
        <w:tc>
          <w:tcPr>
            <w:tcW w:w="389" w:type="pct"/>
            <w:tcBorders>
              <w:top w:val="single" w:sz="4" w:space="0" w:color="000000"/>
              <w:left w:val="single" w:sz="4" w:space="0" w:color="000000"/>
              <w:bottom w:val="single" w:sz="4" w:space="0" w:color="000000"/>
              <w:right w:val="single" w:sz="4" w:space="0" w:color="000000"/>
            </w:tcBorders>
            <w:vAlign w:val="center"/>
          </w:tcPr>
          <w:p w14:paraId="26E685B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108.49</w:t>
            </w:r>
          </w:p>
        </w:tc>
        <w:tc>
          <w:tcPr>
            <w:tcW w:w="409" w:type="pct"/>
            <w:tcBorders>
              <w:top w:val="single" w:sz="4" w:space="0" w:color="000000"/>
              <w:left w:val="single" w:sz="4" w:space="0" w:color="000000"/>
              <w:bottom w:val="single" w:sz="4" w:space="0" w:color="000000"/>
              <w:right w:val="single" w:sz="4" w:space="0" w:color="000000"/>
            </w:tcBorders>
            <w:vAlign w:val="center"/>
          </w:tcPr>
          <w:p w14:paraId="74A5521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108.49</w:t>
            </w:r>
          </w:p>
        </w:tc>
        <w:tc>
          <w:tcPr>
            <w:tcW w:w="326" w:type="pct"/>
            <w:tcBorders>
              <w:top w:val="single" w:sz="4" w:space="0" w:color="000000"/>
              <w:left w:val="single" w:sz="4" w:space="0" w:color="000000"/>
              <w:bottom w:val="single" w:sz="4" w:space="0" w:color="000000"/>
              <w:right w:val="single" w:sz="4" w:space="0" w:color="000000"/>
            </w:tcBorders>
            <w:vAlign w:val="center"/>
          </w:tcPr>
          <w:p w14:paraId="054C140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1.41</w:t>
            </w:r>
          </w:p>
        </w:tc>
        <w:tc>
          <w:tcPr>
            <w:tcW w:w="326" w:type="pct"/>
            <w:tcBorders>
              <w:top w:val="single" w:sz="4" w:space="0" w:color="000000"/>
              <w:left w:val="single" w:sz="4" w:space="0" w:color="000000"/>
              <w:bottom w:val="single" w:sz="4" w:space="0" w:color="000000"/>
              <w:right w:val="single" w:sz="4" w:space="0" w:color="000000"/>
            </w:tcBorders>
            <w:vAlign w:val="center"/>
          </w:tcPr>
          <w:p w14:paraId="52AA17C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1.73</w:t>
            </w:r>
          </w:p>
        </w:tc>
        <w:tc>
          <w:tcPr>
            <w:tcW w:w="338" w:type="pct"/>
            <w:tcBorders>
              <w:top w:val="single" w:sz="4" w:space="0" w:color="000000"/>
              <w:left w:val="single" w:sz="4" w:space="0" w:color="000000"/>
              <w:bottom w:val="single" w:sz="4" w:space="0" w:color="000000"/>
              <w:right w:val="single" w:sz="12" w:space="0" w:color="000000"/>
            </w:tcBorders>
            <w:vAlign w:val="center"/>
          </w:tcPr>
          <w:p w14:paraId="625E299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4.12</w:t>
            </w:r>
          </w:p>
        </w:tc>
      </w:tr>
      <w:tr w:rsidR="002E0859" w14:paraId="787A1128" w14:textId="77777777">
        <w:trPr>
          <w:trHeight w:val="23"/>
        </w:trPr>
        <w:tc>
          <w:tcPr>
            <w:tcW w:w="291" w:type="pct"/>
            <w:tcBorders>
              <w:top w:val="single" w:sz="4" w:space="0" w:color="000000"/>
              <w:left w:val="single" w:sz="12" w:space="0" w:color="000000"/>
              <w:bottom w:val="single" w:sz="4" w:space="0" w:color="000000"/>
              <w:right w:val="single" w:sz="4" w:space="0" w:color="000000"/>
            </w:tcBorders>
            <w:vAlign w:val="center"/>
          </w:tcPr>
          <w:p w14:paraId="73BE21E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技术套管</w:t>
            </w:r>
          </w:p>
        </w:tc>
        <w:tc>
          <w:tcPr>
            <w:tcW w:w="639" w:type="pct"/>
            <w:tcBorders>
              <w:top w:val="single" w:sz="4" w:space="0" w:color="000000"/>
              <w:left w:val="single" w:sz="4" w:space="0" w:color="000000"/>
              <w:bottom w:val="single" w:sz="4" w:space="0" w:color="000000"/>
              <w:right w:val="single" w:sz="4" w:space="0" w:color="000000"/>
            </w:tcBorders>
            <w:vAlign w:val="center"/>
          </w:tcPr>
          <w:p w14:paraId="602687A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3482</w:t>
            </w:r>
          </w:p>
        </w:tc>
        <w:tc>
          <w:tcPr>
            <w:tcW w:w="391" w:type="pct"/>
            <w:tcBorders>
              <w:top w:val="single" w:sz="4" w:space="0" w:color="000000"/>
              <w:left w:val="single" w:sz="4" w:space="0" w:color="000000"/>
              <w:bottom w:val="single" w:sz="4" w:space="0" w:color="000000"/>
              <w:right w:val="single" w:sz="4" w:space="0" w:color="000000"/>
            </w:tcBorders>
            <w:vAlign w:val="center"/>
          </w:tcPr>
          <w:p w14:paraId="4130216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219.1</w:t>
            </w:r>
          </w:p>
        </w:tc>
        <w:tc>
          <w:tcPr>
            <w:tcW w:w="344" w:type="pct"/>
            <w:tcBorders>
              <w:top w:val="single" w:sz="4" w:space="0" w:color="000000"/>
              <w:left w:val="single" w:sz="4" w:space="0" w:color="000000"/>
              <w:bottom w:val="single" w:sz="4" w:space="0" w:color="000000"/>
              <w:right w:val="single" w:sz="4" w:space="0" w:color="000000"/>
            </w:tcBorders>
            <w:vAlign w:val="center"/>
          </w:tcPr>
          <w:p w14:paraId="6E7E950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LTC</w:t>
            </w:r>
          </w:p>
        </w:tc>
        <w:tc>
          <w:tcPr>
            <w:tcW w:w="312" w:type="pct"/>
            <w:tcBorders>
              <w:top w:val="single" w:sz="4" w:space="0" w:color="000000"/>
              <w:left w:val="single" w:sz="4" w:space="0" w:color="000000"/>
              <w:bottom w:val="single" w:sz="4" w:space="0" w:color="000000"/>
              <w:right w:val="single" w:sz="4" w:space="0" w:color="000000"/>
            </w:tcBorders>
            <w:vAlign w:val="center"/>
          </w:tcPr>
          <w:p w14:paraId="09273B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3480</w:t>
            </w:r>
          </w:p>
        </w:tc>
        <w:tc>
          <w:tcPr>
            <w:tcW w:w="367" w:type="pct"/>
            <w:tcBorders>
              <w:top w:val="single" w:sz="4" w:space="0" w:color="000000"/>
              <w:left w:val="single" w:sz="4" w:space="0" w:color="000000"/>
              <w:bottom w:val="single" w:sz="4" w:space="0" w:color="000000"/>
              <w:right w:val="single" w:sz="4" w:space="0" w:color="000000"/>
            </w:tcBorders>
            <w:vAlign w:val="center"/>
          </w:tcPr>
          <w:p w14:paraId="412B2BD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P110</w:t>
            </w:r>
          </w:p>
        </w:tc>
        <w:tc>
          <w:tcPr>
            <w:tcW w:w="412" w:type="pct"/>
            <w:tcBorders>
              <w:top w:val="single" w:sz="4" w:space="0" w:color="000000"/>
              <w:left w:val="single" w:sz="4" w:space="0" w:color="000000"/>
              <w:bottom w:val="single" w:sz="4" w:space="0" w:color="000000"/>
              <w:right w:val="single" w:sz="4" w:space="0" w:color="000000"/>
            </w:tcBorders>
            <w:vAlign w:val="center"/>
          </w:tcPr>
          <w:p w14:paraId="303E4FD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11.43</w:t>
            </w:r>
          </w:p>
        </w:tc>
        <w:tc>
          <w:tcPr>
            <w:tcW w:w="449" w:type="pct"/>
            <w:tcBorders>
              <w:top w:val="single" w:sz="4" w:space="0" w:color="000000"/>
              <w:left w:val="single" w:sz="4" w:space="0" w:color="000000"/>
              <w:bottom w:val="single" w:sz="4" w:space="0" w:color="000000"/>
              <w:right w:val="single" w:sz="4" w:space="0" w:color="000000"/>
            </w:tcBorders>
            <w:vAlign w:val="center"/>
          </w:tcPr>
          <w:p w14:paraId="618AD34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59.53</w:t>
            </w:r>
          </w:p>
        </w:tc>
        <w:tc>
          <w:tcPr>
            <w:tcW w:w="389" w:type="pct"/>
            <w:tcBorders>
              <w:top w:val="single" w:sz="4" w:space="0" w:color="000000"/>
              <w:left w:val="single" w:sz="4" w:space="0" w:color="000000"/>
              <w:bottom w:val="single" w:sz="4" w:space="0" w:color="000000"/>
              <w:right w:val="single" w:sz="4" w:space="0" w:color="000000"/>
            </w:tcBorders>
            <w:vAlign w:val="center"/>
          </w:tcPr>
          <w:p w14:paraId="25D876F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212.82</w:t>
            </w:r>
          </w:p>
        </w:tc>
        <w:tc>
          <w:tcPr>
            <w:tcW w:w="409" w:type="pct"/>
            <w:tcBorders>
              <w:top w:val="single" w:sz="4" w:space="0" w:color="000000"/>
              <w:left w:val="single" w:sz="4" w:space="0" w:color="000000"/>
              <w:bottom w:val="single" w:sz="4" w:space="0" w:color="000000"/>
              <w:right w:val="single" w:sz="4" w:space="0" w:color="000000"/>
            </w:tcBorders>
            <w:vAlign w:val="center"/>
          </w:tcPr>
          <w:p w14:paraId="7C593E6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212.82</w:t>
            </w:r>
          </w:p>
        </w:tc>
        <w:tc>
          <w:tcPr>
            <w:tcW w:w="326" w:type="pct"/>
            <w:tcBorders>
              <w:top w:val="single" w:sz="4" w:space="0" w:color="000000"/>
              <w:left w:val="single" w:sz="4" w:space="0" w:color="000000"/>
              <w:bottom w:val="single" w:sz="4" w:space="0" w:color="000000"/>
              <w:right w:val="single" w:sz="4" w:space="0" w:color="000000"/>
            </w:tcBorders>
            <w:vAlign w:val="center"/>
          </w:tcPr>
          <w:p w14:paraId="06BB7FE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1.32</w:t>
            </w:r>
          </w:p>
        </w:tc>
        <w:tc>
          <w:tcPr>
            <w:tcW w:w="326" w:type="pct"/>
            <w:tcBorders>
              <w:top w:val="single" w:sz="4" w:space="0" w:color="000000"/>
              <w:left w:val="single" w:sz="4" w:space="0" w:color="000000"/>
              <w:bottom w:val="single" w:sz="4" w:space="0" w:color="000000"/>
              <w:right w:val="single" w:sz="4" w:space="0" w:color="000000"/>
            </w:tcBorders>
            <w:vAlign w:val="center"/>
          </w:tcPr>
          <w:p w14:paraId="6226D19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3.71</w:t>
            </w:r>
          </w:p>
        </w:tc>
        <w:tc>
          <w:tcPr>
            <w:tcW w:w="338" w:type="pct"/>
            <w:tcBorders>
              <w:top w:val="single" w:sz="4" w:space="0" w:color="000000"/>
              <w:left w:val="single" w:sz="4" w:space="0" w:color="000000"/>
              <w:bottom w:val="single" w:sz="4" w:space="0" w:color="000000"/>
              <w:right w:val="single" w:sz="12" w:space="0" w:color="000000"/>
            </w:tcBorders>
            <w:vAlign w:val="center"/>
          </w:tcPr>
          <w:p w14:paraId="0643F77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2.61</w:t>
            </w:r>
          </w:p>
        </w:tc>
      </w:tr>
      <w:tr w:rsidR="002E0859" w14:paraId="40664566" w14:textId="77777777">
        <w:trPr>
          <w:trHeight w:val="23"/>
        </w:trPr>
        <w:tc>
          <w:tcPr>
            <w:tcW w:w="291" w:type="pct"/>
            <w:vMerge w:val="restart"/>
            <w:tcBorders>
              <w:top w:val="single" w:sz="4" w:space="0" w:color="000000"/>
              <w:left w:val="single" w:sz="12" w:space="0" w:color="000000"/>
              <w:bottom w:val="single" w:sz="4" w:space="0" w:color="000000"/>
              <w:right w:val="single" w:sz="4" w:space="0" w:color="000000"/>
            </w:tcBorders>
            <w:vAlign w:val="center"/>
          </w:tcPr>
          <w:p w14:paraId="7DF125D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生产套管</w:t>
            </w:r>
          </w:p>
        </w:tc>
        <w:tc>
          <w:tcPr>
            <w:tcW w:w="639" w:type="pct"/>
            <w:tcBorders>
              <w:top w:val="single" w:sz="4" w:space="0" w:color="000000"/>
              <w:left w:val="single" w:sz="4" w:space="0" w:color="000000"/>
              <w:bottom w:val="single" w:sz="4" w:space="0" w:color="000000"/>
              <w:right w:val="single" w:sz="4" w:space="0" w:color="000000"/>
            </w:tcBorders>
            <w:vAlign w:val="center"/>
          </w:tcPr>
          <w:p w14:paraId="2744873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0</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3480</w:t>
            </w:r>
          </w:p>
        </w:tc>
        <w:tc>
          <w:tcPr>
            <w:tcW w:w="391" w:type="pct"/>
            <w:tcBorders>
              <w:top w:val="single" w:sz="4" w:space="0" w:color="000000"/>
              <w:left w:val="single" w:sz="4" w:space="0" w:color="000000"/>
              <w:bottom w:val="single" w:sz="4" w:space="0" w:color="000000"/>
              <w:right w:val="single" w:sz="4" w:space="0" w:color="000000"/>
            </w:tcBorders>
            <w:vAlign w:val="center"/>
          </w:tcPr>
          <w:p w14:paraId="0B03023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139.7</w:t>
            </w:r>
          </w:p>
        </w:tc>
        <w:tc>
          <w:tcPr>
            <w:tcW w:w="344" w:type="pct"/>
            <w:tcBorders>
              <w:top w:val="single" w:sz="4" w:space="0" w:color="000000"/>
              <w:left w:val="single" w:sz="4" w:space="0" w:color="000000"/>
              <w:bottom w:val="single" w:sz="4" w:space="0" w:color="000000"/>
              <w:right w:val="single" w:sz="4" w:space="0" w:color="000000"/>
            </w:tcBorders>
            <w:vAlign w:val="center"/>
          </w:tcPr>
          <w:p w14:paraId="0D78162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TP-CQ</w:t>
            </w:r>
          </w:p>
        </w:tc>
        <w:tc>
          <w:tcPr>
            <w:tcW w:w="312" w:type="pct"/>
            <w:tcBorders>
              <w:top w:val="single" w:sz="4" w:space="0" w:color="000000"/>
              <w:left w:val="single" w:sz="4" w:space="0" w:color="000000"/>
              <w:bottom w:val="single" w:sz="4" w:space="0" w:color="000000"/>
              <w:right w:val="single" w:sz="4" w:space="0" w:color="000000"/>
            </w:tcBorders>
            <w:vAlign w:val="center"/>
          </w:tcPr>
          <w:p w14:paraId="52F59AE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3480</w:t>
            </w:r>
          </w:p>
        </w:tc>
        <w:tc>
          <w:tcPr>
            <w:tcW w:w="367" w:type="pct"/>
            <w:tcBorders>
              <w:top w:val="single" w:sz="4" w:space="0" w:color="000000"/>
              <w:left w:val="single" w:sz="4" w:space="0" w:color="000000"/>
              <w:bottom w:val="single" w:sz="4" w:space="0" w:color="000000"/>
              <w:right w:val="single" w:sz="4" w:space="0" w:color="000000"/>
            </w:tcBorders>
            <w:vAlign w:val="center"/>
          </w:tcPr>
          <w:p w14:paraId="33452CA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P110</w:t>
            </w:r>
          </w:p>
        </w:tc>
        <w:tc>
          <w:tcPr>
            <w:tcW w:w="412" w:type="pct"/>
            <w:tcBorders>
              <w:top w:val="single" w:sz="4" w:space="0" w:color="000000"/>
              <w:left w:val="single" w:sz="4" w:space="0" w:color="000000"/>
              <w:bottom w:val="single" w:sz="4" w:space="0" w:color="000000"/>
              <w:right w:val="single" w:sz="4" w:space="0" w:color="000000"/>
            </w:tcBorders>
            <w:vAlign w:val="center"/>
          </w:tcPr>
          <w:p w14:paraId="7FCE98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12.34</w:t>
            </w:r>
          </w:p>
        </w:tc>
        <w:tc>
          <w:tcPr>
            <w:tcW w:w="449" w:type="pct"/>
            <w:tcBorders>
              <w:top w:val="single" w:sz="4" w:space="0" w:color="000000"/>
              <w:left w:val="single" w:sz="4" w:space="0" w:color="000000"/>
              <w:bottom w:val="single" w:sz="4" w:space="0" w:color="000000"/>
              <w:right w:val="single" w:sz="4" w:space="0" w:color="000000"/>
            </w:tcBorders>
            <w:vAlign w:val="center"/>
          </w:tcPr>
          <w:p w14:paraId="33C7ADC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39.23</w:t>
            </w:r>
          </w:p>
        </w:tc>
        <w:tc>
          <w:tcPr>
            <w:tcW w:w="389" w:type="pct"/>
            <w:tcBorders>
              <w:top w:val="single" w:sz="4" w:space="0" w:color="000000"/>
              <w:left w:val="single" w:sz="4" w:space="0" w:color="000000"/>
              <w:bottom w:val="single" w:sz="4" w:space="0" w:color="000000"/>
              <w:right w:val="single" w:sz="4" w:space="0" w:color="000000"/>
            </w:tcBorders>
            <w:vAlign w:val="center"/>
          </w:tcPr>
          <w:p w14:paraId="0E63BB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132.60</w:t>
            </w:r>
          </w:p>
        </w:tc>
        <w:tc>
          <w:tcPr>
            <w:tcW w:w="409" w:type="pct"/>
            <w:tcBorders>
              <w:top w:val="single" w:sz="4" w:space="0" w:color="000000"/>
              <w:left w:val="single" w:sz="4" w:space="0" w:color="000000"/>
              <w:bottom w:val="single" w:sz="4" w:space="0" w:color="000000"/>
              <w:right w:val="single" w:sz="4" w:space="0" w:color="000000"/>
            </w:tcBorders>
            <w:vAlign w:val="center"/>
          </w:tcPr>
          <w:p w14:paraId="232DA29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231.06</w:t>
            </w:r>
          </w:p>
        </w:tc>
        <w:tc>
          <w:tcPr>
            <w:tcW w:w="326" w:type="pct"/>
            <w:tcBorders>
              <w:top w:val="single" w:sz="4" w:space="0" w:color="000000"/>
              <w:left w:val="single" w:sz="4" w:space="0" w:color="000000"/>
              <w:bottom w:val="single" w:sz="4" w:space="0" w:color="000000"/>
              <w:right w:val="single" w:sz="4" w:space="0" w:color="000000"/>
            </w:tcBorders>
            <w:vAlign w:val="center"/>
          </w:tcPr>
          <w:p w14:paraId="28C2F10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2.14</w:t>
            </w:r>
          </w:p>
        </w:tc>
        <w:tc>
          <w:tcPr>
            <w:tcW w:w="326" w:type="pct"/>
            <w:tcBorders>
              <w:top w:val="single" w:sz="4" w:space="0" w:color="000000"/>
              <w:left w:val="single" w:sz="4" w:space="0" w:color="000000"/>
              <w:bottom w:val="single" w:sz="4" w:space="0" w:color="000000"/>
              <w:right w:val="single" w:sz="4" w:space="0" w:color="000000"/>
            </w:tcBorders>
            <w:vAlign w:val="center"/>
          </w:tcPr>
          <w:p w14:paraId="59A5EE5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1.36</w:t>
            </w:r>
          </w:p>
        </w:tc>
        <w:tc>
          <w:tcPr>
            <w:tcW w:w="338" w:type="pct"/>
            <w:tcBorders>
              <w:top w:val="single" w:sz="4" w:space="0" w:color="000000"/>
              <w:left w:val="single" w:sz="4" w:space="0" w:color="000000"/>
              <w:bottom w:val="single" w:sz="4" w:space="0" w:color="000000"/>
              <w:right w:val="single" w:sz="12" w:space="0" w:color="000000"/>
            </w:tcBorders>
            <w:vAlign w:val="center"/>
          </w:tcPr>
          <w:p w14:paraId="4DB5540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1.90</w:t>
            </w:r>
          </w:p>
        </w:tc>
      </w:tr>
      <w:tr w:rsidR="002E0859" w14:paraId="7ED3C15D" w14:textId="77777777">
        <w:trPr>
          <w:trHeight w:val="23"/>
        </w:trPr>
        <w:tc>
          <w:tcPr>
            <w:tcW w:w="291" w:type="pct"/>
            <w:vMerge/>
            <w:tcBorders>
              <w:top w:val="single" w:sz="4" w:space="0" w:color="000000"/>
              <w:left w:val="single" w:sz="12" w:space="0" w:color="000000"/>
              <w:bottom w:val="single" w:sz="12" w:space="0" w:color="000000"/>
              <w:right w:val="single" w:sz="4" w:space="0" w:color="000000"/>
            </w:tcBorders>
            <w:vAlign w:val="center"/>
          </w:tcPr>
          <w:p w14:paraId="2E81294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639" w:type="pct"/>
            <w:tcBorders>
              <w:top w:val="single" w:sz="4" w:space="0" w:color="000000"/>
              <w:left w:val="single" w:sz="4" w:space="0" w:color="000000"/>
              <w:bottom w:val="single" w:sz="12" w:space="0" w:color="000000"/>
              <w:right w:val="single" w:sz="4" w:space="0" w:color="000000"/>
            </w:tcBorders>
            <w:vAlign w:val="center"/>
          </w:tcPr>
          <w:p w14:paraId="2C187C3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3480</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5890</w:t>
            </w:r>
          </w:p>
        </w:tc>
        <w:tc>
          <w:tcPr>
            <w:tcW w:w="391" w:type="pct"/>
            <w:tcBorders>
              <w:top w:val="single" w:sz="4" w:space="0" w:color="000000"/>
              <w:left w:val="single" w:sz="4" w:space="0" w:color="000000"/>
              <w:bottom w:val="single" w:sz="12" w:space="0" w:color="000000"/>
              <w:right w:val="single" w:sz="4" w:space="0" w:color="000000"/>
            </w:tcBorders>
            <w:vAlign w:val="center"/>
          </w:tcPr>
          <w:p w14:paraId="4262A03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139.7</w:t>
            </w:r>
          </w:p>
        </w:tc>
        <w:tc>
          <w:tcPr>
            <w:tcW w:w="344" w:type="pct"/>
            <w:tcBorders>
              <w:top w:val="single" w:sz="4" w:space="0" w:color="000000"/>
              <w:left w:val="single" w:sz="4" w:space="0" w:color="000000"/>
              <w:bottom w:val="single" w:sz="12" w:space="0" w:color="000000"/>
              <w:right w:val="single" w:sz="4" w:space="0" w:color="000000"/>
            </w:tcBorders>
            <w:vAlign w:val="center"/>
          </w:tcPr>
          <w:p w14:paraId="5CA8AA4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TP-CQ</w:t>
            </w:r>
          </w:p>
        </w:tc>
        <w:tc>
          <w:tcPr>
            <w:tcW w:w="312" w:type="pct"/>
            <w:tcBorders>
              <w:top w:val="single" w:sz="4" w:space="0" w:color="000000"/>
              <w:left w:val="single" w:sz="4" w:space="0" w:color="000000"/>
              <w:bottom w:val="single" w:sz="12" w:space="0" w:color="000000"/>
              <w:right w:val="single" w:sz="4" w:space="0" w:color="000000"/>
            </w:tcBorders>
            <w:vAlign w:val="center"/>
          </w:tcPr>
          <w:p w14:paraId="4D99594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2410</w:t>
            </w:r>
          </w:p>
        </w:tc>
        <w:tc>
          <w:tcPr>
            <w:tcW w:w="367" w:type="pct"/>
            <w:tcBorders>
              <w:top w:val="single" w:sz="4" w:space="0" w:color="000000"/>
              <w:left w:val="single" w:sz="4" w:space="0" w:color="000000"/>
              <w:bottom w:val="single" w:sz="12" w:space="0" w:color="000000"/>
              <w:right w:val="single" w:sz="4" w:space="0" w:color="000000"/>
            </w:tcBorders>
            <w:vAlign w:val="center"/>
          </w:tcPr>
          <w:p w14:paraId="0F020F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110T</w:t>
            </w:r>
          </w:p>
        </w:tc>
        <w:tc>
          <w:tcPr>
            <w:tcW w:w="412" w:type="pct"/>
            <w:tcBorders>
              <w:top w:val="single" w:sz="4" w:space="0" w:color="000000"/>
              <w:left w:val="single" w:sz="4" w:space="0" w:color="000000"/>
              <w:bottom w:val="single" w:sz="12" w:space="0" w:color="000000"/>
              <w:right w:val="single" w:sz="4" w:space="0" w:color="000000"/>
            </w:tcBorders>
            <w:vAlign w:val="center"/>
          </w:tcPr>
          <w:p w14:paraId="5D1193A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12.34</w:t>
            </w:r>
          </w:p>
        </w:tc>
        <w:tc>
          <w:tcPr>
            <w:tcW w:w="449" w:type="pct"/>
            <w:tcBorders>
              <w:top w:val="single" w:sz="4" w:space="0" w:color="000000"/>
              <w:left w:val="single" w:sz="4" w:space="0" w:color="000000"/>
              <w:bottom w:val="single" w:sz="12" w:space="0" w:color="000000"/>
              <w:right w:val="single" w:sz="4" w:space="0" w:color="000000"/>
            </w:tcBorders>
            <w:vAlign w:val="center"/>
          </w:tcPr>
          <w:p w14:paraId="065B2F1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39.23</w:t>
            </w:r>
          </w:p>
        </w:tc>
        <w:tc>
          <w:tcPr>
            <w:tcW w:w="389" w:type="pct"/>
            <w:tcBorders>
              <w:top w:val="single" w:sz="4" w:space="0" w:color="000000"/>
              <w:left w:val="single" w:sz="4" w:space="0" w:color="000000"/>
              <w:bottom w:val="single" w:sz="12" w:space="0" w:color="000000"/>
              <w:right w:val="single" w:sz="4" w:space="0" w:color="000000"/>
            </w:tcBorders>
            <w:vAlign w:val="center"/>
          </w:tcPr>
          <w:p w14:paraId="732B282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98.47</w:t>
            </w:r>
          </w:p>
        </w:tc>
        <w:tc>
          <w:tcPr>
            <w:tcW w:w="409" w:type="pct"/>
            <w:tcBorders>
              <w:top w:val="single" w:sz="4" w:space="0" w:color="000000"/>
              <w:left w:val="single" w:sz="4" w:space="0" w:color="000000"/>
              <w:bottom w:val="single" w:sz="12" w:space="0" w:color="000000"/>
              <w:right w:val="single" w:sz="4" w:space="0" w:color="000000"/>
            </w:tcBorders>
            <w:vAlign w:val="center"/>
          </w:tcPr>
          <w:p w14:paraId="59B037F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98.47</w:t>
            </w:r>
          </w:p>
        </w:tc>
        <w:tc>
          <w:tcPr>
            <w:tcW w:w="326" w:type="pct"/>
            <w:tcBorders>
              <w:top w:val="single" w:sz="4" w:space="0" w:color="000000"/>
              <w:left w:val="single" w:sz="4" w:space="0" w:color="000000"/>
              <w:bottom w:val="single" w:sz="12" w:space="0" w:color="000000"/>
              <w:right w:val="single" w:sz="4" w:space="0" w:color="000000"/>
            </w:tcBorders>
            <w:vAlign w:val="center"/>
          </w:tcPr>
          <w:p w14:paraId="586093E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2.14</w:t>
            </w:r>
          </w:p>
        </w:tc>
        <w:tc>
          <w:tcPr>
            <w:tcW w:w="326" w:type="pct"/>
            <w:tcBorders>
              <w:top w:val="single" w:sz="4" w:space="0" w:color="000000"/>
              <w:left w:val="single" w:sz="4" w:space="0" w:color="000000"/>
              <w:bottom w:val="single" w:sz="12" w:space="0" w:color="000000"/>
              <w:right w:val="single" w:sz="4" w:space="0" w:color="000000"/>
            </w:tcBorders>
            <w:vAlign w:val="center"/>
          </w:tcPr>
          <w:p w14:paraId="0C16676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1.52</w:t>
            </w:r>
          </w:p>
        </w:tc>
        <w:tc>
          <w:tcPr>
            <w:tcW w:w="338" w:type="pct"/>
            <w:tcBorders>
              <w:top w:val="single" w:sz="4" w:space="0" w:color="000000"/>
              <w:left w:val="single" w:sz="4" w:space="0" w:color="000000"/>
              <w:bottom w:val="single" w:sz="12" w:space="0" w:color="000000"/>
              <w:right w:val="single" w:sz="12" w:space="0" w:color="000000"/>
            </w:tcBorders>
            <w:vAlign w:val="center"/>
          </w:tcPr>
          <w:p w14:paraId="5289782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4.01</w:t>
            </w:r>
          </w:p>
        </w:tc>
      </w:tr>
    </w:tbl>
    <w:p w14:paraId="1CAE1263" w14:textId="77777777" w:rsidR="002E0859" w:rsidRDefault="00000000">
      <w:pPr>
        <w:widowControl/>
        <w:kinsoku w:val="0"/>
        <w:topLinePunct w:val="0"/>
        <w:autoSpaceDE w:val="0"/>
        <w:autoSpaceDN w:val="0"/>
        <w:spacing w:beforeLines="50" w:before="120" w:line="360" w:lineRule="auto"/>
        <w:ind w:firstLineChars="0" w:firstLine="0"/>
        <w:jc w:val="left"/>
        <w:textAlignment w:val="baseline"/>
        <w:rPr>
          <w:snapToGrid w:val="0"/>
          <w:color w:val="000000" w:themeColor="text1"/>
          <w:spacing w:val="-3"/>
          <w:kern w:val="0"/>
          <w:sz w:val="24"/>
          <w:szCs w:val="24"/>
          <w:lang w:eastAsia="en-US"/>
        </w:rPr>
      </w:pPr>
      <w:r>
        <w:rPr>
          <w:snapToGrid w:val="0"/>
          <w:color w:val="000000" w:themeColor="text1"/>
          <w:spacing w:val="-2"/>
          <w:kern w:val="0"/>
          <w:sz w:val="24"/>
          <w:szCs w:val="24"/>
          <w:lang w:eastAsia="en-US"/>
        </w:rPr>
        <w:t>说明：</w:t>
      </w:r>
      <w:r>
        <w:rPr>
          <w:snapToGrid w:val="0"/>
          <w:color w:val="000000" w:themeColor="text1"/>
          <w:spacing w:val="-2"/>
          <w:kern w:val="0"/>
          <w:sz w:val="24"/>
          <w:szCs w:val="24"/>
          <w:lang w:eastAsia="en-US"/>
        </w:rPr>
        <w:t>①</w:t>
      </w:r>
      <w:r>
        <w:rPr>
          <w:snapToGrid w:val="0"/>
          <w:color w:val="000000" w:themeColor="text1"/>
          <w:spacing w:val="-2"/>
          <w:kern w:val="0"/>
          <w:sz w:val="24"/>
          <w:szCs w:val="24"/>
          <w:lang w:eastAsia="en-US"/>
        </w:rPr>
        <w:t>表层套管、技术套管抗挤按掏空</w:t>
      </w:r>
      <w:r>
        <w:rPr>
          <w:snapToGrid w:val="0"/>
          <w:color w:val="000000" w:themeColor="text1"/>
          <w:spacing w:val="-2"/>
          <w:kern w:val="0"/>
          <w:sz w:val="24"/>
          <w:szCs w:val="24"/>
          <w:lang w:eastAsia="en-US"/>
        </w:rPr>
        <w:t>70%</w:t>
      </w:r>
      <w:r>
        <w:rPr>
          <w:snapToGrid w:val="0"/>
          <w:color w:val="000000" w:themeColor="text1"/>
          <w:spacing w:val="-2"/>
          <w:kern w:val="0"/>
          <w:sz w:val="24"/>
          <w:szCs w:val="24"/>
          <w:lang w:eastAsia="en-US"/>
        </w:rPr>
        <w:t>；</w:t>
      </w:r>
      <w:r>
        <w:rPr>
          <w:snapToGrid w:val="0"/>
          <w:color w:val="000000" w:themeColor="text1"/>
          <w:spacing w:val="-5"/>
          <w:kern w:val="0"/>
          <w:sz w:val="24"/>
          <w:szCs w:val="24"/>
          <w:lang w:eastAsia="en-US"/>
        </w:rPr>
        <w:t>②</w:t>
      </w:r>
      <w:r>
        <w:rPr>
          <w:snapToGrid w:val="0"/>
          <w:color w:val="000000" w:themeColor="text1"/>
          <w:spacing w:val="-5"/>
          <w:kern w:val="0"/>
          <w:sz w:val="24"/>
          <w:szCs w:val="24"/>
          <w:lang w:eastAsia="en-US"/>
        </w:rPr>
        <w:t>水平段抗拉按附加</w:t>
      </w:r>
      <w:r>
        <w:rPr>
          <w:snapToGrid w:val="0"/>
          <w:color w:val="000000" w:themeColor="text1"/>
          <w:spacing w:val="-5"/>
          <w:kern w:val="0"/>
          <w:sz w:val="24"/>
          <w:szCs w:val="24"/>
          <w:lang w:eastAsia="en-US"/>
        </w:rPr>
        <w:t>50t</w:t>
      </w:r>
      <w:r>
        <w:rPr>
          <w:snapToGrid w:val="0"/>
          <w:color w:val="000000" w:themeColor="text1"/>
          <w:spacing w:val="-5"/>
          <w:kern w:val="0"/>
          <w:sz w:val="24"/>
          <w:szCs w:val="24"/>
          <w:lang w:eastAsia="en-US"/>
        </w:rPr>
        <w:t>摩阻计算；</w:t>
      </w:r>
      <w:r>
        <w:rPr>
          <w:snapToGrid w:val="0"/>
          <w:color w:val="000000" w:themeColor="text1"/>
          <w:spacing w:val="-3"/>
          <w:kern w:val="0"/>
          <w:sz w:val="24"/>
          <w:szCs w:val="24"/>
          <w:lang w:eastAsia="en-US"/>
        </w:rPr>
        <w:t>③</w:t>
      </w:r>
      <w:r>
        <w:rPr>
          <w:snapToGrid w:val="0"/>
          <w:color w:val="000000" w:themeColor="text1"/>
          <w:spacing w:val="-3"/>
          <w:kern w:val="0"/>
          <w:sz w:val="24"/>
          <w:szCs w:val="24"/>
          <w:lang w:eastAsia="en-US"/>
        </w:rPr>
        <w:t>生产套管井口按最高</w:t>
      </w:r>
      <w:r>
        <w:rPr>
          <w:snapToGrid w:val="0"/>
          <w:color w:val="000000" w:themeColor="text1"/>
          <w:spacing w:val="-3"/>
          <w:kern w:val="0"/>
          <w:sz w:val="24"/>
          <w:szCs w:val="24"/>
          <w:lang w:eastAsia="en-US"/>
        </w:rPr>
        <w:t>92MPa</w:t>
      </w:r>
      <w:r>
        <w:rPr>
          <w:snapToGrid w:val="0"/>
          <w:color w:val="000000" w:themeColor="text1"/>
          <w:spacing w:val="-3"/>
          <w:kern w:val="0"/>
          <w:sz w:val="24"/>
          <w:szCs w:val="24"/>
          <w:lang w:eastAsia="en-US"/>
        </w:rPr>
        <w:t>施工压力计算内压力。</w:t>
      </w:r>
    </w:p>
    <w:p w14:paraId="5D040E58"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-1</w:t>
      </w:r>
      <w:r>
        <w:rPr>
          <w:rFonts w:eastAsia="黑体" w:hint="eastAsia"/>
          <w:color w:val="000000" w:themeColor="text1"/>
          <w:sz w:val="21"/>
          <w:szCs w:val="21"/>
        </w:rPr>
        <w:t xml:space="preserve">7 </w:t>
      </w:r>
      <w:r>
        <w:rPr>
          <w:rFonts w:eastAsia="黑体" w:hint="eastAsia"/>
          <w:color w:val="000000" w:themeColor="text1"/>
          <w:sz w:val="21"/>
          <w:szCs w:val="21"/>
          <w:lang w:eastAsia="en-US"/>
        </w:rPr>
        <w:t>套管性能数据表</w:t>
      </w:r>
    </w:p>
    <w:tbl>
      <w:tblPr>
        <w:tblStyle w:val="TableNormal"/>
        <w:tblW w:w="4997"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130"/>
        <w:gridCol w:w="877"/>
        <w:gridCol w:w="1002"/>
        <w:gridCol w:w="1103"/>
        <w:gridCol w:w="1011"/>
        <w:gridCol w:w="1002"/>
        <w:gridCol w:w="1007"/>
        <w:gridCol w:w="1007"/>
        <w:gridCol w:w="1010"/>
      </w:tblGrid>
      <w:tr w:rsidR="002E0859" w14:paraId="756041E7" w14:textId="77777777">
        <w:trPr>
          <w:trHeight w:val="23"/>
        </w:trPr>
        <w:tc>
          <w:tcPr>
            <w:tcW w:w="617" w:type="pct"/>
            <w:tcBorders>
              <w:top w:val="single" w:sz="12" w:space="0" w:color="000000"/>
              <w:left w:val="single" w:sz="12" w:space="0" w:color="000000"/>
              <w:bottom w:val="single" w:sz="4" w:space="0" w:color="000000"/>
              <w:right w:val="single" w:sz="4" w:space="0" w:color="000000"/>
            </w:tcBorders>
            <w:vAlign w:val="center"/>
          </w:tcPr>
          <w:p w14:paraId="7FA7308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外径（</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479" w:type="pct"/>
            <w:tcBorders>
              <w:top w:val="single" w:sz="12" w:space="0" w:color="000000"/>
              <w:left w:val="single" w:sz="4" w:space="0" w:color="000000"/>
              <w:bottom w:val="single" w:sz="4" w:space="0" w:color="000000"/>
              <w:right w:val="single" w:sz="4" w:space="0" w:color="000000"/>
            </w:tcBorders>
            <w:vAlign w:val="center"/>
          </w:tcPr>
          <w:p w14:paraId="4BFD1D0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钢级</w:t>
            </w:r>
          </w:p>
        </w:tc>
        <w:tc>
          <w:tcPr>
            <w:tcW w:w="547" w:type="pct"/>
            <w:tcBorders>
              <w:top w:val="single" w:sz="12" w:space="0" w:color="000000"/>
              <w:left w:val="single" w:sz="4" w:space="0" w:color="000000"/>
              <w:bottom w:val="single" w:sz="4" w:space="0" w:color="000000"/>
              <w:right w:val="single" w:sz="4" w:space="0" w:color="000000"/>
            </w:tcBorders>
            <w:vAlign w:val="center"/>
          </w:tcPr>
          <w:p w14:paraId="484F971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壁厚</w:t>
            </w:r>
          </w:p>
          <w:p w14:paraId="30644F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602" w:type="pct"/>
            <w:tcBorders>
              <w:top w:val="single" w:sz="12" w:space="0" w:color="000000"/>
              <w:left w:val="single" w:sz="4" w:space="0" w:color="000000"/>
              <w:bottom w:val="single" w:sz="4" w:space="0" w:color="000000"/>
              <w:right w:val="single" w:sz="4" w:space="0" w:color="000000"/>
            </w:tcBorders>
            <w:vAlign w:val="center"/>
          </w:tcPr>
          <w:p w14:paraId="135394E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扣型</w:t>
            </w:r>
          </w:p>
        </w:tc>
        <w:tc>
          <w:tcPr>
            <w:tcW w:w="552" w:type="pct"/>
            <w:tcBorders>
              <w:top w:val="single" w:sz="12" w:space="0" w:color="000000"/>
              <w:left w:val="single" w:sz="4" w:space="0" w:color="000000"/>
              <w:bottom w:val="single" w:sz="4" w:space="0" w:color="000000"/>
              <w:right w:val="single" w:sz="4" w:space="0" w:color="000000"/>
            </w:tcBorders>
            <w:vAlign w:val="center"/>
          </w:tcPr>
          <w:p w14:paraId="088303F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每米重量（</w:t>
            </w:r>
            <w:r>
              <w:rPr>
                <w:snapToGrid w:val="0"/>
                <w:color w:val="000000" w:themeColor="text1"/>
                <w:spacing w:val="-2"/>
                <w:kern w:val="0"/>
                <w:sz w:val="21"/>
                <w:szCs w:val="21"/>
                <w:lang w:eastAsia="en-US"/>
              </w:rPr>
              <w:t>kg/m</w:t>
            </w:r>
            <w:r>
              <w:rPr>
                <w:snapToGrid w:val="0"/>
                <w:color w:val="000000" w:themeColor="text1"/>
                <w:spacing w:val="-2"/>
                <w:kern w:val="0"/>
                <w:sz w:val="21"/>
                <w:szCs w:val="21"/>
                <w:lang w:eastAsia="en-US"/>
              </w:rPr>
              <w:t>）</w:t>
            </w:r>
          </w:p>
        </w:tc>
        <w:tc>
          <w:tcPr>
            <w:tcW w:w="547" w:type="pct"/>
            <w:tcBorders>
              <w:top w:val="single" w:sz="12" w:space="0" w:color="000000"/>
              <w:left w:val="single" w:sz="4" w:space="0" w:color="000000"/>
              <w:bottom w:val="single" w:sz="4" w:space="0" w:color="000000"/>
              <w:right w:val="single" w:sz="4" w:space="0" w:color="000000"/>
            </w:tcBorders>
            <w:vAlign w:val="center"/>
          </w:tcPr>
          <w:p w14:paraId="253C8D4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接箍外径（</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550" w:type="pct"/>
            <w:tcBorders>
              <w:top w:val="single" w:sz="12" w:space="0" w:color="000000"/>
              <w:left w:val="single" w:sz="4" w:space="0" w:color="000000"/>
              <w:bottom w:val="single" w:sz="4" w:space="0" w:color="000000"/>
              <w:right w:val="single" w:sz="4" w:space="0" w:color="000000"/>
            </w:tcBorders>
            <w:vAlign w:val="center"/>
          </w:tcPr>
          <w:p w14:paraId="1F048F2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抗拉强度（</w:t>
            </w:r>
            <w:r>
              <w:rPr>
                <w:snapToGrid w:val="0"/>
                <w:color w:val="000000" w:themeColor="text1"/>
                <w:spacing w:val="-2"/>
                <w:kern w:val="0"/>
                <w:sz w:val="21"/>
                <w:szCs w:val="21"/>
                <w:lang w:eastAsia="en-US"/>
              </w:rPr>
              <w:t>kN</w:t>
            </w:r>
            <w:r>
              <w:rPr>
                <w:snapToGrid w:val="0"/>
                <w:color w:val="000000" w:themeColor="text1"/>
                <w:spacing w:val="-2"/>
                <w:kern w:val="0"/>
                <w:sz w:val="21"/>
                <w:szCs w:val="21"/>
                <w:lang w:eastAsia="en-US"/>
              </w:rPr>
              <w:t>）</w:t>
            </w:r>
          </w:p>
        </w:tc>
        <w:tc>
          <w:tcPr>
            <w:tcW w:w="550" w:type="pct"/>
            <w:tcBorders>
              <w:top w:val="single" w:sz="12" w:space="0" w:color="000000"/>
              <w:left w:val="single" w:sz="4" w:space="0" w:color="000000"/>
              <w:bottom w:val="single" w:sz="4" w:space="0" w:color="000000"/>
              <w:right w:val="single" w:sz="4" w:space="0" w:color="000000"/>
            </w:tcBorders>
            <w:vAlign w:val="center"/>
          </w:tcPr>
          <w:p w14:paraId="0CF45AA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抗挤强度（</w:t>
            </w:r>
            <w:r>
              <w:rPr>
                <w:snapToGrid w:val="0"/>
                <w:color w:val="000000" w:themeColor="text1"/>
                <w:spacing w:val="-2"/>
                <w:kern w:val="0"/>
                <w:sz w:val="21"/>
                <w:szCs w:val="21"/>
                <w:lang w:eastAsia="en-US"/>
              </w:rPr>
              <w:t>MPa)</w:t>
            </w:r>
          </w:p>
        </w:tc>
        <w:tc>
          <w:tcPr>
            <w:tcW w:w="552" w:type="pct"/>
            <w:tcBorders>
              <w:top w:val="single" w:sz="12" w:space="0" w:color="000000"/>
              <w:left w:val="single" w:sz="4" w:space="0" w:color="000000"/>
              <w:bottom w:val="single" w:sz="4" w:space="0" w:color="000000"/>
              <w:right w:val="single" w:sz="12" w:space="0" w:color="000000"/>
            </w:tcBorders>
            <w:vAlign w:val="center"/>
          </w:tcPr>
          <w:p w14:paraId="15478FB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抗内压强度（</w:t>
            </w:r>
            <w:r>
              <w:rPr>
                <w:snapToGrid w:val="0"/>
                <w:color w:val="000000" w:themeColor="text1"/>
                <w:spacing w:val="-2"/>
                <w:kern w:val="0"/>
                <w:sz w:val="21"/>
                <w:szCs w:val="21"/>
                <w:lang w:eastAsia="en-US"/>
              </w:rPr>
              <w:t>MPa)</w:t>
            </w:r>
          </w:p>
        </w:tc>
      </w:tr>
      <w:tr w:rsidR="002E0859" w14:paraId="514E9930" w14:textId="77777777">
        <w:trPr>
          <w:trHeight w:val="23"/>
        </w:trPr>
        <w:tc>
          <w:tcPr>
            <w:tcW w:w="617" w:type="pct"/>
            <w:tcBorders>
              <w:top w:val="single" w:sz="4" w:space="0" w:color="000000"/>
              <w:left w:val="single" w:sz="12" w:space="0" w:color="000000"/>
              <w:bottom w:val="single" w:sz="4" w:space="0" w:color="000000"/>
              <w:right w:val="single" w:sz="4" w:space="0" w:color="000000"/>
            </w:tcBorders>
            <w:vAlign w:val="center"/>
          </w:tcPr>
          <w:p w14:paraId="08CD3B8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406.4</w:t>
            </w:r>
          </w:p>
        </w:tc>
        <w:tc>
          <w:tcPr>
            <w:tcW w:w="479" w:type="pct"/>
            <w:tcBorders>
              <w:top w:val="single" w:sz="4" w:space="0" w:color="000000"/>
              <w:left w:val="single" w:sz="4" w:space="0" w:color="000000"/>
              <w:bottom w:val="single" w:sz="4" w:space="0" w:color="000000"/>
              <w:right w:val="single" w:sz="4" w:space="0" w:color="000000"/>
            </w:tcBorders>
            <w:vAlign w:val="center"/>
          </w:tcPr>
          <w:p w14:paraId="4470454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J55</w:t>
            </w:r>
          </w:p>
        </w:tc>
        <w:tc>
          <w:tcPr>
            <w:tcW w:w="547" w:type="pct"/>
            <w:tcBorders>
              <w:top w:val="single" w:sz="4" w:space="0" w:color="000000"/>
              <w:left w:val="single" w:sz="4" w:space="0" w:color="000000"/>
              <w:bottom w:val="single" w:sz="4" w:space="0" w:color="000000"/>
              <w:right w:val="single" w:sz="4" w:space="0" w:color="000000"/>
            </w:tcBorders>
            <w:vAlign w:val="center"/>
          </w:tcPr>
          <w:p w14:paraId="221EECA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11.13</w:t>
            </w:r>
          </w:p>
        </w:tc>
        <w:tc>
          <w:tcPr>
            <w:tcW w:w="602" w:type="pct"/>
            <w:tcBorders>
              <w:top w:val="single" w:sz="4" w:space="0" w:color="000000"/>
              <w:left w:val="single" w:sz="4" w:space="0" w:color="000000"/>
              <w:bottom w:val="single" w:sz="4" w:space="0" w:color="000000"/>
              <w:right w:val="single" w:sz="4" w:space="0" w:color="000000"/>
            </w:tcBorders>
            <w:vAlign w:val="center"/>
          </w:tcPr>
          <w:p w14:paraId="176A2C3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BTC</w:t>
            </w:r>
          </w:p>
        </w:tc>
        <w:tc>
          <w:tcPr>
            <w:tcW w:w="552" w:type="pct"/>
            <w:tcBorders>
              <w:top w:val="single" w:sz="4" w:space="0" w:color="000000"/>
              <w:left w:val="single" w:sz="4" w:space="0" w:color="000000"/>
              <w:bottom w:val="single" w:sz="4" w:space="0" w:color="000000"/>
              <w:right w:val="single" w:sz="4" w:space="0" w:color="000000"/>
            </w:tcBorders>
            <w:vAlign w:val="center"/>
          </w:tcPr>
          <w:p w14:paraId="5F2F40D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111.61</w:t>
            </w:r>
          </w:p>
        </w:tc>
        <w:tc>
          <w:tcPr>
            <w:tcW w:w="547" w:type="pct"/>
            <w:tcBorders>
              <w:top w:val="single" w:sz="4" w:space="0" w:color="000000"/>
              <w:left w:val="single" w:sz="4" w:space="0" w:color="000000"/>
              <w:bottom w:val="single" w:sz="4" w:space="0" w:color="000000"/>
              <w:right w:val="single" w:sz="4" w:space="0" w:color="000000"/>
            </w:tcBorders>
            <w:vAlign w:val="center"/>
          </w:tcPr>
          <w:p w14:paraId="32D7C33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431.8</w:t>
            </w:r>
          </w:p>
        </w:tc>
        <w:tc>
          <w:tcPr>
            <w:tcW w:w="550" w:type="pct"/>
            <w:tcBorders>
              <w:top w:val="single" w:sz="4" w:space="0" w:color="000000"/>
              <w:left w:val="single" w:sz="4" w:space="0" w:color="000000"/>
              <w:bottom w:val="single" w:sz="4" w:space="0" w:color="000000"/>
              <w:right w:val="single" w:sz="4" w:space="0" w:color="000000"/>
            </w:tcBorders>
            <w:vAlign w:val="center"/>
          </w:tcPr>
          <w:p w14:paraId="1A69BF0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5240</w:t>
            </w:r>
          </w:p>
        </w:tc>
        <w:tc>
          <w:tcPr>
            <w:tcW w:w="550" w:type="pct"/>
            <w:tcBorders>
              <w:top w:val="single" w:sz="4" w:space="0" w:color="000000"/>
              <w:left w:val="single" w:sz="4" w:space="0" w:color="000000"/>
              <w:bottom w:val="single" w:sz="4" w:space="0" w:color="000000"/>
              <w:right w:val="single" w:sz="4" w:space="0" w:color="000000"/>
            </w:tcBorders>
            <w:vAlign w:val="center"/>
          </w:tcPr>
          <w:p w14:paraId="65D2F89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7.03</w:t>
            </w:r>
          </w:p>
        </w:tc>
        <w:tc>
          <w:tcPr>
            <w:tcW w:w="552" w:type="pct"/>
            <w:tcBorders>
              <w:top w:val="single" w:sz="4" w:space="0" w:color="000000"/>
              <w:left w:val="single" w:sz="4" w:space="0" w:color="000000"/>
              <w:bottom w:val="single" w:sz="4" w:space="0" w:color="000000"/>
              <w:right w:val="single" w:sz="12" w:space="0" w:color="000000"/>
            </w:tcBorders>
            <w:vAlign w:val="center"/>
          </w:tcPr>
          <w:p w14:paraId="699697E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18.13</w:t>
            </w:r>
          </w:p>
        </w:tc>
      </w:tr>
      <w:tr w:rsidR="002E0859" w14:paraId="38217D74" w14:textId="77777777">
        <w:trPr>
          <w:trHeight w:val="23"/>
        </w:trPr>
        <w:tc>
          <w:tcPr>
            <w:tcW w:w="617" w:type="pct"/>
            <w:tcBorders>
              <w:top w:val="single" w:sz="4" w:space="0" w:color="000000"/>
              <w:left w:val="single" w:sz="12" w:space="0" w:color="000000"/>
              <w:bottom w:val="single" w:sz="4" w:space="0" w:color="000000"/>
              <w:right w:val="single" w:sz="4" w:space="0" w:color="000000"/>
            </w:tcBorders>
            <w:vAlign w:val="center"/>
          </w:tcPr>
          <w:p w14:paraId="4F57B49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298.4</w:t>
            </w:r>
          </w:p>
        </w:tc>
        <w:tc>
          <w:tcPr>
            <w:tcW w:w="479" w:type="pct"/>
            <w:tcBorders>
              <w:top w:val="single" w:sz="4" w:space="0" w:color="000000"/>
              <w:left w:val="single" w:sz="4" w:space="0" w:color="000000"/>
              <w:bottom w:val="single" w:sz="4" w:space="0" w:color="000000"/>
              <w:right w:val="single" w:sz="4" w:space="0" w:color="000000"/>
            </w:tcBorders>
            <w:vAlign w:val="center"/>
          </w:tcPr>
          <w:p w14:paraId="72B7926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J55</w:t>
            </w:r>
          </w:p>
        </w:tc>
        <w:tc>
          <w:tcPr>
            <w:tcW w:w="547" w:type="pct"/>
            <w:tcBorders>
              <w:top w:val="single" w:sz="4" w:space="0" w:color="000000"/>
              <w:left w:val="single" w:sz="4" w:space="0" w:color="000000"/>
              <w:bottom w:val="single" w:sz="4" w:space="0" w:color="000000"/>
              <w:right w:val="single" w:sz="4" w:space="0" w:color="000000"/>
            </w:tcBorders>
            <w:vAlign w:val="center"/>
          </w:tcPr>
          <w:p w14:paraId="0778E7F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11.05</w:t>
            </w:r>
          </w:p>
        </w:tc>
        <w:tc>
          <w:tcPr>
            <w:tcW w:w="602" w:type="pct"/>
            <w:tcBorders>
              <w:top w:val="single" w:sz="4" w:space="0" w:color="000000"/>
              <w:left w:val="single" w:sz="4" w:space="0" w:color="000000"/>
              <w:bottom w:val="single" w:sz="4" w:space="0" w:color="000000"/>
              <w:right w:val="single" w:sz="4" w:space="0" w:color="000000"/>
            </w:tcBorders>
            <w:vAlign w:val="center"/>
          </w:tcPr>
          <w:p w14:paraId="4468BB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BTC</w:t>
            </w:r>
          </w:p>
        </w:tc>
        <w:tc>
          <w:tcPr>
            <w:tcW w:w="552" w:type="pct"/>
            <w:tcBorders>
              <w:top w:val="single" w:sz="4" w:space="0" w:color="000000"/>
              <w:left w:val="single" w:sz="4" w:space="0" w:color="000000"/>
              <w:bottom w:val="single" w:sz="4" w:space="0" w:color="000000"/>
              <w:right w:val="single" w:sz="4" w:space="0" w:color="000000"/>
            </w:tcBorders>
            <w:vAlign w:val="center"/>
          </w:tcPr>
          <w:p w14:paraId="00FEB6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80.36</w:t>
            </w:r>
          </w:p>
        </w:tc>
        <w:tc>
          <w:tcPr>
            <w:tcW w:w="547" w:type="pct"/>
            <w:tcBorders>
              <w:top w:val="single" w:sz="4" w:space="0" w:color="000000"/>
              <w:left w:val="single" w:sz="4" w:space="0" w:color="000000"/>
              <w:bottom w:val="single" w:sz="4" w:space="0" w:color="000000"/>
              <w:right w:val="single" w:sz="4" w:space="0" w:color="000000"/>
            </w:tcBorders>
            <w:vAlign w:val="center"/>
          </w:tcPr>
          <w:p w14:paraId="46B24E6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323.90</w:t>
            </w:r>
          </w:p>
        </w:tc>
        <w:tc>
          <w:tcPr>
            <w:tcW w:w="550" w:type="pct"/>
            <w:tcBorders>
              <w:top w:val="single" w:sz="4" w:space="0" w:color="000000"/>
              <w:left w:val="single" w:sz="4" w:space="0" w:color="000000"/>
              <w:bottom w:val="single" w:sz="4" w:space="0" w:color="000000"/>
              <w:right w:val="single" w:sz="4" w:space="0" w:color="000000"/>
            </w:tcBorders>
            <w:vAlign w:val="center"/>
          </w:tcPr>
          <w:p w14:paraId="4175C90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3781.00</w:t>
            </w:r>
          </w:p>
        </w:tc>
        <w:tc>
          <w:tcPr>
            <w:tcW w:w="550" w:type="pct"/>
            <w:tcBorders>
              <w:top w:val="single" w:sz="4" w:space="0" w:color="000000"/>
              <w:left w:val="single" w:sz="4" w:space="0" w:color="000000"/>
              <w:bottom w:val="single" w:sz="4" w:space="0" w:color="000000"/>
              <w:right w:val="single" w:sz="4" w:space="0" w:color="000000"/>
            </w:tcBorders>
            <w:vAlign w:val="center"/>
          </w:tcPr>
          <w:p w14:paraId="5EAE55D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14.27</w:t>
            </w:r>
          </w:p>
        </w:tc>
        <w:tc>
          <w:tcPr>
            <w:tcW w:w="552" w:type="pct"/>
            <w:tcBorders>
              <w:top w:val="single" w:sz="4" w:space="0" w:color="000000"/>
              <w:left w:val="single" w:sz="4" w:space="0" w:color="000000"/>
              <w:bottom w:val="single" w:sz="4" w:space="0" w:color="000000"/>
              <w:right w:val="single" w:sz="12" w:space="0" w:color="000000"/>
            </w:tcBorders>
            <w:vAlign w:val="center"/>
          </w:tcPr>
          <w:p w14:paraId="6120888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24.55</w:t>
            </w:r>
          </w:p>
        </w:tc>
      </w:tr>
      <w:tr w:rsidR="002E0859" w14:paraId="1439CEA9" w14:textId="77777777">
        <w:trPr>
          <w:trHeight w:val="23"/>
        </w:trPr>
        <w:tc>
          <w:tcPr>
            <w:tcW w:w="617" w:type="pct"/>
            <w:tcBorders>
              <w:top w:val="single" w:sz="4" w:space="0" w:color="000000"/>
              <w:left w:val="single" w:sz="12" w:space="0" w:color="000000"/>
              <w:bottom w:val="single" w:sz="4" w:space="0" w:color="000000"/>
              <w:right w:val="single" w:sz="4" w:space="0" w:color="000000"/>
            </w:tcBorders>
            <w:vAlign w:val="center"/>
          </w:tcPr>
          <w:p w14:paraId="77D694A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219.1</w:t>
            </w:r>
          </w:p>
        </w:tc>
        <w:tc>
          <w:tcPr>
            <w:tcW w:w="479" w:type="pct"/>
            <w:tcBorders>
              <w:top w:val="single" w:sz="4" w:space="0" w:color="000000"/>
              <w:left w:val="single" w:sz="4" w:space="0" w:color="000000"/>
              <w:bottom w:val="single" w:sz="4" w:space="0" w:color="000000"/>
              <w:right w:val="single" w:sz="4" w:space="0" w:color="000000"/>
            </w:tcBorders>
            <w:vAlign w:val="center"/>
          </w:tcPr>
          <w:p w14:paraId="7E115F0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N80</w:t>
            </w:r>
          </w:p>
        </w:tc>
        <w:tc>
          <w:tcPr>
            <w:tcW w:w="547" w:type="pct"/>
            <w:tcBorders>
              <w:top w:val="single" w:sz="4" w:space="0" w:color="000000"/>
              <w:left w:val="single" w:sz="4" w:space="0" w:color="000000"/>
              <w:bottom w:val="single" w:sz="4" w:space="0" w:color="000000"/>
              <w:right w:val="single" w:sz="4" w:space="0" w:color="000000"/>
            </w:tcBorders>
            <w:vAlign w:val="center"/>
          </w:tcPr>
          <w:p w14:paraId="7B7838C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10.16</w:t>
            </w:r>
          </w:p>
        </w:tc>
        <w:tc>
          <w:tcPr>
            <w:tcW w:w="602" w:type="pct"/>
            <w:tcBorders>
              <w:top w:val="single" w:sz="4" w:space="0" w:color="000000"/>
              <w:left w:val="single" w:sz="4" w:space="0" w:color="000000"/>
              <w:bottom w:val="single" w:sz="4" w:space="0" w:color="000000"/>
              <w:right w:val="single" w:sz="4" w:space="0" w:color="000000"/>
            </w:tcBorders>
            <w:vAlign w:val="center"/>
          </w:tcPr>
          <w:p w14:paraId="4E27406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LTC</w:t>
            </w:r>
          </w:p>
        </w:tc>
        <w:tc>
          <w:tcPr>
            <w:tcW w:w="552" w:type="pct"/>
            <w:tcBorders>
              <w:top w:val="single" w:sz="4" w:space="0" w:color="000000"/>
              <w:left w:val="single" w:sz="4" w:space="0" w:color="000000"/>
              <w:bottom w:val="single" w:sz="4" w:space="0" w:color="000000"/>
              <w:right w:val="single" w:sz="4" w:space="0" w:color="000000"/>
            </w:tcBorders>
            <w:vAlign w:val="center"/>
          </w:tcPr>
          <w:p w14:paraId="52DD761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53.57</w:t>
            </w:r>
          </w:p>
        </w:tc>
        <w:tc>
          <w:tcPr>
            <w:tcW w:w="547" w:type="pct"/>
            <w:tcBorders>
              <w:top w:val="single" w:sz="4" w:space="0" w:color="000000"/>
              <w:left w:val="single" w:sz="4" w:space="0" w:color="000000"/>
              <w:bottom w:val="single" w:sz="4" w:space="0" w:color="000000"/>
              <w:right w:val="single" w:sz="4" w:space="0" w:color="000000"/>
            </w:tcBorders>
            <w:vAlign w:val="center"/>
          </w:tcPr>
          <w:p w14:paraId="1509558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244.48</w:t>
            </w:r>
          </w:p>
        </w:tc>
        <w:tc>
          <w:tcPr>
            <w:tcW w:w="550" w:type="pct"/>
            <w:tcBorders>
              <w:top w:val="single" w:sz="4" w:space="0" w:color="000000"/>
              <w:left w:val="single" w:sz="4" w:space="0" w:color="000000"/>
              <w:bottom w:val="single" w:sz="4" w:space="0" w:color="000000"/>
              <w:right w:val="single" w:sz="4" w:space="0" w:color="000000"/>
            </w:tcBorders>
            <w:vAlign w:val="center"/>
          </w:tcPr>
          <w:p w14:paraId="22232D2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3058.30</w:t>
            </w:r>
          </w:p>
        </w:tc>
        <w:tc>
          <w:tcPr>
            <w:tcW w:w="550" w:type="pct"/>
            <w:tcBorders>
              <w:top w:val="single" w:sz="4" w:space="0" w:color="000000"/>
              <w:left w:val="single" w:sz="4" w:space="0" w:color="000000"/>
              <w:bottom w:val="single" w:sz="4" w:space="0" w:color="000000"/>
              <w:right w:val="single" w:sz="4" w:space="0" w:color="000000"/>
            </w:tcBorders>
            <w:vAlign w:val="center"/>
          </w:tcPr>
          <w:p w14:paraId="3A89115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28.28</w:t>
            </w:r>
          </w:p>
        </w:tc>
        <w:tc>
          <w:tcPr>
            <w:tcW w:w="552" w:type="pct"/>
            <w:tcBorders>
              <w:top w:val="single" w:sz="4" w:space="0" w:color="000000"/>
              <w:left w:val="single" w:sz="4" w:space="0" w:color="000000"/>
              <w:bottom w:val="single" w:sz="4" w:space="0" w:color="000000"/>
              <w:right w:val="single" w:sz="12" w:space="0" w:color="000000"/>
            </w:tcBorders>
            <w:vAlign w:val="center"/>
          </w:tcPr>
          <w:p w14:paraId="376AB8A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44.76</w:t>
            </w:r>
          </w:p>
        </w:tc>
      </w:tr>
      <w:tr w:rsidR="002E0859" w14:paraId="01F969A4" w14:textId="77777777">
        <w:trPr>
          <w:trHeight w:val="23"/>
        </w:trPr>
        <w:tc>
          <w:tcPr>
            <w:tcW w:w="617" w:type="pct"/>
            <w:tcBorders>
              <w:top w:val="single" w:sz="4" w:space="0" w:color="000000"/>
              <w:left w:val="single" w:sz="12" w:space="0" w:color="000000"/>
              <w:bottom w:val="single" w:sz="4" w:space="0" w:color="000000"/>
              <w:right w:val="single" w:sz="4" w:space="0" w:color="000000"/>
            </w:tcBorders>
            <w:vAlign w:val="center"/>
          </w:tcPr>
          <w:p w14:paraId="08B9D88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139.7</w:t>
            </w:r>
          </w:p>
        </w:tc>
        <w:tc>
          <w:tcPr>
            <w:tcW w:w="479" w:type="pct"/>
            <w:tcBorders>
              <w:top w:val="single" w:sz="4" w:space="0" w:color="000000"/>
              <w:left w:val="single" w:sz="4" w:space="0" w:color="000000"/>
              <w:bottom w:val="single" w:sz="4" w:space="0" w:color="000000"/>
              <w:right w:val="single" w:sz="4" w:space="0" w:color="000000"/>
            </w:tcBorders>
            <w:vAlign w:val="center"/>
          </w:tcPr>
          <w:p w14:paraId="5CB4702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P110</w:t>
            </w:r>
          </w:p>
        </w:tc>
        <w:tc>
          <w:tcPr>
            <w:tcW w:w="547" w:type="pct"/>
            <w:tcBorders>
              <w:top w:val="single" w:sz="4" w:space="0" w:color="000000"/>
              <w:left w:val="single" w:sz="4" w:space="0" w:color="000000"/>
              <w:bottom w:val="single" w:sz="4" w:space="0" w:color="000000"/>
              <w:right w:val="single" w:sz="4" w:space="0" w:color="000000"/>
            </w:tcBorders>
            <w:vAlign w:val="center"/>
          </w:tcPr>
          <w:p w14:paraId="11409D4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12.34</w:t>
            </w:r>
          </w:p>
        </w:tc>
        <w:tc>
          <w:tcPr>
            <w:tcW w:w="602" w:type="pct"/>
            <w:tcBorders>
              <w:top w:val="single" w:sz="4" w:space="0" w:color="000000"/>
              <w:left w:val="single" w:sz="4" w:space="0" w:color="000000"/>
              <w:bottom w:val="single" w:sz="4" w:space="0" w:color="000000"/>
              <w:right w:val="single" w:sz="4" w:space="0" w:color="000000"/>
            </w:tcBorders>
            <w:vAlign w:val="center"/>
          </w:tcPr>
          <w:p w14:paraId="76DF983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TP-CQ</w:t>
            </w:r>
          </w:p>
        </w:tc>
        <w:tc>
          <w:tcPr>
            <w:tcW w:w="552" w:type="pct"/>
            <w:tcBorders>
              <w:top w:val="single" w:sz="4" w:space="0" w:color="000000"/>
              <w:left w:val="single" w:sz="4" w:space="0" w:color="000000"/>
              <w:bottom w:val="single" w:sz="4" w:space="0" w:color="000000"/>
              <w:right w:val="single" w:sz="4" w:space="0" w:color="000000"/>
            </w:tcBorders>
            <w:vAlign w:val="center"/>
          </w:tcPr>
          <w:p w14:paraId="7ADE8E5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38.76</w:t>
            </w:r>
          </w:p>
        </w:tc>
        <w:tc>
          <w:tcPr>
            <w:tcW w:w="547" w:type="pct"/>
            <w:tcBorders>
              <w:top w:val="single" w:sz="4" w:space="0" w:color="000000"/>
              <w:left w:val="single" w:sz="4" w:space="0" w:color="000000"/>
              <w:bottom w:val="single" w:sz="4" w:space="0" w:color="000000"/>
              <w:right w:val="single" w:sz="4" w:space="0" w:color="000000"/>
            </w:tcBorders>
            <w:vAlign w:val="center"/>
          </w:tcPr>
          <w:p w14:paraId="47080AF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159.5</w:t>
            </w:r>
          </w:p>
        </w:tc>
        <w:tc>
          <w:tcPr>
            <w:tcW w:w="550" w:type="pct"/>
            <w:tcBorders>
              <w:top w:val="single" w:sz="4" w:space="0" w:color="000000"/>
              <w:left w:val="single" w:sz="4" w:space="0" w:color="000000"/>
              <w:bottom w:val="single" w:sz="4" w:space="0" w:color="000000"/>
              <w:right w:val="single" w:sz="4" w:space="0" w:color="000000"/>
            </w:tcBorders>
            <w:vAlign w:val="center"/>
          </w:tcPr>
          <w:p w14:paraId="1A99210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3741</w:t>
            </w:r>
          </w:p>
        </w:tc>
        <w:tc>
          <w:tcPr>
            <w:tcW w:w="550" w:type="pct"/>
            <w:tcBorders>
              <w:top w:val="single" w:sz="4" w:space="0" w:color="000000"/>
              <w:left w:val="single" w:sz="4" w:space="0" w:color="000000"/>
              <w:bottom w:val="single" w:sz="4" w:space="0" w:color="000000"/>
              <w:right w:val="single" w:sz="4" w:space="0" w:color="000000"/>
            </w:tcBorders>
            <w:vAlign w:val="center"/>
          </w:tcPr>
          <w:p w14:paraId="7F9438E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122.2</w:t>
            </w:r>
          </w:p>
        </w:tc>
        <w:tc>
          <w:tcPr>
            <w:tcW w:w="552" w:type="pct"/>
            <w:tcBorders>
              <w:top w:val="single" w:sz="4" w:space="0" w:color="000000"/>
              <w:left w:val="single" w:sz="4" w:space="0" w:color="000000"/>
              <w:bottom w:val="single" w:sz="4" w:space="0" w:color="000000"/>
              <w:right w:val="single" w:sz="12" w:space="0" w:color="000000"/>
            </w:tcBorders>
            <w:vAlign w:val="center"/>
          </w:tcPr>
          <w:p w14:paraId="74587E7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117.3</w:t>
            </w:r>
          </w:p>
        </w:tc>
      </w:tr>
      <w:tr w:rsidR="002E0859" w14:paraId="59B26548" w14:textId="77777777">
        <w:trPr>
          <w:trHeight w:val="23"/>
        </w:trPr>
        <w:tc>
          <w:tcPr>
            <w:tcW w:w="617" w:type="pct"/>
            <w:tcBorders>
              <w:top w:val="single" w:sz="4" w:space="0" w:color="000000"/>
              <w:left w:val="single" w:sz="12" w:space="0" w:color="000000"/>
              <w:bottom w:val="single" w:sz="12" w:space="0" w:color="000000"/>
              <w:right w:val="single" w:sz="4" w:space="0" w:color="000000"/>
            </w:tcBorders>
            <w:vAlign w:val="center"/>
          </w:tcPr>
          <w:p w14:paraId="58565F2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139.7</w:t>
            </w:r>
          </w:p>
        </w:tc>
        <w:tc>
          <w:tcPr>
            <w:tcW w:w="479" w:type="pct"/>
            <w:tcBorders>
              <w:top w:val="single" w:sz="4" w:space="0" w:color="000000"/>
              <w:left w:val="single" w:sz="4" w:space="0" w:color="000000"/>
              <w:bottom w:val="single" w:sz="12" w:space="0" w:color="000000"/>
              <w:right w:val="single" w:sz="4" w:space="0" w:color="000000"/>
            </w:tcBorders>
            <w:vAlign w:val="center"/>
          </w:tcPr>
          <w:p w14:paraId="048DBD0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TP110T</w:t>
            </w:r>
          </w:p>
        </w:tc>
        <w:tc>
          <w:tcPr>
            <w:tcW w:w="547" w:type="pct"/>
            <w:tcBorders>
              <w:top w:val="single" w:sz="4" w:space="0" w:color="000000"/>
              <w:left w:val="single" w:sz="4" w:space="0" w:color="000000"/>
              <w:bottom w:val="single" w:sz="12" w:space="0" w:color="000000"/>
              <w:right w:val="single" w:sz="4" w:space="0" w:color="000000"/>
            </w:tcBorders>
            <w:vAlign w:val="center"/>
          </w:tcPr>
          <w:p w14:paraId="4C98ABA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12.34</w:t>
            </w:r>
          </w:p>
        </w:tc>
        <w:tc>
          <w:tcPr>
            <w:tcW w:w="602" w:type="pct"/>
            <w:tcBorders>
              <w:top w:val="single" w:sz="4" w:space="0" w:color="000000"/>
              <w:left w:val="single" w:sz="4" w:space="0" w:color="000000"/>
              <w:bottom w:val="single" w:sz="12" w:space="0" w:color="000000"/>
              <w:right w:val="single" w:sz="4" w:space="0" w:color="000000"/>
            </w:tcBorders>
            <w:vAlign w:val="center"/>
          </w:tcPr>
          <w:p w14:paraId="17FEDD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TP-CQ</w:t>
            </w:r>
          </w:p>
        </w:tc>
        <w:tc>
          <w:tcPr>
            <w:tcW w:w="552" w:type="pct"/>
            <w:tcBorders>
              <w:top w:val="single" w:sz="4" w:space="0" w:color="000000"/>
              <w:left w:val="single" w:sz="4" w:space="0" w:color="000000"/>
              <w:bottom w:val="single" w:sz="12" w:space="0" w:color="000000"/>
              <w:right w:val="single" w:sz="4" w:space="0" w:color="000000"/>
            </w:tcBorders>
            <w:vAlign w:val="center"/>
          </w:tcPr>
          <w:p w14:paraId="277C711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38.76</w:t>
            </w:r>
          </w:p>
        </w:tc>
        <w:tc>
          <w:tcPr>
            <w:tcW w:w="547" w:type="pct"/>
            <w:tcBorders>
              <w:top w:val="single" w:sz="4" w:space="0" w:color="000000"/>
              <w:left w:val="single" w:sz="4" w:space="0" w:color="000000"/>
              <w:bottom w:val="single" w:sz="12" w:space="0" w:color="000000"/>
              <w:right w:val="single" w:sz="4" w:space="0" w:color="000000"/>
            </w:tcBorders>
            <w:vAlign w:val="center"/>
          </w:tcPr>
          <w:p w14:paraId="6C0B804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159.5</w:t>
            </w:r>
          </w:p>
        </w:tc>
        <w:tc>
          <w:tcPr>
            <w:tcW w:w="550" w:type="pct"/>
            <w:tcBorders>
              <w:top w:val="single" w:sz="4" w:space="0" w:color="000000"/>
              <w:left w:val="single" w:sz="4" w:space="0" w:color="000000"/>
              <w:bottom w:val="single" w:sz="12" w:space="0" w:color="000000"/>
              <w:right w:val="single" w:sz="4" w:space="0" w:color="000000"/>
            </w:tcBorders>
            <w:vAlign w:val="center"/>
          </w:tcPr>
          <w:p w14:paraId="1046215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3741</w:t>
            </w:r>
          </w:p>
        </w:tc>
        <w:tc>
          <w:tcPr>
            <w:tcW w:w="550" w:type="pct"/>
            <w:tcBorders>
              <w:top w:val="single" w:sz="4" w:space="0" w:color="000000"/>
              <w:left w:val="single" w:sz="4" w:space="0" w:color="000000"/>
              <w:bottom w:val="single" w:sz="12" w:space="0" w:color="000000"/>
              <w:right w:val="single" w:sz="4" w:space="0" w:color="000000"/>
            </w:tcBorders>
            <w:vAlign w:val="center"/>
          </w:tcPr>
          <w:p w14:paraId="6D796A0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131.0</w:t>
            </w:r>
          </w:p>
        </w:tc>
        <w:tc>
          <w:tcPr>
            <w:tcW w:w="552" w:type="pct"/>
            <w:tcBorders>
              <w:top w:val="single" w:sz="4" w:space="0" w:color="000000"/>
              <w:left w:val="single" w:sz="4" w:space="0" w:color="000000"/>
              <w:bottom w:val="single" w:sz="12" w:space="0" w:color="000000"/>
              <w:right w:val="single" w:sz="12" w:space="0" w:color="000000"/>
            </w:tcBorders>
            <w:vAlign w:val="center"/>
          </w:tcPr>
          <w:p w14:paraId="65E6936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117.3</w:t>
            </w:r>
          </w:p>
        </w:tc>
      </w:tr>
    </w:tbl>
    <w:p w14:paraId="2BE46D33" w14:textId="77777777" w:rsidR="002E0859" w:rsidRDefault="00000000">
      <w:pPr>
        <w:widowControl/>
        <w:kinsoku w:val="0"/>
        <w:topLinePunct w:val="0"/>
        <w:autoSpaceDE w:val="0"/>
        <w:autoSpaceDN w:val="0"/>
        <w:spacing w:beforeLines="50" w:before="120" w:line="360" w:lineRule="auto"/>
        <w:ind w:firstLine="476"/>
        <w:jc w:val="left"/>
        <w:textAlignment w:val="baseline"/>
        <w:rPr>
          <w:snapToGrid w:val="0"/>
          <w:color w:val="000000" w:themeColor="text1"/>
          <w:spacing w:val="-1"/>
          <w:kern w:val="0"/>
          <w:sz w:val="24"/>
          <w:szCs w:val="24"/>
          <w:lang w:eastAsia="en-US"/>
        </w:rPr>
      </w:pPr>
      <w:r>
        <w:rPr>
          <w:rFonts w:hint="eastAsia"/>
          <w:snapToGrid w:val="0"/>
          <w:color w:val="000000" w:themeColor="text1"/>
          <w:spacing w:val="-1"/>
          <w:kern w:val="0"/>
          <w:sz w:val="24"/>
          <w:szCs w:val="24"/>
        </w:rPr>
        <w:t>2</w:t>
      </w:r>
      <w:r>
        <w:rPr>
          <w:rFonts w:hint="eastAsia"/>
          <w:snapToGrid w:val="0"/>
          <w:color w:val="000000" w:themeColor="text1"/>
          <w:spacing w:val="-1"/>
          <w:kern w:val="0"/>
          <w:sz w:val="24"/>
          <w:szCs w:val="24"/>
        </w:rPr>
        <w:t>、</w:t>
      </w:r>
      <w:r>
        <w:rPr>
          <w:snapToGrid w:val="0"/>
          <w:color w:val="000000" w:themeColor="text1"/>
          <w:spacing w:val="-1"/>
          <w:kern w:val="0"/>
          <w:sz w:val="24"/>
          <w:szCs w:val="24"/>
          <w:lang w:eastAsia="en-US"/>
        </w:rPr>
        <w:t>注水泥</w:t>
      </w:r>
    </w:p>
    <w:p w14:paraId="753E0289" w14:textId="77777777" w:rsidR="002E0859" w:rsidRDefault="00000000">
      <w:pPr>
        <w:widowControl/>
        <w:kinsoku w:val="0"/>
        <w:topLinePunct w:val="0"/>
        <w:autoSpaceDE w:val="0"/>
        <w:autoSpaceDN w:val="0"/>
        <w:spacing w:line="240" w:lineRule="auto"/>
        <w:ind w:firstLine="420"/>
        <w:jc w:val="center"/>
        <w:textAlignment w:val="baseline"/>
        <w:rPr>
          <w:rFonts w:ascii="黑体" w:eastAsia="黑体" w:hAnsi="黑体" w:cs="黑体"/>
          <w:snapToGrid w:val="0"/>
          <w:color w:val="000000" w:themeColor="text1"/>
          <w:kern w:val="0"/>
          <w:sz w:val="24"/>
          <w:szCs w:val="24"/>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 xml:space="preserve">18 </w:t>
      </w:r>
      <w:r>
        <w:rPr>
          <w:rFonts w:eastAsia="黑体" w:hint="eastAsia"/>
          <w:color w:val="000000" w:themeColor="text1"/>
          <w:sz w:val="21"/>
          <w:szCs w:val="21"/>
          <w:lang w:eastAsia="en-US"/>
        </w:rPr>
        <w:t>注水泥设计（以焦页</w:t>
      </w:r>
      <w:r>
        <w:rPr>
          <w:rFonts w:eastAsia="黑体" w:hint="eastAsia"/>
          <w:color w:val="000000" w:themeColor="text1"/>
          <w:sz w:val="21"/>
          <w:szCs w:val="21"/>
          <w:lang w:eastAsia="en-US"/>
        </w:rPr>
        <w:t>90-5HF</w:t>
      </w:r>
      <w:r>
        <w:rPr>
          <w:rFonts w:eastAsia="黑体" w:hint="eastAsia"/>
          <w:color w:val="000000" w:themeColor="text1"/>
          <w:sz w:val="21"/>
          <w:szCs w:val="21"/>
          <w:lang w:eastAsia="en-US"/>
        </w:rPr>
        <w:t>为例）</w:t>
      </w:r>
    </w:p>
    <w:tbl>
      <w:tblPr>
        <w:tblStyle w:val="TableNormal"/>
        <w:tblW w:w="9219" w:type="dxa"/>
        <w:tblInd w:w="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571"/>
        <w:gridCol w:w="1234"/>
        <w:gridCol w:w="1628"/>
        <w:gridCol w:w="1172"/>
        <w:gridCol w:w="1748"/>
        <w:gridCol w:w="933"/>
        <w:gridCol w:w="919"/>
        <w:gridCol w:w="1014"/>
      </w:tblGrid>
      <w:tr w:rsidR="002E0859" w14:paraId="31C4E7E9" w14:textId="77777777">
        <w:trPr>
          <w:trHeight w:val="23"/>
        </w:trPr>
        <w:tc>
          <w:tcPr>
            <w:tcW w:w="571" w:type="dxa"/>
            <w:tcBorders>
              <w:tl2br w:val="nil"/>
              <w:tr2bl w:val="nil"/>
            </w:tcBorders>
            <w:vAlign w:val="center"/>
          </w:tcPr>
          <w:p w14:paraId="66F426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lastRenderedPageBreak/>
              <w:t>开钻序号</w:t>
            </w:r>
          </w:p>
        </w:tc>
        <w:tc>
          <w:tcPr>
            <w:tcW w:w="1234" w:type="dxa"/>
            <w:tcBorders>
              <w:tl2br w:val="nil"/>
              <w:tr2bl w:val="nil"/>
            </w:tcBorders>
            <w:vAlign w:val="center"/>
          </w:tcPr>
          <w:p w14:paraId="3F804E1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套管外径</w:t>
            </w:r>
          </w:p>
          <w:p w14:paraId="3840081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1628" w:type="dxa"/>
            <w:tcBorders>
              <w:tl2br w:val="nil"/>
              <w:tr2bl w:val="nil"/>
            </w:tcBorders>
            <w:vAlign w:val="center"/>
          </w:tcPr>
          <w:p w14:paraId="0B8253D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钻井液密度</w:t>
            </w:r>
          </w:p>
          <w:p w14:paraId="21D7F70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g/cm</w:t>
            </w:r>
            <w:r>
              <w:rPr>
                <w:snapToGrid w:val="0"/>
                <w:color w:val="000000" w:themeColor="text1"/>
                <w:spacing w:val="-2"/>
                <w:kern w:val="0"/>
                <w:sz w:val="21"/>
                <w:szCs w:val="21"/>
                <w:vertAlign w:val="superscript"/>
                <w:lang w:eastAsia="en-US"/>
              </w:rPr>
              <w:t>3</w:t>
            </w:r>
            <w:r>
              <w:rPr>
                <w:snapToGrid w:val="0"/>
                <w:color w:val="000000" w:themeColor="text1"/>
                <w:spacing w:val="-2"/>
                <w:kern w:val="0"/>
                <w:sz w:val="21"/>
                <w:szCs w:val="21"/>
                <w:lang w:eastAsia="en-US"/>
              </w:rPr>
              <w:t>）</w:t>
            </w:r>
          </w:p>
        </w:tc>
        <w:tc>
          <w:tcPr>
            <w:tcW w:w="1172" w:type="dxa"/>
            <w:tcBorders>
              <w:tl2br w:val="nil"/>
              <w:tr2bl w:val="nil"/>
            </w:tcBorders>
            <w:vAlign w:val="center"/>
          </w:tcPr>
          <w:p w14:paraId="752D057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水泥上返深度（</w:t>
            </w:r>
            <w:r>
              <w:rPr>
                <w:snapToGrid w:val="0"/>
                <w:color w:val="000000" w:themeColor="text1"/>
                <w:spacing w:val="-2"/>
                <w:kern w:val="0"/>
                <w:sz w:val="21"/>
                <w:szCs w:val="21"/>
                <w:lang w:eastAsia="en-US"/>
              </w:rPr>
              <w:t>mm</w:t>
            </w:r>
            <w:r>
              <w:rPr>
                <w:snapToGrid w:val="0"/>
                <w:color w:val="000000" w:themeColor="text1"/>
                <w:spacing w:val="-2"/>
                <w:kern w:val="0"/>
                <w:sz w:val="21"/>
                <w:szCs w:val="21"/>
                <w:lang w:eastAsia="en-US"/>
              </w:rPr>
              <w:t>）</w:t>
            </w:r>
          </w:p>
        </w:tc>
        <w:tc>
          <w:tcPr>
            <w:tcW w:w="1748" w:type="dxa"/>
            <w:tcBorders>
              <w:tl2br w:val="nil"/>
              <w:tr2bl w:val="nil"/>
            </w:tcBorders>
            <w:vAlign w:val="center"/>
          </w:tcPr>
          <w:p w14:paraId="5B38517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水泥浆密度</w:t>
            </w:r>
          </w:p>
          <w:p w14:paraId="1A9B3AE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g/cm</w:t>
            </w:r>
            <w:r>
              <w:rPr>
                <w:snapToGrid w:val="0"/>
                <w:color w:val="000000" w:themeColor="text1"/>
                <w:spacing w:val="-2"/>
                <w:kern w:val="0"/>
                <w:sz w:val="21"/>
                <w:szCs w:val="21"/>
                <w:vertAlign w:val="superscript"/>
                <w:lang w:eastAsia="en-US"/>
              </w:rPr>
              <w:t>3</w:t>
            </w:r>
            <w:r>
              <w:rPr>
                <w:snapToGrid w:val="0"/>
                <w:color w:val="000000" w:themeColor="text1"/>
                <w:spacing w:val="-2"/>
                <w:kern w:val="0"/>
                <w:sz w:val="21"/>
                <w:szCs w:val="21"/>
                <w:lang w:eastAsia="en-US"/>
              </w:rPr>
              <w:t>）</w:t>
            </w:r>
          </w:p>
        </w:tc>
        <w:tc>
          <w:tcPr>
            <w:tcW w:w="933" w:type="dxa"/>
            <w:tcBorders>
              <w:tl2br w:val="nil"/>
              <w:tr2bl w:val="nil"/>
            </w:tcBorders>
            <w:vAlign w:val="center"/>
          </w:tcPr>
          <w:p w14:paraId="502F412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水泥型号</w:t>
            </w:r>
          </w:p>
        </w:tc>
        <w:tc>
          <w:tcPr>
            <w:tcW w:w="919" w:type="dxa"/>
            <w:tcBorders>
              <w:tl2br w:val="nil"/>
              <w:tr2bl w:val="nil"/>
            </w:tcBorders>
            <w:vAlign w:val="center"/>
          </w:tcPr>
          <w:p w14:paraId="3FE3467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注水泥量</w:t>
            </w:r>
          </w:p>
        </w:tc>
        <w:tc>
          <w:tcPr>
            <w:tcW w:w="1014" w:type="dxa"/>
            <w:tcBorders>
              <w:tl2br w:val="nil"/>
              <w:tr2bl w:val="nil"/>
            </w:tcBorders>
            <w:vAlign w:val="center"/>
          </w:tcPr>
          <w:p w14:paraId="0D13202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固井方式</w:t>
            </w:r>
          </w:p>
        </w:tc>
      </w:tr>
      <w:tr w:rsidR="002E0859" w14:paraId="4C942EF4" w14:textId="77777777">
        <w:trPr>
          <w:trHeight w:val="23"/>
        </w:trPr>
        <w:tc>
          <w:tcPr>
            <w:tcW w:w="571" w:type="dxa"/>
            <w:tcBorders>
              <w:tl2br w:val="nil"/>
              <w:tr2bl w:val="nil"/>
            </w:tcBorders>
            <w:vAlign w:val="center"/>
          </w:tcPr>
          <w:p w14:paraId="6A019F8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导管</w:t>
            </w:r>
          </w:p>
        </w:tc>
        <w:tc>
          <w:tcPr>
            <w:tcW w:w="1234" w:type="dxa"/>
            <w:tcBorders>
              <w:tl2br w:val="nil"/>
              <w:tr2bl w:val="nil"/>
            </w:tcBorders>
            <w:vAlign w:val="center"/>
          </w:tcPr>
          <w:p w14:paraId="5B51B54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406.4</w:t>
            </w:r>
          </w:p>
        </w:tc>
        <w:tc>
          <w:tcPr>
            <w:tcW w:w="1628" w:type="dxa"/>
            <w:tcBorders>
              <w:tl2br w:val="nil"/>
              <w:tr2bl w:val="nil"/>
            </w:tcBorders>
            <w:vAlign w:val="center"/>
          </w:tcPr>
          <w:p w14:paraId="68A3C68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1.05</w:t>
            </w:r>
          </w:p>
        </w:tc>
        <w:tc>
          <w:tcPr>
            <w:tcW w:w="1172" w:type="dxa"/>
            <w:tcBorders>
              <w:tl2br w:val="nil"/>
              <w:tr2bl w:val="nil"/>
            </w:tcBorders>
            <w:vAlign w:val="center"/>
          </w:tcPr>
          <w:p w14:paraId="6E03CDD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地面</w:t>
            </w:r>
          </w:p>
        </w:tc>
        <w:tc>
          <w:tcPr>
            <w:tcW w:w="1748" w:type="dxa"/>
            <w:tcBorders>
              <w:tl2br w:val="nil"/>
              <w:tr2bl w:val="nil"/>
            </w:tcBorders>
            <w:vAlign w:val="center"/>
          </w:tcPr>
          <w:p w14:paraId="22FC455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1.85</w:t>
            </w:r>
          </w:p>
        </w:tc>
        <w:tc>
          <w:tcPr>
            <w:tcW w:w="933" w:type="dxa"/>
            <w:tcBorders>
              <w:tl2br w:val="nil"/>
              <w:tr2bl w:val="nil"/>
            </w:tcBorders>
            <w:vAlign w:val="center"/>
          </w:tcPr>
          <w:p w14:paraId="42FCCFE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G</w:t>
            </w:r>
          </w:p>
        </w:tc>
        <w:tc>
          <w:tcPr>
            <w:tcW w:w="919" w:type="dxa"/>
            <w:tcBorders>
              <w:tl2br w:val="nil"/>
              <w:tr2bl w:val="nil"/>
            </w:tcBorders>
            <w:vAlign w:val="center"/>
          </w:tcPr>
          <w:p w14:paraId="77BFCA3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85</w:t>
            </w:r>
          </w:p>
        </w:tc>
        <w:tc>
          <w:tcPr>
            <w:tcW w:w="1014" w:type="dxa"/>
            <w:tcBorders>
              <w:tl2br w:val="nil"/>
              <w:tr2bl w:val="nil"/>
            </w:tcBorders>
            <w:vAlign w:val="center"/>
          </w:tcPr>
          <w:p w14:paraId="13BCC9B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常规</w:t>
            </w:r>
          </w:p>
        </w:tc>
      </w:tr>
      <w:tr w:rsidR="002E0859" w14:paraId="1586A6C7" w14:textId="77777777">
        <w:trPr>
          <w:trHeight w:val="23"/>
        </w:trPr>
        <w:tc>
          <w:tcPr>
            <w:tcW w:w="571" w:type="dxa"/>
            <w:tcBorders>
              <w:tl2br w:val="nil"/>
              <w:tr2bl w:val="nil"/>
            </w:tcBorders>
            <w:vAlign w:val="center"/>
          </w:tcPr>
          <w:p w14:paraId="6BDA119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一开</w:t>
            </w:r>
          </w:p>
        </w:tc>
        <w:tc>
          <w:tcPr>
            <w:tcW w:w="1234" w:type="dxa"/>
            <w:tcBorders>
              <w:tl2br w:val="nil"/>
              <w:tr2bl w:val="nil"/>
            </w:tcBorders>
            <w:vAlign w:val="center"/>
          </w:tcPr>
          <w:p w14:paraId="27E0DA1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298.5</w:t>
            </w:r>
          </w:p>
        </w:tc>
        <w:tc>
          <w:tcPr>
            <w:tcW w:w="1628" w:type="dxa"/>
            <w:tcBorders>
              <w:tl2br w:val="nil"/>
              <w:tr2bl w:val="nil"/>
            </w:tcBorders>
            <w:vAlign w:val="center"/>
          </w:tcPr>
          <w:p w14:paraId="781B8C4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1.05</w:t>
            </w:r>
          </w:p>
        </w:tc>
        <w:tc>
          <w:tcPr>
            <w:tcW w:w="1172" w:type="dxa"/>
            <w:tcBorders>
              <w:tl2br w:val="nil"/>
              <w:tr2bl w:val="nil"/>
            </w:tcBorders>
            <w:vAlign w:val="center"/>
          </w:tcPr>
          <w:p w14:paraId="53E17D8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地面</w:t>
            </w:r>
          </w:p>
        </w:tc>
        <w:tc>
          <w:tcPr>
            <w:tcW w:w="1748" w:type="dxa"/>
            <w:tcBorders>
              <w:tl2br w:val="nil"/>
              <w:tr2bl w:val="nil"/>
            </w:tcBorders>
            <w:vAlign w:val="center"/>
          </w:tcPr>
          <w:p w14:paraId="0C994F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1.85</w:t>
            </w:r>
          </w:p>
        </w:tc>
        <w:tc>
          <w:tcPr>
            <w:tcW w:w="933" w:type="dxa"/>
            <w:tcBorders>
              <w:tl2br w:val="nil"/>
              <w:tr2bl w:val="nil"/>
            </w:tcBorders>
            <w:vAlign w:val="center"/>
          </w:tcPr>
          <w:p w14:paraId="7094686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G</w:t>
            </w:r>
          </w:p>
        </w:tc>
        <w:tc>
          <w:tcPr>
            <w:tcW w:w="919" w:type="dxa"/>
            <w:tcBorders>
              <w:tl2br w:val="nil"/>
              <w:tr2bl w:val="nil"/>
            </w:tcBorders>
            <w:vAlign w:val="center"/>
          </w:tcPr>
          <w:p w14:paraId="087770A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175</w:t>
            </w:r>
          </w:p>
        </w:tc>
        <w:tc>
          <w:tcPr>
            <w:tcW w:w="1014" w:type="dxa"/>
            <w:tcBorders>
              <w:tl2br w:val="nil"/>
              <w:tr2bl w:val="nil"/>
            </w:tcBorders>
            <w:vAlign w:val="center"/>
          </w:tcPr>
          <w:p w14:paraId="692A442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内插</w:t>
            </w:r>
          </w:p>
        </w:tc>
      </w:tr>
      <w:tr w:rsidR="002E0859" w14:paraId="2972B589" w14:textId="77777777">
        <w:trPr>
          <w:trHeight w:val="23"/>
        </w:trPr>
        <w:tc>
          <w:tcPr>
            <w:tcW w:w="571" w:type="dxa"/>
            <w:vMerge w:val="restart"/>
            <w:tcBorders>
              <w:tl2br w:val="nil"/>
              <w:tr2bl w:val="nil"/>
            </w:tcBorders>
            <w:vAlign w:val="center"/>
          </w:tcPr>
          <w:p w14:paraId="69B8E2C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二开</w:t>
            </w:r>
          </w:p>
        </w:tc>
        <w:tc>
          <w:tcPr>
            <w:tcW w:w="1234" w:type="dxa"/>
            <w:vMerge w:val="restart"/>
            <w:tcBorders>
              <w:tl2br w:val="nil"/>
              <w:tr2bl w:val="nil"/>
            </w:tcBorders>
            <w:vAlign w:val="center"/>
          </w:tcPr>
          <w:p w14:paraId="74DFE45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219.1</w:t>
            </w:r>
          </w:p>
        </w:tc>
        <w:tc>
          <w:tcPr>
            <w:tcW w:w="1628" w:type="dxa"/>
            <w:vMerge w:val="restart"/>
            <w:tcBorders>
              <w:tl2br w:val="nil"/>
              <w:tr2bl w:val="nil"/>
            </w:tcBorders>
            <w:vAlign w:val="center"/>
          </w:tcPr>
          <w:p w14:paraId="4C48FDA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1.30</w:t>
            </w:r>
          </w:p>
        </w:tc>
        <w:tc>
          <w:tcPr>
            <w:tcW w:w="1172" w:type="dxa"/>
            <w:vMerge w:val="restart"/>
            <w:tcBorders>
              <w:tl2br w:val="nil"/>
              <w:tr2bl w:val="nil"/>
            </w:tcBorders>
            <w:vAlign w:val="center"/>
          </w:tcPr>
          <w:p w14:paraId="2738EF1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地面</w:t>
            </w:r>
          </w:p>
        </w:tc>
        <w:tc>
          <w:tcPr>
            <w:tcW w:w="1748" w:type="dxa"/>
            <w:tcBorders>
              <w:tl2br w:val="nil"/>
              <w:tr2bl w:val="nil"/>
            </w:tcBorders>
            <w:vAlign w:val="center"/>
          </w:tcPr>
          <w:p w14:paraId="4E38973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1.45</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1.60</w:t>
            </w:r>
          </w:p>
        </w:tc>
        <w:tc>
          <w:tcPr>
            <w:tcW w:w="933" w:type="dxa"/>
            <w:tcBorders>
              <w:tl2br w:val="nil"/>
              <w:tr2bl w:val="nil"/>
            </w:tcBorders>
            <w:vAlign w:val="center"/>
          </w:tcPr>
          <w:p w14:paraId="6C0D5D8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G</w:t>
            </w:r>
            <w:r>
              <w:rPr>
                <w:snapToGrid w:val="0"/>
                <w:color w:val="000000" w:themeColor="text1"/>
                <w:spacing w:val="-2"/>
                <w:kern w:val="0"/>
                <w:sz w:val="21"/>
                <w:szCs w:val="21"/>
                <w:lang w:eastAsia="en-US"/>
              </w:rPr>
              <w:t>＋漂珠</w:t>
            </w:r>
          </w:p>
        </w:tc>
        <w:tc>
          <w:tcPr>
            <w:tcW w:w="919" w:type="dxa"/>
            <w:vMerge w:val="restart"/>
            <w:tcBorders>
              <w:tl2br w:val="nil"/>
              <w:tr2bl w:val="nil"/>
            </w:tcBorders>
            <w:vAlign w:val="center"/>
          </w:tcPr>
          <w:p w14:paraId="57CB359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130</w:t>
            </w:r>
          </w:p>
        </w:tc>
        <w:tc>
          <w:tcPr>
            <w:tcW w:w="1014" w:type="dxa"/>
            <w:vMerge w:val="restart"/>
            <w:tcBorders>
              <w:tl2br w:val="nil"/>
              <w:tr2bl w:val="nil"/>
            </w:tcBorders>
            <w:vAlign w:val="center"/>
          </w:tcPr>
          <w:p w14:paraId="29D347B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双凝双密度</w:t>
            </w:r>
          </w:p>
        </w:tc>
      </w:tr>
      <w:tr w:rsidR="002E0859" w14:paraId="24D70757" w14:textId="77777777">
        <w:trPr>
          <w:trHeight w:val="23"/>
        </w:trPr>
        <w:tc>
          <w:tcPr>
            <w:tcW w:w="571" w:type="dxa"/>
            <w:vMerge/>
            <w:tcBorders>
              <w:tl2br w:val="nil"/>
              <w:tr2bl w:val="nil"/>
            </w:tcBorders>
            <w:vAlign w:val="center"/>
          </w:tcPr>
          <w:p w14:paraId="30AB06E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234" w:type="dxa"/>
            <w:vMerge/>
            <w:tcBorders>
              <w:tl2br w:val="nil"/>
              <w:tr2bl w:val="nil"/>
            </w:tcBorders>
            <w:vAlign w:val="center"/>
          </w:tcPr>
          <w:p w14:paraId="2C33FC3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628" w:type="dxa"/>
            <w:vMerge/>
            <w:tcBorders>
              <w:tl2br w:val="nil"/>
              <w:tr2bl w:val="nil"/>
            </w:tcBorders>
            <w:vAlign w:val="center"/>
          </w:tcPr>
          <w:p w14:paraId="615ED9D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172" w:type="dxa"/>
            <w:vMerge/>
            <w:tcBorders>
              <w:tl2br w:val="nil"/>
              <w:tr2bl w:val="nil"/>
            </w:tcBorders>
            <w:vAlign w:val="center"/>
          </w:tcPr>
          <w:p w14:paraId="0ED6DDA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748" w:type="dxa"/>
            <w:tcBorders>
              <w:tl2br w:val="nil"/>
              <w:tr2bl w:val="nil"/>
            </w:tcBorders>
            <w:vAlign w:val="center"/>
          </w:tcPr>
          <w:p w14:paraId="64010D8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1.90</w:t>
            </w:r>
          </w:p>
        </w:tc>
        <w:tc>
          <w:tcPr>
            <w:tcW w:w="933" w:type="dxa"/>
            <w:tcBorders>
              <w:tl2br w:val="nil"/>
              <w:tr2bl w:val="nil"/>
            </w:tcBorders>
            <w:vAlign w:val="center"/>
          </w:tcPr>
          <w:p w14:paraId="1770DC0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G</w:t>
            </w:r>
          </w:p>
        </w:tc>
        <w:tc>
          <w:tcPr>
            <w:tcW w:w="919" w:type="dxa"/>
            <w:vMerge/>
            <w:tcBorders>
              <w:tl2br w:val="nil"/>
              <w:tr2bl w:val="nil"/>
            </w:tcBorders>
            <w:vAlign w:val="center"/>
          </w:tcPr>
          <w:p w14:paraId="5FB6705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014" w:type="dxa"/>
            <w:vMerge/>
            <w:tcBorders>
              <w:tl2br w:val="nil"/>
              <w:tr2bl w:val="nil"/>
            </w:tcBorders>
            <w:vAlign w:val="center"/>
          </w:tcPr>
          <w:p w14:paraId="75003AA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r>
      <w:tr w:rsidR="002E0859" w14:paraId="20776EBA" w14:textId="77777777">
        <w:trPr>
          <w:trHeight w:val="23"/>
        </w:trPr>
        <w:tc>
          <w:tcPr>
            <w:tcW w:w="571" w:type="dxa"/>
            <w:vMerge w:val="restart"/>
            <w:tcBorders>
              <w:tl2br w:val="nil"/>
              <w:tr2bl w:val="nil"/>
            </w:tcBorders>
            <w:vAlign w:val="center"/>
          </w:tcPr>
          <w:p w14:paraId="684153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三开</w:t>
            </w:r>
          </w:p>
        </w:tc>
        <w:tc>
          <w:tcPr>
            <w:tcW w:w="1234" w:type="dxa"/>
            <w:vMerge w:val="restart"/>
            <w:tcBorders>
              <w:tl2br w:val="nil"/>
              <w:tr2bl w:val="nil"/>
            </w:tcBorders>
            <w:vAlign w:val="center"/>
          </w:tcPr>
          <w:p w14:paraId="2D1ACC6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139.7</w:t>
            </w:r>
          </w:p>
        </w:tc>
        <w:tc>
          <w:tcPr>
            <w:tcW w:w="1628" w:type="dxa"/>
            <w:vMerge w:val="restart"/>
            <w:tcBorders>
              <w:tl2br w:val="nil"/>
              <w:tr2bl w:val="nil"/>
            </w:tcBorders>
            <w:vAlign w:val="center"/>
          </w:tcPr>
          <w:p w14:paraId="78210A6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1.50</w:t>
            </w:r>
          </w:p>
        </w:tc>
        <w:tc>
          <w:tcPr>
            <w:tcW w:w="1172" w:type="dxa"/>
            <w:tcBorders>
              <w:tl2br w:val="nil"/>
              <w:tr2bl w:val="nil"/>
            </w:tcBorders>
            <w:vAlign w:val="center"/>
          </w:tcPr>
          <w:p w14:paraId="2698C99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地面</w:t>
            </w:r>
          </w:p>
        </w:tc>
        <w:tc>
          <w:tcPr>
            <w:tcW w:w="1748" w:type="dxa"/>
            <w:tcBorders>
              <w:tl2br w:val="nil"/>
              <w:tr2bl w:val="nil"/>
            </w:tcBorders>
            <w:vAlign w:val="center"/>
          </w:tcPr>
          <w:p w14:paraId="4E7B6ED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1.45</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1.60</w:t>
            </w:r>
          </w:p>
        </w:tc>
        <w:tc>
          <w:tcPr>
            <w:tcW w:w="933" w:type="dxa"/>
            <w:tcBorders>
              <w:tl2br w:val="nil"/>
              <w:tr2bl w:val="nil"/>
            </w:tcBorders>
            <w:vAlign w:val="center"/>
          </w:tcPr>
          <w:p w14:paraId="7059048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G</w:t>
            </w:r>
            <w:r>
              <w:rPr>
                <w:snapToGrid w:val="0"/>
                <w:color w:val="000000" w:themeColor="text1"/>
                <w:spacing w:val="-2"/>
                <w:kern w:val="0"/>
                <w:sz w:val="21"/>
                <w:szCs w:val="21"/>
                <w:lang w:eastAsia="en-US"/>
              </w:rPr>
              <w:t>＋漂珠</w:t>
            </w:r>
          </w:p>
        </w:tc>
        <w:tc>
          <w:tcPr>
            <w:tcW w:w="919" w:type="dxa"/>
            <w:vMerge w:val="restart"/>
            <w:tcBorders>
              <w:tl2br w:val="nil"/>
              <w:tr2bl w:val="nil"/>
            </w:tcBorders>
            <w:vAlign w:val="center"/>
          </w:tcPr>
          <w:p w14:paraId="220F8CA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180</w:t>
            </w:r>
          </w:p>
        </w:tc>
        <w:tc>
          <w:tcPr>
            <w:tcW w:w="1014" w:type="dxa"/>
            <w:vMerge w:val="restart"/>
            <w:tcBorders>
              <w:tl2br w:val="nil"/>
              <w:tr2bl w:val="nil"/>
            </w:tcBorders>
            <w:vAlign w:val="center"/>
          </w:tcPr>
          <w:p w14:paraId="4992D16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双凝双密度</w:t>
            </w:r>
          </w:p>
        </w:tc>
      </w:tr>
      <w:tr w:rsidR="002E0859" w14:paraId="1DF4DCD5" w14:textId="77777777">
        <w:trPr>
          <w:trHeight w:val="23"/>
        </w:trPr>
        <w:tc>
          <w:tcPr>
            <w:tcW w:w="571" w:type="dxa"/>
            <w:vMerge/>
            <w:tcBorders>
              <w:tl2br w:val="nil"/>
              <w:tr2bl w:val="nil"/>
            </w:tcBorders>
            <w:vAlign w:val="center"/>
          </w:tcPr>
          <w:p w14:paraId="20DF8C0C"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234" w:type="dxa"/>
            <w:vMerge/>
            <w:tcBorders>
              <w:tl2br w:val="nil"/>
              <w:tr2bl w:val="nil"/>
            </w:tcBorders>
            <w:vAlign w:val="center"/>
          </w:tcPr>
          <w:p w14:paraId="3B0C5DDC"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628" w:type="dxa"/>
            <w:vMerge/>
            <w:tcBorders>
              <w:tl2br w:val="nil"/>
              <w:tr2bl w:val="nil"/>
            </w:tcBorders>
            <w:vAlign w:val="center"/>
          </w:tcPr>
          <w:p w14:paraId="64798EEC"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172" w:type="dxa"/>
            <w:tcBorders>
              <w:tl2br w:val="nil"/>
              <w:tr2bl w:val="nil"/>
            </w:tcBorders>
            <w:vAlign w:val="center"/>
          </w:tcPr>
          <w:p w14:paraId="266CD0F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~3200</w:t>
            </w:r>
          </w:p>
        </w:tc>
        <w:tc>
          <w:tcPr>
            <w:tcW w:w="1748" w:type="dxa"/>
            <w:tcBorders>
              <w:tl2br w:val="nil"/>
              <w:tr2bl w:val="nil"/>
            </w:tcBorders>
            <w:vAlign w:val="center"/>
          </w:tcPr>
          <w:p w14:paraId="3798AC4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1.92</w:t>
            </w:r>
          </w:p>
        </w:tc>
        <w:tc>
          <w:tcPr>
            <w:tcW w:w="933" w:type="dxa"/>
            <w:tcBorders>
              <w:tl2br w:val="nil"/>
              <w:tr2bl w:val="nil"/>
            </w:tcBorders>
            <w:vAlign w:val="center"/>
          </w:tcPr>
          <w:p w14:paraId="7715195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G</w:t>
            </w:r>
          </w:p>
        </w:tc>
        <w:tc>
          <w:tcPr>
            <w:tcW w:w="919" w:type="dxa"/>
            <w:vMerge/>
            <w:tcBorders>
              <w:tl2br w:val="nil"/>
              <w:tr2bl w:val="nil"/>
            </w:tcBorders>
            <w:vAlign w:val="center"/>
          </w:tcPr>
          <w:p w14:paraId="7F7B3098"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c>
          <w:tcPr>
            <w:tcW w:w="1014" w:type="dxa"/>
            <w:vMerge/>
            <w:tcBorders>
              <w:tl2br w:val="nil"/>
              <w:tr2bl w:val="nil"/>
            </w:tcBorders>
            <w:vAlign w:val="center"/>
          </w:tcPr>
          <w:p w14:paraId="34042464" w14:textId="77777777" w:rsidR="002E0859" w:rsidRDefault="002E0859">
            <w:pPr>
              <w:widowControl/>
              <w:kinsoku w:val="0"/>
              <w:topLinePunct w:val="0"/>
              <w:autoSpaceDE w:val="0"/>
              <w:autoSpaceDN w:val="0"/>
              <w:spacing w:line="240" w:lineRule="auto"/>
              <w:ind w:firstLineChars="0" w:firstLine="0"/>
              <w:jc w:val="center"/>
              <w:textAlignment w:val="baseline"/>
              <w:rPr>
                <w:rFonts w:ascii="Arial" w:eastAsia="Arial" w:hAnsi="Arial" w:cs="Arial"/>
                <w:snapToGrid w:val="0"/>
                <w:color w:val="000000" w:themeColor="text1"/>
                <w:kern w:val="0"/>
                <w:sz w:val="21"/>
                <w:szCs w:val="21"/>
                <w:lang w:eastAsia="en-US"/>
              </w:rPr>
            </w:pPr>
          </w:p>
        </w:tc>
      </w:tr>
    </w:tbl>
    <w:p w14:paraId="55C89C50" w14:textId="77777777" w:rsidR="002E0859" w:rsidRDefault="00000000">
      <w:pPr>
        <w:widowControl/>
        <w:kinsoku w:val="0"/>
        <w:topLinePunct w:val="0"/>
        <w:autoSpaceDE w:val="0"/>
        <w:autoSpaceDN w:val="0"/>
        <w:spacing w:beforeLines="50" w:before="120" w:line="360" w:lineRule="auto"/>
        <w:ind w:firstLine="480"/>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说明：一开采用常规密度水泥浆体系；二开采用柔性低密度＋韧性防气窜水泥浆体系；三开水平段采用低摩阻弹韧性胶乳防气窜、技套重叠段采用柔性低密度防气窜水泥浆体系。</w:t>
      </w:r>
    </w:p>
    <w:p w14:paraId="0C21871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测录井工艺</w:t>
      </w:r>
    </w:p>
    <w:p w14:paraId="7D48A258" w14:textId="77777777" w:rsidR="002E0859" w:rsidRDefault="00000000">
      <w:pPr>
        <w:widowControl/>
        <w:kinsoku w:val="0"/>
        <w:topLinePunct w:val="0"/>
        <w:autoSpaceDE w:val="0"/>
        <w:autoSpaceDN w:val="0"/>
        <w:spacing w:line="360" w:lineRule="auto"/>
        <w:ind w:firstLine="480"/>
        <w:textAlignment w:val="baseline"/>
        <w:rPr>
          <w:color w:val="000000" w:themeColor="text1"/>
          <w:sz w:val="24"/>
          <w:szCs w:val="24"/>
          <w:lang w:eastAsia="en-US"/>
        </w:rPr>
      </w:pPr>
      <w:r>
        <w:rPr>
          <w:color w:val="000000" w:themeColor="text1"/>
          <w:sz w:val="24"/>
          <w:szCs w:val="24"/>
          <w:lang w:eastAsia="en-US"/>
        </w:rPr>
        <w:t>产建区采用</w:t>
      </w:r>
      <w:r>
        <w:rPr>
          <w:color w:val="000000" w:themeColor="text1"/>
          <w:sz w:val="24"/>
          <w:szCs w:val="24"/>
          <w:lang w:eastAsia="en-US"/>
        </w:rPr>
        <w:t>ECLIPS-5700</w:t>
      </w:r>
      <w:r>
        <w:rPr>
          <w:color w:val="000000" w:themeColor="text1"/>
          <w:sz w:val="24"/>
          <w:szCs w:val="24"/>
          <w:lang w:eastAsia="en-US"/>
        </w:rPr>
        <w:t>测井系统进行了常规测井，用</w:t>
      </w:r>
      <w:r>
        <w:rPr>
          <w:color w:val="000000" w:themeColor="text1"/>
          <w:sz w:val="24"/>
          <w:szCs w:val="24"/>
          <w:lang w:eastAsia="en-US"/>
        </w:rPr>
        <w:t>MAXIS500</w:t>
      </w:r>
      <w:r>
        <w:rPr>
          <w:color w:val="000000" w:themeColor="text1"/>
          <w:sz w:val="24"/>
          <w:szCs w:val="24"/>
          <w:lang w:eastAsia="en-US"/>
        </w:rPr>
        <w:t>数控测井系统完成成像（</w:t>
      </w:r>
      <w:r>
        <w:rPr>
          <w:color w:val="000000" w:themeColor="text1"/>
          <w:sz w:val="24"/>
          <w:szCs w:val="24"/>
          <w:lang w:eastAsia="en-US"/>
        </w:rPr>
        <w:t>FMI</w:t>
      </w:r>
      <w:r>
        <w:rPr>
          <w:color w:val="000000" w:themeColor="text1"/>
          <w:sz w:val="24"/>
          <w:szCs w:val="24"/>
          <w:lang w:eastAsia="en-US"/>
        </w:rPr>
        <w:t>）与元素俘获（</w:t>
      </w:r>
      <w:r>
        <w:rPr>
          <w:color w:val="000000" w:themeColor="text1"/>
          <w:sz w:val="24"/>
          <w:szCs w:val="24"/>
          <w:lang w:eastAsia="en-US"/>
        </w:rPr>
        <w:t>ECS</w:t>
      </w:r>
      <w:r>
        <w:rPr>
          <w:color w:val="000000" w:themeColor="text1"/>
          <w:sz w:val="24"/>
          <w:szCs w:val="24"/>
          <w:lang w:eastAsia="en-US"/>
        </w:rPr>
        <w:t>）等特殊测井。本平台选取焦页</w:t>
      </w:r>
      <w:r>
        <w:rPr>
          <w:color w:val="000000" w:themeColor="text1"/>
          <w:sz w:val="24"/>
          <w:szCs w:val="24"/>
          <w:lang w:eastAsia="en-US"/>
        </w:rPr>
        <w:t>90-Z1HF</w:t>
      </w:r>
      <w:r>
        <w:rPr>
          <w:color w:val="000000" w:themeColor="text1"/>
          <w:sz w:val="24"/>
          <w:szCs w:val="24"/>
          <w:lang w:eastAsia="en-US"/>
        </w:rPr>
        <w:t>井进行三开固井质量测井。</w:t>
      </w:r>
    </w:p>
    <w:p w14:paraId="6689091F" w14:textId="77777777" w:rsidR="002E0859" w:rsidRDefault="00000000">
      <w:pPr>
        <w:widowControl/>
        <w:kinsoku w:val="0"/>
        <w:topLinePunct w:val="0"/>
        <w:autoSpaceDE w:val="0"/>
        <w:autoSpaceDN w:val="0"/>
        <w:spacing w:line="240" w:lineRule="auto"/>
        <w:ind w:firstLine="42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2.4</w:t>
      </w:r>
      <w:r>
        <w:rPr>
          <w:rFonts w:eastAsia="黑体" w:hint="eastAsia"/>
          <w:color w:val="000000" w:themeColor="text1"/>
          <w:sz w:val="21"/>
          <w:szCs w:val="21"/>
          <w:lang w:eastAsia="en-US"/>
        </w:rPr>
        <w:t>-</w:t>
      </w:r>
      <w:r>
        <w:rPr>
          <w:rFonts w:eastAsia="黑体" w:hint="eastAsia"/>
          <w:color w:val="000000" w:themeColor="text1"/>
          <w:sz w:val="21"/>
          <w:szCs w:val="21"/>
        </w:rPr>
        <w:t>19</w:t>
      </w:r>
      <w:r>
        <w:rPr>
          <w:rFonts w:eastAsia="黑体" w:hint="eastAsia"/>
          <w:color w:val="000000" w:themeColor="text1"/>
          <w:sz w:val="21"/>
          <w:szCs w:val="21"/>
          <w:lang w:eastAsia="en-US"/>
        </w:rPr>
        <w:t xml:space="preserve"> </w:t>
      </w:r>
      <w:r>
        <w:rPr>
          <w:rFonts w:eastAsia="黑体" w:hint="eastAsia"/>
          <w:color w:val="000000" w:themeColor="text1"/>
          <w:sz w:val="21"/>
          <w:szCs w:val="21"/>
          <w:lang w:eastAsia="en-US"/>
        </w:rPr>
        <w:t>完井工序优化</w:t>
      </w:r>
    </w:p>
    <w:p w14:paraId="322FCD8B" w14:textId="77777777" w:rsidR="002E0859" w:rsidRDefault="002E0859">
      <w:pPr>
        <w:widowControl/>
        <w:kinsoku w:val="0"/>
        <w:topLinePunct w:val="0"/>
        <w:autoSpaceDE w:val="0"/>
        <w:autoSpaceDN w:val="0"/>
        <w:spacing w:line="44"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983"/>
        <w:gridCol w:w="2919"/>
        <w:gridCol w:w="2546"/>
        <w:gridCol w:w="1702"/>
      </w:tblGrid>
      <w:tr w:rsidR="002E0859" w14:paraId="5BDEF12D" w14:textId="77777777">
        <w:trPr>
          <w:trHeight w:val="23"/>
        </w:trPr>
        <w:tc>
          <w:tcPr>
            <w:tcW w:w="1083" w:type="pct"/>
            <w:vMerge w:val="restart"/>
            <w:tcBorders>
              <w:tl2br w:val="nil"/>
              <w:tr2bl w:val="nil"/>
            </w:tcBorders>
            <w:vAlign w:val="center"/>
          </w:tcPr>
          <w:p w14:paraId="6EED1AD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井号</w:t>
            </w:r>
          </w:p>
        </w:tc>
        <w:tc>
          <w:tcPr>
            <w:tcW w:w="2986" w:type="pct"/>
            <w:gridSpan w:val="2"/>
            <w:tcBorders>
              <w:tl2br w:val="nil"/>
              <w:tr2bl w:val="nil"/>
            </w:tcBorders>
            <w:vAlign w:val="center"/>
          </w:tcPr>
          <w:p w14:paraId="192AD58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测井项目</w:t>
            </w:r>
          </w:p>
        </w:tc>
        <w:tc>
          <w:tcPr>
            <w:tcW w:w="930" w:type="pct"/>
            <w:vMerge w:val="restart"/>
            <w:tcBorders>
              <w:tl2br w:val="nil"/>
              <w:tr2bl w:val="nil"/>
            </w:tcBorders>
            <w:vAlign w:val="center"/>
          </w:tcPr>
          <w:p w14:paraId="1B4DD9B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是否</w:t>
            </w:r>
          </w:p>
          <w:p w14:paraId="14A6BE4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钻通刮洗</w:t>
            </w:r>
          </w:p>
        </w:tc>
      </w:tr>
      <w:tr w:rsidR="002E0859" w14:paraId="6524E332" w14:textId="77777777">
        <w:trPr>
          <w:trHeight w:val="23"/>
        </w:trPr>
        <w:tc>
          <w:tcPr>
            <w:tcW w:w="1083" w:type="pct"/>
            <w:vMerge/>
            <w:tcBorders>
              <w:tl2br w:val="nil"/>
              <w:tr2bl w:val="nil"/>
            </w:tcBorders>
            <w:vAlign w:val="center"/>
          </w:tcPr>
          <w:p w14:paraId="12D7327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c>
          <w:tcPr>
            <w:tcW w:w="1595" w:type="pct"/>
            <w:tcBorders>
              <w:tl2br w:val="nil"/>
              <w:tr2bl w:val="nil"/>
            </w:tcBorders>
            <w:vAlign w:val="center"/>
          </w:tcPr>
          <w:p w14:paraId="64B73D3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完井电测</w:t>
            </w:r>
          </w:p>
        </w:tc>
        <w:tc>
          <w:tcPr>
            <w:tcW w:w="1391" w:type="pct"/>
            <w:tcBorders>
              <w:tl2br w:val="nil"/>
              <w:tr2bl w:val="nil"/>
            </w:tcBorders>
            <w:vAlign w:val="center"/>
          </w:tcPr>
          <w:p w14:paraId="64B4663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产套声幅</w:t>
            </w:r>
          </w:p>
        </w:tc>
        <w:tc>
          <w:tcPr>
            <w:tcW w:w="930" w:type="pct"/>
            <w:vMerge/>
            <w:tcBorders>
              <w:tl2br w:val="nil"/>
              <w:tr2bl w:val="nil"/>
            </w:tcBorders>
            <w:vAlign w:val="center"/>
          </w:tcPr>
          <w:p w14:paraId="77C1E96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p>
        </w:tc>
      </w:tr>
      <w:tr w:rsidR="002E0859" w14:paraId="174B3D36" w14:textId="77777777">
        <w:trPr>
          <w:trHeight w:val="23"/>
        </w:trPr>
        <w:tc>
          <w:tcPr>
            <w:tcW w:w="1083" w:type="pct"/>
            <w:tcBorders>
              <w:tl2br w:val="nil"/>
              <w:tr2bl w:val="nil"/>
            </w:tcBorders>
            <w:vAlign w:val="center"/>
          </w:tcPr>
          <w:p w14:paraId="532CE4E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焦页</w:t>
            </w:r>
            <w:r>
              <w:rPr>
                <w:snapToGrid w:val="0"/>
                <w:color w:val="000000" w:themeColor="text1"/>
                <w:spacing w:val="-2"/>
                <w:kern w:val="0"/>
                <w:sz w:val="21"/>
                <w:szCs w:val="21"/>
                <w:lang w:eastAsia="en-US"/>
              </w:rPr>
              <w:t>90-5HF</w:t>
            </w:r>
          </w:p>
        </w:tc>
        <w:tc>
          <w:tcPr>
            <w:tcW w:w="1595" w:type="pct"/>
            <w:tcBorders>
              <w:tl2br w:val="nil"/>
              <w:tr2bl w:val="nil"/>
            </w:tcBorders>
            <w:vAlign w:val="center"/>
          </w:tcPr>
          <w:p w14:paraId="7C55854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测（常规）</w:t>
            </w:r>
          </w:p>
        </w:tc>
        <w:tc>
          <w:tcPr>
            <w:tcW w:w="1391" w:type="pct"/>
            <w:tcBorders>
              <w:tl2br w:val="nil"/>
              <w:tr2bl w:val="nil"/>
            </w:tcBorders>
            <w:vAlign w:val="center"/>
          </w:tcPr>
          <w:p w14:paraId="77E699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rPr>
            </w:pPr>
            <w:r>
              <w:rPr>
                <w:rFonts w:hint="eastAsia"/>
                <w:snapToGrid w:val="0"/>
                <w:color w:val="000000" w:themeColor="text1"/>
                <w:spacing w:val="-2"/>
                <w:kern w:val="0"/>
                <w:sz w:val="21"/>
                <w:szCs w:val="21"/>
              </w:rPr>
              <w:t>/</w:t>
            </w:r>
          </w:p>
        </w:tc>
        <w:tc>
          <w:tcPr>
            <w:tcW w:w="930" w:type="pct"/>
            <w:tcBorders>
              <w:tl2br w:val="nil"/>
              <w:tr2bl w:val="nil"/>
            </w:tcBorders>
            <w:vAlign w:val="center"/>
          </w:tcPr>
          <w:p w14:paraId="64A489E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否</w:t>
            </w:r>
          </w:p>
        </w:tc>
      </w:tr>
      <w:tr w:rsidR="002E0859" w14:paraId="6EE33E0B" w14:textId="77777777">
        <w:trPr>
          <w:trHeight w:val="23"/>
        </w:trPr>
        <w:tc>
          <w:tcPr>
            <w:tcW w:w="1083" w:type="pct"/>
            <w:tcBorders>
              <w:tl2br w:val="nil"/>
              <w:tr2bl w:val="nil"/>
            </w:tcBorders>
            <w:vAlign w:val="center"/>
          </w:tcPr>
          <w:p w14:paraId="3C77EF5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焦页</w:t>
            </w:r>
            <w:r>
              <w:rPr>
                <w:snapToGrid w:val="0"/>
                <w:color w:val="000000" w:themeColor="text1"/>
                <w:spacing w:val="-2"/>
                <w:kern w:val="0"/>
                <w:sz w:val="21"/>
                <w:szCs w:val="21"/>
                <w:lang w:eastAsia="en-US"/>
              </w:rPr>
              <w:t>90-Z1HF</w:t>
            </w:r>
          </w:p>
        </w:tc>
        <w:tc>
          <w:tcPr>
            <w:tcW w:w="1595" w:type="pct"/>
            <w:tcBorders>
              <w:tl2br w:val="nil"/>
              <w:tr2bl w:val="nil"/>
            </w:tcBorders>
            <w:vAlign w:val="center"/>
          </w:tcPr>
          <w:p w14:paraId="6026F68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测（常规</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偶极声波）</w:t>
            </w:r>
          </w:p>
        </w:tc>
        <w:tc>
          <w:tcPr>
            <w:tcW w:w="1391" w:type="pct"/>
            <w:tcBorders>
              <w:tl2br w:val="nil"/>
              <w:tr2bl w:val="nil"/>
            </w:tcBorders>
            <w:vAlign w:val="center"/>
          </w:tcPr>
          <w:p w14:paraId="51CCDC9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测</w:t>
            </w:r>
          </w:p>
        </w:tc>
        <w:tc>
          <w:tcPr>
            <w:tcW w:w="930" w:type="pct"/>
            <w:tcBorders>
              <w:tl2br w:val="nil"/>
              <w:tr2bl w:val="nil"/>
            </w:tcBorders>
            <w:vAlign w:val="center"/>
          </w:tcPr>
          <w:p w14:paraId="3B3803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spacing w:val="-2"/>
                <w:kern w:val="0"/>
                <w:sz w:val="21"/>
                <w:szCs w:val="21"/>
                <w:lang w:eastAsia="en-US"/>
              </w:rPr>
            </w:pPr>
            <w:r>
              <w:rPr>
                <w:snapToGrid w:val="0"/>
                <w:color w:val="000000" w:themeColor="text1"/>
                <w:spacing w:val="-2"/>
                <w:kern w:val="0"/>
                <w:sz w:val="21"/>
                <w:szCs w:val="21"/>
                <w:lang w:eastAsia="en-US"/>
              </w:rPr>
              <w:t>否</w:t>
            </w:r>
          </w:p>
        </w:tc>
      </w:tr>
    </w:tbl>
    <w:p w14:paraId="1ED0181F" w14:textId="77777777" w:rsidR="002E0859" w:rsidRDefault="00000000">
      <w:pPr>
        <w:pStyle w:val="2"/>
        <w:keepNext w:val="0"/>
        <w:keepLines w:val="0"/>
        <w:spacing w:before="120" w:after="120" w:line="360" w:lineRule="auto"/>
        <w:jc w:val="center"/>
        <w:rPr>
          <w:color w:val="000000" w:themeColor="text1"/>
        </w:rPr>
      </w:pPr>
      <w:bookmarkStart w:id="28" w:name="_Toc5077"/>
      <w:r>
        <w:rPr>
          <w:rFonts w:hint="eastAsia"/>
          <w:color w:val="000000" w:themeColor="text1"/>
        </w:rPr>
        <w:t>采气工程</w:t>
      </w:r>
      <w:bookmarkEnd w:id="28"/>
    </w:p>
    <w:p w14:paraId="303A14EF"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完井工程</w:t>
      </w:r>
    </w:p>
    <w:p w14:paraId="3F41ED17"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完井方式</w:t>
      </w:r>
    </w:p>
    <w:p w14:paraId="5F316425" w14:textId="77777777" w:rsidR="002E0859" w:rsidRDefault="00000000">
      <w:pPr>
        <w:kinsoku w:val="0"/>
        <w:topLinePunct w:val="0"/>
        <w:autoSpaceDE w:val="0"/>
        <w:autoSpaceDN w:val="0"/>
        <w:spacing w:line="360" w:lineRule="auto"/>
        <w:ind w:firstLine="480"/>
        <w:textAlignment w:val="baseline"/>
        <w:rPr>
          <w:snapToGrid w:val="0"/>
          <w:color w:val="000000" w:themeColor="text1"/>
          <w:kern w:val="0"/>
          <w:sz w:val="24"/>
          <w:szCs w:val="24"/>
          <w:lang w:eastAsia="en-US"/>
        </w:rPr>
      </w:pPr>
      <w:r>
        <w:rPr>
          <w:rFonts w:ascii="宋体" w:hAnsi="宋体" w:cs="宋体"/>
          <w:color w:val="000000" w:themeColor="text1"/>
          <w:sz w:val="24"/>
          <w:szCs w:val="24"/>
        </w:rPr>
        <w:t>通过对各种完井方式对比分析，从完井、储层压裂改造及从气井寿命和安全生产方面考虑，结合焦石坝页岩气藏主体的实际特点，综合考虑，推荐采用套管射孔完井方式。</w:t>
      </w:r>
    </w:p>
    <w:p w14:paraId="04DBC2A7"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完井管柱</w:t>
      </w:r>
    </w:p>
    <w:p w14:paraId="7DC720A9" w14:textId="77777777" w:rsidR="002E0859" w:rsidRDefault="00000000">
      <w:pPr>
        <w:widowControl/>
        <w:kinsoku w:val="0"/>
        <w:topLinePunct w:val="0"/>
        <w:autoSpaceDE w:val="0"/>
        <w:autoSpaceDN w:val="0"/>
        <w:spacing w:line="360" w:lineRule="auto"/>
        <w:ind w:firstLine="480"/>
        <w:textAlignment w:val="baseline"/>
        <w:rPr>
          <w:rFonts w:ascii="宋体" w:hAnsi="宋体" w:cs="宋体"/>
          <w:color w:val="000000" w:themeColor="text1"/>
          <w:sz w:val="24"/>
          <w:szCs w:val="24"/>
        </w:rPr>
      </w:pPr>
      <w:r>
        <w:rPr>
          <w:rFonts w:ascii="宋体" w:hAnsi="宋体" w:cs="宋体"/>
          <w:color w:val="000000" w:themeColor="text1"/>
          <w:sz w:val="24"/>
          <w:szCs w:val="24"/>
        </w:rPr>
        <w:t>页岩气井施工排量大（</w:t>
      </w:r>
      <w:r>
        <w:rPr>
          <w:color w:val="000000" w:themeColor="text1"/>
          <w:sz w:val="24"/>
          <w:szCs w:val="24"/>
        </w:rPr>
        <w:t>12m³/min-18m³/min</w:t>
      </w:r>
      <w:r>
        <w:rPr>
          <w:rFonts w:ascii="宋体" w:hAnsi="宋体" w:cs="宋体"/>
          <w:color w:val="000000" w:themeColor="text1"/>
          <w:sz w:val="24"/>
          <w:szCs w:val="24"/>
        </w:rPr>
        <w:t>），水平井井段长，分段级数多（</w:t>
      </w:r>
      <w:r>
        <w:rPr>
          <w:color w:val="000000" w:themeColor="text1"/>
          <w:sz w:val="24"/>
          <w:szCs w:val="24"/>
        </w:rPr>
        <w:t>22</w:t>
      </w:r>
      <w:r>
        <w:rPr>
          <w:rFonts w:ascii="宋体" w:hAnsi="宋体" w:cs="宋体"/>
          <w:color w:val="000000" w:themeColor="text1"/>
          <w:sz w:val="24"/>
          <w:szCs w:val="24"/>
        </w:rPr>
        <w:t>段</w:t>
      </w:r>
      <w:r>
        <w:rPr>
          <w:color w:val="000000" w:themeColor="text1"/>
          <w:sz w:val="24"/>
          <w:szCs w:val="24"/>
        </w:rPr>
        <w:t>-38</w:t>
      </w:r>
      <w:r>
        <w:rPr>
          <w:rFonts w:ascii="宋体" w:hAnsi="宋体" w:cs="宋体"/>
          <w:color w:val="000000" w:themeColor="text1"/>
          <w:sz w:val="24"/>
          <w:szCs w:val="24"/>
        </w:rPr>
        <w:t>段），施工摩阻高。对比套管滑套封隔器和桥塞封隔，套管滑套封隔器分段数量有限、完井管柱下入难度大、承压能力受限，排量受管柱内径限制；桥塞封隔具有无级数限制，排量不受管柱内径限制。因此选择泵送桥塞分段压裂完井。</w:t>
      </w:r>
    </w:p>
    <w:p w14:paraId="5B3CE2BD"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射孔工艺</w:t>
      </w:r>
    </w:p>
    <w:p w14:paraId="49D34380" w14:textId="77777777" w:rsidR="002E0859" w:rsidRDefault="00000000">
      <w:pPr>
        <w:widowControl/>
        <w:kinsoku w:val="0"/>
        <w:topLinePunct w:val="0"/>
        <w:autoSpaceDE w:val="0"/>
        <w:autoSpaceDN w:val="0"/>
        <w:spacing w:line="360" w:lineRule="auto"/>
        <w:ind w:firstLine="480"/>
        <w:jc w:val="left"/>
        <w:textAlignment w:val="baseline"/>
        <w:rPr>
          <w:color w:val="000000" w:themeColor="text1"/>
          <w:kern w:val="0"/>
          <w:sz w:val="24"/>
          <w:szCs w:val="24"/>
          <w:lang w:eastAsia="en-US"/>
        </w:rPr>
      </w:pPr>
      <w:r>
        <w:rPr>
          <w:color w:val="000000" w:themeColor="text1"/>
          <w:kern w:val="0"/>
          <w:sz w:val="24"/>
          <w:szCs w:val="24"/>
          <w:lang w:eastAsia="en-US"/>
        </w:rPr>
        <w:t>采用与生产套管匹配的射孔工具串，在第一段套管射孔位置处，预置趾端破裂盘阀滑套，依靠绝对压力将破裂盘阀打开，滑套出现问题时采用牵引器补射孔。</w:t>
      </w:r>
    </w:p>
    <w:p w14:paraId="48D17358" w14:textId="77777777" w:rsidR="002E0859" w:rsidRDefault="00000000">
      <w:pPr>
        <w:kinsoku w:val="0"/>
        <w:topLinePunct w:val="0"/>
        <w:autoSpaceDE w:val="0"/>
        <w:autoSpaceDN w:val="0"/>
        <w:spacing w:line="360" w:lineRule="auto"/>
        <w:ind w:firstLine="480"/>
        <w:textAlignment w:val="baseline"/>
        <w:rPr>
          <w:color w:val="000000" w:themeColor="text1"/>
          <w:kern w:val="0"/>
          <w:sz w:val="24"/>
          <w:szCs w:val="24"/>
          <w:lang w:eastAsia="en-US"/>
        </w:rPr>
      </w:pPr>
      <w:r>
        <w:rPr>
          <w:color w:val="000000" w:themeColor="text1"/>
          <w:kern w:val="0"/>
          <w:sz w:val="24"/>
          <w:szCs w:val="24"/>
          <w:lang w:eastAsia="en-US"/>
        </w:rPr>
        <w:lastRenderedPageBreak/>
        <w:t>其余水平段采用电缆射孔与可溶桥塞压裂联作技术，其原理是：电缆桥塞入井后，在直井段利用自身重量下放，桥塞进入大斜度井段遇阻后，采用压裂车泵注减阻水推动桥塞管柱下行，泵送桥塞排量控制如表</w:t>
      </w:r>
      <w:r>
        <w:rPr>
          <w:rFonts w:hint="eastAsia"/>
          <w:color w:val="000000" w:themeColor="text1"/>
          <w:kern w:val="0"/>
          <w:sz w:val="24"/>
          <w:szCs w:val="24"/>
        </w:rPr>
        <w:t>2.5</w:t>
      </w:r>
      <w:r>
        <w:rPr>
          <w:color w:val="000000" w:themeColor="text1"/>
          <w:kern w:val="0"/>
          <w:sz w:val="24"/>
          <w:szCs w:val="24"/>
          <w:lang w:eastAsia="en-US"/>
        </w:rPr>
        <w:t>-</w:t>
      </w:r>
      <w:r>
        <w:rPr>
          <w:rFonts w:hint="eastAsia"/>
          <w:color w:val="000000" w:themeColor="text1"/>
          <w:kern w:val="0"/>
          <w:sz w:val="24"/>
          <w:szCs w:val="24"/>
        </w:rPr>
        <w:t>1</w:t>
      </w:r>
      <w:r>
        <w:rPr>
          <w:color w:val="000000" w:themeColor="text1"/>
          <w:kern w:val="0"/>
          <w:sz w:val="24"/>
          <w:szCs w:val="24"/>
          <w:lang w:eastAsia="en-US"/>
        </w:rPr>
        <w:t>所示。在泵送过程中进行套管磁定位，直至到达预定位置，先点火座封桥塞、上提丢手，封隔已措施层；上提电缆到指定射孔位置进行分簇射孔，射孔结束后，上提出电缆工具串进行验枪。如泵送桥塞压力过高</w:t>
      </w:r>
      <w:r>
        <w:rPr>
          <w:rFonts w:hint="eastAsia"/>
          <w:color w:val="000000" w:themeColor="text1"/>
          <w:kern w:val="0"/>
          <w:sz w:val="24"/>
          <w:szCs w:val="24"/>
        </w:rPr>
        <w:t>（</w:t>
      </w:r>
      <w:r>
        <w:rPr>
          <w:color w:val="000000" w:themeColor="text1"/>
          <w:kern w:val="0"/>
          <w:sz w:val="24"/>
          <w:szCs w:val="24"/>
          <w:lang w:eastAsia="en-US"/>
        </w:rPr>
        <w:t>&gt;70MPa</w:t>
      </w:r>
      <w:r>
        <w:rPr>
          <w:rFonts w:hint="eastAsia"/>
          <w:color w:val="000000" w:themeColor="text1"/>
          <w:kern w:val="0"/>
          <w:sz w:val="24"/>
          <w:szCs w:val="24"/>
        </w:rPr>
        <w:t>）</w:t>
      </w:r>
      <w:r>
        <w:rPr>
          <w:color w:val="000000" w:themeColor="text1"/>
          <w:kern w:val="0"/>
          <w:sz w:val="24"/>
          <w:szCs w:val="24"/>
          <w:lang w:eastAsia="en-US"/>
        </w:rPr>
        <w:t>或射孔枪未起爆，则采用连续油管输送射孔。</w:t>
      </w:r>
    </w:p>
    <w:p w14:paraId="2642DBC0" w14:textId="77777777" w:rsidR="002E0859" w:rsidRDefault="00000000">
      <w:pPr>
        <w:widowControl/>
        <w:kinsoku w:val="0"/>
        <w:topLinePunct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hint="eastAsia"/>
          <w:color w:val="000000" w:themeColor="text1"/>
          <w:sz w:val="21"/>
          <w:szCs w:val="21"/>
          <w:lang w:eastAsia="en-US"/>
        </w:rPr>
        <w:t>表</w:t>
      </w:r>
      <w:r>
        <w:rPr>
          <w:rFonts w:eastAsia="黑体" w:hint="eastAsia"/>
          <w:color w:val="000000" w:themeColor="text1"/>
          <w:sz w:val="21"/>
          <w:szCs w:val="21"/>
        </w:rPr>
        <w:t xml:space="preserve">2.5-1 </w:t>
      </w:r>
      <w:r>
        <w:rPr>
          <w:rFonts w:eastAsia="黑体" w:hint="eastAsia"/>
          <w:color w:val="000000" w:themeColor="text1"/>
          <w:sz w:val="21"/>
          <w:szCs w:val="21"/>
          <w:lang w:eastAsia="en-US"/>
        </w:rPr>
        <w:t>泵送排量执行表</w:t>
      </w:r>
    </w:p>
    <w:p w14:paraId="6DF513FD" w14:textId="77777777" w:rsidR="002E0859" w:rsidRDefault="002E0859">
      <w:pPr>
        <w:widowControl/>
        <w:kinsoku w:val="0"/>
        <w:topLinePunct w:val="0"/>
        <w:autoSpaceDE w:val="0"/>
        <w:autoSpaceDN w:val="0"/>
        <w:spacing w:line="16" w:lineRule="exact"/>
        <w:ind w:firstLineChars="0" w:firstLine="0"/>
        <w:jc w:val="left"/>
        <w:textAlignment w:val="baseline"/>
        <w:rPr>
          <w:snapToGrid w:val="0"/>
          <w:color w:val="000000" w:themeColor="text1"/>
          <w:kern w:val="0"/>
          <w:sz w:val="21"/>
          <w:szCs w:val="21"/>
          <w:lang w:eastAsia="en-US"/>
        </w:rPr>
      </w:pPr>
    </w:p>
    <w:tbl>
      <w:tblPr>
        <w:tblStyle w:val="TableNormal"/>
        <w:tblW w:w="499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339"/>
        <w:gridCol w:w="2813"/>
      </w:tblGrid>
      <w:tr w:rsidR="002E0859" w14:paraId="7001C483" w14:textId="77777777">
        <w:trPr>
          <w:trHeight w:val="23"/>
        </w:trPr>
        <w:tc>
          <w:tcPr>
            <w:tcW w:w="3462" w:type="pct"/>
            <w:tcBorders>
              <w:tl2br w:val="nil"/>
              <w:tr2bl w:val="nil"/>
            </w:tcBorders>
            <w:vAlign w:val="center"/>
          </w:tcPr>
          <w:p w14:paraId="6E0CB66F" w14:textId="77777777" w:rsidR="002E0859" w:rsidRDefault="00000000">
            <w:pPr>
              <w:widowControl/>
              <w:kinsoku w:val="0"/>
              <w:topLinePunct w:val="0"/>
              <w:autoSpaceDE w:val="0"/>
              <w:autoSpaceDN w:val="0"/>
              <w:spacing w:line="240" w:lineRule="auto"/>
              <w:ind w:firstLine="412"/>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井深位置</w:t>
            </w:r>
          </w:p>
        </w:tc>
        <w:tc>
          <w:tcPr>
            <w:tcW w:w="1537" w:type="pct"/>
            <w:tcBorders>
              <w:tl2br w:val="nil"/>
              <w:tr2bl w:val="nil"/>
            </w:tcBorders>
            <w:vAlign w:val="center"/>
          </w:tcPr>
          <w:p w14:paraId="78BFC552" w14:textId="77777777" w:rsidR="002E0859" w:rsidRDefault="00000000">
            <w:pPr>
              <w:widowControl/>
              <w:kinsoku w:val="0"/>
              <w:topLinePunct w:val="0"/>
              <w:autoSpaceDE w:val="0"/>
              <w:autoSpaceDN w:val="0"/>
              <w:spacing w:line="240" w:lineRule="auto"/>
              <w:ind w:firstLine="416"/>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排量</w:t>
            </w:r>
            <w:r>
              <w:rPr>
                <w:snapToGrid w:val="0"/>
                <w:color w:val="000000" w:themeColor="text1"/>
                <w:spacing w:val="-1"/>
                <w:kern w:val="0"/>
                <w:sz w:val="21"/>
                <w:szCs w:val="21"/>
                <w:lang w:eastAsia="en-US"/>
              </w:rPr>
              <w:t>m³/min</w:t>
            </w:r>
          </w:p>
        </w:tc>
      </w:tr>
      <w:tr w:rsidR="002E0859" w14:paraId="71823F7D" w14:textId="77777777">
        <w:trPr>
          <w:trHeight w:val="23"/>
        </w:trPr>
        <w:tc>
          <w:tcPr>
            <w:tcW w:w="3462" w:type="pct"/>
            <w:tcBorders>
              <w:tl2br w:val="nil"/>
              <w:tr2bl w:val="nil"/>
            </w:tcBorders>
            <w:vAlign w:val="center"/>
          </w:tcPr>
          <w:p w14:paraId="0EDCBAD2" w14:textId="77777777" w:rsidR="002E0859" w:rsidRDefault="00000000">
            <w:pPr>
              <w:widowControl/>
              <w:kinsoku w:val="0"/>
              <w:topLinePunct w:val="0"/>
              <w:autoSpaceDE w:val="0"/>
              <w:autoSpaceDN w:val="0"/>
              <w:spacing w:line="240" w:lineRule="auto"/>
              <w:ind w:firstLine="416"/>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井口</w:t>
            </w:r>
            <w:r>
              <w:rPr>
                <w:snapToGrid w:val="0"/>
                <w:color w:val="000000" w:themeColor="text1"/>
                <w:spacing w:val="-1"/>
                <w:kern w:val="0"/>
                <w:sz w:val="21"/>
                <w:szCs w:val="21"/>
                <w:lang w:eastAsia="en-US"/>
              </w:rPr>
              <w:t>-100m</w:t>
            </w:r>
          </w:p>
        </w:tc>
        <w:tc>
          <w:tcPr>
            <w:tcW w:w="1537" w:type="pct"/>
            <w:tcBorders>
              <w:tl2br w:val="nil"/>
              <w:tr2bl w:val="nil"/>
            </w:tcBorders>
            <w:vAlign w:val="center"/>
          </w:tcPr>
          <w:p w14:paraId="44F7CD0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position w:val="-3"/>
                <w:sz w:val="21"/>
                <w:szCs w:val="21"/>
                <w:lang w:eastAsia="en-US"/>
              </w:rPr>
              <w:t>-</w:t>
            </w:r>
          </w:p>
        </w:tc>
      </w:tr>
      <w:tr w:rsidR="002E0859" w14:paraId="5E9E96DC" w14:textId="77777777">
        <w:trPr>
          <w:trHeight w:val="23"/>
        </w:trPr>
        <w:tc>
          <w:tcPr>
            <w:tcW w:w="3462" w:type="pct"/>
            <w:tcBorders>
              <w:tl2br w:val="nil"/>
              <w:tr2bl w:val="nil"/>
            </w:tcBorders>
            <w:vAlign w:val="center"/>
          </w:tcPr>
          <w:p w14:paraId="2CCAA176" w14:textId="77777777" w:rsidR="002E0859" w:rsidRDefault="00000000">
            <w:pPr>
              <w:widowControl/>
              <w:kinsoku w:val="0"/>
              <w:topLinePunct w:val="0"/>
              <w:autoSpaceDE w:val="0"/>
              <w:autoSpaceDN w:val="0"/>
              <w:spacing w:line="240" w:lineRule="auto"/>
              <w:ind w:firstLine="412"/>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直井段</w:t>
            </w:r>
          </w:p>
        </w:tc>
        <w:tc>
          <w:tcPr>
            <w:tcW w:w="1537" w:type="pct"/>
            <w:tcBorders>
              <w:tl2br w:val="nil"/>
              <w:tr2bl w:val="nil"/>
            </w:tcBorders>
            <w:vAlign w:val="center"/>
          </w:tcPr>
          <w:p w14:paraId="74A0F9DD" w14:textId="77777777" w:rsidR="002E0859" w:rsidRDefault="00000000">
            <w:pPr>
              <w:widowControl/>
              <w:tabs>
                <w:tab w:val="left" w:pos="930"/>
              </w:tabs>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position w:val="-3"/>
                <w:sz w:val="21"/>
                <w:szCs w:val="21"/>
                <w:lang w:eastAsia="en-US"/>
              </w:rPr>
              <w:t>-</w:t>
            </w:r>
          </w:p>
        </w:tc>
      </w:tr>
      <w:tr w:rsidR="002E0859" w14:paraId="12F0DE2B" w14:textId="77777777">
        <w:trPr>
          <w:trHeight w:val="23"/>
        </w:trPr>
        <w:tc>
          <w:tcPr>
            <w:tcW w:w="3462" w:type="pct"/>
            <w:tcBorders>
              <w:tl2br w:val="nil"/>
              <w:tr2bl w:val="nil"/>
            </w:tcBorders>
            <w:vAlign w:val="center"/>
          </w:tcPr>
          <w:p w14:paraId="050E4E44" w14:textId="77777777" w:rsidR="002E0859" w:rsidRDefault="00000000">
            <w:pPr>
              <w:widowControl/>
              <w:kinsoku w:val="0"/>
              <w:topLinePunct w:val="0"/>
              <w:autoSpaceDE w:val="0"/>
              <w:autoSpaceDN w:val="0"/>
              <w:spacing w:line="240" w:lineRule="auto"/>
              <w:ind w:firstLine="416"/>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直井段</w:t>
            </w:r>
            <w:r>
              <w:rPr>
                <w:snapToGrid w:val="0"/>
                <w:color w:val="000000" w:themeColor="text1"/>
                <w:spacing w:val="-1"/>
                <w:kern w:val="0"/>
                <w:sz w:val="21"/>
                <w:szCs w:val="21"/>
                <w:lang w:eastAsia="en-US"/>
              </w:rPr>
              <w:t>-30°</w:t>
            </w:r>
            <w:r>
              <w:rPr>
                <w:snapToGrid w:val="0"/>
                <w:color w:val="000000" w:themeColor="text1"/>
                <w:spacing w:val="-1"/>
                <w:kern w:val="0"/>
                <w:sz w:val="21"/>
                <w:szCs w:val="21"/>
                <w:lang w:eastAsia="en-US"/>
              </w:rPr>
              <w:t>井斜</w:t>
            </w:r>
          </w:p>
        </w:tc>
        <w:tc>
          <w:tcPr>
            <w:tcW w:w="1537" w:type="pct"/>
            <w:tcBorders>
              <w:tl2br w:val="nil"/>
              <w:tr2bl w:val="nil"/>
            </w:tcBorders>
            <w:vAlign w:val="center"/>
          </w:tcPr>
          <w:p w14:paraId="10DD401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0.5</w:t>
            </w:r>
          </w:p>
        </w:tc>
      </w:tr>
      <w:tr w:rsidR="002E0859" w14:paraId="1FBBC668" w14:textId="77777777">
        <w:trPr>
          <w:trHeight w:val="23"/>
        </w:trPr>
        <w:tc>
          <w:tcPr>
            <w:tcW w:w="3462" w:type="pct"/>
            <w:tcBorders>
              <w:tl2br w:val="nil"/>
              <w:tr2bl w:val="nil"/>
            </w:tcBorders>
            <w:vAlign w:val="center"/>
          </w:tcPr>
          <w:p w14:paraId="3D87DE5B" w14:textId="77777777" w:rsidR="002E0859" w:rsidRDefault="00000000">
            <w:pPr>
              <w:widowControl/>
              <w:kinsoku w:val="0"/>
              <w:topLinePunct w:val="0"/>
              <w:autoSpaceDE w:val="0"/>
              <w:autoSpaceDN w:val="0"/>
              <w:spacing w:line="240" w:lineRule="auto"/>
              <w:ind w:firstLine="416"/>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30°</w:t>
            </w:r>
            <w:r>
              <w:rPr>
                <w:snapToGrid w:val="0"/>
                <w:color w:val="000000" w:themeColor="text1"/>
                <w:spacing w:val="-1"/>
                <w:kern w:val="0"/>
                <w:sz w:val="21"/>
                <w:szCs w:val="21"/>
                <w:lang w:eastAsia="en-US"/>
              </w:rPr>
              <w:t>井斜</w:t>
            </w:r>
            <w:r>
              <w:rPr>
                <w:snapToGrid w:val="0"/>
                <w:color w:val="000000" w:themeColor="text1"/>
                <w:spacing w:val="-1"/>
                <w:kern w:val="0"/>
                <w:sz w:val="21"/>
                <w:szCs w:val="21"/>
                <w:lang w:eastAsia="en-US"/>
              </w:rPr>
              <w:t>-45°</w:t>
            </w:r>
            <w:r>
              <w:rPr>
                <w:snapToGrid w:val="0"/>
                <w:color w:val="000000" w:themeColor="text1"/>
                <w:spacing w:val="-1"/>
                <w:kern w:val="0"/>
                <w:sz w:val="21"/>
                <w:szCs w:val="21"/>
                <w:lang w:eastAsia="en-US"/>
              </w:rPr>
              <w:t>井斜</w:t>
            </w:r>
          </w:p>
        </w:tc>
        <w:tc>
          <w:tcPr>
            <w:tcW w:w="1537" w:type="pct"/>
            <w:tcBorders>
              <w:tl2br w:val="nil"/>
              <w:tr2bl w:val="nil"/>
            </w:tcBorders>
            <w:vAlign w:val="center"/>
          </w:tcPr>
          <w:p w14:paraId="206A0E8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0.5</w:t>
            </w:r>
          </w:p>
        </w:tc>
      </w:tr>
      <w:tr w:rsidR="002E0859" w14:paraId="1FE0821C" w14:textId="77777777">
        <w:trPr>
          <w:trHeight w:val="23"/>
        </w:trPr>
        <w:tc>
          <w:tcPr>
            <w:tcW w:w="3462" w:type="pct"/>
            <w:tcBorders>
              <w:tl2br w:val="nil"/>
              <w:tr2bl w:val="nil"/>
            </w:tcBorders>
            <w:vAlign w:val="center"/>
          </w:tcPr>
          <w:p w14:paraId="01B73F34" w14:textId="77777777" w:rsidR="002E0859" w:rsidRDefault="00000000">
            <w:pPr>
              <w:widowControl/>
              <w:kinsoku w:val="0"/>
              <w:topLinePunct w:val="0"/>
              <w:autoSpaceDE w:val="0"/>
              <w:autoSpaceDN w:val="0"/>
              <w:spacing w:line="240" w:lineRule="auto"/>
              <w:ind w:firstLine="416"/>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45°</w:t>
            </w:r>
            <w:r>
              <w:rPr>
                <w:snapToGrid w:val="0"/>
                <w:color w:val="000000" w:themeColor="text1"/>
                <w:spacing w:val="-1"/>
                <w:kern w:val="0"/>
                <w:sz w:val="21"/>
                <w:szCs w:val="21"/>
                <w:lang w:eastAsia="en-US"/>
              </w:rPr>
              <w:t>井斜</w:t>
            </w:r>
            <w:r>
              <w:rPr>
                <w:snapToGrid w:val="0"/>
                <w:color w:val="000000" w:themeColor="text1"/>
                <w:spacing w:val="-1"/>
                <w:kern w:val="0"/>
                <w:sz w:val="21"/>
                <w:szCs w:val="21"/>
                <w:lang w:eastAsia="en-US"/>
              </w:rPr>
              <w:t>-60°</w:t>
            </w:r>
            <w:r>
              <w:rPr>
                <w:snapToGrid w:val="0"/>
                <w:color w:val="000000" w:themeColor="text1"/>
                <w:spacing w:val="-1"/>
                <w:kern w:val="0"/>
                <w:sz w:val="21"/>
                <w:szCs w:val="21"/>
                <w:lang w:eastAsia="en-US"/>
              </w:rPr>
              <w:t>井斜</w:t>
            </w:r>
          </w:p>
        </w:tc>
        <w:tc>
          <w:tcPr>
            <w:tcW w:w="1537" w:type="pct"/>
            <w:tcBorders>
              <w:tl2br w:val="nil"/>
              <w:tr2bl w:val="nil"/>
            </w:tcBorders>
            <w:vAlign w:val="center"/>
          </w:tcPr>
          <w:p w14:paraId="6E0062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0.9</w:t>
            </w:r>
          </w:p>
        </w:tc>
      </w:tr>
      <w:tr w:rsidR="002E0859" w14:paraId="0A3345A1" w14:textId="77777777">
        <w:trPr>
          <w:trHeight w:val="23"/>
        </w:trPr>
        <w:tc>
          <w:tcPr>
            <w:tcW w:w="3462" w:type="pct"/>
            <w:tcBorders>
              <w:tl2br w:val="nil"/>
              <w:tr2bl w:val="nil"/>
            </w:tcBorders>
            <w:vAlign w:val="center"/>
          </w:tcPr>
          <w:p w14:paraId="02EC2C64" w14:textId="77777777" w:rsidR="002E0859" w:rsidRDefault="00000000">
            <w:pPr>
              <w:widowControl/>
              <w:kinsoku w:val="0"/>
              <w:topLinePunct w:val="0"/>
              <w:autoSpaceDE w:val="0"/>
              <w:autoSpaceDN w:val="0"/>
              <w:spacing w:line="240" w:lineRule="auto"/>
              <w:ind w:firstLine="416"/>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60°</w:t>
            </w:r>
            <w:r>
              <w:rPr>
                <w:snapToGrid w:val="0"/>
                <w:color w:val="000000" w:themeColor="text1"/>
                <w:spacing w:val="-1"/>
                <w:kern w:val="0"/>
                <w:sz w:val="21"/>
                <w:szCs w:val="21"/>
                <w:lang w:eastAsia="en-US"/>
              </w:rPr>
              <w:t>井斜</w:t>
            </w:r>
            <w:r>
              <w:rPr>
                <w:snapToGrid w:val="0"/>
                <w:color w:val="000000" w:themeColor="text1"/>
                <w:spacing w:val="-1"/>
                <w:kern w:val="0"/>
                <w:sz w:val="21"/>
                <w:szCs w:val="21"/>
                <w:lang w:eastAsia="en-US"/>
              </w:rPr>
              <w:t>-75°</w:t>
            </w:r>
            <w:r>
              <w:rPr>
                <w:snapToGrid w:val="0"/>
                <w:color w:val="000000" w:themeColor="text1"/>
                <w:spacing w:val="-1"/>
                <w:kern w:val="0"/>
                <w:sz w:val="21"/>
                <w:szCs w:val="21"/>
                <w:lang w:eastAsia="en-US"/>
              </w:rPr>
              <w:t>井斜</w:t>
            </w:r>
          </w:p>
        </w:tc>
        <w:tc>
          <w:tcPr>
            <w:tcW w:w="1537" w:type="pct"/>
            <w:tcBorders>
              <w:tl2br w:val="nil"/>
              <w:tr2bl w:val="nil"/>
            </w:tcBorders>
            <w:vAlign w:val="center"/>
          </w:tcPr>
          <w:p w14:paraId="396F9EF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1.3</w:t>
            </w:r>
          </w:p>
        </w:tc>
      </w:tr>
      <w:tr w:rsidR="002E0859" w14:paraId="74609436" w14:textId="77777777">
        <w:trPr>
          <w:trHeight w:val="23"/>
        </w:trPr>
        <w:tc>
          <w:tcPr>
            <w:tcW w:w="3462" w:type="pct"/>
            <w:tcBorders>
              <w:tl2br w:val="nil"/>
              <w:tr2bl w:val="nil"/>
            </w:tcBorders>
            <w:vAlign w:val="center"/>
          </w:tcPr>
          <w:p w14:paraId="6C02E350" w14:textId="77777777" w:rsidR="002E0859" w:rsidRDefault="00000000">
            <w:pPr>
              <w:widowControl/>
              <w:kinsoku w:val="0"/>
              <w:topLinePunct w:val="0"/>
              <w:autoSpaceDE w:val="0"/>
              <w:autoSpaceDN w:val="0"/>
              <w:spacing w:line="240" w:lineRule="auto"/>
              <w:ind w:firstLine="404"/>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75°</w:t>
            </w:r>
            <w:r>
              <w:rPr>
                <w:snapToGrid w:val="0"/>
                <w:color w:val="000000" w:themeColor="text1"/>
                <w:spacing w:val="-4"/>
                <w:kern w:val="0"/>
                <w:sz w:val="21"/>
                <w:szCs w:val="21"/>
                <w:lang w:eastAsia="en-US"/>
              </w:rPr>
              <w:t>井斜</w:t>
            </w:r>
            <w:r>
              <w:rPr>
                <w:snapToGrid w:val="0"/>
                <w:color w:val="000000" w:themeColor="text1"/>
                <w:spacing w:val="-4"/>
                <w:kern w:val="0"/>
                <w:sz w:val="21"/>
                <w:szCs w:val="21"/>
                <w:lang w:eastAsia="en-US"/>
              </w:rPr>
              <w:t>-</w:t>
            </w:r>
            <w:r>
              <w:rPr>
                <w:snapToGrid w:val="0"/>
                <w:color w:val="000000" w:themeColor="text1"/>
                <w:spacing w:val="-4"/>
                <w:kern w:val="0"/>
                <w:sz w:val="21"/>
                <w:szCs w:val="21"/>
                <w:lang w:eastAsia="en-US"/>
              </w:rPr>
              <w:t>（桥塞位置</w:t>
            </w:r>
            <w:r>
              <w:rPr>
                <w:snapToGrid w:val="0"/>
                <w:color w:val="000000" w:themeColor="text1"/>
                <w:spacing w:val="-4"/>
                <w:kern w:val="0"/>
                <w:sz w:val="21"/>
                <w:szCs w:val="21"/>
                <w:lang w:eastAsia="en-US"/>
              </w:rPr>
              <w:t>-100m</w:t>
            </w:r>
            <w:r>
              <w:rPr>
                <w:snapToGrid w:val="0"/>
                <w:color w:val="000000" w:themeColor="text1"/>
                <w:spacing w:val="-4"/>
                <w:kern w:val="0"/>
                <w:sz w:val="21"/>
                <w:szCs w:val="21"/>
                <w:lang w:eastAsia="en-US"/>
              </w:rPr>
              <w:t>）</w:t>
            </w:r>
          </w:p>
        </w:tc>
        <w:tc>
          <w:tcPr>
            <w:tcW w:w="1537" w:type="pct"/>
            <w:tcBorders>
              <w:tl2br w:val="nil"/>
              <w:tr2bl w:val="nil"/>
            </w:tcBorders>
            <w:vAlign w:val="center"/>
          </w:tcPr>
          <w:p w14:paraId="45D76C3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1.5-2.0</w:t>
            </w:r>
          </w:p>
        </w:tc>
      </w:tr>
      <w:tr w:rsidR="002E0859" w14:paraId="1A4D517A" w14:textId="77777777">
        <w:trPr>
          <w:trHeight w:val="90"/>
        </w:trPr>
        <w:tc>
          <w:tcPr>
            <w:tcW w:w="3462" w:type="pct"/>
            <w:tcBorders>
              <w:tl2br w:val="nil"/>
              <w:tr2bl w:val="nil"/>
            </w:tcBorders>
            <w:vAlign w:val="center"/>
          </w:tcPr>
          <w:p w14:paraId="3822C7F7" w14:textId="77777777" w:rsidR="002E0859" w:rsidRDefault="00000000">
            <w:pPr>
              <w:widowControl/>
              <w:kinsoku w:val="0"/>
              <w:topLinePunct w:val="0"/>
              <w:autoSpaceDE w:val="0"/>
              <w:autoSpaceDN w:val="0"/>
              <w:spacing w:line="240" w:lineRule="auto"/>
              <w:ind w:firstLine="396"/>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最后</w:t>
            </w:r>
            <w:r>
              <w:rPr>
                <w:snapToGrid w:val="0"/>
                <w:color w:val="000000" w:themeColor="text1"/>
                <w:spacing w:val="-6"/>
                <w:kern w:val="0"/>
                <w:sz w:val="21"/>
                <w:szCs w:val="21"/>
                <w:lang w:eastAsia="en-US"/>
              </w:rPr>
              <w:t>100m</w:t>
            </w:r>
          </w:p>
        </w:tc>
        <w:tc>
          <w:tcPr>
            <w:tcW w:w="1537" w:type="pct"/>
            <w:tcBorders>
              <w:tl2br w:val="nil"/>
              <w:tr2bl w:val="nil"/>
            </w:tcBorders>
            <w:vAlign w:val="center"/>
          </w:tcPr>
          <w:p w14:paraId="295E1B6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1.5-2.0</w:t>
            </w:r>
          </w:p>
        </w:tc>
      </w:tr>
    </w:tbl>
    <w:p w14:paraId="233B64C1" w14:textId="77777777" w:rsidR="002E0859" w:rsidRDefault="00000000">
      <w:pPr>
        <w:widowControl/>
        <w:kinsoku w:val="0"/>
        <w:topLinePunct w:val="0"/>
        <w:autoSpaceDE w:val="0"/>
        <w:autoSpaceDN w:val="0"/>
        <w:spacing w:beforeLines="50" w:before="120" w:line="360" w:lineRule="auto"/>
        <w:ind w:firstLine="480"/>
        <w:jc w:val="left"/>
        <w:textAlignment w:val="baseline"/>
        <w:rPr>
          <w:color w:val="000000" w:themeColor="text1"/>
          <w:kern w:val="0"/>
          <w:sz w:val="24"/>
          <w:szCs w:val="24"/>
        </w:rPr>
      </w:pPr>
      <w:r>
        <w:rPr>
          <w:color w:val="000000" w:themeColor="text1"/>
          <w:kern w:val="0"/>
          <w:sz w:val="24"/>
          <w:szCs w:val="24"/>
          <w:lang w:eastAsia="en-US"/>
        </w:rPr>
        <w:t>应用多簇射孔工艺，提高改造效率，增加复杂度。为减少孔眼摩阻，采用较大的孔径射孔，孔径</w:t>
      </w:r>
      <w:r>
        <w:rPr>
          <w:color w:val="000000" w:themeColor="text1"/>
          <w:kern w:val="0"/>
          <w:sz w:val="24"/>
          <w:szCs w:val="24"/>
          <w:lang w:eastAsia="en-US"/>
        </w:rPr>
        <w:t>9.5mm</w:t>
      </w:r>
      <w:r>
        <w:rPr>
          <w:color w:val="000000" w:themeColor="text1"/>
          <w:kern w:val="0"/>
          <w:sz w:val="24"/>
          <w:szCs w:val="24"/>
          <w:lang w:eastAsia="en-US"/>
        </w:rPr>
        <w:t>，以减少近井的裂缝扭曲摩阻；射孔采用</w:t>
      </w:r>
      <w:r>
        <w:rPr>
          <w:color w:val="000000" w:themeColor="text1"/>
          <w:kern w:val="0"/>
          <w:sz w:val="24"/>
          <w:szCs w:val="24"/>
          <w:lang w:eastAsia="en-US"/>
        </w:rPr>
        <w:t>89mm</w:t>
      </w:r>
      <w:r>
        <w:rPr>
          <w:color w:val="000000" w:themeColor="text1"/>
          <w:kern w:val="0"/>
          <w:sz w:val="24"/>
          <w:szCs w:val="24"/>
          <w:lang w:eastAsia="en-US"/>
        </w:rPr>
        <w:t>枪，孔密</w:t>
      </w:r>
      <w:r>
        <w:rPr>
          <w:color w:val="000000" w:themeColor="text1"/>
          <w:kern w:val="0"/>
          <w:sz w:val="24"/>
          <w:szCs w:val="24"/>
          <w:lang w:eastAsia="en-US"/>
        </w:rPr>
        <w:t>20</w:t>
      </w:r>
      <w:r>
        <w:rPr>
          <w:color w:val="000000" w:themeColor="text1"/>
          <w:kern w:val="0"/>
          <w:sz w:val="24"/>
          <w:szCs w:val="24"/>
          <w:lang w:eastAsia="en-US"/>
        </w:rPr>
        <w:t>孔</w:t>
      </w:r>
      <w:r>
        <w:rPr>
          <w:color w:val="000000" w:themeColor="text1"/>
          <w:kern w:val="0"/>
          <w:sz w:val="24"/>
          <w:szCs w:val="24"/>
          <w:lang w:eastAsia="en-US"/>
        </w:rPr>
        <w:t>/m</w:t>
      </w:r>
      <w:r>
        <w:rPr>
          <w:color w:val="000000" w:themeColor="text1"/>
          <w:kern w:val="0"/>
          <w:sz w:val="24"/>
          <w:szCs w:val="24"/>
          <w:lang w:eastAsia="en-US"/>
        </w:rPr>
        <w:t>。根据北美页岩气压裂经验，单孔排量需达到</w:t>
      </w:r>
      <w:r>
        <w:rPr>
          <w:color w:val="000000" w:themeColor="text1"/>
          <w:kern w:val="0"/>
          <w:sz w:val="24"/>
          <w:szCs w:val="24"/>
          <w:lang w:eastAsia="en-US"/>
        </w:rPr>
        <w:t>0.23-0.30m</w:t>
      </w:r>
      <w:r>
        <w:rPr>
          <w:color w:val="000000" w:themeColor="text1"/>
          <w:kern w:val="0"/>
          <w:sz w:val="24"/>
          <w:szCs w:val="24"/>
          <w:vertAlign w:val="superscript"/>
          <w:lang w:eastAsia="en-US"/>
        </w:rPr>
        <w:t>3</w:t>
      </w:r>
      <w:r>
        <w:rPr>
          <w:color w:val="000000" w:themeColor="text1"/>
          <w:kern w:val="0"/>
          <w:sz w:val="24"/>
          <w:szCs w:val="24"/>
          <w:lang w:eastAsia="en-US"/>
        </w:rPr>
        <w:t>/min</w:t>
      </w:r>
      <w:r>
        <w:rPr>
          <w:color w:val="000000" w:themeColor="text1"/>
          <w:kern w:val="0"/>
          <w:sz w:val="24"/>
          <w:szCs w:val="24"/>
          <w:lang w:eastAsia="en-US"/>
        </w:rPr>
        <w:t>（孔眼有效率</w:t>
      </w:r>
      <w:r>
        <w:rPr>
          <w:color w:val="000000" w:themeColor="text1"/>
          <w:kern w:val="0"/>
          <w:sz w:val="24"/>
          <w:szCs w:val="24"/>
          <w:lang w:eastAsia="en-US"/>
        </w:rPr>
        <w:t>60-80%</w:t>
      </w:r>
      <w:r>
        <w:rPr>
          <w:color w:val="000000" w:themeColor="text1"/>
          <w:kern w:val="0"/>
          <w:sz w:val="24"/>
          <w:szCs w:val="24"/>
          <w:lang w:eastAsia="en-US"/>
        </w:rPr>
        <w:t>），孔眼数</w:t>
      </w:r>
      <w:r>
        <w:rPr>
          <w:color w:val="000000" w:themeColor="text1"/>
          <w:kern w:val="0"/>
          <w:sz w:val="24"/>
          <w:szCs w:val="24"/>
          <w:lang w:eastAsia="en-US"/>
        </w:rPr>
        <w:t>36-42</w:t>
      </w:r>
      <w:r>
        <w:rPr>
          <w:color w:val="000000" w:themeColor="text1"/>
          <w:kern w:val="0"/>
          <w:sz w:val="24"/>
          <w:szCs w:val="24"/>
          <w:lang w:eastAsia="en-US"/>
        </w:rPr>
        <w:t>、簇长</w:t>
      </w:r>
      <w:r>
        <w:rPr>
          <w:color w:val="000000" w:themeColor="text1"/>
          <w:kern w:val="0"/>
          <w:sz w:val="24"/>
          <w:szCs w:val="24"/>
          <w:lang w:eastAsia="en-US"/>
        </w:rPr>
        <w:t>0.15-0.2m</w:t>
      </w:r>
      <w:r>
        <w:rPr>
          <w:color w:val="000000" w:themeColor="text1"/>
          <w:kern w:val="0"/>
          <w:sz w:val="24"/>
          <w:szCs w:val="24"/>
          <w:lang w:eastAsia="en-US"/>
        </w:rPr>
        <w:t>条件下，排量＞</w:t>
      </w:r>
      <w:r>
        <w:rPr>
          <w:color w:val="000000" w:themeColor="text1"/>
          <w:kern w:val="0"/>
          <w:sz w:val="24"/>
          <w:szCs w:val="24"/>
          <w:lang w:eastAsia="en-US"/>
        </w:rPr>
        <w:t>12m</w:t>
      </w:r>
      <w:r>
        <w:rPr>
          <w:color w:val="000000" w:themeColor="text1"/>
          <w:kern w:val="0"/>
          <w:sz w:val="24"/>
          <w:szCs w:val="24"/>
          <w:vertAlign w:val="superscript"/>
          <w:lang w:eastAsia="en-US"/>
        </w:rPr>
        <w:t>3</w:t>
      </w:r>
      <w:r>
        <w:rPr>
          <w:color w:val="000000" w:themeColor="text1"/>
          <w:kern w:val="0"/>
          <w:sz w:val="24"/>
          <w:szCs w:val="24"/>
          <w:lang w:eastAsia="en-US"/>
        </w:rPr>
        <w:t>/min</w:t>
      </w:r>
      <w:r>
        <w:rPr>
          <w:color w:val="000000" w:themeColor="text1"/>
          <w:kern w:val="0"/>
          <w:sz w:val="24"/>
          <w:szCs w:val="24"/>
          <w:lang w:eastAsia="en-US"/>
        </w:rPr>
        <w:t>能满足要求。</w:t>
      </w:r>
    </w:p>
    <w:p w14:paraId="3894F2C4"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井口配置</w:t>
      </w:r>
    </w:p>
    <w:p w14:paraId="45321AF3" w14:textId="77777777" w:rsidR="002E0859" w:rsidRDefault="00000000">
      <w:pPr>
        <w:widowControl/>
        <w:kinsoku w:val="0"/>
        <w:topLinePunct w:val="0"/>
        <w:autoSpaceDE w:val="0"/>
        <w:autoSpaceDN w:val="0"/>
        <w:spacing w:line="360" w:lineRule="auto"/>
        <w:ind w:firstLine="480"/>
        <w:textAlignment w:val="baseline"/>
        <w:rPr>
          <w:rFonts w:ascii="宋体" w:hAnsi="宋体" w:cs="宋体"/>
          <w:snapToGrid w:val="0"/>
          <w:color w:val="000000" w:themeColor="text1"/>
          <w:kern w:val="0"/>
          <w:sz w:val="24"/>
          <w:szCs w:val="24"/>
          <w:lang w:eastAsia="en-US"/>
        </w:rPr>
      </w:pPr>
      <w:r>
        <w:rPr>
          <w:color w:val="000000" w:themeColor="text1"/>
          <w:kern w:val="0"/>
          <w:sz w:val="24"/>
          <w:szCs w:val="24"/>
          <w:lang w:eastAsia="en-US"/>
        </w:rPr>
        <w:t>根据《石油天然气工程设计防火规范》标准，采气井口装置应配置紧急切断系统。采气井口装置宜选</w:t>
      </w:r>
      <w:r>
        <w:rPr>
          <w:color w:val="000000" w:themeColor="text1"/>
          <w:kern w:val="0"/>
          <w:sz w:val="24"/>
          <w:szCs w:val="24"/>
          <w:lang w:eastAsia="en-US"/>
        </w:rPr>
        <w:t>7#</w:t>
      </w:r>
      <w:r>
        <w:rPr>
          <w:color w:val="000000" w:themeColor="text1"/>
          <w:kern w:val="0"/>
          <w:sz w:val="24"/>
          <w:szCs w:val="24"/>
          <w:lang w:eastAsia="en-US"/>
        </w:rPr>
        <w:t>阀为自动关断阀的十一阀双翼采气井口装置，预测关井最高压力为</w:t>
      </w:r>
      <w:r>
        <w:rPr>
          <w:color w:val="000000" w:themeColor="text1"/>
          <w:kern w:val="0"/>
          <w:sz w:val="24"/>
          <w:szCs w:val="24"/>
          <w:lang w:eastAsia="en-US"/>
        </w:rPr>
        <w:t>70MPa</w:t>
      </w:r>
      <w:r>
        <w:rPr>
          <w:color w:val="000000" w:themeColor="text1"/>
          <w:kern w:val="0"/>
          <w:sz w:val="24"/>
          <w:szCs w:val="24"/>
          <w:lang w:eastAsia="en-US"/>
        </w:rPr>
        <w:t>，采气生产井口型号为</w:t>
      </w:r>
      <w:r>
        <w:rPr>
          <w:color w:val="000000" w:themeColor="text1"/>
          <w:kern w:val="0"/>
          <w:sz w:val="24"/>
          <w:szCs w:val="24"/>
          <w:lang w:eastAsia="en-US"/>
        </w:rPr>
        <w:t>KQ78/65-70EE</w:t>
      </w:r>
      <w:r>
        <w:rPr>
          <w:color w:val="000000" w:themeColor="text1"/>
          <w:kern w:val="0"/>
          <w:sz w:val="24"/>
          <w:szCs w:val="24"/>
          <w:lang w:eastAsia="en-US"/>
        </w:rPr>
        <w:t>级井口。油管头下法兰直接加工成与二级套管头相配法兰，套管挂脖颈采用橡胶密封（具体如下图</w:t>
      </w:r>
      <w:r>
        <w:rPr>
          <w:rFonts w:hint="eastAsia"/>
          <w:color w:val="000000" w:themeColor="text1"/>
          <w:kern w:val="0"/>
          <w:sz w:val="24"/>
          <w:szCs w:val="24"/>
        </w:rPr>
        <w:t>2.5</w:t>
      </w:r>
      <w:r>
        <w:rPr>
          <w:color w:val="000000" w:themeColor="text1"/>
          <w:kern w:val="0"/>
          <w:sz w:val="24"/>
          <w:szCs w:val="24"/>
          <w:lang w:eastAsia="en-US"/>
        </w:rPr>
        <w:t>-</w:t>
      </w:r>
      <w:r>
        <w:rPr>
          <w:rFonts w:hint="eastAsia"/>
          <w:color w:val="000000" w:themeColor="text1"/>
          <w:kern w:val="0"/>
          <w:sz w:val="24"/>
          <w:szCs w:val="24"/>
        </w:rPr>
        <w:t>1</w:t>
      </w:r>
      <w:r>
        <w:rPr>
          <w:color w:val="000000" w:themeColor="text1"/>
          <w:kern w:val="0"/>
          <w:sz w:val="24"/>
          <w:szCs w:val="24"/>
          <w:lang w:eastAsia="en-US"/>
        </w:rPr>
        <w:t>所示）。</w:t>
      </w:r>
    </w:p>
    <w:p w14:paraId="2E40BCA3" w14:textId="09719F01" w:rsidR="002E0859" w:rsidRDefault="002E0859">
      <w:pPr>
        <w:widowControl/>
        <w:kinsoku w:val="0"/>
        <w:topLinePunct w:val="0"/>
        <w:autoSpaceDE w:val="0"/>
        <w:autoSpaceDN w:val="0"/>
        <w:spacing w:line="360" w:lineRule="auto"/>
        <w:ind w:firstLine="560"/>
        <w:jc w:val="center"/>
        <w:textAlignment w:val="baseline"/>
        <w:rPr>
          <w:color w:val="000000" w:themeColor="text1"/>
        </w:rPr>
      </w:pPr>
    </w:p>
    <w:p w14:paraId="04918353" w14:textId="77777777" w:rsidR="002E0859" w:rsidRDefault="00000000">
      <w:pPr>
        <w:widowControl/>
        <w:kinsoku w:val="0"/>
        <w:topLinePunct w:val="0"/>
        <w:autoSpaceDE w:val="0"/>
        <w:autoSpaceDN w:val="0"/>
        <w:spacing w:line="360" w:lineRule="auto"/>
        <w:ind w:firstLine="412"/>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hint="eastAsia"/>
          <w:color w:val="000000" w:themeColor="text1"/>
          <w:kern w:val="0"/>
          <w:sz w:val="21"/>
          <w:szCs w:val="21"/>
        </w:rPr>
        <w:t>2.5</w:t>
      </w:r>
      <w:r>
        <w:rPr>
          <w:color w:val="000000" w:themeColor="text1"/>
          <w:kern w:val="0"/>
          <w:sz w:val="21"/>
          <w:szCs w:val="21"/>
          <w:lang w:eastAsia="en-US"/>
        </w:rPr>
        <w:t>-</w:t>
      </w:r>
      <w:r>
        <w:rPr>
          <w:rFonts w:hint="eastAsia"/>
          <w:color w:val="000000" w:themeColor="text1"/>
          <w:kern w:val="0"/>
          <w:sz w:val="21"/>
          <w:szCs w:val="21"/>
        </w:rPr>
        <w:t xml:space="preserve">1 </w:t>
      </w:r>
      <w:r>
        <w:rPr>
          <w:rFonts w:ascii="黑体" w:eastAsia="黑体" w:hAnsi="黑体" w:cs="黑体"/>
          <w:snapToGrid w:val="0"/>
          <w:color w:val="000000" w:themeColor="text1"/>
          <w:spacing w:val="-2"/>
          <w:kern w:val="0"/>
          <w:sz w:val="21"/>
          <w:szCs w:val="21"/>
          <w:lang w:eastAsia="en-US"/>
        </w:rPr>
        <w:t>采气井口装置示意图</w:t>
      </w:r>
    </w:p>
    <w:p w14:paraId="5D67ACE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压裂工艺</w:t>
      </w:r>
    </w:p>
    <w:p w14:paraId="6D617BD3"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压裂方案及压裂工具</w:t>
      </w:r>
    </w:p>
    <w:p w14:paraId="4FD8404B" w14:textId="77777777" w:rsidR="002E0859" w:rsidRDefault="00000000">
      <w:pPr>
        <w:widowControl/>
        <w:kinsoku w:val="0"/>
        <w:topLinePunct w:val="0"/>
        <w:autoSpaceDE w:val="0"/>
        <w:autoSpaceDN w:val="0"/>
        <w:spacing w:line="360" w:lineRule="auto"/>
        <w:ind w:firstLine="460"/>
        <w:jc w:val="left"/>
        <w:textAlignment w:val="baseline"/>
        <w:rPr>
          <w:snapToGrid w:val="0"/>
          <w:color w:val="000000" w:themeColor="text1"/>
          <w:kern w:val="0"/>
          <w:sz w:val="24"/>
          <w:szCs w:val="24"/>
          <w:lang w:eastAsia="en-US"/>
        </w:rPr>
      </w:pPr>
      <w:r>
        <w:rPr>
          <w:snapToGrid w:val="0"/>
          <w:color w:val="000000" w:themeColor="text1"/>
          <w:spacing w:val="-5"/>
          <w:kern w:val="0"/>
          <w:sz w:val="24"/>
          <w:szCs w:val="24"/>
          <w:lang w:eastAsia="en-US"/>
        </w:rPr>
        <w:t>总体思路：考虑前期江东区块对邻井冲击响应不大（</w:t>
      </w:r>
      <w:r>
        <w:rPr>
          <w:snapToGrid w:val="0"/>
          <w:color w:val="000000" w:themeColor="text1"/>
          <w:spacing w:val="-5"/>
          <w:kern w:val="0"/>
          <w:sz w:val="24"/>
          <w:szCs w:val="24"/>
          <w:lang w:eastAsia="en-US"/>
        </w:rPr>
        <w:t>&lt;5MPa</w:t>
      </w:r>
      <w:r>
        <w:rPr>
          <w:snapToGrid w:val="0"/>
          <w:color w:val="000000" w:themeColor="text1"/>
          <w:spacing w:val="-2"/>
          <w:kern w:val="0"/>
          <w:sz w:val="24"/>
          <w:szCs w:val="24"/>
          <w:lang w:eastAsia="en-US"/>
        </w:rPr>
        <w:t>），</w:t>
      </w:r>
      <w:r>
        <w:rPr>
          <w:snapToGrid w:val="0"/>
          <w:color w:val="000000" w:themeColor="text1"/>
          <w:spacing w:val="-5"/>
          <w:kern w:val="0"/>
          <w:sz w:val="24"/>
          <w:szCs w:val="24"/>
          <w:lang w:eastAsia="en-US"/>
        </w:rPr>
        <w:t>两口评价井井间垂</w:t>
      </w:r>
      <w:r>
        <w:rPr>
          <w:snapToGrid w:val="0"/>
          <w:color w:val="000000" w:themeColor="text1"/>
          <w:kern w:val="0"/>
          <w:sz w:val="24"/>
          <w:szCs w:val="24"/>
          <w:lang w:eastAsia="en-US"/>
        </w:rPr>
        <w:t>差较大（</w:t>
      </w:r>
      <w:r>
        <w:rPr>
          <w:snapToGrid w:val="0"/>
          <w:color w:val="000000" w:themeColor="text1"/>
          <w:kern w:val="0"/>
          <w:sz w:val="24"/>
          <w:szCs w:val="24"/>
          <w:lang w:eastAsia="en-US"/>
        </w:rPr>
        <w:t>50m</w:t>
      </w:r>
      <w:r>
        <w:rPr>
          <w:snapToGrid w:val="0"/>
          <w:color w:val="000000" w:themeColor="text1"/>
          <w:spacing w:val="-1"/>
          <w:kern w:val="0"/>
          <w:sz w:val="24"/>
          <w:szCs w:val="24"/>
          <w:lang w:eastAsia="en-US"/>
        </w:rPr>
        <w:t>），</w:t>
      </w:r>
      <w:r>
        <w:rPr>
          <w:snapToGrid w:val="0"/>
          <w:color w:val="000000" w:themeColor="text1"/>
          <w:kern w:val="0"/>
          <w:sz w:val="24"/>
          <w:szCs w:val="24"/>
          <w:lang w:eastAsia="en-US"/>
        </w:rPr>
        <w:t>以提高改造强度、扩大改造范围为核心，结合储层埋深大、弱挤压</w:t>
      </w:r>
      <w:r>
        <w:rPr>
          <w:snapToGrid w:val="0"/>
          <w:color w:val="000000" w:themeColor="text1"/>
          <w:kern w:val="0"/>
          <w:sz w:val="24"/>
          <w:szCs w:val="24"/>
          <w:lang w:eastAsia="en-US"/>
        </w:rPr>
        <w:t>-</w:t>
      </w:r>
      <w:r>
        <w:rPr>
          <w:snapToGrid w:val="0"/>
          <w:color w:val="000000" w:themeColor="text1"/>
          <w:spacing w:val="-1"/>
          <w:kern w:val="0"/>
          <w:sz w:val="24"/>
          <w:szCs w:val="24"/>
          <w:lang w:eastAsia="en-US"/>
        </w:rPr>
        <w:t>拉张应力环境、部分段曲率发育的特征，在分段分簇、暂堵工艺方面</w:t>
      </w:r>
      <w:r>
        <w:rPr>
          <w:snapToGrid w:val="0"/>
          <w:color w:val="000000" w:themeColor="text1"/>
          <w:spacing w:val="-2"/>
          <w:kern w:val="0"/>
          <w:sz w:val="24"/>
          <w:szCs w:val="24"/>
          <w:lang w:eastAsia="en-US"/>
        </w:rPr>
        <w:t>开展针对性优化。</w:t>
      </w:r>
    </w:p>
    <w:p w14:paraId="362753CA" w14:textId="77777777" w:rsidR="002E0859" w:rsidRDefault="00000000">
      <w:pPr>
        <w:widowControl/>
        <w:kinsoku w:val="0"/>
        <w:topLinePunct w:val="0"/>
        <w:autoSpaceDE w:val="0"/>
        <w:autoSpaceDN w:val="0"/>
        <w:spacing w:line="240" w:lineRule="auto"/>
        <w:ind w:firstLineChars="0" w:firstLine="0"/>
        <w:jc w:val="center"/>
        <w:textAlignment w:val="baseline"/>
        <w:rPr>
          <w:color w:val="000000" w:themeColor="text1"/>
          <w:kern w:val="0"/>
          <w:sz w:val="24"/>
          <w:szCs w:val="24"/>
          <w:lang w:eastAsia="en-US"/>
        </w:rPr>
      </w:pPr>
      <w:r>
        <w:rPr>
          <w:rFonts w:ascii="黑体" w:eastAsia="黑体" w:hAnsi="黑体" w:cs="黑体" w:hint="eastAsia"/>
          <w:snapToGrid w:val="0"/>
          <w:color w:val="000000" w:themeColor="text1"/>
          <w:spacing w:val="-2"/>
          <w:kern w:val="0"/>
          <w:sz w:val="21"/>
          <w:szCs w:val="21"/>
          <w:lang w:val="es-MX"/>
        </w:rPr>
        <w:t>表</w:t>
      </w:r>
      <w:r>
        <w:rPr>
          <w:rFonts w:eastAsia="黑体"/>
          <w:snapToGrid w:val="0"/>
          <w:color w:val="000000" w:themeColor="text1"/>
          <w:spacing w:val="-2"/>
          <w:kern w:val="0"/>
          <w:sz w:val="21"/>
          <w:szCs w:val="21"/>
        </w:rPr>
        <w:t>2.5-2</w:t>
      </w:r>
      <w:r>
        <w:rPr>
          <w:rFonts w:eastAsia="黑体" w:hint="eastAsia"/>
          <w:snapToGrid w:val="0"/>
          <w:color w:val="000000" w:themeColor="text1"/>
          <w:spacing w:val="-2"/>
          <w:kern w:val="0"/>
          <w:sz w:val="21"/>
          <w:szCs w:val="21"/>
        </w:rPr>
        <w:t xml:space="preserve"> </w:t>
      </w:r>
      <w:r>
        <w:rPr>
          <w:rFonts w:ascii="黑体" w:eastAsia="黑体" w:hAnsi="黑体" w:cs="黑体" w:hint="eastAsia"/>
          <w:snapToGrid w:val="0"/>
          <w:color w:val="000000" w:themeColor="text1"/>
          <w:spacing w:val="-2"/>
          <w:kern w:val="0"/>
          <w:sz w:val="21"/>
          <w:szCs w:val="21"/>
          <w:lang w:eastAsia="en-US"/>
        </w:rPr>
        <w:t>压裂工艺对策</w:t>
      </w:r>
    </w:p>
    <w:tbl>
      <w:tblPr>
        <w:tblStyle w:val="TableNormal"/>
        <w:tblW w:w="9632"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4072"/>
        <w:gridCol w:w="5560"/>
      </w:tblGrid>
      <w:tr w:rsidR="002E0859" w14:paraId="5EFF561B" w14:textId="77777777">
        <w:trPr>
          <w:trHeight w:val="23"/>
          <w:jc w:val="center"/>
        </w:trPr>
        <w:tc>
          <w:tcPr>
            <w:tcW w:w="4072" w:type="dxa"/>
            <w:tcBorders>
              <w:tl2br w:val="nil"/>
              <w:tr2bl w:val="nil"/>
            </w:tcBorders>
            <w:vAlign w:val="center"/>
          </w:tcPr>
          <w:p w14:paraId="1DC63E5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lastRenderedPageBreak/>
              <w:t>地质特点</w:t>
            </w:r>
          </w:p>
        </w:tc>
        <w:tc>
          <w:tcPr>
            <w:tcW w:w="5560" w:type="dxa"/>
            <w:tcBorders>
              <w:tl2br w:val="nil"/>
              <w:tr2bl w:val="nil"/>
            </w:tcBorders>
            <w:vAlign w:val="center"/>
          </w:tcPr>
          <w:p w14:paraId="5952F7F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工艺对策</w:t>
            </w:r>
          </w:p>
        </w:tc>
      </w:tr>
      <w:tr w:rsidR="002E0859" w14:paraId="0B49629A" w14:textId="77777777">
        <w:trPr>
          <w:trHeight w:val="23"/>
          <w:jc w:val="center"/>
        </w:trPr>
        <w:tc>
          <w:tcPr>
            <w:tcW w:w="4072" w:type="dxa"/>
            <w:tcBorders>
              <w:tl2br w:val="nil"/>
              <w:tr2bl w:val="nil"/>
            </w:tcBorders>
            <w:vAlign w:val="center"/>
          </w:tcPr>
          <w:p w14:paraId="04973D6D"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埋深</w:t>
            </w:r>
            <w:r>
              <w:rPr>
                <w:snapToGrid w:val="0"/>
                <w:color w:val="000000" w:themeColor="text1"/>
                <w:kern w:val="0"/>
                <w:sz w:val="21"/>
                <w:szCs w:val="21"/>
                <w:lang w:eastAsia="en-US"/>
              </w:rPr>
              <w:t>3600-3900m</w:t>
            </w:r>
            <w:r>
              <w:rPr>
                <w:snapToGrid w:val="0"/>
                <w:color w:val="000000" w:themeColor="text1"/>
                <w:kern w:val="0"/>
                <w:sz w:val="21"/>
                <w:szCs w:val="21"/>
                <w:lang w:eastAsia="en-US"/>
              </w:rPr>
              <w:t>影响裂缝延伸及复杂度</w:t>
            </w:r>
          </w:p>
        </w:tc>
        <w:tc>
          <w:tcPr>
            <w:tcW w:w="5560" w:type="dxa"/>
            <w:tcBorders>
              <w:tl2br w:val="nil"/>
              <w:tr2bl w:val="nil"/>
            </w:tcBorders>
            <w:vAlign w:val="center"/>
          </w:tcPr>
          <w:p w14:paraId="391C3C7D"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提高布簇密度增加泄流面积</w:t>
            </w:r>
            <w:r>
              <w:rPr>
                <w:snapToGrid w:val="0"/>
                <w:color w:val="000000" w:themeColor="text1"/>
                <w:kern w:val="0"/>
                <w:sz w:val="21"/>
                <w:szCs w:val="21"/>
                <w:lang w:eastAsia="en-US"/>
              </w:rPr>
              <w:t>/</w:t>
            </w:r>
            <w:r>
              <w:rPr>
                <w:snapToGrid w:val="0"/>
                <w:color w:val="000000" w:themeColor="text1"/>
                <w:kern w:val="0"/>
                <w:sz w:val="21"/>
                <w:szCs w:val="21"/>
                <w:lang w:eastAsia="en-US"/>
              </w:rPr>
              <w:t>提高改造规模，扩大改造体积</w:t>
            </w:r>
          </w:p>
        </w:tc>
      </w:tr>
      <w:tr w:rsidR="002E0859" w14:paraId="45B3C580" w14:textId="77777777">
        <w:trPr>
          <w:trHeight w:val="23"/>
          <w:jc w:val="center"/>
        </w:trPr>
        <w:tc>
          <w:tcPr>
            <w:tcW w:w="4072" w:type="dxa"/>
            <w:tcBorders>
              <w:tl2br w:val="nil"/>
              <w:tr2bl w:val="nil"/>
            </w:tcBorders>
            <w:vAlign w:val="center"/>
          </w:tcPr>
          <w:p w14:paraId="19586399"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中等</w:t>
            </w:r>
            <w:r>
              <w:rPr>
                <w:snapToGrid w:val="0"/>
                <w:color w:val="000000" w:themeColor="text1"/>
                <w:kern w:val="0"/>
                <w:sz w:val="21"/>
                <w:szCs w:val="21"/>
                <w:lang w:eastAsia="en-US"/>
              </w:rPr>
              <w:t>-</w:t>
            </w:r>
            <w:r>
              <w:rPr>
                <w:snapToGrid w:val="0"/>
                <w:color w:val="000000" w:themeColor="text1"/>
                <w:kern w:val="0"/>
                <w:sz w:val="21"/>
                <w:szCs w:val="21"/>
                <w:lang w:eastAsia="en-US"/>
              </w:rPr>
              <w:t>强拉张应力环境</w:t>
            </w:r>
            <w:r>
              <w:rPr>
                <w:snapToGrid w:val="0"/>
                <w:color w:val="000000" w:themeColor="text1"/>
                <w:kern w:val="0"/>
                <w:sz w:val="21"/>
                <w:szCs w:val="21"/>
                <w:lang w:eastAsia="en-US"/>
              </w:rPr>
              <w:t>/</w:t>
            </w:r>
            <w:r>
              <w:rPr>
                <w:snapToGrid w:val="0"/>
                <w:color w:val="000000" w:themeColor="text1"/>
                <w:kern w:val="0"/>
                <w:sz w:val="21"/>
                <w:szCs w:val="21"/>
                <w:lang w:eastAsia="en-US"/>
              </w:rPr>
              <w:t>压力窗口大</w:t>
            </w:r>
          </w:p>
        </w:tc>
        <w:tc>
          <w:tcPr>
            <w:tcW w:w="5560" w:type="dxa"/>
            <w:tcBorders>
              <w:tl2br w:val="nil"/>
              <w:tr2bl w:val="nil"/>
            </w:tcBorders>
            <w:vAlign w:val="center"/>
          </w:tcPr>
          <w:p w14:paraId="6EF19A27"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提高施工排量，扩大改造体积</w:t>
            </w:r>
            <w:r>
              <w:rPr>
                <w:snapToGrid w:val="0"/>
                <w:color w:val="000000" w:themeColor="text1"/>
                <w:kern w:val="0"/>
                <w:sz w:val="21"/>
                <w:szCs w:val="21"/>
                <w:lang w:eastAsia="en-US"/>
              </w:rPr>
              <w:t>/</w:t>
            </w:r>
            <w:r>
              <w:rPr>
                <w:snapToGrid w:val="0"/>
                <w:color w:val="000000" w:themeColor="text1"/>
                <w:kern w:val="0"/>
                <w:sz w:val="21"/>
                <w:szCs w:val="21"/>
                <w:lang w:eastAsia="en-US"/>
              </w:rPr>
              <w:t>提高暂堵剂浓度，增强暂堵效果</w:t>
            </w:r>
          </w:p>
        </w:tc>
      </w:tr>
      <w:tr w:rsidR="002E0859" w14:paraId="6F43DE0E" w14:textId="77777777">
        <w:trPr>
          <w:trHeight w:val="23"/>
          <w:jc w:val="center"/>
        </w:trPr>
        <w:tc>
          <w:tcPr>
            <w:tcW w:w="4072" w:type="dxa"/>
            <w:tcBorders>
              <w:tl2br w:val="nil"/>
              <w:tr2bl w:val="nil"/>
            </w:tcBorders>
            <w:vAlign w:val="center"/>
          </w:tcPr>
          <w:p w14:paraId="1CAC98BE"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部分段曲率发育</w:t>
            </w:r>
            <w:r>
              <w:rPr>
                <w:snapToGrid w:val="0"/>
                <w:color w:val="000000" w:themeColor="text1"/>
                <w:kern w:val="0"/>
                <w:sz w:val="21"/>
                <w:szCs w:val="21"/>
                <w:lang w:eastAsia="en-US"/>
              </w:rPr>
              <w:t>/</w:t>
            </w:r>
            <w:r>
              <w:rPr>
                <w:snapToGrid w:val="0"/>
                <w:color w:val="000000" w:themeColor="text1"/>
                <w:kern w:val="0"/>
                <w:sz w:val="21"/>
                <w:szCs w:val="21"/>
                <w:lang w:eastAsia="en-US"/>
              </w:rPr>
              <w:t>滤失大、影响主缝延伸</w:t>
            </w:r>
          </w:p>
        </w:tc>
        <w:tc>
          <w:tcPr>
            <w:tcW w:w="5560" w:type="dxa"/>
            <w:tcBorders>
              <w:tl2br w:val="nil"/>
              <w:tr2bl w:val="nil"/>
            </w:tcBorders>
            <w:vAlign w:val="center"/>
          </w:tcPr>
          <w:p w14:paraId="246C7150"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控制施工簇数，促进主缝延伸</w:t>
            </w:r>
            <w:r>
              <w:rPr>
                <w:snapToGrid w:val="0"/>
                <w:color w:val="000000" w:themeColor="text1"/>
                <w:kern w:val="0"/>
                <w:sz w:val="21"/>
                <w:szCs w:val="21"/>
                <w:lang w:eastAsia="en-US"/>
              </w:rPr>
              <w:t>/</w:t>
            </w:r>
            <w:r>
              <w:rPr>
                <w:snapToGrid w:val="0"/>
                <w:color w:val="000000" w:themeColor="text1"/>
                <w:kern w:val="0"/>
                <w:sz w:val="21"/>
                <w:szCs w:val="21"/>
                <w:lang w:eastAsia="en-US"/>
              </w:rPr>
              <w:t>提高液体粘度，降低滤失</w:t>
            </w:r>
          </w:p>
        </w:tc>
      </w:tr>
      <w:tr w:rsidR="002E0859" w14:paraId="5AD1B081" w14:textId="77777777">
        <w:trPr>
          <w:trHeight w:val="23"/>
          <w:jc w:val="center"/>
        </w:trPr>
        <w:tc>
          <w:tcPr>
            <w:tcW w:w="4072" w:type="dxa"/>
            <w:tcBorders>
              <w:tl2br w:val="nil"/>
              <w:tr2bl w:val="nil"/>
            </w:tcBorders>
            <w:vAlign w:val="center"/>
          </w:tcPr>
          <w:p w14:paraId="19AAB0AE"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考虑上部气层评价区整体资源品质下降</w:t>
            </w:r>
          </w:p>
          <w:p w14:paraId="4448C4C6"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(Ⅱ2</w:t>
            </w:r>
            <w:r>
              <w:rPr>
                <w:snapToGrid w:val="0"/>
                <w:color w:val="000000" w:themeColor="text1"/>
                <w:kern w:val="0"/>
                <w:sz w:val="21"/>
                <w:szCs w:val="21"/>
                <w:lang w:eastAsia="en-US"/>
              </w:rPr>
              <w:t>类）</w:t>
            </w:r>
          </w:p>
        </w:tc>
        <w:tc>
          <w:tcPr>
            <w:tcW w:w="5560" w:type="dxa"/>
            <w:tcBorders>
              <w:tl2br w:val="nil"/>
              <w:tr2bl w:val="nil"/>
            </w:tcBorders>
            <w:vAlign w:val="center"/>
          </w:tcPr>
          <w:p w14:paraId="36B1B74C"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需以扩大改造体积，提高裂缝质量为目的，采取密切割暂堵工艺，提高改造强度</w:t>
            </w:r>
          </w:p>
        </w:tc>
      </w:tr>
    </w:tbl>
    <w:p w14:paraId="396D3329" w14:textId="77777777" w:rsidR="002E0859" w:rsidRDefault="00000000">
      <w:pPr>
        <w:kinsoku w:val="0"/>
        <w:topLinePunct w:val="0"/>
        <w:autoSpaceDE w:val="0"/>
        <w:autoSpaceDN w:val="0"/>
        <w:spacing w:beforeLines="50" w:before="120" w:line="360" w:lineRule="auto"/>
        <w:ind w:firstLineChars="0" w:firstLine="482"/>
        <w:jc w:val="left"/>
        <w:textAlignment w:val="baseline"/>
        <w:rPr>
          <w:snapToGrid w:val="0"/>
          <w:color w:val="000000" w:themeColor="text1"/>
          <w:spacing w:val="-5"/>
          <w:kern w:val="0"/>
          <w:sz w:val="24"/>
          <w:szCs w:val="24"/>
          <w:lang w:eastAsia="en-US"/>
        </w:rPr>
      </w:pPr>
      <w:r>
        <w:rPr>
          <w:snapToGrid w:val="0"/>
          <w:color w:val="000000" w:themeColor="text1"/>
          <w:spacing w:val="-5"/>
          <w:kern w:val="0"/>
          <w:sz w:val="24"/>
          <w:szCs w:val="24"/>
          <w:lang w:eastAsia="en-US"/>
        </w:rPr>
        <w:t>以满足产能要求为目的，通过地质</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钻井</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压裂一体化协作建立新井压裂模型，开展多参数组合缝网模拟，优选与剩余储量匹配的工艺参数（图</w:t>
      </w:r>
      <w:r>
        <w:rPr>
          <w:rFonts w:hint="eastAsia"/>
          <w:snapToGrid w:val="0"/>
          <w:color w:val="000000" w:themeColor="text1"/>
          <w:spacing w:val="-5"/>
          <w:kern w:val="0"/>
          <w:sz w:val="24"/>
          <w:szCs w:val="24"/>
        </w:rPr>
        <w:t>2.5</w:t>
      </w:r>
      <w:r>
        <w:rPr>
          <w:snapToGrid w:val="0"/>
          <w:color w:val="000000" w:themeColor="text1"/>
          <w:spacing w:val="-5"/>
          <w:kern w:val="0"/>
          <w:sz w:val="24"/>
          <w:szCs w:val="24"/>
          <w:lang w:eastAsia="en-US"/>
        </w:rPr>
        <w:t>-2</w:t>
      </w:r>
      <w:r>
        <w:rPr>
          <w:snapToGrid w:val="0"/>
          <w:color w:val="000000" w:themeColor="text1"/>
          <w:spacing w:val="-5"/>
          <w:kern w:val="0"/>
          <w:sz w:val="24"/>
          <w:szCs w:val="24"/>
          <w:lang w:eastAsia="en-US"/>
        </w:rPr>
        <w:t>）工艺参数优化</w:t>
      </w:r>
    </w:p>
    <w:p w14:paraId="2D506DC2" w14:textId="5F3EA4FA" w:rsidR="002E0859" w:rsidRDefault="002E0859">
      <w:pPr>
        <w:widowControl/>
        <w:kinsoku w:val="0"/>
        <w:topLinePunct w:val="0"/>
        <w:autoSpaceDE w:val="0"/>
        <w:autoSpaceDN w:val="0"/>
        <w:spacing w:line="4096" w:lineRule="exact"/>
        <w:ind w:firstLineChars="0" w:firstLine="239"/>
        <w:jc w:val="left"/>
        <w:textAlignment w:val="baseline"/>
        <w:rPr>
          <w:snapToGrid w:val="0"/>
          <w:color w:val="000000" w:themeColor="text1"/>
          <w:kern w:val="0"/>
          <w:sz w:val="24"/>
          <w:szCs w:val="21"/>
          <w:lang w:eastAsia="en-US"/>
        </w:rPr>
      </w:pPr>
    </w:p>
    <w:p w14:paraId="018F785B" w14:textId="77777777" w:rsidR="002E0859" w:rsidRDefault="00000000">
      <w:pPr>
        <w:widowControl/>
        <w:kinsoku w:val="0"/>
        <w:topLinePunct w:val="0"/>
        <w:autoSpaceDE w:val="0"/>
        <w:autoSpaceDN w:val="0"/>
        <w:spacing w:line="360" w:lineRule="auto"/>
        <w:ind w:firstLineChars="0" w:firstLine="483"/>
        <w:jc w:val="center"/>
        <w:textAlignment w:val="baseline"/>
        <w:rPr>
          <w:snapToGrid w:val="0"/>
          <w:color w:val="000000" w:themeColor="text1"/>
          <w:kern w:val="0"/>
          <w:sz w:val="24"/>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hint="eastAsia"/>
          <w:snapToGrid w:val="0"/>
          <w:color w:val="000000" w:themeColor="text1"/>
          <w:spacing w:val="-2"/>
          <w:kern w:val="0"/>
          <w:sz w:val="21"/>
          <w:szCs w:val="21"/>
        </w:rPr>
        <w:t xml:space="preserve">2.5-2 </w:t>
      </w:r>
      <w:r>
        <w:rPr>
          <w:rFonts w:ascii="黑体" w:eastAsia="黑体" w:hAnsi="黑体" w:cs="黑体"/>
          <w:snapToGrid w:val="0"/>
          <w:color w:val="000000" w:themeColor="text1"/>
          <w:spacing w:val="-2"/>
          <w:kern w:val="0"/>
          <w:sz w:val="21"/>
          <w:szCs w:val="21"/>
          <w:lang w:eastAsia="en-US"/>
        </w:rPr>
        <w:t>工艺参数优化流程</w:t>
      </w:r>
    </w:p>
    <w:p w14:paraId="7808FC78"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spacing w:val="-5"/>
          <w:kern w:val="0"/>
          <w:sz w:val="24"/>
          <w:szCs w:val="24"/>
          <w:lang w:eastAsia="en-US"/>
        </w:rPr>
      </w:pPr>
      <w:r>
        <w:rPr>
          <w:rFonts w:hint="eastAsia"/>
          <w:snapToGrid w:val="0"/>
          <w:color w:val="000000" w:themeColor="text1"/>
          <w:spacing w:val="-5"/>
          <w:kern w:val="0"/>
          <w:sz w:val="24"/>
          <w:szCs w:val="24"/>
        </w:rPr>
        <w:t>1</w:t>
      </w:r>
      <w:r>
        <w:rPr>
          <w:rFonts w:hint="eastAsia"/>
          <w:snapToGrid w:val="0"/>
          <w:color w:val="000000" w:themeColor="text1"/>
          <w:spacing w:val="-5"/>
          <w:kern w:val="0"/>
          <w:sz w:val="24"/>
          <w:szCs w:val="24"/>
        </w:rPr>
        <w:t>、</w:t>
      </w:r>
      <w:r>
        <w:rPr>
          <w:snapToGrid w:val="0"/>
          <w:color w:val="000000" w:themeColor="text1"/>
          <w:spacing w:val="-5"/>
          <w:kern w:val="0"/>
          <w:sz w:val="24"/>
          <w:szCs w:val="24"/>
          <w:lang w:eastAsia="en-US"/>
        </w:rPr>
        <w:t>下部加密井压裂工艺参数优化</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焦页</w:t>
      </w:r>
      <w:r>
        <w:rPr>
          <w:snapToGrid w:val="0"/>
          <w:color w:val="000000" w:themeColor="text1"/>
          <w:spacing w:val="-5"/>
          <w:kern w:val="0"/>
          <w:sz w:val="24"/>
          <w:szCs w:val="24"/>
          <w:lang w:eastAsia="en-US"/>
        </w:rPr>
        <w:t>90-5HF</w:t>
      </w:r>
    </w:p>
    <w:p w14:paraId="0BCA7764"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spacing w:val="-5"/>
          <w:kern w:val="0"/>
          <w:sz w:val="24"/>
          <w:szCs w:val="24"/>
          <w:lang w:eastAsia="en-US"/>
        </w:rPr>
      </w:pP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1</w:t>
      </w:r>
      <w:r>
        <w:rPr>
          <w:snapToGrid w:val="0"/>
          <w:color w:val="000000" w:themeColor="text1"/>
          <w:spacing w:val="-5"/>
          <w:kern w:val="0"/>
          <w:sz w:val="24"/>
          <w:szCs w:val="24"/>
          <w:lang w:eastAsia="en-US"/>
        </w:rPr>
        <w:t>）分段分簇</w:t>
      </w:r>
    </w:p>
    <w:p w14:paraId="7152F6A4" w14:textId="77777777" w:rsidR="002E0859" w:rsidRDefault="00000000">
      <w:pPr>
        <w:topLinePunct w:val="0"/>
        <w:autoSpaceDE w:val="0"/>
        <w:autoSpaceDN w:val="0"/>
        <w:spacing w:line="360" w:lineRule="auto"/>
        <w:ind w:firstLineChars="0" w:firstLine="482"/>
        <w:jc w:val="left"/>
        <w:textAlignment w:val="baseline"/>
        <w:rPr>
          <w:snapToGrid w:val="0"/>
          <w:color w:val="000000" w:themeColor="text1"/>
          <w:spacing w:val="-5"/>
          <w:kern w:val="0"/>
          <w:sz w:val="24"/>
          <w:szCs w:val="24"/>
          <w:lang w:eastAsia="en-US"/>
        </w:rPr>
      </w:pPr>
      <w:r>
        <w:rPr>
          <w:snapToGrid w:val="0"/>
          <w:color w:val="000000" w:themeColor="text1"/>
          <w:spacing w:val="-5"/>
          <w:kern w:val="0"/>
          <w:sz w:val="24"/>
          <w:szCs w:val="24"/>
          <w:lang w:eastAsia="en-US"/>
        </w:rPr>
        <w:t>90</w:t>
      </w:r>
      <w:r>
        <w:rPr>
          <w:snapToGrid w:val="0"/>
          <w:color w:val="000000" w:themeColor="text1"/>
          <w:spacing w:val="-5"/>
          <w:kern w:val="0"/>
          <w:sz w:val="24"/>
          <w:szCs w:val="24"/>
          <w:lang w:eastAsia="en-US"/>
        </w:rPr>
        <w:t>平台原始水平应力差</w:t>
      </w:r>
      <w:r>
        <w:rPr>
          <w:snapToGrid w:val="0"/>
          <w:color w:val="000000" w:themeColor="text1"/>
          <w:spacing w:val="-5"/>
          <w:kern w:val="0"/>
          <w:sz w:val="24"/>
          <w:szCs w:val="24"/>
          <w:lang w:eastAsia="en-US"/>
        </w:rPr>
        <w:t>8.18MPa</w:t>
      </w:r>
      <w:r>
        <w:rPr>
          <w:snapToGrid w:val="0"/>
          <w:color w:val="000000" w:themeColor="text1"/>
          <w:spacing w:val="-5"/>
          <w:kern w:val="0"/>
          <w:sz w:val="24"/>
          <w:szCs w:val="24"/>
          <w:lang w:eastAsia="en-US"/>
        </w:rPr>
        <w:t>，参考焦石坝主体区地应力变化规律，预测老井附近应力差升高</w:t>
      </w:r>
      <w:r>
        <w:rPr>
          <w:snapToGrid w:val="0"/>
          <w:color w:val="000000" w:themeColor="text1"/>
          <w:spacing w:val="-5"/>
          <w:kern w:val="0"/>
          <w:sz w:val="24"/>
          <w:szCs w:val="24"/>
          <w:lang w:eastAsia="en-US"/>
        </w:rPr>
        <w:t>≥3MPa</w:t>
      </w:r>
      <w:r>
        <w:rPr>
          <w:snapToGrid w:val="0"/>
          <w:color w:val="000000" w:themeColor="text1"/>
          <w:spacing w:val="-5"/>
          <w:kern w:val="0"/>
          <w:sz w:val="24"/>
          <w:szCs w:val="24"/>
          <w:lang w:eastAsia="en-US"/>
        </w:rPr>
        <w:t>，水平应力差</w:t>
      </w:r>
      <w:r>
        <w:rPr>
          <w:snapToGrid w:val="0"/>
          <w:color w:val="000000" w:themeColor="text1"/>
          <w:spacing w:val="-5"/>
          <w:kern w:val="0"/>
          <w:sz w:val="24"/>
          <w:szCs w:val="24"/>
          <w:lang w:eastAsia="en-US"/>
        </w:rPr>
        <w:t>≥11MPa</w:t>
      </w:r>
      <w:r>
        <w:rPr>
          <w:snapToGrid w:val="0"/>
          <w:color w:val="000000" w:themeColor="text1"/>
          <w:spacing w:val="-5"/>
          <w:kern w:val="0"/>
          <w:sz w:val="24"/>
          <w:szCs w:val="24"/>
          <w:lang w:eastAsia="en-US"/>
        </w:rPr>
        <w:t>。通过模拟不同簇间距下诱导应力可知，簇间距</w:t>
      </w:r>
      <w:r>
        <w:rPr>
          <w:snapToGrid w:val="0"/>
          <w:color w:val="000000" w:themeColor="text1"/>
          <w:spacing w:val="-5"/>
          <w:kern w:val="0"/>
          <w:sz w:val="24"/>
          <w:szCs w:val="24"/>
          <w:lang w:eastAsia="en-US"/>
        </w:rPr>
        <w:t>11m-13m</w:t>
      </w:r>
      <w:r>
        <w:rPr>
          <w:snapToGrid w:val="0"/>
          <w:color w:val="000000" w:themeColor="text1"/>
          <w:spacing w:val="-5"/>
          <w:kern w:val="0"/>
          <w:sz w:val="24"/>
          <w:szCs w:val="24"/>
          <w:lang w:eastAsia="en-US"/>
        </w:rPr>
        <w:t>，单段</w:t>
      </w:r>
      <w:r>
        <w:rPr>
          <w:snapToGrid w:val="0"/>
          <w:color w:val="000000" w:themeColor="text1"/>
          <w:spacing w:val="-5"/>
          <w:kern w:val="0"/>
          <w:sz w:val="24"/>
          <w:szCs w:val="24"/>
          <w:lang w:eastAsia="en-US"/>
        </w:rPr>
        <w:t>6</w:t>
      </w:r>
      <w:r>
        <w:rPr>
          <w:snapToGrid w:val="0"/>
          <w:color w:val="000000" w:themeColor="text1"/>
          <w:spacing w:val="-5"/>
          <w:kern w:val="0"/>
          <w:sz w:val="24"/>
          <w:szCs w:val="24"/>
          <w:lang w:eastAsia="en-US"/>
        </w:rPr>
        <w:t>簇为主，簇间干扰较为合理，利于提高裂缝复杂度。</w:t>
      </w:r>
    </w:p>
    <w:p w14:paraId="16CCDE14"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spacing w:val="-5"/>
          <w:kern w:val="0"/>
          <w:sz w:val="24"/>
          <w:szCs w:val="24"/>
          <w:lang w:eastAsia="en-US"/>
        </w:rPr>
      </w:pP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2</w:t>
      </w:r>
      <w:r>
        <w:rPr>
          <w:snapToGrid w:val="0"/>
          <w:color w:val="000000" w:themeColor="text1"/>
          <w:spacing w:val="-5"/>
          <w:kern w:val="0"/>
          <w:sz w:val="24"/>
          <w:szCs w:val="24"/>
          <w:lang w:eastAsia="en-US"/>
        </w:rPr>
        <w:t>）改造规模</w:t>
      </w:r>
    </w:p>
    <w:p w14:paraId="4C705957" w14:textId="77777777" w:rsidR="002E0859" w:rsidRDefault="00000000">
      <w:pPr>
        <w:widowControl/>
        <w:topLinePunct w:val="0"/>
        <w:autoSpaceDE w:val="0"/>
        <w:autoSpaceDN w:val="0"/>
        <w:spacing w:line="360" w:lineRule="auto"/>
        <w:ind w:firstLine="460"/>
        <w:jc w:val="left"/>
        <w:textAlignment w:val="baseline"/>
        <w:rPr>
          <w:snapToGrid w:val="0"/>
          <w:color w:val="000000" w:themeColor="text1"/>
          <w:kern w:val="0"/>
          <w:sz w:val="24"/>
          <w:szCs w:val="21"/>
          <w:lang w:eastAsia="en-US"/>
        </w:rPr>
      </w:pPr>
      <w:r>
        <w:rPr>
          <w:snapToGrid w:val="0"/>
          <w:color w:val="000000" w:themeColor="text1"/>
          <w:spacing w:val="-5"/>
          <w:kern w:val="0"/>
          <w:sz w:val="24"/>
          <w:szCs w:val="24"/>
          <w:lang w:eastAsia="en-US"/>
        </w:rPr>
        <w:t>随着改造规模增大，横向、纵向改造范围逐渐增大，根据井距部署，优选单段液量</w:t>
      </w:r>
      <w:r>
        <w:rPr>
          <w:snapToGrid w:val="0"/>
          <w:color w:val="000000" w:themeColor="text1"/>
          <w:spacing w:val="-5"/>
          <w:kern w:val="0"/>
          <w:sz w:val="24"/>
          <w:szCs w:val="24"/>
          <w:lang w:eastAsia="en-US"/>
        </w:rPr>
        <w:t>1200</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1350</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1500</w:t>
      </w:r>
      <w:r>
        <w:rPr>
          <w:snapToGrid w:val="0"/>
          <w:color w:val="000000" w:themeColor="text1"/>
          <w:spacing w:val="-5"/>
          <w:kern w:val="0"/>
          <w:sz w:val="24"/>
          <w:szCs w:val="24"/>
          <w:lang w:eastAsia="en-US"/>
        </w:rPr>
        <w:t>方，同时考虑地层进砂能力，匹配单段砂量</w:t>
      </w:r>
      <w:r>
        <w:rPr>
          <w:snapToGrid w:val="0"/>
          <w:color w:val="000000" w:themeColor="text1"/>
          <w:spacing w:val="-5"/>
          <w:kern w:val="0"/>
          <w:sz w:val="24"/>
          <w:szCs w:val="24"/>
          <w:lang w:eastAsia="en-US"/>
        </w:rPr>
        <w:t>70</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80</w:t>
      </w: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90</w:t>
      </w:r>
      <w:r>
        <w:rPr>
          <w:snapToGrid w:val="0"/>
          <w:color w:val="000000" w:themeColor="text1"/>
          <w:spacing w:val="-5"/>
          <w:kern w:val="0"/>
          <w:sz w:val="24"/>
          <w:szCs w:val="24"/>
          <w:lang w:eastAsia="en-US"/>
        </w:rPr>
        <w:t>方。</w:t>
      </w:r>
    </w:p>
    <w:p w14:paraId="0D2041AA" w14:textId="77777777" w:rsidR="002E0859" w:rsidRDefault="00000000">
      <w:pPr>
        <w:widowControl/>
        <w:kinsoku w:val="0"/>
        <w:topLinePunct w:val="0"/>
        <w:autoSpaceDE w:val="0"/>
        <w:autoSpaceDN w:val="0"/>
        <w:spacing w:line="24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表</w:t>
      </w:r>
      <w:r>
        <w:rPr>
          <w:rFonts w:eastAsia="黑体" w:hint="eastAsia"/>
          <w:snapToGrid w:val="0"/>
          <w:color w:val="000000" w:themeColor="text1"/>
          <w:spacing w:val="-2"/>
          <w:kern w:val="0"/>
          <w:sz w:val="21"/>
          <w:szCs w:val="21"/>
        </w:rPr>
        <w:t xml:space="preserve">2.5-3 </w:t>
      </w:r>
      <w:r>
        <w:rPr>
          <w:rFonts w:ascii="黑体" w:eastAsia="黑体" w:hAnsi="黑体" w:cs="黑体"/>
          <w:snapToGrid w:val="0"/>
          <w:color w:val="000000" w:themeColor="text1"/>
          <w:spacing w:val="-2"/>
          <w:kern w:val="0"/>
          <w:sz w:val="21"/>
          <w:szCs w:val="21"/>
          <w:lang w:eastAsia="en-US"/>
        </w:rPr>
        <w:t>工艺参数确定</w:t>
      </w:r>
    </w:p>
    <w:tbl>
      <w:tblPr>
        <w:tblStyle w:val="TableNormal"/>
        <w:tblW w:w="9423" w:type="dxa"/>
        <w:tblInd w:w="1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605"/>
        <w:gridCol w:w="1605"/>
        <w:gridCol w:w="1991"/>
        <w:gridCol w:w="4222"/>
      </w:tblGrid>
      <w:tr w:rsidR="002E0859" w14:paraId="46421409" w14:textId="77777777">
        <w:trPr>
          <w:cantSplit/>
          <w:trHeight w:val="23"/>
        </w:trPr>
        <w:tc>
          <w:tcPr>
            <w:tcW w:w="1605" w:type="dxa"/>
            <w:tcBorders>
              <w:tl2br w:val="nil"/>
              <w:tr2bl w:val="nil"/>
            </w:tcBorders>
            <w:vAlign w:val="center"/>
          </w:tcPr>
          <w:p w14:paraId="2983CF2E" w14:textId="77777777" w:rsidR="002E0859" w:rsidRDefault="00000000">
            <w:pPr>
              <w:widowControl/>
              <w:kinsoku w:val="0"/>
              <w:topLinePunct w:val="0"/>
              <w:autoSpaceDE w:val="0"/>
              <w:autoSpaceDN w:val="0"/>
              <w:spacing w:line="240" w:lineRule="auto"/>
              <w:ind w:firstLineChars="0" w:firstLine="0"/>
              <w:jc w:val="center"/>
              <w:textAlignment w:val="baseline"/>
              <w:rPr>
                <w:b/>
                <w:bCs/>
                <w:snapToGrid w:val="0"/>
                <w:color w:val="000000" w:themeColor="text1"/>
                <w:kern w:val="0"/>
                <w:sz w:val="21"/>
                <w:szCs w:val="21"/>
                <w:lang w:eastAsia="en-US"/>
              </w:rPr>
            </w:pPr>
            <w:r>
              <w:rPr>
                <w:b/>
                <w:bCs/>
                <w:snapToGrid w:val="0"/>
                <w:color w:val="000000" w:themeColor="text1"/>
                <w:spacing w:val="-2"/>
                <w:kern w:val="0"/>
                <w:sz w:val="21"/>
                <w:szCs w:val="21"/>
                <w:lang w:eastAsia="en-US"/>
              </w:rPr>
              <w:t>与邻井距离</w:t>
            </w:r>
          </w:p>
        </w:tc>
        <w:tc>
          <w:tcPr>
            <w:tcW w:w="1605" w:type="dxa"/>
            <w:tcBorders>
              <w:tl2br w:val="nil"/>
              <w:tr2bl w:val="nil"/>
            </w:tcBorders>
            <w:vAlign w:val="center"/>
          </w:tcPr>
          <w:p w14:paraId="40AFE8EF" w14:textId="77777777" w:rsidR="002E0859" w:rsidRDefault="00000000">
            <w:pPr>
              <w:widowControl/>
              <w:kinsoku w:val="0"/>
              <w:topLinePunct w:val="0"/>
              <w:autoSpaceDE w:val="0"/>
              <w:autoSpaceDN w:val="0"/>
              <w:spacing w:line="240" w:lineRule="auto"/>
              <w:ind w:firstLineChars="0" w:firstLine="0"/>
              <w:jc w:val="center"/>
              <w:textAlignment w:val="baseline"/>
              <w:rPr>
                <w:b/>
                <w:bCs/>
                <w:snapToGrid w:val="0"/>
                <w:color w:val="000000" w:themeColor="text1"/>
                <w:kern w:val="0"/>
                <w:sz w:val="21"/>
                <w:szCs w:val="21"/>
                <w:lang w:eastAsia="en-US"/>
              </w:rPr>
            </w:pPr>
            <w:r>
              <w:rPr>
                <w:b/>
                <w:bCs/>
                <w:snapToGrid w:val="0"/>
                <w:color w:val="000000" w:themeColor="text1"/>
                <w:spacing w:val="-2"/>
                <w:kern w:val="0"/>
                <w:sz w:val="21"/>
                <w:szCs w:val="21"/>
                <w:lang w:eastAsia="en-US"/>
              </w:rPr>
              <w:t>簇数</w:t>
            </w:r>
          </w:p>
        </w:tc>
        <w:tc>
          <w:tcPr>
            <w:tcW w:w="1991" w:type="dxa"/>
            <w:tcBorders>
              <w:tl2br w:val="nil"/>
              <w:tr2bl w:val="nil"/>
            </w:tcBorders>
            <w:vAlign w:val="center"/>
          </w:tcPr>
          <w:p w14:paraId="3787EEC5" w14:textId="77777777" w:rsidR="002E0859" w:rsidRDefault="00000000">
            <w:pPr>
              <w:widowControl/>
              <w:kinsoku w:val="0"/>
              <w:topLinePunct w:val="0"/>
              <w:autoSpaceDE w:val="0"/>
              <w:autoSpaceDN w:val="0"/>
              <w:spacing w:line="240" w:lineRule="auto"/>
              <w:ind w:firstLineChars="0" w:firstLine="0"/>
              <w:jc w:val="center"/>
              <w:textAlignment w:val="baseline"/>
              <w:rPr>
                <w:b/>
                <w:bCs/>
                <w:snapToGrid w:val="0"/>
                <w:color w:val="000000" w:themeColor="text1"/>
                <w:kern w:val="0"/>
                <w:sz w:val="21"/>
                <w:szCs w:val="21"/>
                <w:lang w:eastAsia="en-US"/>
              </w:rPr>
            </w:pPr>
            <w:r>
              <w:rPr>
                <w:b/>
                <w:bCs/>
                <w:snapToGrid w:val="0"/>
                <w:color w:val="000000" w:themeColor="text1"/>
                <w:spacing w:val="-1"/>
                <w:kern w:val="0"/>
                <w:sz w:val="21"/>
                <w:szCs w:val="21"/>
                <w:lang w:eastAsia="en-US"/>
              </w:rPr>
              <w:t>簇间距</w:t>
            </w:r>
          </w:p>
        </w:tc>
        <w:tc>
          <w:tcPr>
            <w:tcW w:w="4222" w:type="dxa"/>
            <w:tcBorders>
              <w:tl2br w:val="nil"/>
              <w:tr2bl w:val="nil"/>
            </w:tcBorders>
            <w:vAlign w:val="center"/>
          </w:tcPr>
          <w:p w14:paraId="74DFBC27" w14:textId="77777777" w:rsidR="002E0859" w:rsidRDefault="00000000">
            <w:pPr>
              <w:widowControl/>
              <w:kinsoku w:val="0"/>
              <w:topLinePunct w:val="0"/>
              <w:autoSpaceDE w:val="0"/>
              <w:autoSpaceDN w:val="0"/>
              <w:spacing w:line="240" w:lineRule="auto"/>
              <w:ind w:firstLineChars="0" w:firstLine="0"/>
              <w:jc w:val="center"/>
              <w:textAlignment w:val="baseline"/>
              <w:rPr>
                <w:b/>
                <w:bCs/>
                <w:snapToGrid w:val="0"/>
                <w:color w:val="000000" w:themeColor="text1"/>
                <w:kern w:val="0"/>
                <w:sz w:val="21"/>
                <w:szCs w:val="21"/>
                <w:lang w:eastAsia="en-US"/>
              </w:rPr>
            </w:pPr>
            <w:r>
              <w:rPr>
                <w:b/>
                <w:bCs/>
                <w:snapToGrid w:val="0"/>
                <w:color w:val="000000" w:themeColor="text1"/>
                <w:spacing w:val="-4"/>
                <w:kern w:val="0"/>
                <w:sz w:val="21"/>
                <w:szCs w:val="21"/>
                <w:lang w:eastAsia="en-US"/>
              </w:rPr>
              <w:t>改造规模</w:t>
            </w:r>
          </w:p>
        </w:tc>
      </w:tr>
      <w:tr w:rsidR="002E0859" w14:paraId="326B42DF" w14:textId="77777777">
        <w:trPr>
          <w:cantSplit/>
          <w:trHeight w:val="23"/>
        </w:trPr>
        <w:tc>
          <w:tcPr>
            <w:tcW w:w="1605" w:type="dxa"/>
            <w:vMerge w:val="restart"/>
            <w:tcBorders>
              <w:tl2br w:val="nil"/>
              <w:tr2bl w:val="nil"/>
            </w:tcBorders>
            <w:vAlign w:val="center"/>
          </w:tcPr>
          <w:p w14:paraId="70077E7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180-200m</w:t>
            </w:r>
          </w:p>
        </w:tc>
        <w:tc>
          <w:tcPr>
            <w:tcW w:w="1605" w:type="dxa"/>
            <w:tcBorders>
              <w:tl2br w:val="nil"/>
              <w:tr2bl w:val="nil"/>
            </w:tcBorders>
            <w:vAlign w:val="center"/>
          </w:tcPr>
          <w:p w14:paraId="6A8AF22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4</w:t>
            </w:r>
          </w:p>
        </w:tc>
        <w:tc>
          <w:tcPr>
            <w:tcW w:w="1991" w:type="dxa"/>
            <w:tcBorders>
              <w:tl2br w:val="nil"/>
              <w:tr2bl w:val="nil"/>
            </w:tcBorders>
            <w:vAlign w:val="center"/>
          </w:tcPr>
          <w:p w14:paraId="6F79472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1AAB23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1200-70</w:t>
            </w:r>
          </w:p>
        </w:tc>
      </w:tr>
      <w:tr w:rsidR="002E0859" w14:paraId="4AA0E9C0" w14:textId="77777777">
        <w:trPr>
          <w:cantSplit/>
          <w:trHeight w:val="23"/>
        </w:trPr>
        <w:tc>
          <w:tcPr>
            <w:tcW w:w="1605" w:type="dxa"/>
            <w:vMerge/>
            <w:tcBorders>
              <w:tl2br w:val="nil"/>
              <w:tr2bl w:val="nil"/>
            </w:tcBorders>
            <w:vAlign w:val="center"/>
          </w:tcPr>
          <w:p w14:paraId="57F1267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595ECCE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4</w:t>
            </w:r>
          </w:p>
        </w:tc>
        <w:tc>
          <w:tcPr>
            <w:tcW w:w="1991" w:type="dxa"/>
            <w:tcBorders>
              <w:tl2br w:val="nil"/>
              <w:tr2bl w:val="nil"/>
            </w:tcBorders>
            <w:vAlign w:val="center"/>
          </w:tcPr>
          <w:p w14:paraId="24E7699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5CC9F3F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1350-80</w:t>
            </w:r>
          </w:p>
        </w:tc>
      </w:tr>
      <w:tr w:rsidR="002E0859" w14:paraId="370EDE9D" w14:textId="77777777">
        <w:trPr>
          <w:cantSplit/>
          <w:trHeight w:val="23"/>
        </w:trPr>
        <w:tc>
          <w:tcPr>
            <w:tcW w:w="1605" w:type="dxa"/>
            <w:vMerge/>
            <w:tcBorders>
              <w:tl2br w:val="nil"/>
              <w:tr2bl w:val="nil"/>
            </w:tcBorders>
            <w:vAlign w:val="center"/>
          </w:tcPr>
          <w:p w14:paraId="1A344C3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635D595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991" w:type="dxa"/>
            <w:tcBorders>
              <w:tl2br w:val="nil"/>
              <w:tr2bl w:val="nil"/>
            </w:tcBorders>
            <w:vAlign w:val="center"/>
          </w:tcPr>
          <w:p w14:paraId="0F39134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1BA57F3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1500-90</w:t>
            </w:r>
          </w:p>
        </w:tc>
      </w:tr>
      <w:tr w:rsidR="002E0859" w14:paraId="4EADF2E6" w14:textId="77777777">
        <w:trPr>
          <w:cantSplit/>
          <w:trHeight w:val="23"/>
        </w:trPr>
        <w:tc>
          <w:tcPr>
            <w:tcW w:w="1605" w:type="dxa"/>
            <w:vMerge/>
            <w:tcBorders>
              <w:tl2br w:val="nil"/>
              <w:tr2bl w:val="nil"/>
            </w:tcBorders>
            <w:vAlign w:val="center"/>
          </w:tcPr>
          <w:p w14:paraId="507F014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335FFAB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991" w:type="dxa"/>
            <w:tcBorders>
              <w:tl2br w:val="nil"/>
              <w:tr2bl w:val="nil"/>
            </w:tcBorders>
            <w:vAlign w:val="center"/>
          </w:tcPr>
          <w:p w14:paraId="04234CF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594BDEC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1200-70</w:t>
            </w:r>
          </w:p>
        </w:tc>
      </w:tr>
      <w:tr w:rsidR="002E0859" w14:paraId="3DE740C4" w14:textId="77777777">
        <w:trPr>
          <w:cantSplit/>
          <w:trHeight w:val="23"/>
        </w:trPr>
        <w:tc>
          <w:tcPr>
            <w:tcW w:w="1605" w:type="dxa"/>
            <w:vMerge/>
            <w:tcBorders>
              <w:tl2br w:val="nil"/>
              <w:tr2bl w:val="nil"/>
            </w:tcBorders>
            <w:vAlign w:val="center"/>
          </w:tcPr>
          <w:p w14:paraId="024C386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411C688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991" w:type="dxa"/>
            <w:tcBorders>
              <w:tl2br w:val="nil"/>
              <w:tr2bl w:val="nil"/>
            </w:tcBorders>
            <w:vAlign w:val="center"/>
          </w:tcPr>
          <w:p w14:paraId="79E3348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1C63DB7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1350-80</w:t>
            </w:r>
          </w:p>
        </w:tc>
      </w:tr>
      <w:tr w:rsidR="002E0859" w14:paraId="5CE97631" w14:textId="77777777">
        <w:trPr>
          <w:cantSplit/>
          <w:trHeight w:val="23"/>
        </w:trPr>
        <w:tc>
          <w:tcPr>
            <w:tcW w:w="1605" w:type="dxa"/>
            <w:vMerge/>
            <w:tcBorders>
              <w:tl2br w:val="nil"/>
              <w:tr2bl w:val="nil"/>
            </w:tcBorders>
            <w:vAlign w:val="center"/>
          </w:tcPr>
          <w:p w14:paraId="6BAC858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548C771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991" w:type="dxa"/>
            <w:tcBorders>
              <w:tl2br w:val="nil"/>
              <w:tr2bl w:val="nil"/>
            </w:tcBorders>
            <w:vAlign w:val="center"/>
          </w:tcPr>
          <w:p w14:paraId="2BC0C95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1DF8628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1500-90</w:t>
            </w:r>
          </w:p>
        </w:tc>
      </w:tr>
      <w:tr w:rsidR="002E0859" w14:paraId="475F0770" w14:textId="77777777">
        <w:trPr>
          <w:cantSplit/>
          <w:trHeight w:val="23"/>
        </w:trPr>
        <w:tc>
          <w:tcPr>
            <w:tcW w:w="1605" w:type="dxa"/>
            <w:vMerge w:val="restart"/>
            <w:tcBorders>
              <w:tl2br w:val="nil"/>
              <w:tr2bl w:val="nil"/>
            </w:tcBorders>
            <w:vAlign w:val="center"/>
          </w:tcPr>
          <w:p w14:paraId="03680D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lastRenderedPageBreak/>
              <w:t>200-250m</w:t>
            </w:r>
          </w:p>
        </w:tc>
        <w:tc>
          <w:tcPr>
            <w:tcW w:w="1605" w:type="dxa"/>
            <w:tcBorders>
              <w:tl2br w:val="nil"/>
              <w:tr2bl w:val="nil"/>
            </w:tcBorders>
            <w:vAlign w:val="center"/>
          </w:tcPr>
          <w:p w14:paraId="49E4FB7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4</w:t>
            </w:r>
          </w:p>
        </w:tc>
        <w:tc>
          <w:tcPr>
            <w:tcW w:w="1991" w:type="dxa"/>
            <w:tcBorders>
              <w:tl2br w:val="nil"/>
              <w:tr2bl w:val="nil"/>
            </w:tcBorders>
            <w:vAlign w:val="center"/>
          </w:tcPr>
          <w:p w14:paraId="7090915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7525D4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1200-70</w:t>
            </w:r>
          </w:p>
        </w:tc>
      </w:tr>
      <w:tr w:rsidR="002E0859" w14:paraId="5AD37A25" w14:textId="77777777">
        <w:trPr>
          <w:cantSplit/>
          <w:trHeight w:val="23"/>
        </w:trPr>
        <w:tc>
          <w:tcPr>
            <w:tcW w:w="1605" w:type="dxa"/>
            <w:vMerge/>
            <w:tcBorders>
              <w:tl2br w:val="nil"/>
              <w:tr2bl w:val="nil"/>
            </w:tcBorders>
            <w:vAlign w:val="center"/>
          </w:tcPr>
          <w:p w14:paraId="23AD371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4728552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4</w:t>
            </w:r>
          </w:p>
        </w:tc>
        <w:tc>
          <w:tcPr>
            <w:tcW w:w="1991" w:type="dxa"/>
            <w:tcBorders>
              <w:tl2br w:val="nil"/>
              <w:tr2bl w:val="nil"/>
            </w:tcBorders>
            <w:vAlign w:val="center"/>
          </w:tcPr>
          <w:p w14:paraId="7157E8D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548DB13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1350-80</w:t>
            </w:r>
          </w:p>
        </w:tc>
      </w:tr>
      <w:tr w:rsidR="002E0859" w14:paraId="71EF5E56" w14:textId="77777777">
        <w:trPr>
          <w:cantSplit/>
          <w:trHeight w:val="23"/>
        </w:trPr>
        <w:tc>
          <w:tcPr>
            <w:tcW w:w="1605" w:type="dxa"/>
            <w:vMerge/>
            <w:tcBorders>
              <w:tl2br w:val="nil"/>
              <w:tr2bl w:val="nil"/>
            </w:tcBorders>
            <w:vAlign w:val="center"/>
          </w:tcPr>
          <w:p w14:paraId="7E01B30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223D3E3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991" w:type="dxa"/>
            <w:tcBorders>
              <w:tl2br w:val="nil"/>
              <w:tr2bl w:val="nil"/>
            </w:tcBorders>
            <w:vAlign w:val="center"/>
          </w:tcPr>
          <w:p w14:paraId="228808B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57C3145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1500-90</w:t>
            </w:r>
          </w:p>
        </w:tc>
      </w:tr>
      <w:tr w:rsidR="002E0859" w14:paraId="6D975923" w14:textId="77777777">
        <w:trPr>
          <w:cantSplit/>
          <w:trHeight w:val="23"/>
        </w:trPr>
        <w:tc>
          <w:tcPr>
            <w:tcW w:w="1605" w:type="dxa"/>
            <w:vMerge/>
            <w:tcBorders>
              <w:tl2br w:val="nil"/>
              <w:tr2bl w:val="nil"/>
            </w:tcBorders>
            <w:vAlign w:val="center"/>
          </w:tcPr>
          <w:p w14:paraId="0702ED3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16527CF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991" w:type="dxa"/>
            <w:tcBorders>
              <w:tl2br w:val="nil"/>
              <w:tr2bl w:val="nil"/>
            </w:tcBorders>
            <w:vAlign w:val="center"/>
          </w:tcPr>
          <w:p w14:paraId="7591F05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7ABE322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1200-70</w:t>
            </w:r>
          </w:p>
        </w:tc>
      </w:tr>
      <w:tr w:rsidR="002E0859" w14:paraId="7BF8B82E" w14:textId="77777777">
        <w:trPr>
          <w:cantSplit/>
          <w:trHeight w:val="23"/>
        </w:trPr>
        <w:tc>
          <w:tcPr>
            <w:tcW w:w="1605" w:type="dxa"/>
            <w:vMerge/>
            <w:tcBorders>
              <w:tl2br w:val="nil"/>
              <w:tr2bl w:val="nil"/>
            </w:tcBorders>
            <w:vAlign w:val="center"/>
          </w:tcPr>
          <w:p w14:paraId="6243727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508C69C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991" w:type="dxa"/>
            <w:tcBorders>
              <w:tl2br w:val="nil"/>
              <w:tr2bl w:val="nil"/>
            </w:tcBorders>
            <w:vAlign w:val="center"/>
          </w:tcPr>
          <w:p w14:paraId="35C394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2B1266A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1350-80</w:t>
            </w:r>
          </w:p>
        </w:tc>
      </w:tr>
      <w:tr w:rsidR="002E0859" w14:paraId="0A051065" w14:textId="77777777">
        <w:trPr>
          <w:cantSplit/>
          <w:trHeight w:val="23"/>
        </w:trPr>
        <w:tc>
          <w:tcPr>
            <w:tcW w:w="1605" w:type="dxa"/>
            <w:vMerge w:val="restart"/>
            <w:tcBorders>
              <w:tl2br w:val="nil"/>
              <w:tr2bl w:val="nil"/>
            </w:tcBorders>
            <w:vAlign w:val="center"/>
          </w:tcPr>
          <w:p w14:paraId="0FBEC0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t>250-300m</w:t>
            </w:r>
          </w:p>
        </w:tc>
        <w:tc>
          <w:tcPr>
            <w:tcW w:w="1605" w:type="dxa"/>
            <w:tcBorders>
              <w:tl2br w:val="nil"/>
              <w:tr2bl w:val="nil"/>
            </w:tcBorders>
            <w:vAlign w:val="center"/>
          </w:tcPr>
          <w:p w14:paraId="23F1E84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991" w:type="dxa"/>
            <w:tcBorders>
              <w:tl2br w:val="nil"/>
              <w:tr2bl w:val="nil"/>
            </w:tcBorders>
            <w:vAlign w:val="center"/>
          </w:tcPr>
          <w:p w14:paraId="1269310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6889D03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1200-70</w:t>
            </w:r>
          </w:p>
        </w:tc>
      </w:tr>
      <w:tr w:rsidR="002E0859" w14:paraId="1F445881" w14:textId="77777777">
        <w:trPr>
          <w:cantSplit/>
          <w:trHeight w:val="23"/>
        </w:trPr>
        <w:tc>
          <w:tcPr>
            <w:tcW w:w="1605" w:type="dxa"/>
            <w:vMerge/>
            <w:tcBorders>
              <w:tl2br w:val="nil"/>
              <w:tr2bl w:val="nil"/>
            </w:tcBorders>
            <w:vAlign w:val="center"/>
          </w:tcPr>
          <w:p w14:paraId="7F529A5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1EF765B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991" w:type="dxa"/>
            <w:tcBorders>
              <w:tl2br w:val="nil"/>
              <w:tr2bl w:val="nil"/>
            </w:tcBorders>
            <w:vAlign w:val="center"/>
          </w:tcPr>
          <w:p w14:paraId="140668E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54F3926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1350-80</w:t>
            </w:r>
          </w:p>
        </w:tc>
      </w:tr>
      <w:tr w:rsidR="002E0859" w14:paraId="2193CCA2" w14:textId="77777777">
        <w:trPr>
          <w:cantSplit/>
          <w:trHeight w:val="23"/>
        </w:trPr>
        <w:tc>
          <w:tcPr>
            <w:tcW w:w="1605" w:type="dxa"/>
            <w:vMerge/>
            <w:tcBorders>
              <w:tl2br w:val="nil"/>
              <w:tr2bl w:val="nil"/>
            </w:tcBorders>
            <w:vAlign w:val="center"/>
          </w:tcPr>
          <w:p w14:paraId="1C04139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63709A0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991" w:type="dxa"/>
            <w:tcBorders>
              <w:tl2br w:val="nil"/>
              <w:tr2bl w:val="nil"/>
            </w:tcBorders>
            <w:vAlign w:val="center"/>
          </w:tcPr>
          <w:p w14:paraId="71D25A1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4222" w:type="dxa"/>
            <w:tcBorders>
              <w:tl2br w:val="nil"/>
              <w:tr2bl w:val="nil"/>
            </w:tcBorders>
            <w:vAlign w:val="center"/>
          </w:tcPr>
          <w:p w14:paraId="2DD6B96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1200-70</w:t>
            </w:r>
          </w:p>
        </w:tc>
      </w:tr>
      <w:tr w:rsidR="002E0859" w14:paraId="2851B03F" w14:textId="77777777">
        <w:trPr>
          <w:cantSplit/>
          <w:trHeight w:val="23"/>
        </w:trPr>
        <w:tc>
          <w:tcPr>
            <w:tcW w:w="1605" w:type="dxa"/>
            <w:vMerge/>
            <w:tcBorders>
              <w:tl2br w:val="nil"/>
              <w:tr2bl w:val="nil"/>
            </w:tcBorders>
            <w:vAlign w:val="center"/>
          </w:tcPr>
          <w:p w14:paraId="3E1E346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p>
        </w:tc>
        <w:tc>
          <w:tcPr>
            <w:tcW w:w="1605" w:type="dxa"/>
            <w:tcBorders>
              <w:tl2br w:val="nil"/>
              <w:tr2bl w:val="nil"/>
            </w:tcBorders>
            <w:vAlign w:val="center"/>
          </w:tcPr>
          <w:p w14:paraId="27CC125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991" w:type="dxa"/>
            <w:tcBorders>
              <w:tl2br w:val="nil"/>
              <w:tr2bl w:val="nil"/>
            </w:tcBorders>
            <w:vAlign w:val="center"/>
          </w:tcPr>
          <w:p w14:paraId="5AE7F6F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4222" w:type="dxa"/>
            <w:tcBorders>
              <w:tl2br w:val="nil"/>
              <w:tr2bl w:val="nil"/>
            </w:tcBorders>
            <w:vAlign w:val="center"/>
          </w:tcPr>
          <w:p w14:paraId="0FFAEC8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4"/>
                <w:kern w:val="0"/>
                <w:sz w:val="24"/>
                <w:szCs w:val="21"/>
                <w:lang w:eastAsia="en-US"/>
              </w:rPr>
              <w:t>1350-80</w:t>
            </w:r>
          </w:p>
        </w:tc>
      </w:tr>
    </w:tbl>
    <w:p w14:paraId="60E31E40" w14:textId="77777777" w:rsidR="002E0859" w:rsidRDefault="00000000">
      <w:pPr>
        <w:widowControl/>
        <w:topLinePunct w:val="0"/>
        <w:autoSpaceDE w:val="0"/>
        <w:autoSpaceDN w:val="0"/>
        <w:spacing w:beforeLines="50" w:before="120"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针对井距</w:t>
      </w:r>
      <w:r>
        <w:rPr>
          <w:snapToGrid w:val="0"/>
          <w:color w:val="000000" w:themeColor="text1"/>
          <w:kern w:val="0"/>
          <w:sz w:val="24"/>
          <w:szCs w:val="24"/>
          <w:lang w:eastAsia="en-US"/>
        </w:rPr>
        <w:t>180-200m</w:t>
      </w:r>
      <w:r>
        <w:rPr>
          <w:snapToGrid w:val="0"/>
          <w:color w:val="000000" w:themeColor="text1"/>
          <w:kern w:val="0"/>
          <w:sz w:val="24"/>
          <w:szCs w:val="24"/>
          <w:lang w:eastAsia="en-US"/>
        </w:rPr>
        <w:t>，综合波及半缝长、全井改造范围模拟结果，优选单段</w:t>
      </w:r>
      <w:r>
        <w:rPr>
          <w:snapToGrid w:val="0"/>
          <w:color w:val="000000" w:themeColor="text1"/>
          <w:kern w:val="0"/>
          <w:sz w:val="24"/>
          <w:szCs w:val="24"/>
          <w:lang w:eastAsia="en-US"/>
        </w:rPr>
        <w:t>6</w:t>
      </w:r>
      <w:r>
        <w:rPr>
          <w:snapToGrid w:val="0"/>
          <w:color w:val="000000" w:themeColor="text1"/>
          <w:kern w:val="0"/>
          <w:sz w:val="24"/>
          <w:szCs w:val="24"/>
          <w:lang w:eastAsia="en-US"/>
        </w:rPr>
        <w:t>簇、簇间距</w:t>
      </w:r>
      <w:r>
        <w:rPr>
          <w:snapToGrid w:val="0"/>
          <w:color w:val="000000" w:themeColor="text1"/>
          <w:kern w:val="0"/>
          <w:sz w:val="24"/>
          <w:szCs w:val="24"/>
          <w:lang w:eastAsia="en-US"/>
        </w:rPr>
        <w:t>13m</w:t>
      </w:r>
      <w:r>
        <w:rPr>
          <w:snapToGrid w:val="0"/>
          <w:color w:val="000000" w:themeColor="text1"/>
          <w:kern w:val="0"/>
          <w:sz w:val="24"/>
          <w:szCs w:val="24"/>
          <w:lang w:eastAsia="en-US"/>
        </w:rPr>
        <w:t>，单段液量</w:t>
      </w:r>
      <w:r>
        <w:rPr>
          <w:snapToGrid w:val="0"/>
          <w:color w:val="000000" w:themeColor="text1"/>
          <w:kern w:val="0"/>
          <w:sz w:val="24"/>
          <w:szCs w:val="24"/>
          <w:lang w:eastAsia="en-US"/>
        </w:rPr>
        <w:t>1200</w:t>
      </w:r>
      <w:r>
        <w:rPr>
          <w:snapToGrid w:val="0"/>
          <w:color w:val="000000" w:themeColor="text1"/>
          <w:kern w:val="0"/>
          <w:sz w:val="24"/>
          <w:szCs w:val="24"/>
          <w:lang w:eastAsia="en-US"/>
        </w:rPr>
        <w:t>方，单段砂量</w:t>
      </w:r>
      <w:r>
        <w:rPr>
          <w:snapToGrid w:val="0"/>
          <w:color w:val="000000" w:themeColor="text1"/>
          <w:kern w:val="0"/>
          <w:sz w:val="24"/>
          <w:szCs w:val="24"/>
          <w:lang w:eastAsia="en-US"/>
        </w:rPr>
        <w:t>70</w:t>
      </w:r>
      <w:r>
        <w:rPr>
          <w:snapToGrid w:val="0"/>
          <w:color w:val="000000" w:themeColor="text1"/>
          <w:kern w:val="0"/>
          <w:sz w:val="24"/>
          <w:szCs w:val="24"/>
          <w:lang w:eastAsia="en-US"/>
        </w:rPr>
        <w:t>方。单段</w:t>
      </w:r>
      <w:r>
        <w:rPr>
          <w:snapToGrid w:val="0"/>
          <w:color w:val="000000" w:themeColor="text1"/>
          <w:kern w:val="0"/>
          <w:sz w:val="24"/>
          <w:szCs w:val="24"/>
          <w:lang w:eastAsia="en-US"/>
        </w:rPr>
        <w:t>6</w:t>
      </w:r>
      <w:r>
        <w:rPr>
          <w:snapToGrid w:val="0"/>
          <w:color w:val="000000" w:themeColor="text1"/>
          <w:kern w:val="0"/>
          <w:sz w:val="24"/>
          <w:szCs w:val="24"/>
          <w:lang w:eastAsia="en-US"/>
        </w:rPr>
        <w:t>簇时，裂缝延伸相对均匀，且随着改造规模增大，改造范围明显增大，当液量</w:t>
      </w:r>
      <w:r>
        <w:rPr>
          <w:snapToGrid w:val="0"/>
          <w:color w:val="000000" w:themeColor="text1"/>
          <w:kern w:val="0"/>
          <w:sz w:val="24"/>
          <w:szCs w:val="24"/>
          <w:lang w:eastAsia="en-US"/>
        </w:rPr>
        <w:t>1200</w:t>
      </w:r>
      <w:r>
        <w:rPr>
          <w:snapToGrid w:val="0"/>
          <w:color w:val="000000" w:themeColor="text1"/>
          <w:kern w:val="0"/>
          <w:sz w:val="24"/>
          <w:szCs w:val="24"/>
          <w:lang w:eastAsia="en-US"/>
        </w:rPr>
        <w:t>方时波及半缝长</w:t>
      </w:r>
      <w:r>
        <w:rPr>
          <w:snapToGrid w:val="0"/>
          <w:color w:val="000000" w:themeColor="text1"/>
          <w:kern w:val="0"/>
          <w:sz w:val="24"/>
          <w:szCs w:val="24"/>
          <w:lang w:eastAsia="en-US"/>
        </w:rPr>
        <w:t>95-106m</w:t>
      </w:r>
      <w:r>
        <w:rPr>
          <w:snapToGrid w:val="0"/>
          <w:color w:val="000000" w:themeColor="text1"/>
          <w:kern w:val="0"/>
          <w:sz w:val="24"/>
          <w:szCs w:val="24"/>
          <w:lang w:eastAsia="en-US"/>
        </w:rPr>
        <w:t>；单段</w:t>
      </w:r>
      <w:r>
        <w:rPr>
          <w:snapToGrid w:val="0"/>
          <w:color w:val="000000" w:themeColor="text1"/>
          <w:kern w:val="0"/>
          <w:sz w:val="24"/>
          <w:szCs w:val="24"/>
          <w:lang w:eastAsia="en-US"/>
        </w:rPr>
        <w:t>8</w:t>
      </w:r>
      <w:r>
        <w:rPr>
          <w:snapToGrid w:val="0"/>
          <w:color w:val="000000" w:themeColor="text1"/>
          <w:kern w:val="0"/>
          <w:sz w:val="24"/>
          <w:szCs w:val="24"/>
          <w:lang w:eastAsia="en-US"/>
        </w:rPr>
        <w:t>簇时，缝长延伸不均，波及半缝长随着改造规模增大变化不明显。</w:t>
      </w:r>
    </w:p>
    <w:p w14:paraId="040C7464" w14:textId="03D6F1C5" w:rsidR="002E0859" w:rsidRDefault="00000000">
      <w:pPr>
        <w:widowControl/>
        <w:tabs>
          <w:tab w:val="left" w:pos="3347"/>
          <w:tab w:val="center" w:pos="4651"/>
        </w:tabs>
        <w:kinsoku w:val="0"/>
        <w:topLinePunct w:val="0"/>
        <w:autoSpaceDE w:val="0"/>
        <w:autoSpaceDN w:val="0"/>
        <w:spacing w:line="240" w:lineRule="auto"/>
        <w:ind w:firstLineChars="2400" w:firstLine="4944"/>
        <w:jc w:val="left"/>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hint="eastAsia"/>
          <w:snapToGrid w:val="0"/>
          <w:color w:val="000000" w:themeColor="text1"/>
          <w:spacing w:val="-2"/>
          <w:kern w:val="0"/>
          <w:sz w:val="21"/>
          <w:szCs w:val="21"/>
        </w:rPr>
        <w:tab/>
      </w:r>
      <w:r>
        <w:rPr>
          <w:rFonts w:ascii="黑体" w:eastAsia="黑体" w:hAnsi="黑体" w:cs="黑体" w:hint="eastAsia"/>
          <w:snapToGrid w:val="0"/>
          <w:color w:val="000000" w:themeColor="text1"/>
          <w:spacing w:val="-2"/>
          <w:kern w:val="0"/>
          <w:sz w:val="21"/>
          <w:szCs w:val="21"/>
        </w:rPr>
        <w:tab/>
      </w:r>
      <w:r>
        <w:rPr>
          <w:rFonts w:ascii="黑体" w:eastAsia="黑体" w:hAnsi="黑体" w:cs="黑体"/>
          <w:snapToGrid w:val="0"/>
          <w:color w:val="000000" w:themeColor="text1"/>
          <w:spacing w:val="-2"/>
          <w:kern w:val="0"/>
          <w:sz w:val="21"/>
          <w:szCs w:val="21"/>
          <w:lang w:eastAsia="en-US"/>
        </w:rPr>
        <w:t>表</w:t>
      </w:r>
      <w:r>
        <w:rPr>
          <w:rFonts w:eastAsia="黑体"/>
          <w:snapToGrid w:val="0"/>
          <w:color w:val="000000" w:themeColor="text1"/>
          <w:spacing w:val="-2"/>
          <w:kern w:val="0"/>
          <w:sz w:val="21"/>
          <w:szCs w:val="21"/>
        </w:rPr>
        <w:t>2.</w:t>
      </w:r>
      <w:r>
        <w:rPr>
          <w:rFonts w:eastAsia="黑体" w:hint="eastAsia"/>
          <w:snapToGrid w:val="0"/>
          <w:color w:val="000000" w:themeColor="text1"/>
          <w:spacing w:val="-2"/>
          <w:kern w:val="0"/>
          <w:sz w:val="21"/>
          <w:szCs w:val="21"/>
        </w:rPr>
        <w:t>5</w:t>
      </w:r>
      <w:r>
        <w:rPr>
          <w:rFonts w:eastAsia="黑体"/>
          <w:snapToGrid w:val="0"/>
          <w:color w:val="000000" w:themeColor="text1"/>
          <w:spacing w:val="-2"/>
          <w:kern w:val="0"/>
          <w:sz w:val="21"/>
          <w:szCs w:val="21"/>
        </w:rPr>
        <w:t>-4</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不同规模下缝长结果</w:t>
      </w:r>
    </w:p>
    <w:p w14:paraId="6CD9CC75" w14:textId="77777777" w:rsidR="002E0859" w:rsidRDefault="002E0859">
      <w:pPr>
        <w:widowControl/>
        <w:kinsoku w:val="0"/>
        <w:topLinePunct w:val="0"/>
        <w:autoSpaceDE w:val="0"/>
        <w:autoSpaceDN w:val="0"/>
        <w:spacing w:line="126" w:lineRule="exact"/>
        <w:ind w:firstLineChars="0" w:firstLine="0"/>
        <w:jc w:val="left"/>
        <w:textAlignment w:val="baseline"/>
        <w:rPr>
          <w:snapToGrid w:val="0"/>
          <w:color w:val="000000" w:themeColor="text1"/>
          <w:kern w:val="0"/>
          <w:sz w:val="24"/>
          <w:szCs w:val="21"/>
          <w:lang w:eastAsia="en-US"/>
        </w:rPr>
      </w:pPr>
    </w:p>
    <w:tbl>
      <w:tblPr>
        <w:tblStyle w:val="TableNormal"/>
        <w:tblW w:w="4584" w:type="dxa"/>
        <w:tblInd w:w="5031"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90"/>
        <w:gridCol w:w="1110"/>
        <w:gridCol w:w="1226"/>
        <w:gridCol w:w="1558"/>
      </w:tblGrid>
      <w:tr w:rsidR="002E0859" w14:paraId="15B7FFA6" w14:textId="77777777">
        <w:trPr>
          <w:trHeight w:val="414"/>
        </w:trPr>
        <w:tc>
          <w:tcPr>
            <w:tcW w:w="690" w:type="dxa"/>
            <w:tcBorders>
              <w:tl2br w:val="nil"/>
              <w:tr2bl w:val="nil"/>
            </w:tcBorders>
            <w:vAlign w:val="center"/>
          </w:tcPr>
          <w:p w14:paraId="7A85A42E" w14:textId="014BFB24"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2"/>
                <w:kern w:val="0"/>
                <w:sz w:val="24"/>
                <w:szCs w:val="21"/>
                <w:lang w:eastAsia="en-US"/>
              </w:rPr>
              <w:t>簇数</w:t>
            </w:r>
          </w:p>
        </w:tc>
        <w:tc>
          <w:tcPr>
            <w:tcW w:w="1110" w:type="dxa"/>
            <w:tcBorders>
              <w:tl2br w:val="nil"/>
              <w:tr2bl w:val="nil"/>
            </w:tcBorders>
            <w:vAlign w:val="center"/>
          </w:tcPr>
          <w:p w14:paraId="73F86654"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14"/>
                <w:kern w:val="0"/>
                <w:sz w:val="24"/>
                <w:szCs w:val="21"/>
                <w:lang w:eastAsia="en-US"/>
              </w:rPr>
              <w:t>簇间距</w:t>
            </w:r>
            <w:r>
              <w:rPr>
                <w:snapToGrid w:val="0"/>
                <w:color w:val="000000" w:themeColor="text1"/>
                <w:kern w:val="0"/>
                <w:sz w:val="24"/>
                <w:szCs w:val="21"/>
                <w:lang w:eastAsia="en-US"/>
              </w:rPr>
              <w:t>米</w:t>
            </w:r>
          </w:p>
        </w:tc>
        <w:tc>
          <w:tcPr>
            <w:tcW w:w="1226" w:type="dxa"/>
            <w:tcBorders>
              <w:tl2br w:val="nil"/>
              <w:tr2bl w:val="nil"/>
            </w:tcBorders>
            <w:vAlign w:val="center"/>
          </w:tcPr>
          <w:p w14:paraId="1B7A9AD4"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12"/>
                <w:kern w:val="0"/>
                <w:sz w:val="24"/>
                <w:szCs w:val="21"/>
                <w:lang w:eastAsia="en-US"/>
              </w:rPr>
              <w:t>改造规模</w:t>
            </w:r>
            <w:r>
              <w:rPr>
                <w:snapToGrid w:val="0"/>
                <w:color w:val="000000" w:themeColor="text1"/>
                <w:kern w:val="0"/>
                <w:sz w:val="24"/>
                <w:szCs w:val="21"/>
                <w:lang w:eastAsia="en-US"/>
              </w:rPr>
              <w:t>方</w:t>
            </w:r>
          </w:p>
        </w:tc>
        <w:tc>
          <w:tcPr>
            <w:tcW w:w="1558" w:type="dxa"/>
            <w:tcBorders>
              <w:tl2br w:val="nil"/>
              <w:tr2bl w:val="nil"/>
            </w:tcBorders>
            <w:vAlign w:val="center"/>
          </w:tcPr>
          <w:p w14:paraId="499289A9"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10"/>
                <w:kern w:val="0"/>
                <w:sz w:val="24"/>
                <w:szCs w:val="21"/>
                <w:lang w:eastAsia="en-US"/>
              </w:rPr>
              <w:t>波及半缝长</w:t>
            </w:r>
            <w:r>
              <w:rPr>
                <w:snapToGrid w:val="0"/>
                <w:color w:val="000000" w:themeColor="text1"/>
                <w:kern w:val="0"/>
                <w:sz w:val="24"/>
                <w:szCs w:val="21"/>
                <w:lang w:eastAsia="en-US"/>
              </w:rPr>
              <w:t>米</w:t>
            </w:r>
          </w:p>
        </w:tc>
      </w:tr>
      <w:tr w:rsidR="002E0859" w14:paraId="0ED40ECF" w14:textId="77777777">
        <w:trPr>
          <w:trHeight w:val="316"/>
        </w:trPr>
        <w:tc>
          <w:tcPr>
            <w:tcW w:w="690" w:type="dxa"/>
            <w:tcBorders>
              <w:tl2br w:val="nil"/>
              <w:tr2bl w:val="nil"/>
            </w:tcBorders>
            <w:vAlign w:val="center"/>
          </w:tcPr>
          <w:p w14:paraId="4ED74252"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4</w:t>
            </w:r>
          </w:p>
        </w:tc>
        <w:tc>
          <w:tcPr>
            <w:tcW w:w="1110" w:type="dxa"/>
            <w:tcBorders>
              <w:tl2br w:val="nil"/>
              <w:tr2bl w:val="nil"/>
            </w:tcBorders>
            <w:vAlign w:val="center"/>
          </w:tcPr>
          <w:p w14:paraId="3318146A"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1226" w:type="dxa"/>
            <w:tcBorders>
              <w:tl2br w:val="nil"/>
              <w:tr2bl w:val="nil"/>
            </w:tcBorders>
            <w:vAlign w:val="center"/>
          </w:tcPr>
          <w:p w14:paraId="3DD3EB11"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1200-70</w:t>
            </w:r>
          </w:p>
        </w:tc>
        <w:tc>
          <w:tcPr>
            <w:tcW w:w="1558" w:type="dxa"/>
            <w:tcBorders>
              <w:tl2br w:val="nil"/>
              <w:tr2bl w:val="nil"/>
            </w:tcBorders>
            <w:vAlign w:val="center"/>
          </w:tcPr>
          <w:p w14:paraId="05EDCCBC"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125-132</w:t>
            </w:r>
          </w:p>
        </w:tc>
      </w:tr>
      <w:tr w:rsidR="002E0859" w14:paraId="6ED23F6F" w14:textId="77777777">
        <w:trPr>
          <w:trHeight w:val="316"/>
        </w:trPr>
        <w:tc>
          <w:tcPr>
            <w:tcW w:w="690" w:type="dxa"/>
            <w:tcBorders>
              <w:tl2br w:val="nil"/>
              <w:tr2bl w:val="nil"/>
            </w:tcBorders>
            <w:vAlign w:val="center"/>
          </w:tcPr>
          <w:p w14:paraId="7848CBC0"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110" w:type="dxa"/>
            <w:tcBorders>
              <w:tl2br w:val="nil"/>
              <w:tr2bl w:val="nil"/>
            </w:tcBorders>
            <w:vAlign w:val="center"/>
          </w:tcPr>
          <w:p w14:paraId="1BBD7991"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226" w:type="dxa"/>
            <w:tcBorders>
              <w:tl2br w:val="nil"/>
              <w:tr2bl w:val="nil"/>
            </w:tcBorders>
            <w:vAlign w:val="center"/>
          </w:tcPr>
          <w:p w14:paraId="4EED6A0B"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1350-80</w:t>
            </w:r>
          </w:p>
        </w:tc>
        <w:tc>
          <w:tcPr>
            <w:tcW w:w="1558" w:type="dxa"/>
            <w:tcBorders>
              <w:tl2br w:val="nil"/>
              <w:tr2bl w:val="nil"/>
            </w:tcBorders>
            <w:vAlign w:val="center"/>
          </w:tcPr>
          <w:p w14:paraId="050A14F2"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104-121</w:t>
            </w:r>
          </w:p>
        </w:tc>
      </w:tr>
      <w:tr w:rsidR="002E0859" w14:paraId="61247D87" w14:textId="77777777">
        <w:trPr>
          <w:trHeight w:val="316"/>
        </w:trPr>
        <w:tc>
          <w:tcPr>
            <w:tcW w:w="690" w:type="dxa"/>
            <w:tcBorders>
              <w:tl2br w:val="nil"/>
              <w:tr2bl w:val="nil"/>
            </w:tcBorders>
            <w:vAlign w:val="center"/>
          </w:tcPr>
          <w:p w14:paraId="12D87605"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110" w:type="dxa"/>
            <w:tcBorders>
              <w:tl2br w:val="nil"/>
              <w:tr2bl w:val="nil"/>
            </w:tcBorders>
            <w:vAlign w:val="center"/>
          </w:tcPr>
          <w:p w14:paraId="1534587D"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226" w:type="dxa"/>
            <w:tcBorders>
              <w:tl2br w:val="nil"/>
              <w:tr2bl w:val="nil"/>
            </w:tcBorders>
            <w:vAlign w:val="center"/>
          </w:tcPr>
          <w:p w14:paraId="14336F81"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1200-70</w:t>
            </w:r>
          </w:p>
        </w:tc>
        <w:tc>
          <w:tcPr>
            <w:tcW w:w="1558" w:type="dxa"/>
            <w:tcBorders>
              <w:tl2br w:val="nil"/>
              <w:tr2bl w:val="nil"/>
            </w:tcBorders>
            <w:vAlign w:val="center"/>
          </w:tcPr>
          <w:p w14:paraId="14497544"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95-106</w:t>
            </w:r>
          </w:p>
        </w:tc>
      </w:tr>
      <w:tr w:rsidR="002E0859" w14:paraId="6372592F" w14:textId="77777777">
        <w:trPr>
          <w:trHeight w:val="316"/>
        </w:trPr>
        <w:tc>
          <w:tcPr>
            <w:tcW w:w="690" w:type="dxa"/>
            <w:tcBorders>
              <w:tl2br w:val="nil"/>
              <w:tr2bl w:val="nil"/>
            </w:tcBorders>
            <w:vAlign w:val="center"/>
          </w:tcPr>
          <w:p w14:paraId="4FF09D5A"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110" w:type="dxa"/>
            <w:tcBorders>
              <w:tl2br w:val="nil"/>
              <w:tr2bl w:val="nil"/>
            </w:tcBorders>
            <w:vAlign w:val="center"/>
          </w:tcPr>
          <w:p w14:paraId="5CD16275"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1226" w:type="dxa"/>
            <w:tcBorders>
              <w:tl2br w:val="nil"/>
              <w:tr2bl w:val="nil"/>
            </w:tcBorders>
            <w:vAlign w:val="center"/>
          </w:tcPr>
          <w:p w14:paraId="67BAF765"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1350-80</w:t>
            </w:r>
          </w:p>
        </w:tc>
        <w:tc>
          <w:tcPr>
            <w:tcW w:w="1558" w:type="dxa"/>
            <w:tcBorders>
              <w:tl2br w:val="nil"/>
              <w:tr2bl w:val="nil"/>
            </w:tcBorders>
            <w:vAlign w:val="center"/>
          </w:tcPr>
          <w:p w14:paraId="0AB1D62E"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t>74-132</w:t>
            </w:r>
          </w:p>
        </w:tc>
      </w:tr>
      <w:tr w:rsidR="002E0859" w14:paraId="7A1B73B2" w14:textId="77777777">
        <w:trPr>
          <w:trHeight w:val="323"/>
        </w:trPr>
        <w:tc>
          <w:tcPr>
            <w:tcW w:w="690" w:type="dxa"/>
            <w:tcBorders>
              <w:tl2br w:val="nil"/>
              <w:tr2bl w:val="nil"/>
            </w:tcBorders>
            <w:vAlign w:val="center"/>
          </w:tcPr>
          <w:p w14:paraId="34D43BF0"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110" w:type="dxa"/>
            <w:tcBorders>
              <w:tl2br w:val="nil"/>
              <w:tr2bl w:val="nil"/>
            </w:tcBorders>
            <w:vAlign w:val="center"/>
          </w:tcPr>
          <w:p w14:paraId="4D0C3430"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226" w:type="dxa"/>
            <w:tcBorders>
              <w:tl2br w:val="nil"/>
              <w:tr2bl w:val="nil"/>
            </w:tcBorders>
            <w:vAlign w:val="center"/>
          </w:tcPr>
          <w:p w14:paraId="683AF2A5"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1500-90</w:t>
            </w:r>
          </w:p>
        </w:tc>
        <w:tc>
          <w:tcPr>
            <w:tcW w:w="1558" w:type="dxa"/>
            <w:tcBorders>
              <w:tl2br w:val="nil"/>
              <w:tr2bl w:val="nil"/>
            </w:tcBorders>
            <w:vAlign w:val="center"/>
          </w:tcPr>
          <w:p w14:paraId="387BA2A5" w14:textId="77777777" w:rsidR="002E0859" w:rsidRDefault="00000000">
            <w:pPr>
              <w:widowControl/>
              <w:kinsoku w:val="0"/>
              <w:topLinePunct w:val="0"/>
              <w:autoSpaceDE w:val="0"/>
              <w:autoSpaceDN w:val="0"/>
              <w:spacing w:line="240" w:lineRule="atLeast"/>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t>75-136</w:t>
            </w:r>
          </w:p>
        </w:tc>
      </w:tr>
    </w:tbl>
    <w:p w14:paraId="0A32791D" w14:textId="77777777" w:rsidR="002E0859" w:rsidRDefault="002E0859">
      <w:pPr>
        <w:widowControl/>
        <w:kinsoku w:val="0"/>
        <w:topLinePunct w:val="0"/>
        <w:autoSpaceDE w:val="0"/>
        <w:autoSpaceDN w:val="0"/>
        <w:spacing w:line="360" w:lineRule="auto"/>
        <w:ind w:firstLineChars="300" w:firstLine="618"/>
        <w:jc w:val="left"/>
        <w:textAlignment w:val="baseline"/>
        <w:rPr>
          <w:rFonts w:ascii="黑体" w:eastAsia="黑体" w:hAnsi="黑体" w:cs="黑体"/>
          <w:snapToGrid w:val="0"/>
          <w:color w:val="000000" w:themeColor="text1"/>
          <w:spacing w:val="-2"/>
          <w:kern w:val="0"/>
          <w:sz w:val="21"/>
          <w:szCs w:val="21"/>
          <w:lang w:eastAsia="en-US"/>
        </w:rPr>
      </w:pPr>
    </w:p>
    <w:p w14:paraId="06E24066" w14:textId="5AEE5244" w:rsidR="002E0859" w:rsidRDefault="00000000" w:rsidP="007255D7">
      <w:pPr>
        <w:widowControl/>
        <w:kinsoku w:val="0"/>
        <w:topLinePunct w:val="0"/>
        <w:autoSpaceDE w:val="0"/>
        <w:autoSpaceDN w:val="0"/>
        <w:spacing w:line="360" w:lineRule="auto"/>
        <w:ind w:firstLineChars="300" w:firstLine="618"/>
        <w:jc w:val="left"/>
        <w:textAlignment w:val="baseline"/>
        <w:rPr>
          <w:snapToGrid w:val="0"/>
          <w:color w:val="000000" w:themeColor="text1"/>
          <w:kern w:val="0"/>
          <w:sz w:val="24"/>
          <w:szCs w:val="24"/>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2.5-3</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不同工艺参数裂缝扩展情况</w:t>
      </w:r>
      <w:r>
        <w:rPr>
          <w:snapToGrid w:val="0"/>
          <w:color w:val="000000" w:themeColor="text1"/>
          <w:kern w:val="0"/>
          <w:sz w:val="24"/>
          <w:szCs w:val="24"/>
          <w:lang w:eastAsia="en-US"/>
        </w:rPr>
        <w:t>针对井距</w:t>
      </w:r>
      <w:r>
        <w:rPr>
          <w:snapToGrid w:val="0"/>
          <w:color w:val="000000" w:themeColor="text1"/>
          <w:kern w:val="0"/>
          <w:sz w:val="24"/>
          <w:szCs w:val="24"/>
          <w:lang w:eastAsia="en-US"/>
        </w:rPr>
        <w:t>200-250m</w:t>
      </w:r>
      <w:r>
        <w:rPr>
          <w:snapToGrid w:val="0"/>
          <w:color w:val="000000" w:themeColor="text1"/>
          <w:kern w:val="0"/>
          <w:sz w:val="24"/>
          <w:szCs w:val="24"/>
          <w:lang w:eastAsia="en-US"/>
        </w:rPr>
        <w:t>，综合裂缝均匀延伸、波及范围，优选单段</w:t>
      </w:r>
      <w:r>
        <w:rPr>
          <w:snapToGrid w:val="0"/>
          <w:color w:val="000000" w:themeColor="text1"/>
          <w:kern w:val="0"/>
          <w:sz w:val="24"/>
          <w:szCs w:val="24"/>
          <w:lang w:eastAsia="en-US"/>
        </w:rPr>
        <w:t>6</w:t>
      </w:r>
      <w:r>
        <w:rPr>
          <w:snapToGrid w:val="0"/>
          <w:color w:val="000000" w:themeColor="text1"/>
          <w:kern w:val="0"/>
          <w:sz w:val="24"/>
          <w:szCs w:val="24"/>
          <w:lang w:eastAsia="en-US"/>
        </w:rPr>
        <w:t>簇、簇间距</w:t>
      </w:r>
      <w:r>
        <w:rPr>
          <w:snapToGrid w:val="0"/>
          <w:color w:val="000000" w:themeColor="text1"/>
          <w:kern w:val="0"/>
          <w:sz w:val="24"/>
          <w:szCs w:val="24"/>
          <w:lang w:eastAsia="en-US"/>
        </w:rPr>
        <w:t>11m</w:t>
      </w:r>
      <w:r>
        <w:rPr>
          <w:snapToGrid w:val="0"/>
          <w:color w:val="000000" w:themeColor="text1"/>
          <w:kern w:val="0"/>
          <w:sz w:val="24"/>
          <w:szCs w:val="24"/>
          <w:lang w:eastAsia="en-US"/>
        </w:rPr>
        <w:t>，单段液量</w:t>
      </w:r>
      <w:r>
        <w:rPr>
          <w:snapToGrid w:val="0"/>
          <w:color w:val="000000" w:themeColor="text1"/>
          <w:kern w:val="0"/>
          <w:sz w:val="24"/>
          <w:szCs w:val="24"/>
          <w:lang w:eastAsia="en-US"/>
        </w:rPr>
        <w:t>1350</w:t>
      </w:r>
      <w:r>
        <w:rPr>
          <w:snapToGrid w:val="0"/>
          <w:color w:val="000000" w:themeColor="text1"/>
          <w:kern w:val="0"/>
          <w:sz w:val="24"/>
          <w:szCs w:val="24"/>
          <w:lang w:eastAsia="en-US"/>
        </w:rPr>
        <w:t>方，单段砂量</w:t>
      </w:r>
      <w:r>
        <w:rPr>
          <w:snapToGrid w:val="0"/>
          <w:color w:val="000000" w:themeColor="text1"/>
          <w:kern w:val="0"/>
          <w:sz w:val="24"/>
          <w:szCs w:val="24"/>
          <w:lang w:eastAsia="en-US"/>
        </w:rPr>
        <w:t>80</w:t>
      </w:r>
      <w:r>
        <w:rPr>
          <w:snapToGrid w:val="0"/>
          <w:color w:val="000000" w:themeColor="text1"/>
          <w:kern w:val="0"/>
          <w:sz w:val="24"/>
          <w:szCs w:val="24"/>
          <w:lang w:eastAsia="en-US"/>
        </w:rPr>
        <w:t>方。单段</w:t>
      </w:r>
      <w:r>
        <w:rPr>
          <w:snapToGrid w:val="0"/>
          <w:color w:val="000000" w:themeColor="text1"/>
          <w:kern w:val="0"/>
          <w:sz w:val="24"/>
          <w:szCs w:val="24"/>
          <w:lang w:eastAsia="en-US"/>
        </w:rPr>
        <w:t>4</w:t>
      </w:r>
      <w:r>
        <w:rPr>
          <w:snapToGrid w:val="0"/>
          <w:color w:val="000000" w:themeColor="text1"/>
          <w:kern w:val="0"/>
          <w:sz w:val="24"/>
          <w:szCs w:val="24"/>
          <w:lang w:eastAsia="en-US"/>
        </w:rPr>
        <w:t>簇，簇间距</w:t>
      </w:r>
      <w:r>
        <w:rPr>
          <w:snapToGrid w:val="0"/>
          <w:color w:val="000000" w:themeColor="text1"/>
          <w:kern w:val="0"/>
          <w:sz w:val="24"/>
          <w:szCs w:val="24"/>
          <w:lang w:eastAsia="en-US"/>
        </w:rPr>
        <w:t>13m</w:t>
      </w:r>
      <w:r>
        <w:rPr>
          <w:snapToGrid w:val="0"/>
          <w:color w:val="000000" w:themeColor="text1"/>
          <w:kern w:val="0"/>
          <w:sz w:val="24"/>
          <w:szCs w:val="24"/>
          <w:lang w:eastAsia="en-US"/>
        </w:rPr>
        <w:t>时，裂缝过度延伸，单段</w:t>
      </w:r>
      <w:r>
        <w:rPr>
          <w:snapToGrid w:val="0"/>
          <w:color w:val="000000" w:themeColor="text1"/>
          <w:kern w:val="0"/>
          <w:sz w:val="24"/>
          <w:szCs w:val="24"/>
          <w:lang w:eastAsia="en-US"/>
        </w:rPr>
        <w:t>8</w:t>
      </w:r>
      <w:r>
        <w:rPr>
          <w:snapToGrid w:val="0"/>
          <w:color w:val="000000" w:themeColor="text1"/>
          <w:kern w:val="0"/>
          <w:sz w:val="24"/>
          <w:szCs w:val="24"/>
          <w:lang w:eastAsia="en-US"/>
        </w:rPr>
        <w:t>簇时，裂缝均匀延伸受限，出现部分裂缝突进现象；单段</w:t>
      </w:r>
      <w:r>
        <w:rPr>
          <w:snapToGrid w:val="0"/>
          <w:color w:val="000000" w:themeColor="text1"/>
          <w:kern w:val="0"/>
          <w:sz w:val="24"/>
          <w:szCs w:val="24"/>
          <w:lang w:eastAsia="en-US"/>
        </w:rPr>
        <w:t>6</w:t>
      </w:r>
      <w:r>
        <w:rPr>
          <w:snapToGrid w:val="0"/>
          <w:color w:val="000000" w:themeColor="text1"/>
          <w:kern w:val="0"/>
          <w:sz w:val="24"/>
          <w:szCs w:val="24"/>
          <w:lang w:eastAsia="en-US"/>
        </w:rPr>
        <w:t>簇，提高液体规模达到</w:t>
      </w:r>
      <w:r>
        <w:rPr>
          <w:snapToGrid w:val="0"/>
          <w:color w:val="000000" w:themeColor="text1"/>
          <w:kern w:val="0"/>
          <w:sz w:val="24"/>
          <w:szCs w:val="24"/>
          <w:lang w:eastAsia="en-US"/>
        </w:rPr>
        <w:t>1350m</w:t>
      </w:r>
      <w:r>
        <w:rPr>
          <w:snapToGrid w:val="0"/>
          <w:color w:val="000000" w:themeColor="text1"/>
          <w:kern w:val="0"/>
          <w:sz w:val="24"/>
          <w:szCs w:val="24"/>
          <w:vertAlign w:val="superscript"/>
          <w:lang w:eastAsia="en-US"/>
        </w:rPr>
        <w:t>3</w:t>
      </w:r>
      <w:r>
        <w:rPr>
          <w:snapToGrid w:val="0"/>
          <w:color w:val="000000" w:themeColor="text1"/>
          <w:kern w:val="0"/>
          <w:sz w:val="24"/>
          <w:szCs w:val="24"/>
          <w:lang w:eastAsia="en-US"/>
        </w:rPr>
        <w:t>时，波及半缝长达到</w:t>
      </w:r>
      <w:r>
        <w:rPr>
          <w:snapToGrid w:val="0"/>
          <w:color w:val="000000" w:themeColor="text1"/>
          <w:kern w:val="0"/>
          <w:sz w:val="24"/>
          <w:szCs w:val="24"/>
          <w:lang w:eastAsia="en-US"/>
        </w:rPr>
        <w:t>106-128m</w:t>
      </w:r>
      <w:r>
        <w:rPr>
          <w:snapToGrid w:val="0"/>
          <w:color w:val="000000" w:themeColor="text1"/>
          <w:kern w:val="0"/>
          <w:sz w:val="24"/>
          <w:szCs w:val="24"/>
          <w:lang w:eastAsia="en-US"/>
        </w:rPr>
        <w:t>，与井距相匹配。</w:t>
      </w:r>
    </w:p>
    <w:p w14:paraId="30CD4706" w14:textId="6805C331" w:rsidR="002E0859" w:rsidRDefault="00000000">
      <w:pPr>
        <w:kinsoku w:val="0"/>
        <w:wordWrap w:val="0"/>
        <w:autoSpaceDE w:val="0"/>
        <w:autoSpaceDN w:val="0"/>
        <w:spacing w:line="221" w:lineRule="auto"/>
        <w:ind w:firstLineChars="2400" w:firstLine="4944"/>
        <w:jc w:val="right"/>
        <w:textAlignment w:val="baseline"/>
        <w:rPr>
          <w:rFonts w:ascii="黑体" w:eastAsia="黑体" w:hAnsi="黑体" w:cs="黑体"/>
          <w:snapToGrid w:val="0"/>
          <w:color w:val="000000" w:themeColor="text1"/>
          <w:spacing w:val="-2"/>
          <w:kern w:val="0"/>
          <w:sz w:val="21"/>
          <w:szCs w:val="21"/>
        </w:rPr>
      </w:pPr>
      <w:r>
        <w:rPr>
          <w:rFonts w:ascii="黑体" w:eastAsia="黑体" w:hAnsi="黑体" w:cs="黑体"/>
          <w:snapToGrid w:val="0"/>
          <w:color w:val="000000" w:themeColor="text1"/>
          <w:spacing w:val="-2"/>
          <w:kern w:val="0"/>
          <w:sz w:val="21"/>
          <w:szCs w:val="21"/>
          <w:lang w:eastAsia="en-US"/>
        </w:rPr>
        <w:t>表</w:t>
      </w:r>
      <w:r>
        <w:rPr>
          <w:rFonts w:eastAsia="黑体"/>
          <w:snapToGrid w:val="0"/>
          <w:color w:val="000000" w:themeColor="text1"/>
          <w:spacing w:val="-2"/>
          <w:kern w:val="0"/>
          <w:sz w:val="21"/>
          <w:szCs w:val="21"/>
        </w:rPr>
        <w:t>2.</w:t>
      </w:r>
      <w:r>
        <w:rPr>
          <w:rFonts w:eastAsia="黑体" w:hint="eastAsia"/>
          <w:snapToGrid w:val="0"/>
          <w:color w:val="000000" w:themeColor="text1"/>
          <w:spacing w:val="-2"/>
          <w:kern w:val="0"/>
          <w:sz w:val="21"/>
          <w:szCs w:val="21"/>
        </w:rPr>
        <w:t>5</w:t>
      </w:r>
      <w:r>
        <w:rPr>
          <w:rFonts w:eastAsia="黑体"/>
          <w:snapToGrid w:val="0"/>
          <w:color w:val="000000" w:themeColor="text1"/>
          <w:spacing w:val="-2"/>
          <w:kern w:val="0"/>
          <w:sz w:val="21"/>
          <w:szCs w:val="21"/>
          <w:lang w:eastAsia="en-US"/>
        </w:rPr>
        <w:t>-</w:t>
      </w:r>
      <w:r>
        <w:rPr>
          <w:rFonts w:eastAsia="黑体"/>
          <w:snapToGrid w:val="0"/>
          <w:color w:val="000000" w:themeColor="text1"/>
          <w:spacing w:val="-2"/>
          <w:kern w:val="0"/>
          <w:sz w:val="21"/>
          <w:szCs w:val="21"/>
        </w:rPr>
        <w:t>5</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不同规模下缝长结果</w:t>
      </w:r>
    </w:p>
    <w:p w14:paraId="4E2A6CF9" w14:textId="77777777" w:rsidR="002E0859" w:rsidRDefault="002E0859">
      <w:pPr>
        <w:widowControl/>
        <w:kinsoku w:val="0"/>
        <w:topLinePunct w:val="0"/>
        <w:autoSpaceDE w:val="0"/>
        <w:autoSpaceDN w:val="0"/>
        <w:spacing w:line="129" w:lineRule="exact"/>
        <w:ind w:firstLineChars="0" w:firstLine="0"/>
        <w:jc w:val="left"/>
        <w:textAlignment w:val="baseline"/>
        <w:rPr>
          <w:snapToGrid w:val="0"/>
          <w:color w:val="000000" w:themeColor="text1"/>
          <w:kern w:val="0"/>
          <w:sz w:val="24"/>
          <w:szCs w:val="21"/>
        </w:rPr>
      </w:pPr>
    </w:p>
    <w:tbl>
      <w:tblPr>
        <w:tblStyle w:val="TableNormal"/>
        <w:tblW w:w="4607" w:type="dxa"/>
        <w:tblInd w:w="508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724"/>
        <w:gridCol w:w="1050"/>
        <w:gridCol w:w="1200"/>
        <w:gridCol w:w="1633"/>
      </w:tblGrid>
      <w:tr w:rsidR="002E0859" w14:paraId="530D8726" w14:textId="77777777">
        <w:trPr>
          <w:trHeight w:val="432"/>
        </w:trPr>
        <w:tc>
          <w:tcPr>
            <w:tcW w:w="724" w:type="dxa"/>
            <w:tcBorders>
              <w:tl2br w:val="nil"/>
              <w:tr2bl w:val="nil"/>
            </w:tcBorders>
            <w:vAlign w:val="center"/>
          </w:tcPr>
          <w:p w14:paraId="4CA3645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2"/>
                <w:kern w:val="0"/>
                <w:sz w:val="24"/>
                <w:szCs w:val="21"/>
                <w:lang w:eastAsia="en-US"/>
              </w:rPr>
              <w:t>簇数</w:t>
            </w:r>
          </w:p>
        </w:tc>
        <w:tc>
          <w:tcPr>
            <w:tcW w:w="1050" w:type="dxa"/>
            <w:tcBorders>
              <w:tl2br w:val="nil"/>
              <w:tr2bl w:val="nil"/>
            </w:tcBorders>
            <w:vAlign w:val="center"/>
          </w:tcPr>
          <w:p w14:paraId="334D86A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4"/>
                <w:kern w:val="0"/>
                <w:sz w:val="24"/>
                <w:szCs w:val="21"/>
                <w:lang w:eastAsia="en-US"/>
              </w:rPr>
              <w:t>簇间距</w:t>
            </w:r>
            <w:r>
              <w:rPr>
                <w:snapToGrid w:val="0"/>
                <w:color w:val="000000" w:themeColor="text1"/>
                <w:kern w:val="0"/>
                <w:sz w:val="24"/>
                <w:szCs w:val="21"/>
                <w:lang w:eastAsia="en-US"/>
              </w:rPr>
              <w:t>米</w:t>
            </w:r>
          </w:p>
        </w:tc>
        <w:tc>
          <w:tcPr>
            <w:tcW w:w="1200" w:type="dxa"/>
            <w:tcBorders>
              <w:tl2br w:val="nil"/>
              <w:tr2bl w:val="nil"/>
            </w:tcBorders>
            <w:vAlign w:val="center"/>
          </w:tcPr>
          <w:p w14:paraId="4033396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2"/>
                <w:kern w:val="0"/>
                <w:sz w:val="24"/>
                <w:szCs w:val="21"/>
                <w:lang w:eastAsia="en-US"/>
              </w:rPr>
              <w:t>改造规模</w:t>
            </w:r>
            <w:r>
              <w:rPr>
                <w:snapToGrid w:val="0"/>
                <w:color w:val="000000" w:themeColor="text1"/>
                <w:kern w:val="0"/>
                <w:sz w:val="24"/>
                <w:szCs w:val="21"/>
                <w:lang w:eastAsia="en-US"/>
              </w:rPr>
              <w:t>方</w:t>
            </w:r>
          </w:p>
        </w:tc>
        <w:tc>
          <w:tcPr>
            <w:tcW w:w="1633" w:type="dxa"/>
            <w:tcBorders>
              <w:tl2br w:val="nil"/>
              <w:tr2bl w:val="nil"/>
            </w:tcBorders>
            <w:vAlign w:val="center"/>
          </w:tcPr>
          <w:p w14:paraId="082D75D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0"/>
                <w:kern w:val="0"/>
                <w:sz w:val="24"/>
                <w:szCs w:val="21"/>
                <w:lang w:eastAsia="en-US"/>
              </w:rPr>
              <w:t>波及半缝长</w:t>
            </w:r>
            <w:r>
              <w:rPr>
                <w:snapToGrid w:val="0"/>
                <w:color w:val="000000" w:themeColor="text1"/>
                <w:kern w:val="0"/>
                <w:sz w:val="24"/>
                <w:szCs w:val="21"/>
                <w:lang w:eastAsia="en-US"/>
              </w:rPr>
              <w:t>米</w:t>
            </w:r>
          </w:p>
        </w:tc>
      </w:tr>
      <w:tr w:rsidR="002E0859" w14:paraId="0495A36E" w14:textId="77777777">
        <w:trPr>
          <w:trHeight w:val="316"/>
        </w:trPr>
        <w:tc>
          <w:tcPr>
            <w:tcW w:w="724" w:type="dxa"/>
            <w:tcBorders>
              <w:tl2br w:val="nil"/>
              <w:tr2bl w:val="nil"/>
            </w:tcBorders>
            <w:vAlign w:val="center"/>
          </w:tcPr>
          <w:p w14:paraId="4906ADC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4</w:t>
            </w:r>
          </w:p>
        </w:tc>
        <w:tc>
          <w:tcPr>
            <w:tcW w:w="1050" w:type="dxa"/>
            <w:tcBorders>
              <w:tl2br w:val="nil"/>
              <w:tr2bl w:val="nil"/>
            </w:tcBorders>
            <w:vAlign w:val="center"/>
          </w:tcPr>
          <w:p w14:paraId="204641A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200" w:type="dxa"/>
            <w:tcBorders>
              <w:tl2br w:val="nil"/>
              <w:tr2bl w:val="nil"/>
            </w:tcBorders>
            <w:vAlign w:val="center"/>
          </w:tcPr>
          <w:p w14:paraId="425175A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1200-70</w:t>
            </w:r>
          </w:p>
        </w:tc>
        <w:tc>
          <w:tcPr>
            <w:tcW w:w="1633" w:type="dxa"/>
            <w:tcBorders>
              <w:tl2br w:val="nil"/>
              <w:tr2bl w:val="nil"/>
            </w:tcBorders>
            <w:vAlign w:val="center"/>
          </w:tcPr>
          <w:p w14:paraId="4A1AE37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122-137</w:t>
            </w:r>
          </w:p>
        </w:tc>
      </w:tr>
      <w:tr w:rsidR="002E0859" w14:paraId="167C5DCD" w14:textId="77777777">
        <w:trPr>
          <w:trHeight w:val="316"/>
        </w:trPr>
        <w:tc>
          <w:tcPr>
            <w:tcW w:w="724" w:type="dxa"/>
            <w:tcBorders>
              <w:tl2br w:val="nil"/>
              <w:tr2bl w:val="nil"/>
            </w:tcBorders>
            <w:vAlign w:val="center"/>
          </w:tcPr>
          <w:p w14:paraId="7BAB59D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050" w:type="dxa"/>
            <w:tcBorders>
              <w:tl2br w:val="nil"/>
              <w:tr2bl w:val="nil"/>
            </w:tcBorders>
            <w:vAlign w:val="center"/>
          </w:tcPr>
          <w:p w14:paraId="77A2BE1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1200" w:type="dxa"/>
            <w:tcBorders>
              <w:tl2br w:val="nil"/>
              <w:tr2bl w:val="nil"/>
            </w:tcBorders>
            <w:vAlign w:val="center"/>
          </w:tcPr>
          <w:p w14:paraId="39632D5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1350-80</w:t>
            </w:r>
          </w:p>
        </w:tc>
        <w:tc>
          <w:tcPr>
            <w:tcW w:w="1633" w:type="dxa"/>
            <w:tcBorders>
              <w:tl2br w:val="nil"/>
              <w:tr2bl w:val="nil"/>
            </w:tcBorders>
            <w:vAlign w:val="center"/>
          </w:tcPr>
          <w:p w14:paraId="2CCED98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106-128</w:t>
            </w:r>
          </w:p>
        </w:tc>
      </w:tr>
      <w:tr w:rsidR="002E0859" w14:paraId="0967C380" w14:textId="77777777">
        <w:trPr>
          <w:trHeight w:val="316"/>
        </w:trPr>
        <w:tc>
          <w:tcPr>
            <w:tcW w:w="724" w:type="dxa"/>
            <w:tcBorders>
              <w:tl2br w:val="nil"/>
              <w:tr2bl w:val="nil"/>
            </w:tcBorders>
            <w:vAlign w:val="center"/>
          </w:tcPr>
          <w:p w14:paraId="3C272CB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050" w:type="dxa"/>
            <w:tcBorders>
              <w:tl2br w:val="nil"/>
              <w:tr2bl w:val="nil"/>
            </w:tcBorders>
            <w:vAlign w:val="center"/>
          </w:tcPr>
          <w:p w14:paraId="45EAEE2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200" w:type="dxa"/>
            <w:tcBorders>
              <w:tl2br w:val="nil"/>
              <w:tr2bl w:val="nil"/>
            </w:tcBorders>
            <w:vAlign w:val="center"/>
          </w:tcPr>
          <w:p w14:paraId="60C006B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1500-90</w:t>
            </w:r>
          </w:p>
        </w:tc>
        <w:tc>
          <w:tcPr>
            <w:tcW w:w="1633" w:type="dxa"/>
            <w:tcBorders>
              <w:tl2br w:val="nil"/>
              <w:tr2bl w:val="nil"/>
            </w:tcBorders>
            <w:vAlign w:val="center"/>
          </w:tcPr>
          <w:p w14:paraId="41CDA60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124-132</w:t>
            </w:r>
          </w:p>
        </w:tc>
      </w:tr>
      <w:tr w:rsidR="002E0859" w14:paraId="723904EC" w14:textId="77777777">
        <w:trPr>
          <w:trHeight w:val="315"/>
        </w:trPr>
        <w:tc>
          <w:tcPr>
            <w:tcW w:w="724" w:type="dxa"/>
            <w:tcBorders>
              <w:tl2br w:val="nil"/>
              <w:tr2bl w:val="nil"/>
            </w:tcBorders>
            <w:vAlign w:val="center"/>
          </w:tcPr>
          <w:p w14:paraId="6CC3AE4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050" w:type="dxa"/>
            <w:tcBorders>
              <w:tl2br w:val="nil"/>
              <w:tr2bl w:val="nil"/>
            </w:tcBorders>
            <w:vAlign w:val="center"/>
          </w:tcPr>
          <w:p w14:paraId="2A0112F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1200" w:type="dxa"/>
            <w:tcBorders>
              <w:tl2br w:val="nil"/>
              <w:tr2bl w:val="nil"/>
            </w:tcBorders>
            <w:vAlign w:val="center"/>
          </w:tcPr>
          <w:p w14:paraId="064234E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1200-70</w:t>
            </w:r>
          </w:p>
        </w:tc>
        <w:tc>
          <w:tcPr>
            <w:tcW w:w="1633" w:type="dxa"/>
            <w:tcBorders>
              <w:tl2br w:val="nil"/>
              <w:tr2bl w:val="nil"/>
            </w:tcBorders>
            <w:vAlign w:val="center"/>
          </w:tcPr>
          <w:p w14:paraId="34F33B5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64-122</w:t>
            </w:r>
          </w:p>
        </w:tc>
      </w:tr>
      <w:tr w:rsidR="002E0859" w14:paraId="1B0A8BB0" w14:textId="77777777">
        <w:trPr>
          <w:trHeight w:val="323"/>
        </w:trPr>
        <w:tc>
          <w:tcPr>
            <w:tcW w:w="724" w:type="dxa"/>
            <w:tcBorders>
              <w:tl2br w:val="nil"/>
              <w:tr2bl w:val="nil"/>
            </w:tcBorders>
            <w:vAlign w:val="center"/>
          </w:tcPr>
          <w:p w14:paraId="107EBD0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050" w:type="dxa"/>
            <w:tcBorders>
              <w:tl2br w:val="nil"/>
              <w:tr2bl w:val="nil"/>
            </w:tcBorders>
            <w:vAlign w:val="center"/>
          </w:tcPr>
          <w:p w14:paraId="6926B9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200" w:type="dxa"/>
            <w:tcBorders>
              <w:tl2br w:val="nil"/>
              <w:tr2bl w:val="nil"/>
            </w:tcBorders>
            <w:vAlign w:val="center"/>
          </w:tcPr>
          <w:p w14:paraId="0DB82AD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1500-90</w:t>
            </w:r>
          </w:p>
        </w:tc>
        <w:tc>
          <w:tcPr>
            <w:tcW w:w="1633" w:type="dxa"/>
            <w:tcBorders>
              <w:tl2br w:val="nil"/>
              <w:tr2bl w:val="nil"/>
            </w:tcBorders>
            <w:vAlign w:val="center"/>
          </w:tcPr>
          <w:p w14:paraId="6D4F6CB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t>75-136</w:t>
            </w:r>
          </w:p>
        </w:tc>
      </w:tr>
    </w:tbl>
    <w:p w14:paraId="7E9DA54B" w14:textId="77777777" w:rsidR="002E0859" w:rsidRDefault="002E0859">
      <w:pPr>
        <w:widowControl/>
        <w:kinsoku w:val="0"/>
        <w:topLinePunct w:val="0"/>
        <w:autoSpaceDE w:val="0"/>
        <w:autoSpaceDN w:val="0"/>
        <w:spacing w:line="360" w:lineRule="auto"/>
        <w:ind w:firstLineChars="300" w:firstLine="618"/>
        <w:jc w:val="left"/>
        <w:textAlignment w:val="baseline"/>
        <w:rPr>
          <w:rFonts w:ascii="黑体" w:eastAsia="黑体" w:hAnsi="黑体" w:cs="黑体"/>
          <w:snapToGrid w:val="0"/>
          <w:color w:val="000000" w:themeColor="text1"/>
          <w:spacing w:val="-2"/>
          <w:kern w:val="0"/>
          <w:sz w:val="21"/>
          <w:szCs w:val="21"/>
          <w:lang w:eastAsia="en-US"/>
        </w:rPr>
      </w:pPr>
    </w:p>
    <w:p w14:paraId="00DB1D98" w14:textId="77777777" w:rsidR="002E0859" w:rsidRDefault="00000000">
      <w:pPr>
        <w:widowControl/>
        <w:kinsoku w:val="0"/>
        <w:topLinePunct w:val="0"/>
        <w:autoSpaceDE w:val="0"/>
        <w:autoSpaceDN w:val="0"/>
        <w:spacing w:line="360" w:lineRule="auto"/>
        <w:ind w:firstLineChars="300" w:firstLine="618"/>
        <w:jc w:val="left"/>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2.5-4</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不同工艺参数裂缝扩展情况</w:t>
      </w:r>
    </w:p>
    <w:p w14:paraId="710B00B2"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针对井距</w:t>
      </w:r>
      <w:r>
        <w:rPr>
          <w:snapToGrid w:val="0"/>
          <w:color w:val="000000" w:themeColor="text1"/>
          <w:kern w:val="0"/>
          <w:sz w:val="24"/>
          <w:szCs w:val="24"/>
          <w:lang w:eastAsia="en-US"/>
        </w:rPr>
        <w:t>250-280m</w:t>
      </w:r>
      <w:r>
        <w:rPr>
          <w:snapToGrid w:val="0"/>
          <w:color w:val="000000" w:themeColor="text1"/>
          <w:kern w:val="0"/>
          <w:sz w:val="24"/>
          <w:szCs w:val="24"/>
          <w:lang w:eastAsia="en-US"/>
        </w:rPr>
        <w:t>，综合裂缝均匀延伸、波及范围，优选单段</w:t>
      </w:r>
      <w:r>
        <w:rPr>
          <w:snapToGrid w:val="0"/>
          <w:color w:val="000000" w:themeColor="text1"/>
          <w:kern w:val="0"/>
          <w:sz w:val="24"/>
          <w:szCs w:val="24"/>
          <w:lang w:eastAsia="en-US"/>
        </w:rPr>
        <w:t>6</w:t>
      </w:r>
      <w:r>
        <w:rPr>
          <w:snapToGrid w:val="0"/>
          <w:color w:val="000000" w:themeColor="text1"/>
          <w:kern w:val="0"/>
          <w:sz w:val="24"/>
          <w:szCs w:val="24"/>
          <w:lang w:eastAsia="en-US"/>
        </w:rPr>
        <w:t>簇、簇间距</w:t>
      </w:r>
      <w:r>
        <w:rPr>
          <w:snapToGrid w:val="0"/>
          <w:color w:val="000000" w:themeColor="text1"/>
          <w:kern w:val="0"/>
          <w:sz w:val="24"/>
          <w:szCs w:val="24"/>
          <w:lang w:eastAsia="en-US"/>
        </w:rPr>
        <w:t>13m</w:t>
      </w:r>
      <w:r>
        <w:rPr>
          <w:snapToGrid w:val="0"/>
          <w:color w:val="000000" w:themeColor="text1"/>
          <w:kern w:val="0"/>
          <w:sz w:val="24"/>
          <w:szCs w:val="24"/>
          <w:lang w:eastAsia="en-US"/>
        </w:rPr>
        <w:t>，单段液量</w:t>
      </w:r>
      <w:r>
        <w:rPr>
          <w:snapToGrid w:val="0"/>
          <w:color w:val="000000" w:themeColor="text1"/>
          <w:kern w:val="0"/>
          <w:sz w:val="24"/>
          <w:szCs w:val="24"/>
          <w:lang w:eastAsia="en-US"/>
        </w:rPr>
        <w:t>1500</w:t>
      </w:r>
      <w:r>
        <w:rPr>
          <w:snapToGrid w:val="0"/>
          <w:color w:val="000000" w:themeColor="text1"/>
          <w:kern w:val="0"/>
          <w:sz w:val="24"/>
          <w:szCs w:val="24"/>
          <w:lang w:eastAsia="en-US"/>
        </w:rPr>
        <w:t>方，单段砂量</w:t>
      </w:r>
      <w:r>
        <w:rPr>
          <w:snapToGrid w:val="0"/>
          <w:color w:val="000000" w:themeColor="text1"/>
          <w:kern w:val="0"/>
          <w:sz w:val="24"/>
          <w:szCs w:val="24"/>
          <w:lang w:eastAsia="en-US"/>
        </w:rPr>
        <w:t>90</w:t>
      </w:r>
      <w:r>
        <w:rPr>
          <w:snapToGrid w:val="0"/>
          <w:color w:val="000000" w:themeColor="text1"/>
          <w:kern w:val="0"/>
          <w:sz w:val="24"/>
          <w:szCs w:val="24"/>
          <w:lang w:eastAsia="en-US"/>
        </w:rPr>
        <w:t>方。单段</w:t>
      </w:r>
      <w:r>
        <w:rPr>
          <w:snapToGrid w:val="0"/>
          <w:color w:val="000000" w:themeColor="text1"/>
          <w:kern w:val="0"/>
          <w:sz w:val="24"/>
          <w:szCs w:val="24"/>
          <w:lang w:eastAsia="en-US"/>
        </w:rPr>
        <w:t>6</w:t>
      </w:r>
      <w:r>
        <w:rPr>
          <w:snapToGrid w:val="0"/>
          <w:color w:val="000000" w:themeColor="text1"/>
          <w:kern w:val="0"/>
          <w:sz w:val="24"/>
          <w:szCs w:val="24"/>
          <w:lang w:eastAsia="en-US"/>
        </w:rPr>
        <w:t>簇时</w:t>
      </w:r>
      <w:r>
        <w:rPr>
          <w:snapToGrid w:val="0"/>
          <w:color w:val="000000" w:themeColor="text1"/>
          <w:kern w:val="0"/>
          <w:sz w:val="24"/>
          <w:szCs w:val="24"/>
          <w:lang w:eastAsia="en-US"/>
        </w:rPr>
        <w:t>,</w:t>
      </w:r>
      <w:r>
        <w:rPr>
          <w:snapToGrid w:val="0"/>
          <w:color w:val="000000" w:themeColor="text1"/>
          <w:kern w:val="0"/>
          <w:sz w:val="24"/>
          <w:szCs w:val="24"/>
          <w:lang w:eastAsia="en-US"/>
        </w:rPr>
        <w:t>簇间距</w:t>
      </w:r>
      <w:r>
        <w:rPr>
          <w:snapToGrid w:val="0"/>
          <w:color w:val="000000" w:themeColor="text1"/>
          <w:kern w:val="0"/>
          <w:sz w:val="24"/>
          <w:szCs w:val="24"/>
          <w:lang w:eastAsia="en-US"/>
        </w:rPr>
        <w:t>13m</w:t>
      </w:r>
      <w:r>
        <w:rPr>
          <w:snapToGrid w:val="0"/>
          <w:color w:val="000000" w:themeColor="text1"/>
          <w:kern w:val="0"/>
          <w:sz w:val="24"/>
          <w:szCs w:val="24"/>
          <w:lang w:eastAsia="en-US"/>
        </w:rPr>
        <w:t>，单段液量</w:t>
      </w:r>
      <w:r>
        <w:rPr>
          <w:snapToGrid w:val="0"/>
          <w:color w:val="000000" w:themeColor="text1"/>
          <w:kern w:val="0"/>
          <w:sz w:val="24"/>
          <w:szCs w:val="24"/>
          <w:lang w:eastAsia="en-US"/>
        </w:rPr>
        <w:t>1500</w:t>
      </w:r>
      <w:r>
        <w:rPr>
          <w:snapToGrid w:val="0"/>
          <w:color w:val="000000" w:themeColor="text1"/>
          <w:kern w:val="0"/>
          <w:sz w:val="24"/>
          <w:szCs w:val="24"/>
          <w:lang w:eastAsia="en-US"/>
        </w:rPr>
        <w:t>方，裂缝整体</w:t>
      </w:r>
      <w:r>
        <w:rPr>
          <w:snapToGrid w:val="0"/>
          <w:color w:val="000000" w:themeColor="text1"/>
          <w:kern w:val="0"/>
          <w:sz w:val="24"/>
          <w:szCs w:val="24"/>
          <w:lang w:eastAsia="en-US"/>
        </w:rPr>
        <w:lastRenderedPageBreak/>
        <w:t>延伸相对较好，半缝长与井距匹配较好；单段</w:t>
      </w:r>
      <w:r>
        <w:rPr>
          <w:snapToGrid w:val="0"/>
          <w:color w:val="000000" w:themeColor="text1"/>
          <w:kern w:val="0"/>
          <w:sz w:val="24"/>
          <w:szCs w:val="24"/>
          <w:lang w:eastAsia="en-US"/>
        </w:rPr>
        <w:t>8</w:t>
      </w:r>
      <w:r>
        <w:rPr>
          <w:snapToGrid w:val="0"/>
          <w:color w:val="000000" w:themeColor="text1"/>
          <w:kern w:val="0"/>
          <w:sz w:val="24"/>
          <w:szCs w:val="24"/>
          <w:lang w:eastAsia="en-US"/>
        </w:rPr>
        <w:t>簇时，簇间距</w:t>
      </w:r>
      <w:r>
        <w:rPr>
          <w:snapToGrid w:val="0"/>
          <w:color w:val="000000" w:themeColor="text1"/>
          <w:kern w:val="0"/>
          <w:sz w:val="24"/>
          <w:szCs w:val="24"/>
          <w:lang w:eastAsia="en-US"/>
        </w:rPr>
        <w:t>11m</w:t>
      </w:r>
      <w:r>
        <w:rPr>
          <w:snapToGrid w:val="0"/>
          <w:color w:val="000000" w:themeColor="text1"/>
          <w:kern w:val="0"/>
          <w:sz w:val="24"/>
          <w:szCs w:val="24"/>
          <w:lang w:eastAsia="en-US"/>
        </w:rPr>
        <w:t>，裂缝延伸不均匀，存在裂缝突进现象。</w:t>
      </w:r>
    </w:p>
    <w:p w14:paraId="4E269A82" w14:textId="77777777" w:rsidR="002E0859" w:rsidRDefault="002E0859">
      <w:pPr>
        <w:pStyle w:val="a0"/>
        <w:ind w:firstLine="480"/>
        <w:rPr>
          <w:snapToGrid w:val="0"/>
          <w:color w:val="000000" w:themeColor="text1"/>
          <w:kern w:val="0"/>
          <w:sz w:val="24"/>
          <w:szCs w:val="24"/>
          <w:lang w:eastAsia="en-US"/>
        </w:rPr>
      </w:pPr>
    </w:p>
    <w:p w14:paraId="3A025D8B" w14:textId="77777777" w:rsidR="002E0859" w:rsidRDefault="002E0859">
      <w:pPr>
        <w:pStyle w:val="a0"/>
        <w:ind w:firstLine="480"/>
        <w:rPr>
          <w:snapToGrid w:val="0"/>
          <w:color w:val="000000" w:themeColor="text1"/>
          <w:kern w:val="0"/>
          <w:sz w:val="24"/>
          <w:szCs w:val="24"/>
          <w:lang w:eastAsia="en-US"/>
        </w:rPr>
      </w:pPr>
    </w:p>
    <w:p w14:paraId="07CB820E" w14:textId="77777777" w:rsidR="002E0859" w:rsidRDefault="002E0859">
      <w:pPr>
        <w:pStyle w:val="a0"/>
        <w:ind w:firstLine="480"/>
        <w:rPr>
          <w:snapToGrid w:val="0"/>
          <w:color w:val="000000" w:themeColor="text1"/>
          <w:kern w:val="0"/>
          <w:sz w:val="24"/>
          <w:szCs w:val="24"/>
          <w:lang w:eastAsia="en-US"/>
        </w:rPr>
      </w:pPr>
    </w:p>
    <w:p w14:paraId="2548FD6C" w14:textId="401E2A95" w:rsidR="002E0859" w:rsidRDefault="00000000">
      <w:pPr>
        <w:widowControl/>
        <w:kinsoku w:val="0"/>
        <w:topLinePunct w:val="0"/>
        <w:autoSpaceDE w:val="0"/>
        <w:autoSpaceDN w:val="0"/>
        <w:spacing w:line="360" w:lineRule="auto"/>
        <w:ind w:firstLineChars="0" w:firstLine="483"/>
        <w:jc w:val="center"/>
        <w:textAlignment w:val="baseline"/>
        <w:rPr>
          <w:color w:val="000000" w:themeColor="text1"/>
          <w:position w:val="-50"/>
        </w:rPr>
      </w:pPr>
      <w:r>
        <w:rPr>
          <w:rFonts w:ascii="黑体" w:eastAsia="黑体" w:hAnsi="黑体" w:cs="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表</w:t>
      </w:r>
      <w:r>
        <w:rPr>
          <w:rFonts w:eastAsia="黑体"/>
          <w:snapToGrid w:val="0"/>
          <w:color w:val="000000" w:themeColor="text1"/>
          <w:spacing w:val="-2"/>
          <w:kern w:val="0"/>
          <w:sz w:val="21"/>
          <w:szCs w:val="21"/>
        </w:rPr>
        <w:t>2.5-6</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不同规模下缝长结果</w:t>
      </w:r>
    </w:p>
    <w:tbl>
      <w:tblPr>
        <w:tblStyle w:val="TableNormal"/>
        <w:tblpPr w:leftFromText="180" w:rightFromText="180" w:vertAnchor="text" w:horzAnchor="page" w:tblpX="6465" w:tblpY="30"/>
        <w:tblOverlap w:val="never"/>
        <w:tblW w:w="4394" w:type="dxa"/>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791"/>
        <w:gridCol w:w="1035"/>
        <w:gridCol w:w="1185"/>
        <w:gridCol w:w="1383"/>
      </w:tblGrid>
      <w:tr w:rsidR="002E0859" w14:paraId="76334F9E" w14:textId="77777777">
        <w:trPr>
          <w:trHeight w:val="830"/>
        </w:trPr>
        <w:tc>
          <w:tcPr>
            <w:tcW w:w="791" w:type="dxa"/>
            <w:tcBorders>
              <w:tl2br w:val="nil"/>
              <w:tr2bl w:val="nil"/>
            </w:tcBorders>
            <w:vAlign w:val="center"/>
          </w:tcPr>
          <w:p w14:paraId="7C2EE3C2" w14:textId="77777777" w:rsidR="002E0859" w:rsidRDefault="00000000">
            <w:pPr>
              <w:widowControl/>
              <w:kinsoku w:val="0"/>
              <w:topLinePunct w:val="0"/>
              <w:autoSpaceDE w:val="0"/>
              <w:autoSpaceDN w:val="0"/>
              <w:spacing w:line="36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2"/>
                <w:kern w:val="0"/>
                <w:sz w:val="24"/>
                <w:szCs w:val="21"/>
                <w:lang w:eastAsia="en-US"/>
              </w:rPr>
              <w:t>簇数</w:t>
            </w:r>
          </w:p>
        </w:tc>
        <w:tc>
          <w:tcPr>
            <w:tcW w:w="1035" w:type="dxa"/>
            <w:tcBorders>
              <w:tl2br w:val="nil"/>
              <w:tr2bl w:val="nil"/>
            </w:tcBorders>
            <w:vAlign w:val="center"/>
          </w:tcPr>
          <w:p w14:paraId="2DE48D47"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4"/>
                <w:kern w:val="0"/>
                <w:sz w:val="24"/>
                <w:szCs w:val="21"/>
                <w:lang w:eastAsia="en-US"/>
              </w:rPr>
              <w:t>簇间距，</w:t>
            </w:r>
            <w:r>
              <w:rPr>
                <w:snapToGrid w:val="0"/>
                <w:color w:val="000000" w:themeColor="text1"/>
                <w:kern w:val="0"/>
                <w:sz w:val="24"/>
                <w:szCs w:val="21"/>
                <w:lang w:eastAsia="en-US"/>
              </w:rPr>
              <w:t>米</w:t>
            </w:r>
          </w:p>
        </w:tc>
        <w:tc>
          <w:tcPr>
            <w:tcW w:w="1185" w:type="dxa"/>
            <w:tcBorders>
              <w:tl2br w:val="nil"/>
              <w:tr2bl w:val="nil"/>
            </w:tcBorders>
            <w:vAlign w:val="center"/>
          </w:tcPr>
          <w:p w14:paraId="340CA3C0"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2"/>
                <w:kern w:val="0"/>
                <w:sz w:val="24"/>
                <w:szCs w:val="21"/>
                <w:lang w:eastAsia="en-US"/>
              </w:rPr>
              <w:t>改造规模，</w:t>
            </w:r>
            <w:r>
              <w:rPr>
                <w:snapToGrid w:val="0"/>
                <w:color w:val="000000" w:themeColor="text1"/>
                <w:kern w:val="0"/>
                <w:sz w:val="24"/>
                <w:szCs w:val="21"/>
                <w:lang w:eastAsia="en-US"/>
              </w:rPr>
              <w:t>方</w:t>
            </w:r>
          </w:p>
        </w:tc>
        <w:tc>
          <w:tcPr>
            <w:tcW w:w="1383" w:type="dxa"/>
            <w:tcBorders>
              <w:tl2br w:val="nil"/>
              <w:tr2bl w:val="nil"/>
            </w:tcBorders>
            <w:vAlign w:val="center"/>
          </w:tcPr>
          <w:p w14:paraId="63F2D71D"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0"/>
                <w:kern w:val="0"/>
                <w:sz w:val="24"/>
                <w:szCs w:val="21"/>
                <w:lang w:eastAsia="en-US"/>
              </w:rPr>
              <w:t>波及半缝长，</w:t>
            </w:r>
            <w:r>
              <w:rPr>
                <w:snapToGrid w:val="0"/>
                <w:color w:val="000000" w:themeColor="text1"/>
                <w:kern w:val="0"/>
                <w:sz w:val="24"/>
                <w:szCs w:val="21"/>
                <w:lang w:eastAsia="en-US"/>
              </w:rPr>
              <w:t>米</w:t>
            </w:r>
          </w:p>
        </w:tc>
      </w:tr>
      <w:tr w:rsidR="002E0859" w14:paraId="6AE8EE12" w14:textId="77777777">
        <w:trPr>
          <w:trHeight w:val="316"/>
        </w:trPr>
        <w:tc>
          <w:tcPr>
            <w:tcW w:w="791" w:type="dxa"/>
            <w:tcBorders>
              <w:tl2br w:val="nil"/>
              <w:tr2bl w:val="nil"/>
            </w:tcBorders>
            <w:vAlign w:val="center"/>
          </w:tcPr>
          <w:p w14:paraId="298269AB"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035" w:type="dxa"/>
            <w:tcBorders>
              <w:tl2br w:val="nil"/>
              <w:tr2bl w:val="nil"/>
            </w:tcBorders>
            <w:vAlign w:val="center"/>
          </w:tcPr>
          <w:p w14:paraId="0B1C95F9"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1185" w:type="dxa"/>
            <w:tcBorders>
              <w:tl2br w:val="nil"/>
              <w:tr2bl w:val="nil"/>
            </w:tcBorders>
            <w:vAlign w:val="center"/>
          </w:tcPr>
          <w:p w14:paraId="62B2248E"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1350-80</w:t>
            </w:r>
          </w:p>
        </w:tc>
        <w:tc>
          <w:tcPr>
            <w:tcW w:w="1383" w:type="dxa"/>
            <w:tcBorders>
              <w:tl2br w:val="nil"/>
              <w:tr2bl w:val="nil"/>
            </w:tcBorders>
            <w:vAlign w:val="center"/>
          </w:tcPr>
          <w:p w14:paraId="67315724"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106-128</w:t>
            </w:r>
          </w:p>
        </w:tc>
      </w:tr>
      <w:tr w:rsidR="002E0859" w14:paraId="3670E5AD" w14:textId="77777777">
        <w:trPr>
          <w:trHeight w:val="316"/>
        </w:trPr>
        <w:tc>
          <w:tcPr>
            <w:tcW w:w="791" w:type="dxa"/>
            <w:tcBorders>
              <w:tl2br w:val="nil"/>
              <w:tr2bl w:val="nil"/>
            </w:tcBorders>
            <w:vAlign w:val="center"/>
          </w:tcPr>
          <w:p w14:paraId="05021B42"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6</w:t>
            </w:r>
          </w:p>
        </w:tc>
        <w:tc>
          <w:tcPr>
            <w:tcW w:w="1035" w:type="dxa"/>
            <w:tcBorders>
              <w:tl2br w:val="nil"/>
              <w:tr2bl w:val="nil"/>
            </w:tcBorders>
            <w:vAlign w:val="center"/>
          </w:tcPr>
          <w:p w14:paraId="3CDC6A0D"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185" w:type="dxa"/>
            <w:tcBorders>
              <w:tl2br w:val="nil"/>
              <w:tr2bl w:val="nil"/>
            </w:tcBorders>
            <w:vAlign w:val="center"/>
          </w:tcPr>
          <w:p w14:paraId="6EDD3B9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1500-90</w:t>
            </w:r>
          </w:p>
        </w:tc>
        <w:tc>
          <w:tcPr>
            <w:tcW w:w="1383" w:type="dxa"/>
            <w:tcBorders>
              <w:tl2br w:val="nil"/>
              <w:tr2bl w:val="nil"/>
            </w:tcBorders>
            <w:vAlign w:val="center"/>
          </w:tcPr>
          <w:p w14:paraId="38447CB4"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128-142</w:t>
            </w:r>
          </w:p>
        </w:tc>
      </w:tr>
      <w:tr w:rsidR="002E0859" w14:paraId="2F3E6CA8" w14:textId="77777777">
        <w:trPr>
          <w:trHeight w:val="316"/>
        </w:trPr>
        <w:tc>
          <w:tcPr>
            <w:tcW w:w="791" w:type="dxa"/>
            <w:tcBorders>
              <w:tl2br w:val="nil"/>
              <w:tr2bl w:val="nil"/>
            </w:tcBorders>
            <w:vAlign w:val="center"/>
          </w:tcPr>
          <w:p w14:paraId="2427E0F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035" w:type="dxa"/>
            <w:tcBorders>
              <w:tl2br w:val="nil"/>
              <w:tr2bl w:val="nil"/>
            </w:tcBorders>
            <w:vAlign w:val="center"/>
          </w:tcPr>
          <w:p w14:paraId="28EEF3C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11</w:t>
            </w:r>
          </w:p>
        </w:tc>
        <w:tc>
          <w:tcPr>
            <w:tcW w:w="1185" w:type="dxa"/>
            <w:tcBorders>
              <w:tl2br w:val="nil"/>
              <w:tr2bl w:val="nil"/>
            </w:tcBorders>
            <w:vAlign w:val="center"/>
          </w:tcPr>
          <w:p w14:paraId="720BA130"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1350-80</w:t>
            </w:r>
          </w:p>
        </w:tc>
        <w:tc>
          <w:tcPr>
            <w:tcW w:w="1383" w:type="dxa"/>
            <w:tcBorders>
              <w:tl2br w:val="nil"/>
              <w:tr2bl w:val="nil"/>
            </w:tcBorders>
            <w:vAlign w:val="center"/>
          </w:tcPr>
          <w:p w14:paraId="4333A499"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t>74-132</w:t>
            </w:r>
          </w:p>
        </w:tc>
      </w:tr>
      <w:tr w:rsidR="002E0859" w14:paraId="00820479" w14:textId="77777777">
        <w:trPr>
          <w:trHeight w:val="323"/>
        </w:trPr>
        <w:tc>
          <w:tcPr>
            <w:tcW w:w="791" w:type="dxa"/>
            <w:tcBorders>
              <w:tl2br w:val="nil"/>
              <w:tr2bl w:val="nil"/>
            </w:tcBorders>
            <w:vAlign w:val="center"/>
          </w:tcPr>
          <w:p w14:paraId="08DB322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kern w:val="0"/>
                <w:sz w:val="24"/>
                <w:szCs w:val="21"/>
                <w:lang w:eastAsia="en-US"/>
              </w:rPr>
              <w:t>8</w:t>
            </w:r>
          </w:p>
        </w:tc>
        <w:tc>
          <w:tcPr>
            <w:tcW w:w="1035" w:type="dxa"/>
            <w:tcBorders>
              <w:tl2br w:val="nil"/>
              <w:tr2bl w:val="nil"/>
            </w:tcBorders>
            <w:vAlign w:val="center"/>
          </w:tcPr>
          <w:p w14:paraId="5C203386"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6"/>
                <w:kern w:val="0"/>
                <w:sz w:val="24"/>
                <w:szCs w:val="21"/>
                <w:lang w:eastAsia="en-US"/>
              </w:rPr>
              <w:t>13</w:t>
            </w:r>
          </w:p>
        </w:tc>
        <w:tc>
          <w:tcPr>
            <w:tcW w:w="1185" w:type="dxa"/>
            <w:tcBorders>
              <w:tl2br w:val="nil"/>
              <w:tr2bl w:val="nil"/>
            </w:tcBorders>
            <w:vAlign w:val="center"/>
          </w:tcPr>
          <w:p w14:paraId="5A657358"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3"/>
                <w:kern w:val="0"/>
                <w:sz w:val="24"/>
                <w:szCs w:val="21"/>
                <w:lang w:eastAsia="en-US"/>
              </w:rPr>
              <w:t>1500-90</w:t>
            </w:r>
          </w:p>
        </w:tc>
        <w:tc>
          <w:tcPr>
            <w:tcW w:w="1383" w:type="dxa"/>
            <w:tcBorders>
              <w:tl2br w:val="nil"/>
              <w:tr2bl w:val="nil"/>
            </w:tcBorders>
            <w:vAlign w:val="center"/>
          </w:tcPr>
          <w:p w14:paraId="0106E4BE"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4"/>
                <w:szCs w:val="21"/>
                <w:lang w:eastAsia="en-US"/>
              </w:rPr>
            </w:pPr>
            <w:r>
              <w:rPr>
                <w:snapToGrid w:val="0"/>
                <w:color w:val="000000" w:themeColor="text1"/>
                <w:spacing w:val="-1"/>
                <w:kern w:val="0"/>
                <w:sz w:val="24"/>
                <w:szCs w:val="21"/>
                <w:lang w:eastAsia="en-US"/>
              </w:rPr>
              <w:t>75-136</w:t>
            </w:r>
          </w:p>
        </w:tc>
      </w:tr>
    </w:tbl>
    <w:p w14:paraId="16F25952"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6A596913"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0320FDFF"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23BCD3A4"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1E0FF04E"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6482B3E1"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053BACE3" w14:textId="77777777"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5D643464" w14:textId="77777777" w:rsidR="002E0859" w:rsidRDefault="002E0859">
      <w:pPr>
        <w:widowControl/>
        <w:kinsoku w:val="0"/>
        <w:topLinePunct w:val="0"/>
        <w:autoSpaceDE w:val="0"/>
        <w:autoSpaceDN w:val="0"/>
        <w:spacing w:line="360" w:lineRule="auto"/>
        <w:ind w:firstLineChars="0" w:firstLine="0"/>
        <w:jc w:val="left"/>
        <w:textAlignment w:val="baseline"/>
        <w:rPr>
          <w:snapToGrid w:val="0"/>
          <w:color w:val="000000" w:themeColor="text1"/>
          <w:spacing w:val="-2"/>
          <w:kern w:val="0"/>
          <w:sz w:val="24"/>
          <w:szCs w:val="21"/>
          <w:lang w:eastAsia="en-US"/>
        </w:rPr>
      </w:pPr>
    </w:p>
    <w:p w14:paraId="683AB572" w14:textId="77777777" w:rsidR="002E0859" w:rsidRDefault="00000000">
      <w:pPr>
        <w:widowControl/>
        <w:kinsoku w:val="0"/>
        <w:topLinePunct w:val="0"/>
        <w:autoSpaceDE w:val="0"/>
        <w:autoSpaceDN w:val="0"/>
        <w:spacing w:beforeLines="100" w:before="240" w:line="360" w:lineRule="auto"/>
        <w:ind w:firstLineChars="300" w:firstLine="618"/>
        <w:textAlignment w:val="baseline"/>
        <w:rPr>
          <w:snapToGrid w:val="0"/>
          <w:color w:val="000000" w:themeColor="text1"/>
          <w:kern w:val="0"/>
          <w:sz w:val="24"/>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2.5-5</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不同工艺参数裂缝扩展情况</w:t>
      </w:r>
    </w:p>
    <w:p w14:paraId="2F4FBD71" w14:textId="77777777" w:rsidR="002E0859" w:rsidRDefault="00000000">
      <w:pPr>
        <w:widowControl/>
        <w:kinsoku w:val="0"/>
        <w:topLinePunct w:val="0"/>
        <w:autoSpaceDE w:val="0"/>
        <w:autoSpaceDN w:val="0"/>
        <w:spacing w:line="360" w:lineRule="auto"/>
        <w:ind w:firstLineChars="0" w:firstLine="482"/>
        <w:jc w:val="left"/>
        <w:textAlignment w:val="baseline"/>
        <w:rPr>
          <w:snapToGrid w:val="0"/>
          <w:color w:val="000000" w:themeColor="text1"/>
          <w:kern w:val="0"/>
          <w:sz w:val="24"/>
          <w:szCs w:val="24"/>
          <w:lang w:eastAsia="en-US"/>
        </w:rPr>
      </w:pPr>
      <w:r>
        <w:rPr>
          <w:rFonts w:hint="eastAsia"/>
          <w:snapToGrid w:val="0"/>
          <w:color w:val="000000" w:themeColor="text1"/>
          <w:kern w:val="0"/>
          <w:sz w:val="24"/>
          <w:szCs w:val="24"/>
        </w:rPr>
        <w:t>2</w:t>
      </w:r>
      <w:r>
        <w:rPr>
          <w:rFonts w:hint="eastAsia"/>
          <w:snapToGrid w:val="0"/>
          <w:color w:val="000000" w:themeColor="text1"/>
          <w:kern w:val="0"/>
          <w:sz w:val="24"/>
          <w:szCs w:val="24"/>
        </w:rPr>
        <w:t>、</w:t>
      </w:r>
      <w:r>
        <w:rPr>
          <w:snapToGrid w:val="0"/>
          <w:color w:val="000000" w:themeColor="text1"/>
          <w:kern w:val="0"/>
          <w:sz w:val="24"/>
          <w:szCs w:val="24"/>
          <w:lang w:eastAsia="en-US"/>
        </w:rPr>
        <w:t>中上部气层压裂工艺参数优化</w:t>
      </w:r>
      <w:r>
        <w:rPr>
          <w:rFonts w:hint="eastAsia"/>
          <w:snapToGrid w:val="0"/>
          <w:color w:val="000000" w:themeColor="text1"/>
          <w:kern w:val="0"/>
          <w:sz w:val="24"/>
          <w:szCs w:val="24"/>
        </w:rPr>
        <w:t>—</w:t>
      </w:r>
      <w:r>
        <w:rPr>
          <w:snapToGrid w:val="0"/>
          <w:color w:val="000000" w:themeColor="text1"/>
          <w:kern w:val="0"/>
          <w:sz w:val="24"/>
          <w:szCs w:val="24"/>
          <w:lang w:eastAsia="en-US"/>
        </w:rPr>
        <w:t>焦页</w:t>
      </w:r>
      <w:r>
        <w:rPr>
          <w:snapToGrid w:val="0"/>
          <w:color w:val="000000" w:themeColor="text1"/>
          <w:kern w:val="0"/>
          <w:sz w:val="24"/>
          <w:szCs w:val="24"/>
          <w:lang w:eastAsia="en-US"/>
        </w:rPr>
        <w:t>90-Z1HF</w:t>
      </w:r>
    </w:p>
    <w:p w14:paraId="21236887"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③</w:t>
      </w:r>
      <w:r>
        <w:rPr>
          <w:snapToGrid w:val="0"/>
          <w:color w:val="000000" w:themeColor="text1"/>
          <w:kern w:val="0"/>
          <w:sz w:val="24"/>
          <w:szCs w:val="24"/>
          <w:lang w:eastAsia="en-US"/>
        </w:rPr>
        <w:t>、</w:t>
      </w:r>
      <w:r>
        <w:rPr>
          <w:snapToGrid w:val="0"/>
          <w:color w:val="000000" w:themeColor="text1"/>
          <w:kern w:val="0"/>
          <w:sz w:val="24"/>
          <w:szCs w:val="24"/>
          <w:lang w:eastAsia="en-US"/>
        </w:rPr>
        <w:t>⑥</w:t>
      </w:r>
      <w:r>
        <w:rPr>
          <w:snapToGrid w:val="0"/>
          <w:color w:val="000000" w:themeColor="text1"/>
          <w:kern w:val="0"/>
          <w:sz w:val="24"/>
          <w:szCs w:val="24"/>
          <w:lang w:eastAsia="en-US"/>
        </w:rPr>
        <w:t>小层纵向高程差</w:t>
      </w:r>
      <w:r>
        <w:rPr>
          <w:snapToGrid w:val="0"/>
          <w:color w:val="000000" w:themeColor="text1"/>
          <w:kern w:val="0"/>
          <w:sz w:val="24"/>
          <w:szCs w:val="24"/>
          <w:lang w:eastAsia="en-US"/>
        </w:rPr>
        <w:t>20.2m</w:t>
      </w:r>
      <w:r>
        <w:rPr>
          <w:snapToGrid w:val="0"/>
          <w:color w:val="000000" w:themeColor="text1"/>
          <w:kern w:val="0"/>
          <w:sz w:val="24"/>
          <w:szCs w:val="24"/>
          <w:lang w:eastAsia="en-US"/>
        </w:rPr>
        <w:t>，通过优化施工规模，可以实现分层开发，穿</w:t>
      </w:r>
      <w:r>
        <w:rPr>
          <w:snapToGrid w:val="0"/>
          <w:color w:val="000000" w:themeColor="text1"/>
          <w:kern w:val="0"/>
          <w:sz w:val="24"/>
          <w:szCs w:val="24"/>
          <w:lang w:eastAsia="en-US"/>
        </w:rPr>
        <w:t>③</w:t>
      </w:r>
      <w:r>
        <w:rPr>
          <w:snapToGrid w:val="0"/>
          <w:color w:val="000000" w:themeColor="text1"/>
          <w:kern w:val="0"/>
          <w:sz w:val="24"/>
          <w:szCs w:val="24"/>
          <w:lang w:eastAsia="en-US"/>
        </w:rPr>
        <w:t>小层：主要改造</w:t>
      </w:r>
      <w:r>
        <w:rPr>
          <w:snapToGrid w:val="0"/>
          <w:color w:val="000000" w:themeColor="text1"/>
          <w:kern w:val="0"/>
          <w:sz w:val="24"/>
          <w:szCs w:val="24"/>
          <w:lang w:eastAsia="en-US"/>
        </w:rPr>
        <w:t>①-④</w:t>
      </w:r>
      <w:r>
        <w:rPr>
          <w:snapToGrid w:val="0"/>
          <w:color w:val="000000" w:themeColor="text1"/>
          <w:kern w:val="0"/>
          <w:sz w:val="24"/>
          <w:szCs w:val="24"/>
          <w:lang w:eastAsia="en-US"/>
        </w:rPr>
        <w:t>小层，部分波及</w:t>
      </w:r>
      <w:r>
        <w:rPr>
          <w:snapToGrid w:val="0"/>
          <w:color w:val="000000" w:themeColor="text1"/>
          <w:kern w:val="0"/>
          <w:sz w:val="24"/>
          <w:szCs w:val="24"/>
          <w:lang w:eastAsia="en-US"/>
        </w:rPr>
        <w:t>⑤</w:t>
      </w:r>
      <w:r>
        <w:rPr>
          <w:snapToGrid w:val="0"/>
          <w:color w:val="000000" w:themeColor="text1"/>
          <w:kern w:val="0"/>
          <w:sz w:val="24"/>
          <w:szCs w:val="24"/>
          <w:lang w:eastAsia="en-US"/>
        </w:rPr>
        <w:t>小层下部，平均缝高</w:t>
      </w:r>
      <w:r>
        <w:rPr>
          <w:snapToGrid w:val="0"/>
          <w:color w:val="000000" w:themeColor="text1"/>
          <w:kern w:val="0"/>
          <w:sz w:val="24"/>
          <w:szCs w:val="24"/>
          <w:lang w:eastAsia="en-US"/>
        </w:rPr>
        <w:t>32-33</w:t>
      </w:r>
      <w:r>
        <w:rPr>
          <w:snapToGrid w:val="0"/>
          <w:color w:val="000000" w:themeColor="text1"/>
          <w:kern w:val="0"/>
          <w:sz w:val="24"/>
          <w:szCs w:val="24"/>
          <w:lang w:eastAsia="en-US"/>
        </w:rPr>
        <w:t>米；穿</w:t>
      </w:r>
      <w:r>
        <w:rPr>
          <w:snapToGrid w:val="0"/>
          <w:color w:val="000000" w:themeColor="text1"/>
          <w:kern w:val="0"/>
          <w:sz w:val="24"/>
          <w:szCs w:val="24"/>
          <w:lang w:eastAsia="en-US"/>
        </w:rPr>
        <w:t>⑥</w:t>
      </w:r>
      <w:r>
        <w:rPr>
          <w:snapToGrid w:val="0"/>
          <w:color w:val="000000" w:themeColor="text1"/>
          <w:kern w:val="0"/>
          <w:sz w:val="24"/>
          <w:szCs w:val="24"/>
          <w:lang w:eastAsia="en-US"/>
        </w:rPr>
        <w:t>小层：主要改造</w:t>
      </w:r>
      <w:r>
        <w:rPr>
          <w:snapToGrid w:val="0"/>
          <w:color w:val="000000" w:themeColor="text1"/>
          <w:kern w:val="0"/>
          <w:sz w:val="24"/>
          <w:szCs w:val="24"/>
          <w:lang w:eastAsia="en-US"/>
        </w:rPr>
        <w:t>⑤</w:t>
      </w:r>
    </w:p>
    <w:p w14:paraId="666DB9AA"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-⑧</w:t>
      </w:r>
      <w:r>
        <w:rPr>
          <w:snapToGrid w:val="0"/>
          <w:color w:val="000000" w:themeColor="text1"/>
          <w:kern w:val="0"/>
          <w:sz w:val="24"/>
          <w:szCs w:val="24"/>
          <w:lang w:eastAsia="en-US"/>
        </w:rPr>
        <w:t>下小层，部分波及</w:t>
      </w:r>
      <w:r>
        <w:rPr>
          <w:snapToGrid w:val="0"/>
          <w:color w:val="000000" w:themeColor="text1"/>
          <w:kern w:val="0"/>
          <w:sz w:val="24"/>
          <w:szCs w:val="24"/>
          <w:lang w:eastAsia="en-US"/>
        </w:rPr>
        <w:t>④</w:t>
      </w:r>
      <w:r>
        <w:rPr>
          <w:snapToGrid w:val="0"/>
          <w:color w:val="000000" w:themeColor="text1"/>
          <w:kern w:val="0"/>
          <w:sz w:val="24"/>
          <w:szCs w:val="24"/>
          <w:lang w:eastAsia="en-US"/>
        </w:rPr>
        <w:t>小层上部，平均缝高</w:t>
      </w:r>
      <w:r>
        <w:rPr>
          <w:snapToGrid w:val="0"/>
          <w:color w:val="000000" w:themeColor="text1"/>
          <w:kern w:val="0"/>
          <w:sz w:val="24"/>
          <w:szCs w:val="24"/>
          <w:lang w:eastAsia="en-US"/>
        </w:rPr>
        <w:t>35-36</w:t>
      </w:r>
      <w:r>
        <w:rPr>
          <w:snapToGrid w:val="0"/>
          <w:color w:val="000000" w:themeColor="text1"/>
          <w:kern w:val="0"/>
          <w:sz w:val="24"/>
          <w:szCs w:val="24"/>
          <w:lang w:eastAsia="en-US"/>
        </w:rPr>
        <w:t>米。</w:t>
      </w:r>
    </w:p>
    <w:p w14:paraId="1A78988F" w14:textId="605472AA" w:rsidR="002E0859" w:rsidRDefault="002E0859">
      <w:pPr>
        <w:widowControl/>
        <w:kinsoku w:val="0"/>
        <w:topLinePunct w:val="0"/>
        <w:autoSpaceDE w:val="0"/>
        <w:autoSpaceDN w:val="0"/>
        <w:spacing w:line="2237" w:lineRule="exact"/>
        <w:ind w:firstLineChars="0" w:firstLine="586"/>
        <w:jc w:val="left"/>
        <w:textAlignment w:val="baseline"/>
        <w:rPr>
          <w:snapToGrid w:val="0"/>
          <w:color w:val="000000" w:themeColor="text1"/>
          <w:kern w:val="0"/>
          <w:position w:val="-44"/>
          <w:sz w:val="24"/>
          <w:szCs w:val="21"/>
          <w:lang w:eastAsia="en-US"/>
        </w:rPr>
      </w:pPr>
    </w:p>
    <w:p w14:paraId="1F816BB6" w14:textId="77777777" w:rsidR="002E0859" w:rsidRDefault="00000000">
      <w:pPr>
        <w:widowControl/>
        <w:kinsoku w:val="0"/>
        <w:topLinePunct w:val="0"/>
        <w:autoSpaceDE w:val="0"/>
        <w:autoSpaceDN w:val="0"/>
        <w:spacing w:beforeLines="100" w:before="240" w:line="360" w:lineRule="auto"/>
        <w:ind w:firstLineChars="300" w:firstLine="618"/>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2.5-6</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穿行</w:t>
      </w:r>
      <w:r>
        <w:rPr>
          <w:rFonts w:eastAsia="黑体"/>
          <w:snapToGrid w:val="0"/>
          <w:color w:val="000000" w:themeColor="text1"/>
          <w:spacing w:val="-2"/>
          <w:kern w:val="0"/>
          <w:sz w:val="21"/>
          <w:szCs w:val="21"/>
          <w:lang w:eastAsia="en-US"/>
        </w:rPr>
        <w:t>③</w:t>
      </w:r>
      <w:r>
        <w:rPr>
          <w:rFonts w:eastAsia="黑体"/>
          <w:snapToGrid w:val="0"/>
          <w:color w:val="000000" w:themeColor="text1"/>
          <w:spacing w:val="-2"/>
          <w:kern w:val="0"/>
          <w:sz w:val="21"/>
          <w:szCs w:val="21"/>
          <w:lang w:eastAsia="en-US"/>
        </w:rPr>
        <w:t>、</w:t>
      </w:r>
      <w:r>
        <w:rPr>
          <w:rFonts w:eastAsia="黑体"/>
          <w:snapToGrid w:val="0"/>
          <w:color w:val="000000" w:themeColor="text1"/>
          <w:spacing w:val="-2"/>
          <w:kern w:val="0"/>
          <w:sz w:val="21"/>
          <w:szCs w:val="21"/>
          <w:lang w:eastAsia="en-US"/>
        </w:rPr>
        <w:t>⑥</w:t>
      </w:r>
      <w:r>
        <w:rPr>
          <w:rFonts w:ascii="黑体" w:eastAsia="黑体" w:hAnsi="黑体" w:cs="黑体"/>
          <w:snapToGrid w:val="0"/>
          <w:color w:val="000000" w:themeColor="text1"/>
          <w:spacing w:val="-2"/>
          <w:kern w:val="0"/>
          <w:sz w:val="21"/>
          <w:szCs w:val="21"/>
          <w:lang w:eastAsia="en-US"/>
        </w:rPr>
        <w:t>小层缝高扩展情况</w:t>
      </w:r>
    </w:p>
    <w:p w14:paraId="430DDCB7" w14:textId="77777777" w:rsidR="002E0859" w:rsidRDefault="00000000">
      <w:pPr>
        <w:widowControl/>
        <w:kinsoku w:val="0"/>
        <w:topLinePunct w:val="0"/>
        <w:autoSpaceDE w:val="0"/>
        <w:autoSpaceDN w:val="0"/>
        <w:spacing w:line="360" w:lineRule="auto"/>
        <w:ind w:firstLine="464"/>
        <w:jc w:val="left"/>
        <w:textAlignment w:val="baseline"/>
        <w:rPr>
          <w:snapToGrid w:val="0"/>
          <w:color w:val="000000" w:themeColor="text1"/>
          <w:kern w:val="0"/>
          <w:sz w:val="24"/>
          <w:szCs w:val="24"/>
          <w:lang w:eastAsia="en-US"/>
        </w:rPr>
      </w:pPr>
      <w:r>
        <w:rPr>
          <w:snapToGrid w:val="0"/>
          <w:color w:val="000000" w:themeColor="text1"/>
          <w:spacing w:val="-4"/>
          <w:kern w:val="0"/>
          <w:sz w:val="24"/>
          <w:szCs w:val="24"/>
          <w:lang w:eastAsia="en-US"/>
        </w:rPr>
        <w:t>（</w:t>
      </w:r>
      <w:r>
        <w:rPr>
          <w:snapToGrid w:val="0"/>
          <w:color w:val="000000" w:themeColor="text1"/>
          <w:spacing w:val="-4"/>
          <w:kern w:val="0"/>
          <w:sz w:val="24"/>
          <w:szCs w:val="24"/>
          <w:lang w:eastAsia="en-US"/>
        </w:rPr>
        <w:t>1</w:t>
      </w:r>
      <w:r>
        <w:rPr>
          <w:snapToGrid w:val="0"/>
          <w:color w:val="000000" w:themeColor="text1"/>
          <w:spacing w:val="-4"/>
          <w:kern w:val="0"/>
          <w:sz w:val="24"/>
          <w:szCs w:val="24"/>
          <w:lang w:eastAsia="en-US"/>
        </w:rPr>
        <w:t>）分段分簇</w:t>
      </w:r>
    </w:p>
    <w:p w14:paraId="05D929C8" w14:textId="77777777" w:rsidR="002E0859" w:rsidRDefault="00000000">
      <w:pPr>
        <w:widowControl/>
        <w:topLinePunct w:val="0"/>
        <w:autoSpaceDE w:val="0"/>
        <w:autoSpaceDN w:val="0"/>
        <w:spacing w:line="360" w:lineRule="auto"/>
        <w:ind w:firstLineChars="0" w:firstLine="482"/>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⑥</w:t>
      </w:r>
      <w:r>
        <w:rPr>
          <w:snapToGrid w:val="0"/>
          <w:color w:val="000000" w:themeColor="text1"/>
          <w:kern w:val="0"/>
          <w:sz w:val="24"/>
          <w:szCs w:val="24"/>
          <w:lang w:eastAsia="en-US"/>
        </w:rPr>
        <w:t>小层粘土含量增加，塑性更强，需要更小的簇间距实现应力干扰，根据模拟结果，优化单段</w:t>
      </w:r>
      <w:r>
        <w:rPr>
          <w:snapToGrid w:val="0"/>
          <w:color w:val="000000" w:themeColor="text1"/>
          <w:kern w:val="0"/>
          <w:sz w:val="24"/>
          <w:szCs w:val="24"/>
          <w:lang w:eastAsia="en-US"/>
        </w:rPr>
        <w:t>6</w:t>
      </w:r>
      <w:r>
        <w:rPr>
          <w:snapToGrid w:val="0"/>
          <w:color w:val="000000" w:themeColor="text1"/>
          <w:kern w:val="0"/>
          <w:sz w:val="24"/>
          <w:szCs w:val="24"/>
          <w:lang w:eastAsia="en-US"/>
        </w:rPr>
        <w:t>簇为主，簇间距</w:t>
      </w:r>
      <w:r>
        <w:rPr>
          <w:snapToGrid w:val="0"/>
          <w:color w:val="000000" w:themeColor="text1"/>
          <w:kern w:val="0"/>
          <w:sz w:val="24"/>
          <w:szCs w:val="24"/>
          <w:lang w:eastAsia="en-US"/>
        </w:rPr>
        <w:t>9-11m</w:t>
      </w:r>
      <w:r>
        <w:rPr>
          <w:snapToGrid w:val="0"/>
          <w:color w:val="000000" w:themeColor="text1"/>
          <w:kern w:val="0"/>
          <w:sz w:val="24"/>
          <w:szCs w:val="24"/>
          <w:lang w:eastAsia="en-US"/>
        </w:rPr>
        <w:t>。极限限流情况下，裂缝延伸过程中依然会出现转向、交汇等现象，单段</w:t>
      </w:r>
      <w:r>
        <w:rPr>
          <w:snapToGrid w:val="0"/>
          <w:color w:val="000000" w:themeColor="text1"/>
          <w:kern w:val="0"/>
          <w:sz w:val="24"/>
          <w:szCs w:val="24"/>
          <w:lang w:eastAsia="en-US"/>
        </w:rPr>
        <w:t>6</w:t>
      </w:r>
      <w:r>
        <w:rPr>
          <w:snapToGrid w:val="0"/>
          <w:color w:val="000000" w:themeColor="text1"/>
          <w:kern w:val="0"/>
          <w:sz w:val="24"/>
          <w:szCs w:val="24"/>
          <w:lang w:eastAsia="en-US"/>
        </w:rPr>
        <w:t>簇、</w:t>
      </w:r>
      <w:r>
        <w:rPr>
          <w:snapToGrid w:val="0"/>
          <w:color w:val="000000" w:themeColor="text1"/>
          <w:kern w:val="0"/>
          <w:sz w:val="24"/>
          <w:szCs w:val="24"/>
          <w:lang w:eastAsia="en-US"/>
        </w:rPr>
        <w:t>18</w:t>
      </w:r>
      <w:r>
        <w:rPr>
          <w:snapToGrid w:val="0"/>
          <w:color w:val="000000" w:themeColor="text1"/>
          <w:kern w:val="0"/>
          <w:sz w:val="24"/>
          <w:szCs w:val="24"/>
          <w:lang w:eastAsia="en-US"/>
        </w:rPr>
        <w:t>孔时，簇间裂缝延伸较均匀，考虑后期本井开展产气剖面测试，建议在本井选取部分井段开展极限限流射孔试验。</w:t>
      </w:r>
    </w:p>
    <w:p w14:paraId="77249433" w14:textId="22BFCA1D" w:rsidR="002E0859" w:rsidRDefault="002E0859">
      <w:pPr>
        <w:widowControl/>
        <w:kinsoku w:val="0"/>
        <w:topLinePunct w:val="0"/>
        <w:autoSpaceDE w:val="0"/>
        <w:autoSpaceDN w:val="0"/>
        <w:spacing w:line="240" w:lineRule="auto"/>
        <w:ind w:firstLineChars="0" w:firstLine="0"/>
        <w:jc w:val="left"/>
        <w:textAlignment w:val="baseline"/>
        <w:rPr>
          <w:snapToGrid w:val="0"/>
          <w:color w:val="000000" w:themeColor="text1"/>
          <w:kern w:val="0"/>
          <w:sz w:val="24"/>
          <w:szCs w:val="21"/>
          <w:lang w:eastAsia="en-US"/>
        </w:rPr>
      </w:pPr>
    </w:p>
    <w:p w14:paraId="515671B8" w14:textId="77777777" w:rsidR="002E0859" w:rsidRDefault="00000000">
      <w:pPr>
        <w:widowControl/>
        <w:kinsoku w:val="0"/>
        <w:topLinePunct w:val="0"/>
        <w:autoSpaceDE w:val="0"/>
        <w:autoSpaceDN w:val="0"/>
        <w:spacing w:beforeLines="100" w:before="240" w:line="360" w:lineRule="auto"/>
        <w:ind w:firstLine="412"/>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lastRenderedPageBreak/>
        <w:t>图</w:t>
      </w:r>
      <w:r>
        <w:rPr>
          <w:rFonts w:eastAsia="黑体"/>
          <w:snapToGrid w:val="0"/>
          <w:color w:val="000000" w:themeColor="text1"/>
          <w:spacing w:val="-2"/>
          <w:kern w:val="0"/>
          <w:sz w:val="21"/>
          <w:szCs w:val="21"/>
        </w:rPr>
        <w:t>2.5-7</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单段不同孔眼数单簇裂缝长度</w:t>
      </w:r>
      <w:r>
        <w:rPr>
          <w:rFonts w:ascii="黑体" w:eastAsia="黑体" w:hAnsi="黑体" w:cs="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2.5-8</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不同孔眼数裂缝模拟结果</w:t>
      </w:r>
    </w:p>
    <w:p w14:paraId="7C559028" w14:textId="77777777" w:rsidR="002E0859" w:rsidRDefault="00000000">
      <w:pPr>
        <w:widowControl/>
        <w:kinsoku w:val="0"/>
        <w:topLinePunct w:val="0"/>
        <w:autoSpaceDE w:val="0"/>
        <w:autoSpaceDN w:val="0"/>
        <w:spacing w:line="360" w:lineRule="auto"/>
        <w:ind w:firstLine="464"/>
        <w:jc w:val="left"/>
        <w:textAlignment w:val="baseline"/>
        <w:rPr>
          <w:snapToGrid w:val="0"/>
          <w:color w:val="000000" w:themeColor="text1"/>
          <w:kern w:val="0"/>
          <w:sz w:val="24"/>
          <w:szCs w:val="24"/>
          <w:lang w:eastAsia="en-US"/>
        </w:rPr>
      </w:pPr>
      <w:r>
        <w:rPr>
          <w:snapToGrid w:val="0"/>
          <w:color w:val="000000" w:themeColor="text1"/>
          <w:spacing w:val="-4"/>
          <w:kern w:val="0"/>
          <w:sz w:val="24"/>
          <w:szCs w:val="24"/>
          <w:lang w:eastAsia="en-US"/>
        </w:rPr>
        <w:t>（</w:t>
      </w:r>
      <w:r>
        <w:rPr>
          <w:snapToGrid w:val="0"/>
          <w:color w:val="000000" w:themeColor="text1"/>
          <w:spacing w:val="-4"/>
          <w:kern w:val="0"/>
          <w:sz w:val="24"/>
          <w:szCs w:val="24"/>
          <w:lang w:eastAsia="en-US"/>
        </w:rPr>
        <w:t>2</w:t>
      </w:r>
      <w:r>
        <w:rPr>
          <w:snapToGrid w:val="0"/>
          <w:color w:val="000000" w:themeColor="text1"/>
          <w:spacing w:val="-4"/>
          <w:kern w:val="0"/>
          <w:sz w:val="24"/>
          <w:szCs w:val="24"/>
          <w:lang w:eastAsia="en-US"/>
        </w:rPr>
        <w:t>）</w:t>
      </w:r>
      <w:r>
        <w:rPr>
          <w:snapToGrid w:val="0"/>
          <w:color w:val="000000" w:themeColor="text1"/>
          <w:spacing w:val="-5"/>
          <w:kern w:val="0"/>
          <w:sz w:val="24"/>
          <w:szCs w:val="24"/>
          <w:lang w:eastAsia="en-US"/>
        </w:rPr>
        <w:t>改造</w:t>
      </w:r>
      <w:r>
        <w:rPr>
          <w:snapToGrid w:val="0"/>
          <w:color w:val="000000" w:themeColor="text1"/>
          <w:spacing w:val="-4"/>
          <w:kern w:val="0"/>
          <w:sz w:val="24"/>
          <w:szCs w:val="24"/>
          <w:lang w:eastAsia="en-US"/>
        </w:rPr>
        <w:t>规模</w:t>
      </w:r>
    </w:p>
    <w:p w14:paraId="79885972"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综合裂缝均匀延伸、波及范围，优选单段</w:t>
      </w:r>
      <w:r>
        <w:rPr>
          <w:snapToGrid w:val="0"/>
          <w:color w:val="000000" w:themeColor="text1"/>
          <w:kern w:val="0"/>
          <w:sz w:val="24"/>
          <w:szCs w:val="24"/>
          <w:lang w:eastAsia="en-US"/>
        </w:rPr>
        <w:t>6</w:t>
      </w:r>
      <w:r>
        <w:rPr>
          <w:snapToGrid w:val="0"/>
          <w:color w:val="000000" w:themeColor="text1"/>
          <w:kern w:val="0"/>
          <w:sz w:val="24"/>
          <w:szCs w:val="24"/>
          <w:lang w:eastAsia="en-US"/>
        </w:rPr>
        <w:t>簇、簇间距</w:t>
      </w:r>
      <w:r>
        <w:rPr>
          <w:snapToGrid w:val="0"/>
          <w:color w:val="000000" w:themeColor="text1"/>
          <w:kern w:val="0"/>
          <w:sz w:val="24"/>
          <w:szCs w:val="24"/>
          <w:lang w:eastAsia="en-US"/>
        </w:rPr>
        <w:t>11m</w:t>
      </w:r>
      <w:r>
        <w:rPr>
          <w:snapToGrid w:val="0"/>
          <w:color w:val="000000" w:themeColor="text1"/>
          <w:kern w:val="0"/>
          <w:sz w:val="24"/>
          <w:szCs w:val="24"/>
          <w:lang w:eastAsia="en-US"/>
        </w:rPr>
        <w:t>，单段液量</w:t>
      </w:r>
      <w:r>
        <w:rPr>
          <w:snapToGrid w:val="0"/>
          <w:color w:val="000000" w:themeColor="text1"/>
          <w:kern w:val="0"/>
          <w:sz w:val="24"/>
          <w:szCs w:val="24"/>
          <w:lang w:eastAsia="en-US"/>
        </w:rPr>
        <w:t>1500</w:t>
      </w:r>
      <w:r>
        <w:rPr>
          <w:snapToGrid w:val="0"/>
          <w:color w:val="000000" w:themeColor="text1"/>
          <w:kern w:val="0"/>
          <w:sz w:val="24"/>
          <w:szCs w:val="24"/>
          <w:lang w:eastAsia="en-US"/>
        </w:rPr>
        <w:t>方，单段砂量</w:t>
      </w:r>
      <w:r>
        <w:rPr>
          <w:snapToGrid w:val="0"/>
          <w:color w:val="000000" w:themeColor="text1"/>
          <w:kern w:val="0"/>
          <w:sz w:val="24"/>
          <w:szCs w:val="24"/>
          <w:lang w:eastAsia="en-US"/>
        </w:rPr>
        <w:t>90</w:t>
      </w:r>
      <w:r>
        <w:rPr>
          <w:snapToGrid w:val="0"/>
          <w:color w:val="000000" w:themeColor="text1"/>
          <w:kern w:val="0"/>
          <w:sz w:val="24"/>
          <w:szCs w:val="24"/>
          <w:lang w:eastAsia="en-US"/>
        </w:rPr>
        <w:t>方。单段</w:t>
      </w:r>
      <w:r>
        <w:rPr>
          <w:snapToGrid w:val="0"/>
          <w:color w:val="000000" w:themeColor="text1"/>
          <w:kern w:val="0"/>
          <w:sz w:val="24"/>
          <w:szCs w:val="24"/>
          <w:lang w:eastAsia="en-US"/>
        </w:rPr>
        <w:t>4</w:t>
      </w:r>
      <w:r>
        <w:rPr>
          <w:snapToGrid w:val="0"/>
          <w:color w:val="000000" w:themeColor="text1"/>
          <w:kern w:val="0"/>
          <w:sz w:val="24"/>
          <w:szCs w:val="24"/>
          <w:lang w:eastAsia="en-US"/>
        </w:rPr>
        <w:t>簇时</w:t>
      </w:r>
      <w:r>
        <w:rPr>
          <w:snapToGrid w:val="0"/>
          <w:color w:val="000000" w:themeColor="text1"/>
          <w:kern w:val="0"/>
          <w:sz w:val="24"/>
          <w:szCs w:val="24"/>
          <w:lang w:eastAsia="en-US"/>
        </w:rPr>
        <w:t>,</w:t>
      </w:r>
      <w:r>
        <w:rPr>
          <w:snapToGrid w:val="0"/>
          <w:color w:val="000000" w:themeColor="text1"/>
          <w:kern w:val="0"/>
          <w:sz w:val="24"/>
          <w:szCs w:val="24"/>
          <w:lang w:eastAsia="en-US"/>
        </w:rPr>
        <w:t>簇间距</w:t>
      </w:r>
      <w:r>
        <w:rPr>
          <w:snapToGrid w:val="0"/>
          <w:color w:val="000000" w:themeColor="text1"/>
          <w:kern w:val="0"/>
          <w:sz w:val="24"/>
          <w:szCs w:val="24"/>
          <w:lang w:eastAsia="en-US"/>
        </w:rPr>
        <w:t>11m</w:t>
      </w:r>
      <w:r>
        <w:rPr>
          <w:snapToGrid w:val="0"/>
          <w:color w:val="000000" w:themeColor="text1"/>
          <w:kern w:val="0"/>
          <w:sz w:val="24"/>
          <w:szCs w:val="24"/>
          <w:lang w:eastAsia="en-US"/>
        </w:rPr>
        <w:t>，单段液量</w:t>
      </w:r>
      <w:r>
        <w:rPr>
          <w:snapToGrid w:val="0"/>
          <w:color w:val="000000" w:themeColor="text1"/>
          <w:kern w:val="0"/>
          <w:sz w:val="24"/>
          <w:szCs w:val="24"/>
          <w:lang w:eastAsia="en-US"/>
        </w:rPr>
        <w:t>1200</w:t>
      </w:r>
      <w:r>
        <w:rPr>
          <w:snapToGrid w:val="0"/>
          <w:color w:val="000000" w:themeColor="text1"/>
          <w:kern w:val="0"/>
          <w:sz w:val="24"/>
          <w:szCs w:val="24"/>
          <w:lang w:eastAsia="en-US"/>
        </w:rPr>
        <w:t>方，裂缝均匀延伸，但长度受限；单段</w:t>
      </w:r>
      <w:r>
        <w:rPr>
          <w:snapToGrid w:val="0"/>
          <w:color w:val="000000" w:themeColor="text1"/>
          <w:kern w:val="0"/>
          <w:sz w:val="24"/>
          <w:szCs w:val="24"/>
          <w:lang w:eastAsia="en-US"/>
        </w:rPr>
        <w:t>6</w:t>
      </w:r>
      <w:r>
        <w:rPr>
          <w:snapToGrid w:val="0"/>
          <w:color w:val="000000" w:themeColor="text1"/>
          <w:kern w:val="0"/>
          <w:sz w:val="24"/>
          <w:szCs w:val="24"/>
          <w:lang w:eastAsia="en-US"/>
        </w:rPr>
        <w:t>簇时</w:t>
      </w:r>
      <w:r>
        <w:rPr>
          <w:snapToGrid w:val="0"/>
          <w:color w:val="000000" w:themeColor="text1"/>
          <w:kern w:val="0"/>
          <w:sz w:val="24"/>
          <w:szCs w:val="24"/>
          <w:lang w:eastAsia="en-US"/>
        </w:rPr>
        <w:t>,</w:t>
      </w:r>
      <w:r>
        <w:rPr>
          <w:snapToGrid w:val="0"/>
          <w:color w:val="000000" w:themeColor="text1"/>
          <w:kern w:val="0"/>
          <w:sz w:val="24"/>
          <w:szCs w:val="24"/>
          <w:lang w:eastAsia="en-US"/>
        </w:rPr>
        <w:t>簇间距</w:t>
      </w:r>
      <w:r>
        <w:rPr>
          <w:snapToGrid w:val="0"/>
          <w:color w:val="000000" w:themeColor="text1"/>
          <w:kern w:val="0"/>
          <w:sz w:val="24"/>
          <w:szCs w:val="24"/>
          <w:lang w:eastAsia="en-US"/>
        </w:rPr>
        <w:t>11m</w:t>
      </w:r>
      <w:r>
        <w:rPr>
          <w:snapToGrid w:val="0"/>
          <w:color w:val="000000" w:themeColor="text1"/>
          <w:kern w:val="0"/>
          <w:sz w:val="24"/>
          <w:szCs w:val="24"/>
          <w:lang w:eastAsia="en-US"/>
        </w:rPr>
        <w:t>，单段液量</w:t>
      </w:r>
      <w:r>
        <w:rPr>
          <w:snapToGrid w:val="0"/>
          <w:color w:val="000000" w:themeColor="text1"/>
          <w:kern w:val="0"/>
          <w:sz w:val="24"/>
          <w:szCs w:val="24"/>
          <w:lang w:eastAsia="en-US"/>
        </w:rPr>
        <w:t>1500</w:t>
      </w:r>
      <w:r>
        <w:rPr>
          <w:snapToGrid w:val="0"/>
          <w:color w:val="000000" w:themeColor="text1"/>
          <w:kern w:val="0"/>
          <w:sz w:val="24"/>
          <w:szCs w:val="24"/>
          <w:lang w:eastAsia="en-US"/>
        </w:rPr>
        <w:t>方，裂缝整体延伸相对较好。</w:t>
      </w:r>
    </w:p>
    <w:p w14:paraId="7EDC619F" w14:textId="32B972A8" w:rsidR="002E0859" w:rsidRDefault="00000000">
      <w:pPr>
        <w:widowControl/>
        <w:kinsoku w:val="0"/>
        <w:wordWrap w:val="0"/>
        <w:topLinePunct w:val="0"/>
        <w:autoSpaceDE w:val="0"/>
        <w:autoSpaceDN w:val="0"/>
        <w:spacing w:beforeLines="100" w:before="240" w:line="360" w:lineRule="auto"/>
        <w:ind w:firstLine="412"/>
        <w:jc w:val="center"/>
        <w:textAlignment w:val="baseline"/>
        <w:rPr>
          <w:rFonts w:ascii="黑体" w:eastAsia="黑体" w:hAnsi="黑体" w:cs="黑体"/>
          <w:snapToGrid w:val="0"/>
          <w:color w:val="000000" w:themeColor="text1"/>
          <w:spacing w:val="-2"/>
          <w:kern w:val="0"/>
          <w:sz w:val="21"/>
          <w:szCs w:val="21"/>
        </w:rPr>
      </w:pPr>
      <w:r>
        <w:rPr>
          <w:rFonts w:ascii="黑体" w:eastAsia="黑体" w:hAnsi="黑体" w:cs="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表</w:t>
      </w:r>
      <w:r>
        <w:rPr>
          <w:rFonts w:eastAsia="黑体"/>
          <w:snapToGrid w:val="0"/>
          <w:color w:val="000000" w:themeColor="text1"/>
          <w:spacing w:val="-2"/>
          <w:kern w:val="0"/>
          <w:sz w:val="21"/>
          <w:szCs w:val="21"/>
        </w:rPr>
        <w:t>2.5-7</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不同规模下缝长结果</w:t>
      </w:r>
    </w:p>
    <w:tbl>
      <w:tblPr>
        <w:tblStyle w:val="TableNormal"/>
        <w:tblW w:w="4699" w:type="dxa"/>
        <w:jc w:val="righ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816"/>
        <w:gridCol w:w="1152"/>
        <w:gridCol w:w="1348"/>
        <w:gridCol w:w="1383"/>
      </w:tblGrid>
      <w:tr w:rsidR="002E0859" w14:paraId="5D187C13" w14:textId="77777777">
        <w:trPr>
          <w:trHeight w:val="632"/>
          <w:jc w:val="right"/>
        </w:trPr>
        <w:tc>
          <w:tcPr>
            <w:tcW w:w="816" w:type="dxa"/>
            <w:tcBorders>
              <w:tl2br w:val="nil"/>
              <w:tr2bl w:val="nil"/>
            </w:tcBorders>
            <w:vAlign w:val="center"/>
          </w:tcPr>
          <w:p w14:paraId="679A10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簇数</w:t>
            </w:r>
          </w:p>
        </w:tc>
        <w:tc>
          <w:tcPr>
            <w:tcW w:w="1152" w:type="dxa"/>
            <w:tcBorders>
              <w:tl2br w:val="nil"/>
              <w:tr2bl w:val="nil"/>
            </w:tcBorders>
            <w:vAlign w:val="center"/>
          </w:tcPr>
          <w:p w14:paraId="1C7E25F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4"/>
                <w:kern w:val="0"/>
                <w:sz w:val="21"/>
                <w:szCs w:val="21"/>
                <w:lang w:eastAsia="en-US"/>
              </w:rPr>
              <w:t>簇间距</w:t>
            </w:r>
            <w:r>
              <w:rPr>
                <w:snapToGrid w:val="0"/>
                <w:color w:val="000000" w:themeColor="text1"/>
                <w:kern w:val="0"/>
                <w:sz w:val="21"/>
                <w:szCs w:val="21"/>
                <w:lang w:eastAsia="en-US"/>
              </w:rPr>
              <w:t>米</w:t>
            </w:r>
          </w:p>
        </w:tc>
        <w:tc>
          <w:tcPr>
            <w:tcW w:w="1348" w:type="dxa"/>
            <w:tcBorders>
              <w:tl2br w:val="nil"/>
              <w:tr2bl w:val="nil"/>
            </w:tcBorders>
            <w:vAlign w:val="center"/>
          </w:tcPr>
          <w:p w14:paraId="2E84721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2"/>
                <w:kern w:val="0"/>
                <w:sz w:val="21"/>
                <w:szCs w:val="21"/>
                <w:lang w:eastAsia="en-US"/>
              </w:rPr>
              <w:t>改造规模</w:t>
            </w:r>
            <w:r>
              <w:rPr>
                <w:snapToGrid w:val="0"/>
                <w:color w:val="000000" w:themeColor="text1"/>
                <w:kern w:val="0"/>
                <w:sz w:val="21"/>
                <w:szCs w:val="21"/>
                <w:lang w:eastAsia="en-US"/>
              </w:rPr>
              <w:t>方</w:t>
            </w:r>
          </w:p>
        </w:tc>
        <w:tc>
          <w:tcPr>
            <w:tcW w:w="1383" w:type="dxa"/>
            <w:tcBorders>
              <w:tl2br w:val="nil"/>
              <w:tr2bl w:val="nil"/>
            </w:tcBorders>
            <w:vAlign w:val="center"/>
          </w:tcPr>
          <w:p w14:paraId="2A1AB18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0"/>
                <w:kern w:val="0"/>
                <w:sz w:val="21"/>
                <w:szCs w:val="21"/>
                <w:lang w:eastAsia="en-US"/>
              </w:rPr>
              <w:t>波及半缝长</w:t>
            </w:r>
            <w:r>
              <w:rPr>
                <w:snapToGrid w:val="0"/>
                <w:color w:val="000000" w:themeColor="text1"/>
                <w:kern w:val="0"/>
                <w:sz w:val="21"/>
                <w:szCs w:val="21"/>
                <w:lang w:eastAsia="en-US"/>
              </w:rPr>
              <w:t>米</w:t>
            </w:r>
          </w:p>
        </w:tc>
      </w:tr>
      <w:tr w:rsidR="002E0859" w14:paraId="3A38D90C" w14:textId="77777777">
        <w:trPr>
          <w:trHeight w:val="316"/>
          <w:jc w:val="right"/>
        </w:trPr>
        <w:tc>
          <w:tcPr>
            <w:tcW w:w="816" w:type="dxa"/>
            <w:tcBorders>
              <w:tl2br w:val="nil"/>
              <w:tr2bl w:val="nil"/>
            </w:tcBorders>
            <w:vAlign w:val="center"/>
          </w:tcPr>
          <w:p w14:paraId="0F5CD96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152" w:type="dxa"/>
            <w:tcBorders>
              <w:tl2br w:val="nil"/>
              <w:tr2bl w:val="nil"/>
            </w:tcBorders>
            <w:vAlign w:val="center"/>
          </w:tcPr>
          <w:p w14:paraId="780DA2A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11</w:t>
            </w:r>
          </w:p>
        </w:tc>
        <w:tc>
          <w:tcPr>
            <w:tcW w:w="1348" w:type="dxa"/>
            <w:tcBorders>
              <w:tl2br w:val="nil"/>
              <w:tr2bl w:val="nil"/>
            </w:tcBorders>
            <w:vAlign w:val="center"/>
          </w:tcPr>
          <w:p w14:paraId="3E25D72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1200-70</w:t>
            </w:r>
          </w:p>
        </w:tc>
        <w:tc>
          <w:tcPr>
            <w:tcW w:w="1383" w:type="dxa"/>
            <w:tcBorders>
              <w:tl2br w:val="nil"/>
              <w:tr2bl w:val="nil"/>
            </w:tcBorders>
            <w:vAlign w:val="center"/>
          </w:tcPr>
          <w:p w14:paraId="4CBAED9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122-137</w:t>
            </w:r>
          </w:p>
        </w:tc>
      </w:tr>
      <w:tr w:rsidR="002E0859" w14:paraId="270F60DA" w14:textId="77777777">
        <w:trPr>
          <w:trHeight w:val="318"/>
          <w:jc w:val="right"/>
        </w:trPr>
        <w:tc>
          <w:tcPr>
            <w:tcW w:w="816" w:type="dxa"/>
            <w:tcBorders>
              <w:tl2br w:val="nil"/>
              <w:tr2bl w:val="nil"/>
            </w:tcBorders>
            <w:vAlign w:val="center"/>
          </w:tcPr>
          <w:p w14:paraId="31EB877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w:t>
            </w:r>
          </w:p>
        </w:tc>
        <w:tc>
          <w:tcPr>
            <w:tcW w:w="1152" w:type="dxa"/>
            <w:tcBorders>
              <w:tl2br w:val="nil"/>
              <w:tr2bl w:val="nil"/>
            </w:tcBorders>
            <w:vAlign w:val="center"/>
          </w:tcPr>
          <w:p w14:paraId="33B98FF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w:t>
            </w:r>
          </w:p>
        </w:tc>
        <w:tc>
          <w:tcPr>
            <w:tcW w:w="1348" w:type="dxa"/>
            <w:tcBorders>
              <w:tl2br w:val="nil"/>
              <w:tr2bl w:val="nil"/>
            </w:tcBorders>
            <w:vAlign w:val="center"/>
          </w:tcPr>
          <w:p w14:paraId="70D5C4F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1350-80</w:t>
            </w:r>
          </w:p>
        </w:tc>
        <w:tc>
          <w:tcPr>
            <w:tcW w:w="1383" w:type="dxa"/>
            <w:tcBorders>
              <w:tl2br w:val="nil"/>
              <w:tr2bl w:val="nil"/>
            </w:tcBorders>
            <w:vAlign w:val="center"/>
          </w:tcPr>
          <w:p w14:paraId="53F2DCD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116-128</w:t>
            </w:r>
          </w:p>
        </w:tc>
      </w:tr>
      <w:tr w:rsidR="002E0859" w14:paraId="647FC29E" w14:textId="77777777">
        <w:trPr>
          <w:trHeight w:val="316"/>
          <w:jc w:val="right"/>
        </w:trPr>
        <w:tc>
          <w:tcPr>
            <w:tcW w:w="816" w:type="dxa"/>
            <w:tcBorders>
              <w:tl2br w:val="nil"/>
              <w:tr2bl w:val="nil"/>
            </w:tcBorders>
            <w:vAlign w:val="center"/>
          </w:tcPr>
          <w:p w14:paraId="140353E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w:t>
            </w:r>
          </w:p>
        </w:tc>
        <w:tc>
          <w:tcPr>
            <w:tcW w:w="1152" w:type="dxa"/>
            <w:tcBorders>
              <w:tl2br w:val="nil"/>
              <w:tr2bl w:val="nil"/>
            </w:tcBorders>
            <w:vAlign w:val="center"/>
          </w:tcPr>
          <w:p w14:paraId="5EB5998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11</w:t>
            </w:r>
          </w:p>
        </w:tc>
        <w:tc>
          <w:tcPr>
            <w:tcW w:w="1348" w:type="dxa"/>
            <w:tcBorders>
              <w:tl2br w:val="nil"/>
              <w:tr2bl w:val="nil"/>
            </w:tcBorders>
            <w:vAlign w:val="center"/>
          </w:tcPr>
          <w:p w14:paraId="77D0CCF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1500-90</w:t>
            </w:r>
          </w:p>
        </w:tc>
        <w:tc>
          <w:tcPr>
            <w:tcW w:w="1383" w:type="dxa"/>
            <w:tcBorders>
              <w:tl2br w:val="nil"/>
              <w:tr2bl w:val="nil"/>
            </w:tcBorders>
            <w:vAlign w:val="center"/>
          </w:tcPr>
          <w:p w14:paraId="20547E5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134-143</w:t>
            </w:r>
          </w:p>
        </w:tc>
      </w:tr>
      <w:tr w:rsidR="002E0859" w14:paraId="4BAF5C1B" w14:textId="77777777">
        <w:trPr>
          <w:trHeight w:val="316"/>
          <w:jc w:val="right"/>
        </w:trPr>
        <w:tc>
          <w:tcPr>
            <w:tcW w:w="816" w:type="dxa"/>
            <w:tcBorders>
              <w:tl2br w:val="nil"/>
              <w:tr2bl w:val="nil"/>
            </w:tcBorders>
            <w:vAlign w:val="center"/>
          </w:tcPr>
          <w:p w14:paraId="145A20A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p>
        </w:tc>
        <w:tc>
          <w:tcPr>
            <w:tcW w:w="1152" w:type="dxa"/>
            <w:tcBorders>
              <w:tl2br w:val="nil"/>
              <w:tr2bl w:val="nil"/>
            </w:tcBorders>
            <w:vAlign w:val="center"/>
          </w:tcPr>
          <w:p w14:paraId="60A2BCA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w:t>
            </w:r>
          </w:p>
        </w:tc>
        <w:tc>
          <w:tcPr>
            <w:tcW w:w="1348" w:type="dxa"/>
            <w:tcBorders>
              <w:tl2br w:val="nil"/>
              <w:tr2bl w:val="nil"/>
            </w:tcBorders>
            <w:vAlign w:val="center"/>
          </w:tcPr>
          <w:p w14:paraId="5E2BDEF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1350-80</w:t>
            </w:r>
          </w:p>
        </w:tc>
        <w:tc>
          <w:tcPr>
            <w:tcW w:w="1383" w:type="dxa"/>
            <w:tcBorders>
              <w:tl2br w:val="nil"/>
              <w:tr2bl w:val="nil"/>
            </w:tcBorders>
            <w:vAlign w:val="center"/>
          </w:tcPr>
          <w:p w14:paraId="54152EC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72-132</w:t>
            </w:r>
          </w:p>
        </w:tc>
      </w:tr>
      <w:tr w:rsidR="002E0859" w14:paraId="4FEEB287" w14:textId="77777777">
        <w:trPr>
          <w:trHeight w:val="320"/>
          <w:jc w:val="right"/>
        </w:trPr>
        <w:tc>
          <w:tcPr>
            <w:tcW w:w="816" w:type="dxa"/>
            <w:tcBorders>
              <w:tl2br w:val="nil"/>
              <w:tr2bl w:val="nil"/>
            </w:tcBorders>
            <w:vAlign w:val="center"/>
          </w:tcPr>
          <w:p w14:paraId="216D684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p>
        </w:tc>
        <w:tc>
          <w:tcPr>
            <w:tcW w:w="1152" w:type="dxa"/>
            <w:tcBorders>
              <w:tl2br w:val="nil"/>
              <w:tr2bl w:val="nil"/>
            </w:tcBorders>
            <w:vAlign w:val="center"/>
          </w:tcPr>
          <w:p w14:paraId="7D4637E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11</w:t>
            </w:r>
          </w:p>
        </w:tc>
        <w:tc>
          <w:tcPr>
            <w:tcW w:w="1348" w:type="dxa"/>
            <w:tcBorders>
              <w:tl2br w:val="nil"/>
              <w:tr2bl w:val="nil"/>
            </w:tcBorders>
            <w:vAlign w:val="center"/>
          </w:tcPr>
          <w:p w14:paraId="09DC213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1500-90</w:t>
            </w:r>
          </w:p>
        </w:tc>
        <w:tc>
          <w:tcPr>
            <w:tcW w:w="1383" w:type="dxa"/>
            <w:tcBorders>
              <w:tl2br w:val="nil"/>
              <w:tr2bl w:val="nil"/>
            </w:tcBorders>
            <w:vAlign w:val="center"/>
          </w:tcPr>
          <w:p w14:paraId="5CF2212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81-143</w:t>
            </w:r>
          </w:p>
        </w:tc>
      </w:tr>
    </w:tbl>
    <w:p w14:paraId="1343CB53" w14:textId="77777777" w:rsidR="002E0859" w:rsidRDefault="002E0859">
      <w:pPr>
        <w:widowControl/>
        <w:kinsoku w:val="0"/>
        <w:topLinePunct w:val="0"/>
        <w:autoSpaceDE w:val="0"/>
        <w:autoSpaceDN w:val="0"/>
        <w:spacing w:line="360" w:lineRule="auto"/>
        <w:ind w:firstLineChars="0" w:firstLine="483"/>
        <w:jc w:val="left"/>
        <w:textAlignment w:val="baseline"/>
        <w:rPr>
          <w:rFonts w:ascii="黑体" w:eastAsia="黑体" w:hAnsi="黑体" w:cs="黑体"/>
          <w:snapToGrid w:val="0"/>
          <w:color w:val="000000" w:themeColor="text1"/>
          <w:spacing w:val="-2"/>
          <w:kern w:val="0"/>
          <w:sz w:val="21"/>
          <w:szCs w:val="21"/>
          <w:lang w:eastAsia="en-US"/>
        </w:rPr>
      </w:pPr>
    </w:p>
    <w:p w14:paraId="2ADBE04F"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2.5-9</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单段不同孔眼数单簇裂缝长</w:t>
      </w:r>
    </w:p>
    <w:p w14:paraId="5038F02B"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3</w:t>
      </w:r>
      <w:r>
        <w:rPr>
          <w:snapToGrid w:val="0"/>
          <w:color w:val="000000" w:themeColor="text1"/>
          <w:kern w:val="0"/>
          <w:sz w:val="24"/>
          <w:szCs w:val="24"/>
          <w:lang w:eastAsia="en-US"/>
        </w:rPr>
        <w:t>）施工排量</w:t>
      </w:r>
    </w:p>
    <w:p w14:paraId="336287AD"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结合早期井实施效果分析，参考邻井延伸压力梯度</w:t>
      </w:r>
      <w:r>
        <w:rPr>
          <w:snapToGrid w:val="0"/>
          <w:color w:val="000000" w:themeColor="text1"/>
          <w:kern w:val="0"/>
          <w:sz w:val="24"/>
          <w:szCs w:val="24"/>
          <w:lang w:eastAsia="en-US"/>
        </w:rPr>
        <w:t>1.9-2.1MPa/100m</w:t>
      </w:r>
      <w:r>
        <w:rPr>
          <w:snapToGrid w:val="0"/>
          <w:color w:val="000000" w:themeColor="text1"/>
          <w:kern w:val="0"/>
          <w:sz w:val="24"/>
          <w:szCs w:val="24"/>
          <w:lang w:eastAsia="en-US"/>
        </w:rPr>
        <w:t>，采用</w:t>
      </w:r>
      <w:r>
        <w:rPr>
          <w:snapToGrid w:val="0"/>
          <w:color w:val="000000" w:themeColor="text1"/>
          <w:kern w:val="0"/>
          <w:sz w:val="24"/>
          <w:szCs w:val="24"/>
          <w:lang w:eastAsia="en-US"/>
        </w:rPr>
        <w:t>105MPa</w:t>
      </w:r>
      <w:r>
        <w:rPr>
          <w:snapToGrid w:val="0"/>
          <w:color w:val="000000" w:themeColor="text1"/>
          <w:kern w:val="0"/>
          <w:sz w:val="24"/>
          <w:szCs w:val="24"/>
          <w:lang w:eastAsia="en-US"/>
        </w:rPr>
        <w:t>装备最高限压</w:t>
      </w:r>
      <w:r>
        <w:rPr>
          <w:snapToGrid w:val="0"/>
          <w:color w:val="000000" w:themeColor="text1"/>
          <w:kern w:val="0"/>
          <w:sz w:val="24"/>
          <w:szCs w:val="24"/>
          <w:lang w:eastAsia="en-US"/>
        </w:rPr>
        <w:t>92MPa</w:t>
      </w:r>
      <w:r>
        <w:rPr>
          <w:snapToGrid w:val="0"/>
          <w:color w:val="000000" w:themeColor="text1"/>
          <w:kern w:val="0"/>
          <w:sz w:val="24"/>
          <w:szCs w:val="24"/>
          <w:lang w:eastAsia="en-US"/>
        </w:rPr>
        <w:t>，预测</w:t>
      </w:r>
      <w:r>
        <w:rPr>
          <w:snapToGrid w:val="0"/>
          <w:color w:val="000000" w:themeColor="text1"/>
          <w:kern w:val="0"/>
          <w:sz w:val="24"/>
          <w:szCs w:val="24"/>
          <w:lang w:eastAsia="en-US"/>
        </w:rPr>
        <w:t>16-18m3/min</w:t>
      </w:r>
      <w:r>
        <w:rPr>
          <w:snapToGrid w:val="0"/>
          <w:color w:val="000000" w:themeColor="text1"/>
          <w:kern w:val="0"/>
          <w:sz w:val="24"/>
          <w:szCs w:val="24"/>
          <w:lang w:eastAsia="en-US"/>
        </w:rPr>
        <w:t>施工排量施工压力在</w:t>
      </w:r>
      <w:r>
        <w:rPr>
          <w:snapToGrid w:val="0"/>
          <w:color w:val="000000" w:themeColor="text1"/>
          <w:kern w:val="0"/>
          <w:sz w:val="24"/>
          <w:szCs w:val="24"/>
          <w:lang w:eastAsia="en-US"/>
        </w:rPr>
        <w:t>75-92MPa</w:t>
      </w:r>
      <w:r>
        <w:rPr>
          <w:snapToGrid w:val="0"/>
          <w:color w:val="000000" w:themeColor="text1"/>
          <w:kern w:val="0"/>
          <w:sz w:val="24"/>
          <w:szCs w:val="24"/>
          <w:lang w:eastAsia="en-US"/>
        </w:rPr>
        <w:t>。</w:t>
      </w:r>
    </w:p>
    <w:p w14:paraId="65FBBA75" w14:textId="30597610"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hyperlink r:id="rId24" w:history="1">
        <w:r>
          <w:rPr>
            <w:snapToGrid w:val="0"/>
            <w:color w:val="000000" w:themeColor="text1"/>
            <w:kern w:val="0"/>
            <w:sz w:val="24"/>
            <w:szCs w:val="24"/>
            <w:lang w:eastAsia="en-US"/>
          </w:rPr>
          <w:t>4</w:t>
        </w:r>
      </w:hyperlink>
      <w:r>
        <w:rPr>
          <w:rFonts w:hint="eastAsia"/>
          <w:snapToGrid w:val="0"/>
          <w:color w:val="000000" w:themeColor="text1"/>
          <w:kern w:val="0"/>
          <w:sz w:val="24"/>
          <w:szCs w:val="24"/>
        </w:rPr>
        <w:t>、</w:t>
      </w:r>
      <w:r>
        <w:rPr>
          <w:snapToGrid w:val="0"/>
          <w:color w:val="000000" w:themeColor="text1"/>
          <w:kern w:val="0"/>
          <w:sz w:val="24"/>
          <w:szCs w:val="24"/>
          <w:lang w:eastAsia="en-US"/>
        </w:rPr>
        <w:t>压裂材料</w:t>
      </w:r>
    </w:p>
    <w:p w14:paraId="052D06B4" w14:textId="77777777" w:rsidR="002E0859" w:rsidRDefault="00000000">
      <w:pPr>
        <w:kinsoku w:val="0"/>
        <w:topLinePunct w:val="0"/>
        <w:autoSpaceDE w:val="0"/>
        <w:autoSpaceDN w:val="0"/>
        <w:spacing w:line="360" w:lineRule="auto"/>
        <w:ind w:firstLineChars="0" w:firstLine="482"/>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压裂液采用一体化减阻水液体体系。支撑剂采用</w:t>
      </w:r>
      <w:r>
        <w:rPr>
          <w:snapToGrid w:val="0"/>
          <w:color w:val="000000" w:themeColor="text1"/>
          <w:kern w:val="0"/>
          <w:sz w:val="24"/>
          <w:szCs w:val="24"/>
          <w:lang w:eastAsia="en-US"/>
        </w:rPr>
        <w:t>70/140</w:t>
      </w:r>
      <w:r>
        <w:rPr>
          <w:snapToGrid w:val="0"/>
          <w:color w:val="000000" w:themeColor="text1"/>
          <w:kern w:val="0"/>
          <w:sz w:val="24"/>
          <w:szCs w:val="24"/>
          <w:lang w:eastAsia="en-US"/>
        </w:rPr>
        <w:t>石英砂</w:t>
      </w:r>
      <w:r>
        <w:rPr>
          <w:snapToGrid w:val="0"/>
          <w:color w:val="000000" w:themeColor="text1"/>
          <w:kern w:val="0"/>
          <w:sz w:val="24"/>
          <w:szCs w:val="24"/>
          <w:lang w:eastAsia="en-US"/>
        </w:rPr>
        <w:t>+40/70</w:t>
      </w:r>
      <w:r>
        <w:rPr>
          <w:snapToGrid w:val="0"/>
          <w:color w:val="000000" w:themeColor="text1"/>
          <w:kern w:val="0"/>
          <w:sz w:val="24"/>
          <w:szCs w:val="24"/>
          <w:lang w:eastAsia="en-US"/>
        </w:rPr>
        <w:t>石英砂</w:t>
      </w:r>
      <w:r>
        <w:rPr>
          <w:snapToGrid w:val="0"/>
          <w:color w:val="000000" w:themeColor="text1"/>
          <w:kern w:val="0"/>
          <w:sz w:val="24"/>
          <w:szCs w:val="24"/>
          <w:lang w:eastAsia="en-US"/>
        </w:rPr>
        <w:t>+30/50</w:t>
      </w:r>
      <w:r>
        <w:rPr>
          <w:snapToGrid w:val="0"/>
          <w:color w:val="000000" w:themeColor="text1"/>
          <w:kern w:val="0"/>
          <w:sz w:val="24"/>
          <w:szCs w:val="24"/>
          <w:lang w:eastAsia="en-US"/>
        </w:rPr>
        <w:t>覆膜砂封口。压裂液体系：</w:t>
      </w:r>
      <w:r>
        <w:rPr>
          <w:snapToGrid w:val="0"/>
          <w:color w:val="000000" w:themeColor="text1"/>
          <w:kern w:val="0"/>
          <w:sz w:val="24"/>
          <w:szCs w:val="24"/>
          <w:lang w:eastAsia="en-US"/>
        </w:rPr>
        <w:t>0.4-0.25-0.1%</w:t>
      </w:r>
      <w:r>
        <w:rPr>
          <w:snapToGrid w:val="0"/>
          <w:color w:val="000000" w:themeColor="text1"/>
          <w:kern w:val="0"/>
          <w:sz w:val="24"/>
          <w:szCs w:val="24"/>
          <w:lang w:eastAsia="en-US"/>
        </w:rPr>
        <w:t>减阻水体系；支撑剂体系：</w:t>
      </w:r>
      <w:r>
        <w:rPr>
          <w:snapToGrid w:val="0"/>
          <w:color w:val="000000" w:themeColor="text1"/>
          <w:kern w:val="0"/>
          <w:sz w:val="24"/>
          <w:szCs w:val="24"/>
          <w:lang w:eastAsia="en-US"/>
        </w:rPr>
        <w:t>70/140</w:t>
      </w:r>
      <w:r>
        <w:rPr>
          <w:snapToGrid w:val="0"/>
          <w:color w:val="000000" w:themeColor="text1"/>
          <w:kern w:val="0"/>
          <w:sz w:val="24"/>
          <w:szCs w:val="24"/>
          <w:lang w:eastAsia="en-US"/>
        </w:rPr>
        <w:t>目石英砂</w:t>
      </w:r>
      <w:r>
        <w:rPr>
          <w:snapToGrid w:val="0"/>
          <w:color w:val="000000" w:themeColor="text1"/>
          <w:kern w:val="0"/>
          <w:sz w:val="24"/>
          <w:szCs w:val="24"/>
          <w:lang w:eastAsia="en-US"/>
        </w:rPr>
        <w:t>+40/70</w:t>
      </w:r>
      <w:r>
        <w:rPr>
          <w:snapToGrid w:val="0"/>
          <w:color w:val="000000" w:themeColor="text1"/>
          <w:kern w:val="0"/>
          <w:sz w:val="24"/>
          <w:szCs w:val="24"/>
          <w:lang w:eastAsia="en-US"/>
        </w:rPr>
        <w:t>目石英砂</w:t>
      </w:r>
      <w:r>
        <w:rPr>
          <w:snapToGrid w:val="0"/>
          <w:color w:val="000000" w:themeColor="text1"/>
          <w:kern w:val="0"/>
          <w:sz w:val="24"/>
          <w:szCs w:val="24"/>
          <w:lang w:eastAsia="en-US"/>
        </w:rPr>
        <w:t>+30/50</w:t>
      </w:r>
      <w:r>
        <w:rPr>
          <w:snapToGrid w:val="0"/>
          <w:color w:val="000000" w:themeColor="text1"/>
          <w:kern w:val="0"/>
          <w:sz w:val="24"/>
          <w:szCs w:val="24"/>
          <w:lang w:eastAsia="en-US"/>
        </w:rPr>
        <w:t>目覆膜砂（封口）。</w:t>
      </w:r>
    </w:p>
    <w:p w14:paraId="2B66E5F5" w14:textId="1C76BD69"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hyperlink r:id="rId25" w:history="1">
        <w:r>
          <w:rPr>
            <w:snapToGrid w:val="0"/>
            <w:color w:val="000000" w:themeColor="text1"/>
            <w:kern w:val="0"/>
            <w:sz w:val="24"/>
            <w:szCs w:val="24"/>
            <w:lang w:eastAsia="en-US"/>
          </w:rPr>
          <w:t>5</w:t>
        </w:r>
      </w:hyperlink>
      <w:r>
        <w:rPr>
          <w:rFonts w:hint="eastAsia"/>
          <w:snapToGrid w:val="0"/>
          <w:color w:val="000000" w:themeColor="text1"/>
          <w:kern w:val="0"/>
          <w:sz w:val="24"/>
          <w:szCs w:val="24"/>
        </w:rPr>
        <w:t>、</w:t>
      </w:r>
      <w:r>
        <w:rPr>
          <w:snapToGrid w:val="0"/>
          <w:color w:val="000000" w:themeColor="text1"/>
          <w:kern w:val="0"/>
          <w:sz w:val="24"/>
          <w:szCs w:val="24"/>
          <w:lang w:eastAsia="en-US"/>
        </w:rPr>
        <w:t>注入方式及压力控制</w:t>
      </w:r>
    </w:p>
    <w:p w14:paraId="2590B52F"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采用套管注入方式。根据已开井施工情况，考虑套管材质、施工安全限压、压力安全窗口影响，控制施工规模，使施工压力为</w:t>
      </w:r>
      <w:r>
        <w:rPr>
          <w:snapToGrid w:val="0"/>
          <w:color w:val="000000" w:themeColor="text1"/>
          <w:kern w:val="0"/>
          <w:sz w:val="24"/>
          <w:szCs w:val="24"/>
          <w:lang w:eastAsia="en-US"/>
        </w:rPr>
        <w:t>55MPa-85MPa</w:t>
      </w:r>
      <w:r>
        <w:rPr>
          <w:snapToGrid w:val="0"/>
          <w:color w:val="000000" w:themeColor="text1"/>
          <w:kern w:val="0"/>
          <w:sz w:val="24"/>
          <w:szCs w:val="24"/>
          <w:lang w:eastAsia="en-US"/>
        </w:rPr>
        <w:t>，特殊情况施工压力不得大于</w:t>
      </w:r>
      <w:r>
        <w:rPr>
          <w:snapToGrid w:val="0"/>
          <w:color w:val="000000" w:themeColor="text1"/>
          <w:kern w:val="0"/>
          <w:sz w:val="24"/>
          <w:szCs w:val="24"/>
          <w:lang w:eastAsia="en-US"/>
        </w:rPr>
        <w:t>92MPa</w:t>
      </w:r>
      <w:r>
        <w:rPr>
          <w:snapToGrid w:val="0"/>
          <w:color w:val="000000" w:themeColor="text1"/>
          <w:kern w:val="0"/>
          <w:sz w:val="24"/>
          <w:szCs w:val="24"/>
          <w:lang w:eastAsia="en-US"/>
        </w:rPr>
        <w:t>。</w:t>
      </w:r>
    </w:p>
    <w:p w14:paraId="3B8382FF" w14:textId="46A56D46"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hyperlink r:id="rId26" w:history="1">
        <w:r>
          <w:rPr>
            <w:snapToGrid w:val="0"/>
            <w:color w:val="000000" w:themeColor="text1"/>
            <w:kern w:val="0"/>
            <w:sz w:val="24"/>
            <w:szCs w:val="24"/>
            <w:lang w:eastAsia="en-US"/>
          </w:rPr>
          <w:t>6</w:t>
        </w:r>
      </w:hyperlink>
      <w:r>
        <w:rPr>
          <w:rFonts w:hint="eastAsia"/>
          <w:snapToGrid w:val="0"/>
          <w:color w:val="000000" w:themeColor="text1"/>
          <w:kern w:val="0"/>
          <w:sz w:val="24"/>
          <w:szCs w:val="24"/>
        </w:rPr>
        <w:t>、</w:t>
      </w:r>
      <w:r>
        <w:rPr>
          <w:snapToGrid w:val="0"/>
          <w:color w:val="000000" w:themeColor="text1"/>
          <w:kern w:val="0"/>
          <w:sz w:val="24"/>
          <w:szCs w:val="24"/>
          <w:lang w:eastAsia="en-US"/>
        </w:rPr>
        <w:t>地面配套装备优化</w:t>
      </w:r>
    </w:p>
    <w:p w14:paraId="3F454FF2" w14:textId="77777777" w:rsidR="002E0859" w:rsidRDefault="00000000">
      <w:pPr>
        <w:widowControl/>
        <w:topLinePunct w:val="0"/>
        <w:autoSpaceDE w:val="0"/>
        <w:autoSpaceDN w:val="0"/>
        <w:spacing w:line="360" w:lineRule="auto"/>
        <w:ind w:firstLineChars="0" w:firstLine="482"/>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总施工时间低于或等于</w:t>
      </w:r>
      <w:r>
        <w:rPr>
          <w:snapToGrid w:val="0"/>
          <w:color w:val="000000" w:themeColor="text1"/>
          <w:kern w:val="0"/>
          <w:sz w:val="24"/>
          <w:szCs w:val="24"/>
          <w:lang w:eastAsia="en-US"/>
        </w:rPr>
        <w:t>4h</w:t>
      </w:r>
      <w:r>
        <w:rPr>
          <w:snapToGrid w:val="0"/>
          <w:color w:val="000000" w:themeColor="text1"/>
          <w:kern w:val="0"/>
          <w:sz w:val="24"/>
          <w:szCs w:val="24"/>
          <w:lang w:eastAsia="en-US"/>
        </w:rPr>
        <w:t>的情况下，泵车组的准备总功率不低于设计总功率的</w:t>
      </w:r>
      <w:r>
        <w:rPr>
          <w:snapToGrid w:val="0"/>
          <w:color w:val="000000" w:themeColor="text1"/>
          <w:kern w:val="0"/>
          <w:sz w:val="24"/>
          <w:szCs w:val="24"/>
          <w:lang w:eastAsia="en-US"/>
        </w:rPr>
        <w:t>1.3</w:t>
      </w:r>
      <w:r>
        <w:rPr>
          <w:snapToGrid w:val="0"/>
          <w:color w:val="000000" w:themeColor="text1"/>
          <w:kern w:val="0"/>
          <w:sz w:val="24"/>
          <w:szCs w:val="24"/>
          <w:lang w:eastAsia="en-US"/>
        </w:rPr>
        <w:t>倍，预计压裂车组所需水马力</w:t>
      </w:r>
      <w:r>
        <w:rPr>
          <w:snapToGrid w:val="0"/>
          <w:color w:val="000000" w:themeColor="text1"/>
          <w:kern w:val="0"/>
          <w:sz w:val="24"/>
          <w:szCs w:val="24"/>
          <w:lang w:eastAsia="en-US"/>
        </w:rPr>
        <w:t>45000Hhp</w:t>
      </w:r>
      <w:r>
        <w:rPr>
          <w:snapToGrid w:val="0"/>
          <w:color w:val="000000" w:themeColor="text1"/>
          <w:kern w:val="0"/>
          <w:sz w:val="24"/>
          <w:szCs w:val="24"/>
          <w:lang w:eastAsia="en-US"/>
        </w:rPr>
        <w:t>。</w:t>
      </w:r>
    </w:p>
    <w:p w14:paraId="6118D28D" w14:textId="77777777" w:rsidR="002E0859" w:rsidRDefault="00000000">
      <w:pPr>
        <w:widowControl/>
        <w:kinsoku w:val="0"/>
        <w:topLinePunct w:val="0"/>
        <w:autoSpaceDE w:val="0"/>
        <w:autoSpaceDN w:val="0"/>
        <w:spacing w:line="24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表</w:t>
      </w:r>
      <w:r>
        <w:rPr>
          <w:rFonts w:eastAsia="黑体"/>
          <w:snapToGrid w:val="0"/>
          <w:color w:val="000000" w:themeColor="text1"/>
          <w:spacing w:val="-2"/>
          <w:kern w:val="0"/>
          <w:sz w:val="21"/>
          <w:szCs w:val="21"/>
        </w:rPr>
        <w:t>2.5-8</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施工车辆及工具准备</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096"/>
        <w:gridCol w:w="2408"/>
        <w:gridCol w:w="4646"/>
      </w:tblGrid>
      <w:tr w:rsidR="002E0859" w14:paraId="11489420" w14:textId="77777777">
        <w:trPr>
          <w:trHeight w:val="23"/>
          <w:jc w:val="center"/>
        </w:trPr>
        <w:tc>
          <w:tcPr>
            <w:tcW w:w="1145" w:type="pct"/>
            <w:tcBorders>
              <w:tl2br w:val="nil"/>
              <w:tr2bl w:val="nil"/>
            </w:tcBorders>
            <w:vAlign w:val="center"/>
          </w:tcPr>
          <w:p w14:paraId="10524AA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装备</w:t>
            </w:r>
          </w:p>
        </w:tc>
        <w:tc>
          <w:tcPr>
            <w:tcW w:w="1316" w:type="pct"/>
            <w:tcBorders>
              <w:tl2br w:val="nil"/>
              <w:tr2bl w:val="nil"/>
            </w:tcBorders>
            <w:vAlign w:val="center"/>
          </w:tcPr>
          <w:p w14:paraId="4007DEC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参数</w:t>
            </w:r>
          </w:p>
        </w:tc>
        <w:tc>
          <w:tcPr>
            <w:tcW w:w="2538" w:type="pct"/>
            <w:tcBorders>
              <w:tl2br w:val="nil"/>
              <w:tr2bl w:val="nil"/>
            </w:tcBorders>
            <w:vAlign w:val="center"/>
          </w:tcPr>
          <w:p w14:paraId="08FA9C3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数量要求</w:t>
            </w:r>
          </w:p>
        </w:tc>
      </w:tr>
      <w:tr w:rsidR="002E0859" w14:paraId="299770F4" w14:textId="77777777">
        <w:trPr>
          <w:trHeight w:val="23"/>
          <w:jc w:val="center"/>
        </w:trPr>
        <w:tc>
          <w:tcPr>
            <w:tcW w:w="1145" w:type="pct"/>
            <w:tcBorders>
              <w:tl2br w:val="nil"/>
              <w:tr2bl w:val="nil"/>
            </w:tcBorders>
            <w:vAlign w:val="center"/>
          </w:tcPr>
          <w:p w14:paraId="2867397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压裂车</w:t>
            </w:r>
          </w:p>
        </w:tc>
        <w:tc>
          <w:tcPr>
            <w:tcW w:w="1316" w:type="pct"/>
            <w:tcBorders>
              <w:tl2br w:val="nil"/>
              <w:tr2bl w:val="nil"/>
            </w:tcBorders>
            <w:vAlign w:val="center"/>
          </w:tcPr>
          <w:p w14:paraId="1B133EC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&gt;40824Hhp</w:t>
            </w:r>
          </w:p>
        </w:tc>
        <w:tc>
          <w:tcPr>
            <w:tcW w:w="2538" w:type="pct"/>
            <w:tcBorders>
              <w:tl2br w:val="nil"/>
              <w:tr2bl w:val="nil"/>
            </w:tcBorders>
            <w:vAlign w:val="center"/>
          </w:tcPr>
          <w:p w14:paraId="4C5D126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8-9</w:t>
            </w:r>
            <w:r>
              <w:rPr>
                <w:snapToGrid w:val="0"/>
                <w:color w:val="000000" w:themeColor="text1"/>
                <w:kern w:val="0"/>
                <w:sz w:val="21"/>
                <w:szCs w:val="21"/>
                <w:lang w:eastAsia="en-US"/>
              </w:rPr>
              <w:t>台电动泵</w:t>
            </w:r>
          </w:p>
        </w:tc>
      </w:tr>
      <w:tr w:rsidR="002E0859" w14:paraId="6C379175" w14:textId="77777777">
        <w:trPr>
          <w:trHeight w:val="23"/>
          <w:jc w:val="center"/>
        </w:trPr>
        <w:tc>
          <w:tcPr>
            <w:tcW w:w="1145" w:type="pct"/>
            <w:tcBorders>
              <w:tl2br w:val="nil"/>
              <w:tr2bl w:val="nil"/>
            </w:tcBorders>
            <w:vAlign w:val="center"/>
          </w:tcPr>
          <w:p w14:paraId="31D5065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仪表车</w:t>
            </w:r>
          </w:p>
        </w:tc>
        <w:tc>
          <w:tcPr>
            <w:tcW w:w="1316" w:type="pct"/>
            <w:tcBorders>
              <w:tl2br w:val="nil"/>
              <w:tr2bl w:val="nil"/>
            </w:tcBorders>
            <w:vAlign w:val="center"/>
          </w:tcPr>
          <w:p w14:paraId="5460752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计量误差</w:t>
            </w:r>
            <w:r>
              <w:rPr>
                <w:snapToGrid w:val="0"/>
                <w:color w:val="000000" w:themeColor="text1"/>
                <w:kern w:val="0"/>
                <w:sz w:val="21"/>
                <w:szCs w:val="21"/>
                <w:lang w:eastAsia="en-US"/>
              </w:rPr>
              <w:t>≤1%</w:t>
            </w:r>
          </w:p>
        </w:tc>
        <w:tc>
          <w:tcPr>
            <w:tcW w:w="2538" w:type="pct"/>
            <w:tcBorders>
              <w:tl2br w:val="nil"/>
              <w:tr2bl w:val="nil"/>
            </w:tcBorders>
            <w:vAlign w:val="center"/>
          </w:tcPr>
          <w:p w14:paraId="137AE1D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台</w:t>
            </w:r>
          </w:p>
        </w:tc>
      </w:tr>
      <w:tr w:rsidR="002E0859" w14:paraId="212B6DF7" w14:textId="77777777">
        <w:trPr>
          <w:trHeight w:val="23"/>
          <w:jc w:val="center"/>
        </w:trPr>
        <w:tc>
          <w:tcPr>
            <w:tcW w:w="1145" w:type="pct"/>
            <w:tcBorders>
              <w:tl2br w:val="nil"/>
              <w:tr2bl w:val="nil"/>
            </w:tcBorders>
            <w:vAlign w:val="center"/>
          </w:tcPr>
          <w:p w14:paraId="2AD41BD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混砂车</w:t>
            </w:r>
          </w:p>
        </w:tc>
        <w:tc>
          <w:tcPr>
            <w:tcW w:w="1316" w:type="pct"/>
            <w:tcBorders>
              <w:tl2br w:val="nil"/>
              <w:tr2bl w:val="nil"/>
            </w:tcBorders>
            <w:vAlign w:val="center"/>
          </w:tcPr>
          <w:p w14:paraId="263D7F3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供液速度</w:t>
            </w:r>
            <w:r>
              <w:rPr>
                <w:snapToGrid w:val="0"/>
                <w:color w:val="000000" w:themeColor="text1"/>
                <w:kern w:val="0"/>
                <w:sz w:val="21"/>
                <w:szCs w:val="21"/>
                <w:lang w:eastAsia="en-US"/>
              </w:rPr>
              <w:t>≥12m³/min</w:t>
            </w:r>
          </w:p>
        </w:tc>
        <w:tc>
          <w:tcPr>
            <w:tcW w:w="2538" w:type="pct"/>
            <w:tcBorders>
              <w:tl2br w:val="nil"/>
              <w:tr2bl w:val="nil"/>
            </w:tcBorders>
            <w:vAlign w:val="center"/>
          </w:tcPr>
          <w:p w14:paraId="2045647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台</w:t>
            </w:r>
          </w:p>
        </w:tc>
      </w:tr>
      <w:tr w:rsidR="002E0859" w14:paraId="7F74E617" w14:textId="77777777">
        <w:trPr>
          <w:trHeight w:val="23"/>
          <w:jc w:val="center"/>
        </w:trPr>
        <w:tc>
          <w:tcPr>
            <w:tcW w:w="1145" w:type="pct"/>
            <w:tcBorders>
              <w:tl2br w:val="nil"/>
              <w:tr2bl w:val="nil"/>
            </w:tcBorders>
            <w:vAlign w:val="center"/>
          </w:tcPr>
          <w:p w14:paraId="1A265C9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管汇车</w:t>
            </w:r>
          </w:p>
        </w:tc>
        <w:tc>
          <w:tcPr>
            <w:tcW w:w="1316" w:type="pct"/>
            <w:tcBorders>
              <w:tl2br w:val="nil"/>
              <w:tr2bl w:val="nil"/>
            </w:tcBorders>
            <w:vAlign w:val="center"/>
          </w:tcPr>
          <w:p w14:paraId="4CBA1D9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2538" w:type="pct"/>
            <w:tcBorders>
              <w:tl2br w:val="nil"/>
              <w:tr2bl w:val="nil"/>
            </w:tcBorders>
            <w:vAlign w:val="center"/>
          </w:tcPr>
          <w:p w14:paraId="1B0DE77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台</w:t>
            </w:r>
          </w:p>
        </w:tc>
      </w:tr>
      <w:tr w:rsidR="002E0859" w14:paraId="4A6F9111" w14:textId="77777777">
        <w:trPr>
          <w:trHeight w:val="23"/>
          <w:jc w:val="center"/>
        </w:trPr>
        <w:tc>
          <w:tcPr>
            <w:tcW w:w="1145" w:type="pct"/>
            <w:tcBorders>
              <w:tl2br w:val="nil"/>
              <w:tr2bl w:val="nil"/>
            </w:tcBorders>
            <w:vAlign w:val="center"/>
          </w:tcPr>
          <w:p w14:paraId="42ABECD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混配车</w:t>
            </w:r>
          </w:p>
        </w:tc>
        <w:tc>
          <w:tcPr>
            <w:tcW w:w="1316" w:type="pct"/>
            <w:tcBorders>
              <w:tl2br w:val="nil"/>
              <w:tr2bl w:val="nil"/>
            </w:tcBorders>
            <w:vAlign w:val="center"/>
          </w:tcPr>
          <w:p w14:paraId="58AA41A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配液速度</w:t>
            </w:r>
            <w:r>
              <w:rPr>
                <w:snapToGrid w:val="0"/>
                <w:color w:val="000000" w:themeColor="text1"/>
                <w:kern w:val="0"/>
                <w:sz w:val="21"/>
                <w:szCs w:val="21"/>
                <w:lang w:eastAsia="en-US"/>
              </w:rPr>
              <w:t>≥12m³/min</w:t>
            </w:r>
          </w:p>
        </w:tc>
        <w:tc>
          <w:tcPr>
            <w:tcW w:w="2538" w:type="pct"/>
            <w:tcBorders>
              <w:tl2br w:val="nil"/>
              <w:tr2bl w:val="nil"/>
            </w:tcBorders>
            <w:vAlign w:val="center"/>
          </w:tcPr>
          <w:p w14:paraId="16A4C6E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台</w:t>
            </w:r>
          </w:p>
        </w:tc>
      </w:tr>
      <w:tr w:rsidR="002E0859" w14:paraId="779DB35B" w14:textId="77777777">
        <w:trPr>
          <w:trHeight w:val="23"/>
          <w:jc w:val="center"/>
        </w:trPr>
        <w:tc>
          <w:tcPr>
            <w:tcW w:w="1145" w:type="pct"/>
            <w:tcBorders>
              <w:tl2br w:val="nil"/>
              <w:tr2bl w:val="nil"/>
            </w:tcBorders>
            <w:vAlign w:val="center"/>
          </w:tcPr>
          <w:p w14:paraId="351D0A6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供液泵</w:t>
            </w:r>
          </w:p>
        </w:tc>
        <w:tc>
          <w:tcPr>
            <w:tcW w:w="1316" w:type="pct"/>
            <w:tcBorders>
              <w:tl2br w:val="nil"/>
              <w:tr2bl w:val="nil"/>
            </w:tcBorders>
            <w:vAlign w:val="center"/>
          </w:tcPr>
          <w:p w14:paraId="3624C10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供液速度</w:t>
            </w:r>
            <w:r>
              <w:rPr>
                <w:snapToGrid w:val="0"/>
                <w:color w:val="000000" w:themeColor="text1"/>
                <w:kern w:val="0"/>
                <w:sz w:val="21"/>
                <w:szCs w:val="21"/>
                <w:lang w:eastAsia="en-US"/>
              </w:rPr>
              <w:t>≥12m³/min</w:t>
            </w:r>
          </w:p>
        </w:tc>
        <w:tc>
          <w:tcPr>
            <w:tcW w:w="2538" w:type="pct"/>
            <w:tcBorders>
              <w:tl2br w:val="nil"/>
              <w:tr2bl w:val="nil"/>
            </w:tcBorders>
            <w:vAlign w:val="center"/>
          </w:tcPr>
          <w:p w14:paraId="3B0CDD9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台</w:t>
            </w:r>
          </w:p>
        </w:tc>
      </w:tr>
      <w:tr w:rsidR="002E0859" w14:paraId="1C292A73" w14:textId="77777777">
        <w:trPr>
          <w:trHeight w:val="23"/>
          <w:jc w:val="center"/>
        </w:trPr>
        <w:tc>
          <w:tcPr>
            <w:tcW w:w="1145" w:type="pct"/>
            <w:tcBorders>
              <w:tl2br w:val="nil"/>
              <w:tr2bl w:val="nil"/>
            </w:tcBorders>
            <w:vAlign w:val="center"/>
          </w:tcPr>
          <w:p w14:paraId="77F6B18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供酸橇</w:t>
            </w:r>
          </w:p>
        </w:tc>
        <w:tc>
          <w:tcPr>
            <w:tcW w:w="1316" w:type="pct"/>
            <w:tcBorders>
              <w:tl2br w:val="nil"/>
              <w:tr2bl w:val="nil"/>
            </w:tcBorders>
            <w:vAlign w:val="center"/>
          </w:tcPr>
          <w:p w14:paraId="4E05717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供酸速度</w:t>
            </w:r>
            <w:r>
              <w:rPr>
                <w:snapToGrid w:val="0"/>
                <w:color w:val="000000" w:themeColor="text1"/>
                <w:kern w:val="0"/>
                <w:sz w:val="21"/>
                <w:szCs w:val="21"/>
                <w:lang w:eastAsia="en-US"/>
              </w:rPr>
              <w:t>≥4m³/min</w:t>
            </w:r>
          </w:p>
        </w:tc>
        <w:tc>
          <w:tcPr>
            <w:tcW w:w="2538" w:type="pct"/>
            <w:tcBorders>
              <w:tl2br w:val="nil"/>
              <w:tr2bl w:val="nil"/>
            </w:tcBorders>
            <w:vAlign w:val="center"/>
          </w:tcPr>
          <w:p w14:paraId="41DED1F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台</w:t>
            </w:r>
          </w:p>
        </w:tc>
      </w:tr>
      <w:tr w:rsidR="002E0859" w14:paraId="658D9A59" w14:textId="77777777">
        <w:trPr>
          <w:trHeight w:val="23"/>
          <w:jc w:val="center"/>
        </w:trPr>
        <w:tc>
          <w:tcPr>
            <w:tcW w:w="1145" w:type="pct"/>
            <w:tcBorders>
              <w:tl2br w:val="nil"/>
              <w:tr2bl w:val="nil"/>
            </w:tcBorders>
            <w:vAlign w:val="center"/>
          </w:tcPr>
          <w:p w14:paraId="724E491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高压管汇</w:t>
            </w:r>
          </w:p>
        </w:tc>
        <w:tc>
          <w:tcPr>
            <w:tcW w:w="1316" w:type="pct"/>
            <w:tcBorders>
              <w:tl2br w:val="nil"/>
              <w:tr2bl w:val="nil"/>
            </w:tcBorders>
            <w:vAlign w:val="center"/>
          </w:tcPr>
          <w:p w14:paraId="4056732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105MPa</w:t>
            </w:r>
          </w:p>
        </w:tc>
        <w:tc>
          <w:tcPr>
            <w:tcW w:w="2538" w:type="pct"/>
            <w:tcBorders>
              <w:tl2br w:val="nil"/>
              <w:tr2bl w:val="nil"/>
            </w:tcBorders>
            <w:vAlign w:val="center"/>
          </w:tcPr>
          <w:p w14:paraId="4F8CBF2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套</w:t>
            </w:r>
          </w:p>
        </w:tc>
      </w:tr>
      <w:tr w:rsidR="002E0859" w14:paraId="22861449" w14:textId="77777777">
        <w:trPr>
          <w:trHeight w:val="23"/>
          <w:jc w:val="center"/>
        </w:trPr>
        <w:tc>
          <w:tcPr>
            <w:tcW w:w="1145" w:type="pct"/>
            <w:tcBorders>
              <w:tl2br w:val="nil"/>
              <w:tr2bl w:val="nil"/>
            </w:tcBorders>
            <w:vAlign w:val="center"/>
          </w:tcPr>
          <w:p w14:paraId="0467331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多口注入头</w:t>
            </w:r>
          </w:p>
        </w:tc>
        <w:tc>
          <w:tcPr>
            <w:tcW w:w="1316" w:type="pct"/>
            <w:tcBorders>
              <w:tl2br w:val="nil"/>
              <w:tr2bl w:val="nil"/>
            </w:tcBorders>
            <w:vAlign w:val="center"/>
          </w:tcPr>
          <w:p w14:paraId="0620666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105MPa</w:t>
            </w:r>
          </w:p>
        </w:tc>
        <w:tc>
          <w:tcPr>
            <w:tcW w:w="2538" w:type="pct"/>
            <w:tcBorders>
              <w:tl2br w:val="nil"/>
              <w:tr2bl w:val="nil"/>
            </w:tcBorders>
            <w:vAlign w:val="center"/>
          </w:tcPr>
          <w:p w14:paraId="240658B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套</w:t>
            </w:r>
          </w:p>
        </w:tc>
      </w:tr>
      <w:tr w:rsidR="002E0859" w14:paraId="6FC837B5" w14:textId="77777777">
        <w:trPr>
          <w:trHeight w:val="23"/>
          <w:jc w:val="center"/>
        </w:trPr>
        <w:tc>
          <w:tcPr>
            <w:tcW w:w="1145" w:type="pct"/>
            <w:tcBorders>
              <w:tl2br w:val="nil"/>
              <w:tr2bl w:val="nil"/>
            </w:tcBorders>
            <w:vAlign w:val="center"/>
          </w:tcPr>
          <w:p w14:paraId="0CC50A0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交替压裂分配管汇</w:t>
            </w:r>
          </w:p>
        </w:tc>
        <w:tc>
          <w:tcPr>
            <w:tcW w:w="1316" w:type="pct"/>
            <w:tcBorders>
              <w:tl2br w:val="nil"/>
              <w:tr2bl w:val="nil"/>
            </w:tcBorders>
            <w:vAlign w:val="center"/>
          </w:tcPr>
          <w:p w14:paraId="7E1DF89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105MPa</w:t>
            </w:r>
          </w:p>
        </w:tc>
        <w:tc>
          <w:tcPr>
            <w:tcW w:w="2538" w:type="pct"/>
            <w:tcBorders>
              <w:tl2br w:val="nil"/>
              <w:tr2bl w:val="nil"/>
            </w:tcBorders>
            <w:vAlign w:val="center"/>
          </w:tcPr>
          <w:p w14:paraId="5ED6C17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套</w:t>
            </w:r>
          </w:p>
        </w:tc>
      </w:tr>
    </w:tbl>
    <w:p w14:paraId="6F0E2046" w14:textId="77777777" w:rsidR="002E0859" w:rsidRDefault="00000000">
      <w:pPr>
        <w:widowControl/>
        <w:kinsoku w:val="0"/>
        <w:topLinePunct w:val="0"/>
        <w:autoSpaceDE w:val="0"/>
        <w:autoSpaceDN w:val="0"/>
        <w:spacing w:beforeLines="50" w:before="120" w:line="360" w:lineRule="auto"/>
        <w:ind w:firstLineChars="0" w:firstLine="482"/>
        <w:jc w:val="left"/>
        <w:textAlignment w:val="baseline"/>
        <w:rPr>
          <w:snapToGrid w:val="0"/>
          <w:color w:val="000000" w:themeColor="text1"/>
          <w:kern w:val="0"/>
          <w:sz w:val="24"/>
          <w:szCs w:val="24"/>
        </w:rPr>
      </w:pPr>
      <w:r>
        <w:rPr>
          <w:rFonts w:hint="eastAsia"/>
          <w:snapToGrid w:val="0"/>
          <w:color w:val="000000" w:themeColor="text1"/>
          <w:kern w:val="0"/>
          <w:sz w:val="24"/>
          <w:szCs w:val="24"/>
        </w:rPr>
        <w:t>7</w:t>
      </w:r>
      <w:r>
        <w:rPr>
          <w:rFonts w:hint="eastAsia"/>
          <w:snapToGrid w:val="0"/>
          <w:color w:val="000000" w:themeColor="text1"/>
          <w:kern w:val="0"/>
          <w:sz w:val="24"/>
          <w:szCs w:val="24"/>
        </w:rPr>
        <w:t>、压裂工具</w:t>
      </w:r>
    </w:p>
    <w:p w14:paraId="0BF911A6" w14:textId="77777777" w:rsidR="002E0859" w:rsidRDefault="00000000">
      <w:pPr>
        <w:widowControl/>
        <w:kinsoku w:val="0"/>
        <w:topLinePunct w:val="0"/>
        <w:autoSpaceDE w:val="0"/>
        <w:autoSpaceDN w:val="0"/>
        <w:spacing w:line="360" w:lineRule="auto"/>
        <w:ind w:firstLineChars="0" w:firstLine="483"/>
        <w:textAlignment w:val="baseline"/>
        <w:rPr>
          <w:snapToGrid w:val="0"/>
          <w:color w:val="000000" w:themeColor="text1"/>
          <w:kern w:val="0"/>
          <w:sz w:val="24"/>
          <w:szCs w:val="24"/>
          <w:lang w:eastAsia="en-US"/>
        </w:rPr>
      </w:pPr>
      <w:r>
        <w:rPr>
          <w:snapToGrid w:val="0"/>
          <w:color w:val="000000" w:themeColor="text1"/>
          <w:kern w:val="0"/>
          <w:sz w:val="24"/>
          <w:szCs w:val="24"/>
          <w:lang w:eastAsia="en-US"/>
        </w:rPr>
        <w:t>储层垂深</w:t>
      </w:r>
      <w:r>
        <w:rPr>
          <w:snapToGrid w:val="0"/>
          <w:color w:val="000000" w:themeColor="text1"/>
          <w:kern w:val="0"/>
          <w:sz w:val="24"/>
          <w:szCs w:val="24"/>
          <w:lang w:eastAsia="en-US"/>
        </w:rPr>
        <w:t>2193-2526m</w:t>
      </w:r>
      <w:r>
        <w:rPr>
          <w:snapToGrid w:val="0"/>
          <w:color w:val="000000" w:themeColor="text1"/>
          <w:kern w:val="0"/>
          <w:sz w:val="24"/>
          <w:szCs w:val="24"/>
          <w:lang w:eastAsia="en-US"/>
        </w:rPr>
        <w:t>，根据已开发井实际施工压力，设定裂缝延伸压力梯度为</w:t>
      </w:r>
      <w:r>
        <w:rPr>
          <w:snapToGrid w:val="0"/>
          <w:color w:val="000000" w:themeColor="text1"/>
          <w:kern w:val="0"/>
          <w:sz w:val="24"/>
          <w:szCs w:val="24"/>
          <w:lang w:eastAsia="en-US"/>
        </w:rPr>
        <w:t>0.016MPa/m-0.020MPa/m</w:t>
      </w:r>
      <w:r>
        <w:rPr>
          <w:snapToGrid w:val="0"/>
          <w:color w:val="000000" w:themeColor="text1"/>
          <w:kern w:val="0"/>
          <w:sz w:val="24"/>
          <w:szCs w:val="24"/>
          <w:lang w:eastAsia="en-US"/>
        </w:rPr>
        <w:t>、统计涪陵地区开井压力</w:t>
      </w:r>
      <w:r>
        <w:rPr>
          <w:snapToGrid w:val="0"/>
          <w:color w:val="000000" w:themeColor="text1"/>
          <w:kern w:val="0"/>
          <w:sz w:val="24"/>
          <w:szCs w:val="24"/>
          <w:lang w:eastAsia="en-US"/>
        </w:rPr>
        <w:t>25.6MPa</w:t>
      </w:r>
      <w:r>
        <w:rPr>
          <w:snapToGrid w:val="0"/>
          <w:color w:val="000000" w:themeColor="text1"/>
          <w:kern w:val="0"/>
          <w:sz w:val="24"/>
          <w:szCs w:val="24"/>
          <w:lang w:eastAsia="en-US"/>
        </w:rPr>
        <w:t>。根据下列公式推导</w:t>
      </w:r>
      <w:r>
        <w:rPr>
          <w:snapToGrid w:val="0"/>
          <w:color w:val="000000" w:themeColor="text1"/>
          <w:kern w:val="0"/>
          <w:sz w:val="24"/>
          <w:szCs w:val="24"/>
          <w:lang w:eastAsia="en-US"/>
        </w:rPr>
        <w:t>:</w:t>
      </w:r>
    </w:p>
    <w:p w14:paraId="6D26B64A"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rPr>
      </w:pPr>
      <w:r>
        <w:rPr>
          <w:snapToGrid w:val="0"/>
          <w:color w:val="000000" w:themeColor="text1"/>
          <w:kern w:val="0"/>
          <w:sz w:val="24"/>
          <w:szCs w:val="24"/>
          <w:lang w:eastAsia="en-US"/>
        </w:rPr>
        <w:t>P</w:t>
      </w:r>
      <w:r>
        <w:rPr>
          <w:snapToGrid w:val="0"/>
          <w:color w:val="000000" w:themeColor="text1"/>
          <w:kern w:val="0"/>
          <w:sz w:val="24"/>
          <w:szCs w:val="24"/>
          <w:lang w:eastAsia="en-US"/>
        </w:rPr>
        <w:t>井口施工</w:t>
      </w:r>
      <w:r>
        <w:rPr>
          <w:snapToGrid w:val="0"/>
          <w:color w:val="000000" w:themeColor="text1"/>
          <w:kern w:val="0"/>
          <w:sz w:val="24"/>
          <w:szCs w:val="24"/>
          <w:lang w:eastAsia="en-US"/>
        </w:rPr>
        <w:t>=P</w:t>
      </w:r>
      <w:r>
        <w:rPr>
          <w:snapToGrid w:val="0"/>
          <w:color w:val="000000" w:themeColor="text1"/>
          <w:kern w:val="0"/>
          <w:sz w:val="24"/>
          <w:szCs w:val="24"/>
          <w:lang w:eastAsia="en-US"/>
        </w:rPr>
        <w:t>沿程</w:t>
      </w:r>
      <w:r>
        <w:rPr>
          <w:snapToGrid w:val="0"/>
          <w:color w:val="000000" w:themeColor="text1"/>
          <w:kern w:val="0"/>
          <w:sz w:val="24"/>
          <w:szCs w:val="24"/>
          <w:lang w:eastAsia="en-US"/>
        </w:rPr>
        <w:t>+P</w:t>
      </w:r>
      <w:r>
        <w:rPr>
          <w:snapToGrid w:val="0"/>
          <w:color w:val="000000" w:themeColor="text1"/>
          <w:kern w:val="0"/>
          <w:sz w:val="24"/>
          <w:szCs w:val="24"/>
          <w:lang w:eastAsia="en-US"/>
        </w:rPr>
        <w:t>裂缝延伸</w:t>
      </w:r>
      <w:r>
        <w:rPr>
          <w:snapToGrid w:val="0"/>
          <w:color w:val="000000" w:themeColor="text1"/>
          <w:kern w:val="0"/>
          <w:sz w:val="24"/>
          <w:szCs w:val="24"/>
          <w:lang w:eastAsia="en-US"/>
        </w:rPr>
        <w:t>+P</w:t>
      </w:r>
      <w:r>
        <w:rPr>
          <w:snapToGrid w:val="0"/>
          <w:color w:val="000000" w:themeColor="text1"/>
          <w:kern w:val="0"/>
          <w:sz w:val="24"/>
          <w:szCs w:val="24"/>
          <w:lang w:eastAsia="en-US"/>
        </w:rPr>
        <w:t>孔眼摩阻</w:t>
      </w:r>
      <w:r>
        <w:rPr>
          <w:snapToGrid w:val="0"/>
          <w:color w:val="000000" w:themeColor="text1"/>
          <w:kern w:val="0"/>
          <w:sz w:val="24"/>
          <w:szCs w:val="24"/>
          <w:lang w:eastAsia="en-US"/>
        </w:rPr>
        <w:t>-P</w:t>
      </w:r>
      <w:r>
        <w:rPr>
          <w:snapToGrid w:val="0"/>
          <w:color w:val="000000" w:themeColor="text1"/>
          <w:kern w:val="0"/>
          <w:sz w:val="24"/>
          <w:szCs w:val="24"/>
          <w:lang w:eastAsia="en-US"/>
        </w:rPr>
        <w:t>液柱</w:t>
      </w:r>
      <w:r>
        <w:rPr>
          <w:rFonts w:hint="eastAsia"/>
          <w:snapToGrid w:val="0"/>
          <w:color w:val="000000" w:themeColor="text1"/>
          <w:kern w:val="0"/>
          <w:sz w:val="24"/>
          <w:szCs w:val="24"/>
        </w:rPr>
        <w:t>；</w:t>
      </w:r>
    </w:p>
    <w:p w14:paraId="012C1C70"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rPr>
      </w:pPr>
      <w:r>
        <w:rPr>
          <w:snapToGrid w:val="0"/>
          <w:color w:val="000000" w:themeColor="text1"/>
          <w:kern w:val="0"/>
          <w:sz w:val="24"/>
          <w:szCs w:val="24"/>
          <w:lang w:eastAsia="en-US"/>
        </w:rPr>
        <w:t>P</w:t>
      </w:r>
      <w:r>
        <w:rPr>
          <w:snapToGrid w:val="0"/>
          <w:color w:val="000000" w:themeColor="text1"/>
          <w:kern w:val="0"/>
          <w:sz w:val="24"/>
          <w:szCs w:val="24"/>
          <w:lang w:eastAsia="en-US"/>
        </w:rPr>
        <w:t>桥塞</w:t>
      </w:r>
      <w:r>
        <w:rPr>
          <w:snapToGrid w:val="0"/>
          <w:color w:val="000000" w:themeColor="text1"/>
          <w:kern w:val="0"/>
          <w:sz w:val="24"/>
          <w:szCs w:val="24"/>
          <w:lang w:eastAsia="en-US"/>
        </w:rPr>
        <w:t>=P</w:t>
      </w:r>
      <w:r>
        <w:rPr>
          <w:snapToGrid w:val="0"/>
          <w:color w:val="000000" w:themeColor="text1"/>
          <w:kern w:val="0"/>
          <w:sz w:val="24"/>
          <w:szCs w:val="24"/>
          <w:lang w:eastAsia="en-US"/>
        </w:rPr>
        <w:t>井口施工</w:t>
      </w:r>
      <w:r>
        <w:rPr>
          <w:snapToGrid w:val="0"/>
          <w:color w:val="000000" w:themeColor="text1"/>
          <w:kern w:val="0"/>
          <w:sz w:val="24"/>
          <w:szCs w:val="24"/>
          <w:lang w:eastAsia="en-US"/>
        </w:rPr>
        <w:t>+P</w:t>
      </w:r>
      <w:r>
        <w:rPr>
          <w:snapToGrid w:val="0"/>
          <w:color w:val="000000" w:themeColor="text1"/>
          <w:kern w:val="0"/>
          <w:sz w:val="24"/>
          <w:szCs w:val="24"/>
          <w:lang w:eastAsia="en-US"/>
        </w:rPr>
        <w:t>液柱</w:t>
      </w:r>
      <w:r>
        <w:rPr>
          <w:snapToGrid w:val="0"/>
          <w:color w:val="000000" w:themeColor="text1"/>
          <w:kern w:val="0"/>
          <w:sz w:val="24"/>
          <w:szCs w:val="24"/>
          <w:lang w:eastAsia="en-US"/>
        </w:rPr>
        <w:t>-P</w:t>
      </w:r>
      <w:r>
        <w:rPr>
          <w:snapToGrid w:val="0"/>
          <w:color w:val="000000" w:themeColor="text1"/>
          <w:kern w:val="0"/>
          <w:sz w:val="24"/>
          <w:szCs w:val="24"/>
          <w:lang w:eastAsia="en-US"/>
        </w:rPr>
        <w:t>沿程</w:t>
      </w:r>
      <w:r>
        <w:rPr>
          <w:rFonts w:hint="eastAsia"/>
          <w:snapToGrid w:val="0"/>
          <w:color w:val="000000" w:themeColor="text1"/>
          <w:kern w:val="0"/>
          <w:sz w:val="24"/>
          <w:szCs w:val="24"/>
        </w:rPr>
        <w:t>；</w:t>
      </w:r>
    </w:p>
    <w:p w14:paraId="144BA95D"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rPr>
      </w:pPr>
      <w:r>
        <w:rPr>
          <w:snapToGrid w:val="0"/>
          <w:color w:val="000000" w:themeColor="text1"/>
          <w:kern w:val="0"/>
          <w:sz w:val="24"/>
          <w:szCs w:val="24"/>
          <w:lang w:eastAsia="en-US"/>
        </w:rPr>
        <w:t>P</w:t>
      </w:r>
      <w:r>
        <w:rPr>
          <w:snapToGrid w:val="0"/>
          <w:color w:val="000000" w:themeColor="text1"/>
          <w:kern w:val="0"/>
          <w:sz w:val="24"/>
          <w:szCs w:val="24"/>
          <w:lang w:eastAsia="en-US"/>
        </w:rPr>
        <w:t>桥塞上</w:t>
      </w:r>
      <w:r>
        <w:rPr>
          <w:snapToGrid w:val="0"/>
          <w:color w:val="000000" w:themeColor="text1"/>
          <w:kern w:val="0"/>
          <w:sz w:val="24"/>
          <w:szCs w:val="24"/>
          <w:lang w:eastAsia="en-US"/>
        </w:rPr>
        <w:t>=P</w:t>
      </w:r>
      <w:r>
        <w:rPr>
          <w:snapToGrid w:val="0"/>
          <w:color w:val="000000" w:themeColor="text1"/>
          <w:kern w:val="0"/>
          <w:sz w:val="24"/>
          <w:szCs w:val="24"/>
          <w:lang w:eastAsia="en-US"/>
        </w:rPr>
        <w:t>裂缝延伸</w:t>
      </w:r>
      <w:r>
        <w:rPr>
          <w:snapToGrid w:val="0"/>
          <w:color w:val="000000" w:themeColor="text1"/>
          <w:kern w:val="0"/>
          <w:sz w:val="24"/>
          <w:szCs w:val="24"/>
          <w:lang w:eastAsia="en-US"/>
        </w:rPr>
        <w:t>+P</w:t>
      </w:r>
      <w:r>
        <w:rPr>
          <w:snapToGrid w:val="0"/>
          <w:color w:val="000000" w:themeColor="text1"/>
          <w:kern w:val="0"/>
          <w:sz w:val="24"/>
          <w:szCs w:val="24"/>
          <w:lang w:eastAsia="en-US"/>
        </w:rPr>
        <w:t>孔眼摩阻</w:t>
      </w:r>
      <w:r>
        <w:rPr>
          <w:rFonts w:hint="eastAsia"/>
          <w:snapToGrid w:val="0"/>
          <w:color w:val="000000" w:themeColor="text1"/>
          <w:kern w:val="0"/>
          <w:sz w:val="24"/>
          <w:szCs w:val="24"/>
        </w:rPr>
        <w:t>；</w:t>
      </w:r>
    </w:p>
    <w:p w14:paraId="35AD22DD"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rPr>
      </w:pPr>
      <w:r>
        <w:rPr>
          <w:snapToGrid w:val="0"/>
          <w:color w:val="000000" w:themeColor="text1"/>
          <w:kern w:val="0"/>
          <w:sz w:val="24"/>
          <w:szCs w:val="24"/>
          <w:lang w:eastAsia="en-US"/>
        </w:rPr>
        <w:t>P</w:t>
      </w:r>
      <w:r>
        <w:rPr>
          <w:snapToGrid w:val="0"/>
          <w:color w:val="000000" w:themeColor="text1"/>
          <w:kern w:val="0"/>
          <w:sz w:val="24"/>
          <w:szCs w:val="24"/>
          <w:lang w:eastAsia="en-US"/>
        </w:rPr>
        <w:t>桥塞下</w:t>
      </w:r>
      <w:r>
        <w:rPr>
          <w:snapToGrid w:val="0"/>
          <w:color w:val="000000" w:themeColor="text1"/>
          <w:kern w:val="0"/>
          <w:sz w:val="24"/>
          <w:szCs w:val="24"/>
          <w:lang w:eastAsia="en-US"/>
        </w:rPr>
        <w:t>=P</w:t>
      </w:r>
      <w:r>
        <w:rPr>
          <w:snapToGrid w:val="0"/>
          <w:color w:val="000000" w:themeColor="text1"/>
          <w:kern w:val="0"/>
          <w:sz w:val="24"/>
          <w:szCs w:val="24"/>
          <w:lang w:eastAsia="en-US"/>
        </w:rPr>
        <w:t>液柱</w:t>
      </w:r>
      <w:r>
        <w:rPr>
          <w:snapToGrid w:val="0"/>
          <w:color w:val="000000" w:themeColor="text1"/>
          <w:kern w:val="0"/>
          <w:sz w:val="24"/>
          <w:szCs w:val="24"/>
          <w:lang w:eastAsia="en-US"/>
        </w:rPr>
        <w:t>+P</w:t>
      </w:r>
      <w:r>
        <w:rPr>
          <w:snapToGrid w:val="0"/>
          <w:color w:val="000000" w:themeColor="text1"/>
          <w:kern w:val="0"/>
          <w:sz w:val="24"/>
          <w:szCs w:val="24"/>
          <w:lang w:eastAsia="en-US"/>
        </w:rPr>
        <w:t>开井压力</w:t>
      </w:r>
      <w:r>
        <w:rPr>
          <w:rFonts w:hint="eastAsia"/>
          <w:snapToGrid w:val="0"/>
          <w:color w:val="000000" w:themeColor="text1"/>
          <w:kern w:val="0"/>
          <w:sz w:val="24"/>
          <w:szCs w:val="24"/>
        </w:rPr>
        <w:t>；</w:t>
      </w:r>
    </w:p>
    <w:p w14:paraId="4E1F419A"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rPr>
      </w:pPr>
      <w:r>
        <w:rPr>
          <w:snapToGrid w:val="0"/>
          <w:color w:val="000000" w:themeColor="text1"/>
          <w:kern w:val="0"/>
          <w:sz w:val="24"/>
          <w:szCs w:val="24"/>
          <w:lang w:eastAsia="en-US"/>
        </w:rPr>
        <w:t>P</w:t>
      </w:r>
      <w:r>
        <w:rPr>
          <w:snapToGrid w:val="0"/>
          <w:color w:val="000000" w:themeColor="text1"/>
          <w:kern w:val="0"/>
          <w:sz w:val="24"/>
          <w:szCs w:val="24"/>
          <w:lang w:eastAsia="en-US"/>
        </w:rPr>
        <w:t>桥塞工作压差</w:t>
      </w:r>
      <w:r>
        <w:rPr>
          <w:snapToGrid w:val="0"/>
          <w:color w:val="000000" w:themeColor="text1"/>
          <w:kern w:val="0"/>
          <w:sz w:val="24"/>
          <w:szCs w:val="24"/>
          <w:lang w:eastAsia="en-US"/>
        </w:rPr>
        <w:t>=P</w:t>
      </w:r>
      <w:r>
        <w:rPr>
          <w:snapToGrid w:val="0"/>
          <w:color w:val="000000" w:themeColor="text1"/>
          <w:kern w:val="0"/>
          <w:sz w:val="24"/>
          <w:szCs w:val="24"/>
          <w:lang w:eastAsia="en-US"/>
        </w:rPr>
        <w:t>桥塞上</w:t>
      </w:r>
      <w:r>
        <w:rPr>
          <w:snapToGrid w:val="0"/>
          <w:color w:val="000000" w:themeColor="text1"/>
          <w:kern w:val="0"/>
          <w:sz w:val="24"/>
          <w:szCs w:val="24"/>
          <w:lang w:eastAsia="en-US"/>
        </w:rPr>
        <w:t>-P</w:t>
      </w:r>
      <w:r>
        <w:rPr>
          <w:snapToGrid w:val="0"/>
          <w:color w:val="000000" w:themeColor="text1"/>
          <w:kern w:val="0"/>
          <w:sz w:val="24"/>
          <w:szCs w:val="24"/>
          <w:lang w:eastAsia="en-US"/>
        </w:rPr>
        <w:t>桥塞下</w:t>
      </w:r>
      <w:r>
        <w:rPr>
          <w:snapToGrid w:val="0"/>
          <w:color w:val="000000" w:themeColor="text1"/>
          <w:kern w:val="0"/>
          <w:sz w:val="24"/>
          <w:szCs w:val="24"/>
          <w:lang w:eastAsia="en-US"/>
        </w:rPr>
        <w:t>=P</w:t>
      </w:r>
      <w:r>
        <w:rPr>
          <w:snapToGrid w:val="0"/>
          <w:color w:val="000000" w:themeColor="text1"/>
          <w:kern w:val="0"/>
          <w:sz w:val="24"/>
          <w:szCs w:val="24"/>
          <w:lang w:eastAsia="en-US"/>
        </w:rPr>
        <w:t>裂缝延伸</w:t>
      </w:r>
      <w:r>
        <w:rPr>
          <w:snapToGrid w:val="0"/>
          <w:color w:val="000000" w:themeColor="text1"/>
          <w:kern w:val="0"/>
          <w:sz w:val="24"/>
          <w:szCs w:val="24"/>
          <w:lang w:eastAsia="en-US"/>
        </w:rPr>
        <w:t>+P</w:t>
      </w:r>
      <w:r>
        <w:rPr>
          <w:snapToGrid w:val="0"/>
          <w:color w:val="000000" w:themeColor="text1"/>
          <w:kern w:val="0"/>
          <w:sz w:val="24"/>
          <w:szCs w:val="24"/>
          <w:lang w:eastAsia="en-US"/>
        </w:rPr>
        <w:t>孔眼</w:t>
      </w:r>
      <w:r>
        <w:rPr>
          <w:snapToGrid w:val="0"/>
          <w:color w:val="000000" w:themeColor="text1"/>
          <w:kern w:val="0"/>
          <w:sz w:val="24"/>
          <w:szCs w:val="24"/>
          <w:lang w:eastAsia="en-US"/>
        </w:rPr>
        <w:t>-P</w:t>
      </w:r>
      <w:r>
        <w:rPr>
          <w:snapToGrid w:val="0"/>
          <w:color w:val="000000" w:themeColor="text1"/>
          <w:kern w:val="0"/>
          <w:sz w:val="24"/>
          <w:szCs w:val="24"/>
          <w:lang w:eastAsia="en-US"/>
        </w:rPr>
        <w:t>液柱</w:t>
      </w:r>
      <w:r>
        <w:rPr>
          <w:snapToGrid w:val="0"/>
          <w:color w:val="000000" w:themeColor="text1"/>
          <w:kern w:val="0"/>
          <w:sz w:val="24"/>
          <w:szCs w:val="24"/>
          <w:lang w:eastAsia="en-US"/>
        </w:rPr>
        <w:t>-P</w:t>
      </w:r>
      <w:r>
        <w:rPr>
          <w:snapToGrid w:val="0"/>
          <w:color w:val="000000" w:themeColor="text1"/>
          <w:kern w:val="0"/>
          <w:sz w:val="24"/>
          <w:szCs w:val="24"/>
          <w:lang w:eastAsia="en-US"/>
        </w:rPr>
        <w:t>开井压力</w:t>
      </w:r>
      <w:r>
        <w:rPr>
          <w:rFonts w:hint="eastAsia"/>
          <w:snapToGrid w:val="0"/>
          <w:color w:val="000000" w:themeColor="text1"/>
          <w:kern w:val="0"/>
          <w:sz w:val="24"/>
          <w:szCs w:val="24"/>
        </w:rPr>
        <w:t>；</w:t>
      </w:r>
    </w:p>
    <w:p w14:paraId="202493DA"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通过推导公式最终计算不同垂深、排量下桥塞承压，发现气层桥塞在</w:t>
      </w:r>
      <w:r>
        <w:rPr>
          <w:snapToGrid w:val="0"/>
          <w:color w:val="000000" w:themeColor="text1"/>
          <w:kern w:val="0"/>
          <w:sz w:val="24"/>
          <w:szCs w:val="24"/>
          <w:lang w:eastAsia="en-US"/>
        </w:rPr>
        <w:t>3900m</w:t>
      </w:r>
      <w:r>
        <w:rPr>
          <w:snapToGrid w:val="0"/>
          <w:color w:val="000000" w:themeColor="text1"/>
          <w:kern w:val="0"/>
          <w:sz w:val="24"/>
          <w:szCs w:val="24"/>
          <w:lang w:eastAsia="en-US"/>
        </w:rPr>
        <w:t>处最大承压</w:t>
      </w:r>
      <w:r>
        <w:rPr>
          <w:snapToGrid w:val="0"/>
          <w:color w:val="000000" w:themeColor="text1"/>
          <w:kern w:val="0"/>
          <w:sz w:val="24"/>
          <w:szCs w:val="24"/>
          <w:lang w:eastAsia="en-US"/>
        </w:rPr>
        <w:t>32.3MPa</w:t>
      </w:r>
      <w:r>
        <w:rPr>
          <w:snapToGrid w:val="0"/>
          <w:color w:val="000000" w:themeColor="text1"/>
          <w:kern w:val="0"/>
          <w:sz w:val="24"/>
          <w:szCs w:val="24"/>
          <w:lang w:eastAsia="en-US"/>
        </w:rPr>
        <w:t>，现场设备承压</w:t>
      </w:r>
      <w:r>
        <w:rPr>
          <w:snapToGrid w:val="0"/>
          <w:color w:val="000000" w:themeColor="text1"/>
          <w:kern w:val="0"/>
          <w:sz w:val="24"/>
          <w:szCs w:val="24"/>
          <w:lang w:eastAsia="en-US"/>
        </w:rPr>
        <w:t>70MPa</w:t>
      </w:r>
      <w:r>
        <w:rPr>
          <w:snapToGrid w:val="0"/>
          <w:color w:val="000000" w:themeColor="text1"/>
          <w:kern w:val="0"/>
          <w:sz w:val="24"/>
          <w:szCs w:val="24"/>
          <w:lang w:eastAsia="en-US"/>
        </w:rPr>
        <w:t>，符合现场施工需求。</w:t>
      </w:r>
    </w:p>
    <w:p w14:paraId="3648E30B"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采用与套管内径配套的趾端滑套和可溶桥塞，首段射孔采用预置趾端滑套，复杂轨迹可选用连续油管，其余段采用电缆，分段工具以全井可溶桥塞为主。可溶桥塞泵优化助溶工艺，后期配套通井、洗井措施。</w:t>
      </w:r>
    </w:p>
    <w:p w14:paraId="253AF676" w14:textId="0F7072BF" w:rsidR="002E0859" w:rsidRDefault="002E0859">
      <w:pPr>
        <w:widowControl/>
        <w:kinsoku w:val="0"/>
        <w:topLinePunct w:val="0"/>
        <w:autoSpaceDE w:val="0"/>
        <w:autoSpaceDN w:val="0"/>
        <w:spacing w:line="360" w:lineRule="auto"/>
        <w:ind w:firstLineChars="0" w:firstLine="483"/>
        <w:jc w:val="center"/>
        <w:textAlignment w:val="baseline"/>
        <w:rPr>
          <w:snapToGrid w:val="0"/>
          <w:color w:val="000000" w:themeColor="text1"/>
          <w:spacing w:val="-5"/>
          <w:kern w:val="0"/>
          <w:sz w:val="24"/>
          <w:szCs w:val="24"/>
          <w:lang w:eastAsia="en-US"/>
        </w:rPr>
      </w:pPr>
    </w:p>
    <w:p w14:paraId="620DE20F"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hint="eastAsia"/>
          <w:snapToGrid w:val="0"/>
          <w:color w:val="000000" w:themeColor="text1"/>
          <w:spacing w:val="-5"/>
          <w:kern w:val="0"/>
          <w:sz w:val="21"/>
          <w:szCs w:val="21"/>
        </w:rPr>
        <w:t>2.5</w:t>
      </w:r>
      <w:r>
        <w:rPr>
          <w:snapToGrid w:val="0"/>
          <w:color w:val="000000" w:themeColor="text1"/>
          <w:spacing w:val="-5"/>
          <w:kern w:val="0"/>
          <w:sz w:val="21"/>
          <w:szCs w:val="21"/>
          <w:lang w:eastAsia="en-US"/>
        </w:rPr>
        <w:t>-</w:t>
      </w:r>
      <w:r>
        <w:rPr>
          <w:rFonts w:hint="eastAsia"/>
          <w:snapToGrid w:val="0"/>
          <w:color w:val="000000" w:themeColor="text1"/>
          <w:spacing w:val="-5"/>
          <w:kern w:val="0"/>
          <w:sz w:val="21"/>
          <w:szCs w:val="21"/>
        </w:rPr>
        <w:t xml:space="preserve">10 </w:t>
      </w:r>
      <w:r>
        <w:rPr>
          <w:rFonts w:ascii="黑体" w:eastAsia="黑体" w:hAnsi="黑体" w:cs="黑体"/>
          <w:snapToGrid w:val="0"/>
          <w:color w:val="000000" w:themeColor="text1"/>
          <w:spacing w:val="-2"/>
          <w:kern w:val="0"/>
          <w:sz w:val="21"/>
          <w:szCs w:val="21"/>
          <w:lang w:eastAsia="en-US"/>
        </w:rPr>
        <w:t>趾端破裂盘阀滑套</w:t>
      </w:r>
    </w:p>
    <w:p w14:paraId="49A64772"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表</w:t>
      </w:r>
      <w:r>
        <w:rPr>
          <w:rFonts w:hint="eastAsia"/>
          <w:snapToGrid w:val="0"/>
          <w:color w:val="000000" w:themeColor="text1"/>
          <w:spacing w:val="-5"/>
          <w:kern w:val="0"/>
          <w:sz w:val="21"/>
          <w:szCs w:val="21"/>
        </w:rPr>
        <w:t>2.5</w:t>
      </w:r>
      <w:r>
        <w:rPr>
          <w:snapToGrid w:val="0"/>
          <w:color w:val="000000" w:themeColor="text1"/>
          <w:spacing w:val="-5"/>
          <w:kern w:val="0"/>
          <w:sz w:val="21"/>
          <w:szCs w:val="21"/>
          <w:lang w:eastAsia="en-US"/>
        </w:rPr>
        <w:t>-</w:t>
      </w:r>
      <w:r>
        <w:rPr>
          <w:rFonts w:hint="eastAsia"/>
          <w:snapToGrid w:val="0"/>
          <w:color w:val="000000" w:themeColor="text1"/>
          <w:spacing w:val="-5"/>
          <w:kern w:val="0"/>
          <w:sz w:val="21"/>
          <w:szCs w:val="21"/>
        </w:rPr>
        <w:t xml:space="preserve">9 </w:t>
      </w:r>
      <w:r>
        <w:rPr>
          <w:rFonts w:ascii="黑体" w:eastAsia="黑体" w:hAnsi="黑体" w:cs="黑体"/>
          <w:snapToGrid w:val="0"/>
          <w:color w:val="000000" w:themeColor="text1"/>
          <w:spacing w:val="-2"/>
          <w:kern w:val="0"/>
          <w:sz w:val="21"/>
          <w:szCs w:val="21"/>
          <w:lang w:eastAsia="en-US"/>
        </w:rPr>
        <w:t>趾端滑套基本参数</w:t>
      </w:r>
    </w:p>
    <w:tbl>
      <w:tblPr>
        <w:tblStyle w:val="TableNormal"/>
        <w:tblW w:w="9444"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051"/>
        <w:gridCol w:w="1117"/>
        <w:gridCol w:w="1505"/>
        <w:gridCol w:w="1505"/>
        <w:gridCol w:w="1630"/>
        <w:gridCol w:w="1636"/>
      </w:tblGrid>
      <w:tr w:rsidR="002E0859" w14:paraId="4F7D4FF0" w14:textId="77777777">
        <w:trPr>
          <w:trHeight w:val="1086"/>
          <w:jc w:val="center"/>
        </w:trPr>
        <w:tc>
          <w:tcPr>
            <w:tcW w:w="2051" w:type="dxa"/>
            <w:tcBorders>
              <w:tl2br w:val="nil"/>
              <w:tr2bl w:val="nil"/>
            </w:tcBorders>
            <w:vAlign w:val="center"/>
          </w:tcPr>
          <w:p w14:paraId="0B0FAC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趾端压差</w:t>
            </w:r>
          </w:p>
          <w:p w14:paraId="7363B89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滑套长度</w:t>
            </w:r>
          </w:p>
          <w:p w14:paraId="53AC529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(mm)</w:t>
            </w:r>
          </w:p>
        </w:tc>
        <w:tc>
          <w:tcPr>
            <w:tcW w:w="1117" w:type="dxa"/>
            <w:tcBorders>
              <w:tl2br w:val="nil"/>
              <w:tr2bl w:val="nil"/>
            </w:tcBorders>
            <w:vAlign w:val="center"/>
          </w:tcPr>
          <w:p w14:paraId="14E9427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最大外径</w:t>
            </w:r>
          </w:p>
          <w:p w14:paraId="53A6F63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(mm)</w:t>
            </w:r>
          </w:p>
        </w:tc>
        <w:tc>
          <w:tcPr>
            <w:tcW w:w="1505" w:type="dxa"/>
            <w:tcBorders>
              <w:tl2br w:val="nil"/>
              <w:tr2bl w:val="nil"/>
            </w:tcBorders>
            <w:vAlign w:val="center"/>
          </w:tcPr>
          <w:p w14:paraId="47407DE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最大外径长度</w:t>
            </w:r>
          </w:p>
          <w:p w14:paraId="102B3CF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(mm)</w:t>
            </w:r>
          </w:p>
        </w:tc>
        <w:tc>
          <w:tcPr>
            <w:tcW w:w="1505" w:type="dxa"/>
            <w:tcBorders>
              <w:tl2br w:val="nil"/>
              <w:tr2bl w:val="nil"/>
            </w:tcBorders>
            <w:vAlign w:val="center"/>
          </w:tcPr>
          <w:p w14:paraId="65CFC4F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滑套最小外径</w:t>
            </w:r>
          </w:p>
          <w:p w14:paraId="6EC36E9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(mm)</w:t>
            </w:r>
          </w:p>
        </w:tc>
        <w:tc>
          <w:tcPr>
            <w:tcW w:w="1630" w:type="dxa"/>
            <w:tcBorders>
              <w:tl2br w:val="nil"/>
              <w:tr2bl w:val="nil"/>
            </w:tcBorders>
            <w:vAlign w:val="center"/>
          </w:tcPr>
          <w:p w14:paraId="5A76D8F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抗内压</w:t>
            </w:r>
          </w:p>
          <w:p w14:paraId="1C6F7A6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MPa</w:t>
            </w:r>
          </w:p>
        </w:tc>
        <w:tc>
          <w:tcPr>
            <w:tcW w:w="1636" w:type="dxa"/>
            <w:tcBorders>
              <w:tl2br w:val="nil"/>
              <w:tr2bl w:val="nil"/>
            </w:tcBorders>
            <w:vAlign w:val="center"/>
          </w:tcPr>
          <w:p w14:paraId="7BB71A4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抗外挤</w:t>
            </w:r>
          </w:p>
          <w:p w14:paraId="3A79033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MPa</w:t>
            </w:r>
          </w:p>
        </w:tc>
      </w:tr>
      <w:tr w:rsidR="002E0859" w14:paraId="07EE0A12" w14:textId="77777777">
        <w:trPr>
          <w:trHeight w:val="465"/>
          <w:jc w:val="center"/>
        </w:trPr>
        <w:tc>
          <w:tcPr>
            <w:tcW w:w="2051" w:type="dxa"/>
            <w:tcBorders>
              <w:tl2br w:val="nil"/>
              <w:tr2bl w:val="nil"/>
            </w:tcBorders>
            <w:vAlign w:val="center"/>
          </w:tcPr>
          <w:p w14:paraId="157086C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4470</w:t>
            </w:r>
          </w:p>
        </w:tc>
        <w:tc>
          <w:tcPr>
            <w:tcW w:w="4127" w:type="dxa"/>
            <w:gridSpan w:val="3"/>
            <w:tcBorders>
              <w:tl2br w:val="nil"/>
              <w:tr2bl w:val="nil"/>
            </w:tcBorders>
            <w:vAlign w:val="center"/>
          </w:tcPr>
          <w:p w14:paraId="18F02D6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与</w:t>
            </w:r>
            <w:r>
              <w:rPr>
                <w:snapToGrid w:val="0"/>
                <w:color w:val="000000" w:themeColor="text1"/>
                <w:kern w:val="0"/>
                <w:sz w:val="21"/>
                <w:szCs w:val="21"/>
                <w:lang w:eastAsia="en-US"/>
              </w:rPr>
              <w:t>4-1/2in</w:t>
            </w:r>
            <w:r>
              <w:rPr>
                <w:snapToGrid w:val="0"/>
                <w:color w:val="000000" w:themeColor="text1"/>
                <w:kern w:val="0"/>
                <w:sz w:val="21"/>
                <w:szCs w:val="21"/>
                <w:lang w:eastAsia="en-US"/>
              </w:rPr>
              <w:t>套管相匹配</w:t>
            </w:r>
          </w:p>
        </w:tc>
        <w:tc>
          <w:tcPr>
            <w:tcW w:w="1630" w:type="dxa"/>
            <w:tcBorders>
              <w:tl2br w:val="nil"/>
              <w:tr2bl w:val="nil"/>
            </w:tcBorders>
            <w:vAlign w:val="center"/>
          </w:tcPr>
          <w:p w14:paraId="510BAF5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124</w:t>
            </w:r>
          </w:p>
        </w:tc>
        <w:tc>
          <w:tcPr>
            <w:tcW w:w="1636" w:type="dxa"/>
            <w:tcBorders>
              <w:tl2br w:val="nil"/>
              <w:tr2bl w:val="nil"/>
            </w:tcBorders>
            <w:vAlign w:val="center"/>
          </w:tcPr>
          <w:p w14:paraId="4851DF3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144</w:t>
            </w:r>
          </w:p>
        </w:tc>
      </w:tr>
    </w:tbl>
    <w:p w14:paraId="5204FF06" w14:textId="77777777" w:rsidR="002E0859" w:rsidRDefault="00000000">
      <w:pPr>
        <w:topLinePunct w:val="0"/>
        <w:autoSpaceDE w:val="0"/>
        <w:autoSpaceDN w:val="0"/>
        <w:spacing w:beforeLines="50" w:before="120"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首段射孔采用预置趾端滑套，在第一段套管射孔位置处，预置趾端破裂盘阀滑套，</w:t>
      </w:r>
    </w:p>
    <w:p w14:paraId="24B862A5" w14:textId="77777777" w:rsidR="002E0859" w:rsidRDefault="00000000">
      <w:pPr>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依靠绝对压力将破裂盘阀打开。性能见表</w:t>
      </w:r>
      <w:r>
        <w:rPr>
          <w:rFonts w:hint="eastAsia"/>
          <w:snapToGrid w:val="0"/>
          <w:color w:val="000000" w:themeColor="text1"/>
          <w:kern w:val="0"/>
          <w:sz w:val="24"/>
          <w:szCs w:val="24"/>
        </w:rPr>
        <w:t>2.5</w:t>
      </w:r>
      <w:r>
        <w:rPr>
          <w:snapToGrid w:val="0"/>
          <w:color w:val="000000" w:themeColor="text1"/>
          <w:kern w:val="0"/>
          <w:sz w:val="24"/>
          <w:szCs w:val="24"/>
          <w:lang w:eastAsia="en-US"/>
        </w:rPr>
        <w:t>-</w:t>
      </w:r>
      <w:r>
        <w:rPr>
          <w:rFonts w:hint="eastAsia"/>
          <w:snapToGrid w:val="0"/>
          <w:color w:val="000000" w:themeColor="text1"/>
          <w:kern w:val="0"/>
          <w:sz w:val="24"/>
          <w:szCs w:val="24"/>
        </w:rPr>
        <w:t>9</w:t>
      </w:r>
      <w:r>
        <w:rPr>
          <w:snapToGrid w:val="0"/>
          <w:color w:val="000000" w:themeColor="text1"/>
          <w:kern w:val="0"/>
          <w:sz w:val="24"/>
          <w:szCs w:val="24"/>
          <w:lang w:eastAsia="en-US"/>
        </w:rPr>
        <w:t>。</w:t>
      </w:r>
    </w:p>
    <w:p w14:paraId="50AD2922" w14:textId="77777777" w:rsidR="002E0859" w:rsidRDefault="00000000">
      <w:pPr>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施工完成后钻塞管柱也难以下达第一个桥塞处，采用可溶桥塞，同时缩短作业周期，进一步降低作业费用。在返排液中完全可溶，无残渣无残留部分遗留井筒，不会伤害井筒和地面设备溶解后井筒保持全内通径，同时使后续井筒作业更便捷只可溶于返排</w:t>
      </w:r>
      <w:r>
        <w:rPr>
          <w:snapToGrid w:val="0"/>
          <w:color w:val="000000" w:themeColor="text1"/>
          <w:kern w:val="0"/>
          <w:sz w:val="24"/>
          <w:szCs w:val="24"/>
          <w:lang w:eastAsia="en-US"/>
        </w:rPr>
        <w:lastRenderedPageBreak/>
        <w:t>液，在压裂阶段强度和密封性能不会降低，节省桥塞钻磨带来的时间，成本和安全风险。</w:t>
      </w:r>
    </w:p>
    <w:p w14:paraId="1E0FEB59" w14:textId="67EEC973" w:rsidR="002E0859" w:rsidRDefault="002E0859">
      <w:pPr>
        <w:widowControl/>
        <w:kinsoku w:val="0"/>
        <w:topLinePunct w:val="0"/>
        <w:autoSpaceDE w:val="0"/>
        <w:autoSpaceDN w:val="0"/>
        <w:spacing w:line="1910" w:lineRule="exact"/>
        <w:ind w:firstLineChars="0" w:firstLine="2523"/>
        <w:jc w:val="left"/>
        <w:textAlignment w:val="baseline"/>
        <w:rPr>
          <w:snapToGrid w:val="0"/>
          <w:color w:val="000000" w:themeColor="text1"/>
          <w:kern w:val="0"/>
          <w:sz w:val="24"/>
          <w:szCs w:val="21"/>
          <w:lang w:eastAsia="en-US"/>
        </w:rPr>
      </w:pPr>
    </w:p>
    <w:p w14:paraId="63C481AF"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hint="eastAsia"/>
          <w:snapToGrid w:val="0"/>
          <w:color w:val="000000" w:themeColor="text1"/>
          <w:kern w:val="0"/>
          <w:sz w:val="21"/>
          <w:szCs w:val="21"/>
          <w:lang w:eastAsia="en-US"/>
        </w:rPr>
        <w:t>图</w:t>
      </w:r>
      <w:r>
        <w:rPr>
          <w:rFonts w:hint="eastAsia"/>
          <w:snapToGrid w:val="0"/>
          <w:color w:val="000000" w:themeColor="text1"/>
          <w:kern w:val="0"/>
          <w:sz w:val="21"/>
          <w:szCs w:val="21"/>
        </w:rPr>
        <w:t>2.5</w:t>
      </w:r>
      <w:r>
        <w:rPr>
          <w:snapToGrid w:val="0"/>
          <w:color w:val="000000" w:themeColor="text1"/>
          <w:kern w:val="0"/>
          <w:sz w:val="21"/>
          <w:szCs w:val="21"/>
          <w:lang w:eastAsia="en-US"/>
        </w:rPr>
        <w:t>-</w:t>
      </w:r>
      <w:r>
        <w:rPr>
          <w:rFonts w:hint="eastAsia"/>
          <w:snapToGrid w:val="0"/>
          <w:color w:val="000000" w:themeColor="text1"/>
          <w:kern w:val="0"/>
          <w:sz w:val="21"/>
          <w:szCs w:val="21"/>
        </w:rPr>
        <w:t xml:space="preserve">11 </w:t>
      </w:r>
      <w:r>
        <w:rPr>
          <w:rFonts w:ascii="黑体" w:eastAsia="黑体" w:hAnsi="黑体" w:cs="黑体" w:hint="eastAsia"/>
          <w:snapToGrid w:val="0"/>
          <w:color w:val="000000" w:themeColor="text1"/>
          <w:kern w:val="0"/>
          <w:sz w:val="21"/>
          <w:szCs w:val="21"/>
          <w:lang w:eastAsia="en-US"/>
        </w:rPr>
        <w:t>410型全可溶桥塞</w:t>
      </w:r>
    </w:p>
    <w:p w14:paraId="04AFF3F0"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返排工艺</w:t>
      </w:r>
    </w:p>
    <w:p w14:paraId="6D2DFE19" w14:textId="77777777" w:rsidR="002E0859" w:rsidRDefault="00000000">
      <w:pPr>
        <w:widowControl/>
        <w:topLinePunct w:val="0"/>
        <w:autoSpaceDE w:val="0"/>
        <w:autoSpaceDN w:val="0"/>
        <w:spacing w:line="360" w:lineRule="auto"/>
        <w:ind w:firstLineChars="0" w:firstLine="482"/>
        <w:textAlignment w:val="baseline"/>
        <w:rPr>
          <w:snapToGrid w:val="0"/>
          <w:color w:val="000000" w:themeColor="text1"/>
          <w:kern w:val="0"/>
          <w:sz w:val="24"/>
          <w:szCs w:val="24"/>
          <w:lang w:eastAsia="en-US"/>
        </w:rPr>
      </w:pPr>
      <w:r>
        <w:rPr>
          <w:snapToGrid w:val="0"/>
          <w:color w:val="000000" w:themeColor="text1"/>
          <w:kern w:val="0"/>
          <w:sz w:val="24"/>
          <w:szCs w:val="24"/>
          <w:lang w:eastAsia="en-US"/>
        </w:rPr>
        <w:t>排液初期，返排速率以不出砂为原则，在初始</w:t>
      </w:r>
      <w:r>
        <w:rPr>
          <w:snapToGrid w:val="0"/>
          <w:color w:val="000000" w:themeColor="text1"/>
          <w:kern w:val="0"/>
          <w:sz w:val="24"/>
          <w:szCs w:val="24"/>
          <w:lang w:eastAsia="en-US"/>
        </w:rPr>
        <w:t>12h</w:t>
      </w:r>
      <w:r>
        <w:rPr>
          <w:snapToGrid w:val="0"/>
          <w:color w:val="000000" w:themeColor="text1"/>
          <w:kern w:val="0"/>
          <w:sz w:val="24"/>
          <w:szCs w:val="24"/>
          <w:lang w:eastAsia="en-US"/>
        </w:rPr>
        <w:t>内采用油嘴控制返排速率在</w:t>
      </w:r>
      <w:r>
        <w:rPr>
          <w:snapToGrid w:val="0"/>
          <w:color w:val="000000" w:themeColor="text1"/>
          <w:kern w:val="0"/>
          <w:sz w:val="24"/>
          <w:szCs w:val="24"/>
          <w:lang w:eastAsia="en-US"/>
        </w:rPr>
        <w:t>5m³/h~10m³/h</w:t>
      </w:r>
      <w:r>
        <w:rPr>
          <w:snapToGrid w:val="0"/>
          <w:color w:val="000000" w:themeColor="text1"/>
          <w:kern w:val="0"/>
          <w:sz w:val="24"/>
          <w:szCs w:val="24"/>
          <w:lang w:eastAsia="en-US"/>
        </w:rPr>
        <w:t>，其后返排速率控制在</w:t>
      </w:r>
      <w:r>
        <w:rPr>
          <w:snapToGrid w:val="0"/>
          <w:color w:val="000000" w:themeColor="text1"/>
          <w:kern w:val="0"/>
          <w:sz w:val="24"/>
          <w:szCs w:val="24"/>
          <w:lang w:eastAsia="en-US"/>
        </w:rPr>
        <w:t>8m³/h</w:t>
      </w:r>
      <w:r>
        <w:rPr>
          <w:snapToGrid w:val="0"/>
          <w:color w:val="000000" w:themeColor="text1"/>
          <w:kern w:val="0"/>
          <w:sz w:val="24"/>
          <w:szCs w:val="24"/>
          <w:lang w:eastAsia="en-US"/>
        </w:rPr>
        <w:t>～</w:t>
      </w:r>
      <w:r>
        <w:rPr>
          <w:snapToGrid w:val="0"/>
          <w:color w:val="000000" w:themeColor="text1"/>
          <w:kern w:val="0"/>
          <w:sz w:val="24"/>
          <w:szCs w:val="24"/>
          <w:lang w:eastAsia="en-US"/>
        </w:rPr>
        <w:t>25m³/h</w:t>
      </w:r>
      <w:r>
        <w:rPr>
          <w:snapToGrid w:val="0"/>
          <w:color w:val="000000" w:themeColor="text1"/>
          <w:kern w:val="0"/>
          <w:sz w:val="24"/>
          <w:szCs w:val="24"/>
          <w:lang w:eastAsia="en-US"/>
        </w:rPr>
        <w:t>。现场根据情况调整油嘴大小控制放喷。</w:t>
      </w:r>
    </w:p>
    <w:p w14:paraId="187A02F7" w14:textId="77777777" w:rsidR="002E0859" w:rsidRDefault="00000000">
      <w:pPr>
        <w:widowControl/>
        <w:topLinePunct w:val="0"/>
        <w:autoSpaceDE w:val="0"/>
        <w:autoSpaceDN w:val="0"/>
        <w:spacing w:line="360" w:lineRule="auto"/>
        <w:ind w:firstLineChars="0" w:firstLine="482"/>
        <w:textAlignment w:val="baseline"/>
        <w:rPr>
          <w:snapToGrid w:val="0"/>
          <w:color w:val="000000" w:themeColor="text1"/>
          <w:kern w:val="0"/>
          <w:sz w:val="24"/>
          <w:szCs w:val="24"/>
          <w:lang w:eastAsia="en-US"/>
        </w:rPr>
      </w:pPr>
      <w:r>
        <w:rPr>
          <w:snapToGrid w:val="0"/>
          <w:color w:val="000000" w:themeColor="text1"/>
          <w:kern w:val="0"/>
          <w:sz w:val="24"/>
          <w:szCs w:val="24"/>
          <w:lang w:eastAsia="en-US"/>
        </w:rPr>
        <w:t>在放喷见气、有一定喷势后应提高放喷气量使之高于临界携液流量。对井口压力较低的井实施氮气气举放喷排液。通过相关模型公式，合理优化施工参数。</w:t>
      </w:r>
    </w:p>
    <w:p w14:paraId="1BD07734" w14:textId="77777777" w:rsidR="002E0859" w:rsidRDefault="00000000">
      <w:pPr>
        <w:widowControl/>
        <w:topLinePunct w:val="0"/>
        <w:autoSpaceDE w:val="0"/>
        <w:autoSpaceDN w:val="0"/>
        <w:spacing w:line="360" w:lineRule="auto"/>
        <w:ind w:firstLineChars="0" w:firstLine="482"/>
        <w:textAlignment w:val="baseline"/>
        <w:rPr>
          <w:snapToGrid w:val="0"/>
          <w:color w:val="000000" w:themeColor="text1"/>
          <w:kern w:val="0"/>
          <w:sz w:val="24"/>
          <w:szCs w:val="24"/>
          <w:lang w:eastAsia="en-US"/>
        </w:rPr>
      </w:pPr>
      <w:r>
        <w:rPr>
          <w:snapToGrid w:val="0"/>
          <w:color w:val="000000" w:themeColor="text1"/>
          <w:kern w:val="0"/>
          <w:sz w:val="24"/>
          <w:szCs w:val="24"/>
          <w:lang w:eastAsia="en-US"/>
        </w:rPr>
        <w:t>焦石坝单井钻井污水量为</w:t>
      </w:r>
      <w:r>
        <w:rPr>
          <w:snapToGrid w:val="0"/>
          <w:color w:val="000000" w:themeColor="text1"/>
          <w:kern w:val="0"/>
          <w:sz w:val="24"/>
          <w:szCs w:val="24"/>
          <w:lang w:eastAsia="en-US"/>
        </w:rPr>
        <w:t>800m³-1000m³;</w:t>
      </w:r>
      <w:r>
        <w:rPr>
          <w:snapToGrid w:val="0"/>
          <w:color w:val="000000" w:themeColor="text1"/>
          <w:kern w:val="0"/>
          <w:sz w:val="24"/>
          <w:szCs w:val="24"/>
          <w:lang w:eastAsia="en-US"/>
        </w:rPr>
        <w:t>单井返排液</w:t>
      </w:r>
      <w:r>
        <w:rPr>
          <w:snapToGrid w:val="0"/>
          <w:color w:val="000000" w:themeColor="text1"/>
          <w:kern w:val="0"/>
          <w:sz w:val="24"/>
          <w:szCs w:val="24"/>
          <w:lang w:eastAsia="en-US"/>
        </w:rPr>
        <w:t>400m³-1000m³</w:t>
      </w:r>
      <w:r>
        <w:rPr>
          <w:snapToGrid w:val="0"/>
          <w:color w:val="000000" w:themeColor="text1"/>
          <w:kern w:val="0"/>
          <w:sz w:val="24"/>
          <w:szCs w:val="24"/>
          <w:lang w:eastAsia="en-US"/>
        </w:rPr>
        <w:t>。为减轻环保压力，保证顺利开发，开展污水重复利用。</w:t>
      </w:r>
    </w:p>
    <w:p w14:paraId="2779C595" w14:textId="77777777" w:rsidR="002E0859" w:rsidRDefault="00000000">
      <w:pPr>
        <w:widowControl/>
        <w:topLinePunct w:val="0"/>
        <w:autoSpaceDE w:val="0"/>
        <w:autoSpaceDN w:val="0"/>
        <w:spacing w:line="360" w:lineRule="auto"/>
        <w:ind w:firstLineChars="0" w:firstLine="482"/>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1</w:t>
      </w:r>
      <w:r>
        <w:rPr>
          <w:snapToGrid w:val="0"/>
          <w:color w:val="000000" w:themeColor="text1"/>
          <w:kern w:val="0"/>
          <w:sz w:val="24"/>
          <w:szCs w:val="24"/>
          <w:lang w:eastAsia="en-US"/>
        </w:rPr>
        <w:t>）钻井污水处理及重复利用</w:t>
      </w:r>
    </w:p>
    <w:p w14:paraId="059DA7BE" w14:textId="77777777" w:rsidR="002E0859" w:rsidRDefault="00000000">
      <w:pPr>
        <w:widowControl/>
        <w:topLinePunct w:val="0"/>
        <w:autoSpaceDE w:val="0"/>
        <w:autoSpaceDN w:val="0"/>
        <w:spacing w:line="360" w:lineRule="auto"/>
        <w:ind w:firstLineChars="0" w:firstLine="482"/>
        <w:textAlignment w:val="baseline"/>
        <w:rPr>
          <w:snapToGrid w:val="0"/>
          <w:color w:val="000000" w:themeColor="text1"/>
          <w:kern w:val="0"/>
          <w:sz w:val="24"/>
          <w:szCs w:val="24"/>
          <w:lang w:eastAsia="en-US"/>
        </w:rPr>
      </w:pPr>
      <w:r>
        <w:rPr>
          <w:snapToGrid w:val="0"/>
          <w:color w:val="000000" w:themeColor="text1"/>
          <w:kern w:val="0"/>
          <w:sz w:val="24"/>
          <w:szCs w:val="24"/>
          <w:lang w:eastAsia="en-US"/>
        </w:rPr>
        <w:t>钻井污水具有矿化度较高、悬浮物高、细菌含量高等特点，配制的减阻水呈黑色、悬浮物较多、粘度低，性能差，不满足现场需求，因此钻井污水需要处理后才能用于配制减阻水。</w:t>
      </w:r>
    </w:p>
    <w:p w14:paraId="0C38E9DC" w14:textId="77777777" w:rsidR="002E0859" w:rsidRDefault="00000000">
      <w:pPr>
        <w:widowControl/>
        <w:topLinePunct w:val="0"/>
        <w:autoSpaceDE w:val="0"/>
        <w:autoSpaceDN w:val="0"/>
        <w:spacing w:line="360" w:lineRule="auto"/>
        <w:ind w:firstLineChars="0" w:firstLine="482"/>
        <w:textAlignment w:val="baseline"/>
        <w:rPr>
          <w:snapToGrid w:val="0"/>
          <w:color w:val="000000" w:themeColor="text1"/>
          <w:kern w:val="0"/>
          <w:sz w:val="24"/>
          <w:szCs w:val="24"/>
          <w:lang w:eastAsia="en-US"/>
        </w:rPr>
      </w:pPr>
      <w:r>
        <w:rPr>
          <w:rFonts w:ascii="Arial" w:eastAsia="Arial" w:hAnsi="Arial" w:cs="Arial"/>
          <w:noProof/>
          <w:snapToGrid w:val="0"/>
          <w:color w:val="000000" w:themeColor="text1"/>
          <w:kern w:val="0"/>
          <w:position w:val="-40"/>
          <w:sz w:val="21"/>
          <w:szCs w:val="21"/>
          <w:lang w:eastAsia="en-US"/>
        </w:rPr>
        <w:drawing>
          <wp:anchor distT="0" distB="0" distL="0" distR="0" simplePos="0" relativeHeight="251673600" behindDoc="0" locked="0" layoutInCell="1" allowOverlap="1" wp14:anchorId="167B31B0" wp14:editId="0F2DFBB1">
            <wp:simplePos x="0" y="0"/>
            <wp:positionH relativeFrom="column">
              <wp:posOffset>208280</wp:posOffset>
            </wp:positionH>
            <wp:positionV relativeFrom="paragraph">
              <wp:posOffset>1228725</wp:posOffset>
            </wp:positionV>
            <wp:extent cx="5220970" cy="1285240"/>
            <wp:effectExtent l="0" t="0" r="6350" b="10160"/>
            <wp:wrapTopAndBottom/>
            <wp:docPr id="404" name="IM 404"/>
            <wp:cNvGraphicFramePr/>
            <a:graphic xmlns:a="http://schemas.openxmlformats.org/drawingml/2006/main">
              <a:graphicData uri="http://schemas.openxmlformats.org/drawingml/2006/picture">
                <pic:pic xmlns:pic="http://schemas.openxmlformats.org/drawingml/2006/picture">
                  <pic:nvPicPr>
                    <pic:cNvPr id="404" name="IM 404"/>
                    <pic:cNvPicPr/>
                  </pic:nvPicPr>
                  <pic:blipFill>
                    <a:blip r:embed="rId27"/>
                    <a:stretch>
                      <a:fillRect/>
                    </a:stretch>
                  </pic:blipFill>
                  <pic:spPr>
                    <a:xfrm>
                      <a:off x="0" y="0"/>
                      <a:ext cx="5220970" cy="1285240"/>
                    </a:xfrm>
                    <a:prstGeom prst="rect">
                      <a:avLst/>
                    </a:prstGeom>
                  </pic:spPr>
                </pic:pic>
              </a:graphicData>
            </a:graphic>
          </wp:anchor>
        </w:drawing>
      </w:r>
      <w:r>
        <w:rPr>
          <w:snapToGrid w:val="0"/>
          <w:color w:val="000000" w:themeColor="text1"/>
          <w:kern w:val="0"/>
          <w:sz w:val="24"/>
          <w:szCs w:val="24"/>
          <w:lang w:eastAsia="en-US"/>
        </w:rPr>
        <w:t>处理工艺如图</w:t>
      </w:r>
      <w:r>
        <w:rPr>
          <w:rFonts w:hint="eastAsia"/>
          <w:snapToGrid w:val="0"/>
          <w:color w:val="000000" w:themeColor="text1"/>
          <w:kern w:val="0"/>
          <w:sz w:val="24"/>
          <w:szCs w:val="24"/>
        </w:rPr>
        <w:t>2.5</w:t>
      </w:r>
      <w:r>
        <w:rPr>
          <w:snapToGrid w:val="0"/>
          <w:color w:val="000000" w:themeColor="text1"/>
          <w:kern w:val="0"/>
          <w:sz w:val="24"/>
          <w:szCs w:val="24"/>
          <w:lang w:eastAsia="en-US"/>
        </w:rPr>
        <w:t>-</w:t>
      </w:r>
      <w:r>
        <w:rPr>
          <w:rFonts w:hint="eastAsia"/>
          <w:snapToGrid w:val="0"/>
          <w:color w:val="000000" w:themeColor="text1"/>
          <w:kern w:val="0"/>
          <w:sz w:val="24"/>
          <w:szCs w:val="24"/>
        </w:rPr>
        <w:t>12</w:t>
      </w:r>
      <w:r>
        <w:rPr>
          <w:snapToGrid w:val="0"/>
          <w:color w:val="000000" w:themeColor="text1"/>
          <w:kern w:val="0"/>
          <w:sz w:val="24"/>
          <w:szCs w:val="24"/>
          <w:lang w:eastAsia="en-US"/>
        </w:rPr>
        <w:t>所示。其中：</w:t>
      </w:r>
      <w:r>
        <w:rPr>
          <w:snapToGrid w:val="0"/>
          <w:color w:val="000000" w:themeColor="text1"/>
          <w:kern w:val="0"/>
          <w:sz w:val="24"/>
          <w:szCs w:val="24"/>
          <w:lang w:eastAsia="en-US"/>
        </w:rPr>
        <w:t>①</w:t>
      </w:r>
      <w:r>
        <w:rPr>
          <w:snapToGrid w:val="0"/>
          <w:color w:val="000000" w:themeColor="text1"/>
          <w:kern w:val="0"/>
          <w:sz w:val="24"/>
          <w:szCs w:val="24"/>
          <w:lang w:eastAsia="en-US"/>
        </w:rPr>
        <w:t>氧化除菌可以有效去除</w:t>
      </w:r>
      <w:r>
        <w:rPr>
          <w:snapToGrid w:val="0"/>
          <w:color w:val="000000" w:themeColor="text1"/>
          <w:kern w:val="0"/>
          <w:sz w:val="24"/>
          <w:szCs w:val="24"/>
          <w:lang w:eastAsia="en-US"/>
        </w:rPr>
        <w:t>COD</w:t>
      </w:r>
      <w:r>
        <w:rPr>
          <w:snapToGrid w:val="0"/>
          <w:color w:val="000000" w:themeColor="text1"/>
          <w:kern w:val="0"/>
          <w:sz w:val="24"/>
          <w:szCs w:val="24"/>
          <w:lang w:eastAsia="en-US"/>
        </w:rPr>
        <w:t>；减少细菌含量、消除臭味，改变污水外观，同时可以氧化有机质，利于后续的絮凝处理；</w:t>
      </w:r>
      <w:r>
        <w:rPr>
          <w:snapToGrid w:val="0"/>
          <w:color w:val="000000" w:themeColor="text1"/>
          <w:kern w:val="0"/>
          <w:sz w:val="24"/>
          <w:szCs w:val="24"/>
          <w:lang w:eastAsia="en-US"/>
        </w:rPr>
        <w:t>②</w:t>
      </w:r>
      <w:r>
        <w:rPr>
          <w:snapToGrid w:val="0"/>
          <w:color w:val="000000" w:themeColor="text1"/>
          <w:kern w:val="0"/>
          <w:sz w:val="24"/>
          <w:szCs w:val="24"/>
          <w:lang w:eastAsia="en-US"/>
        </w:rPr>
        <w:t>絮凝沉淀使得悬浮物聚集并快速上浮，形成的泥饼不断变致密；</w:t>
      </w:r>
      <w:r>
        <w:rPr>
          <w:snapToGrid w:val="0"/>
          <w:color w:val="000000" w:themeColor="text1"/>
          <w:kern w:val="0"/>
          <w:sz w:val="24"/>
          <w:szCs w:val="24"/>
          <w:lang w:eastAsia="en-US"/>
        </w:rPr>
        <w:t>③</w:t>
      </w:r>
      <w:r>
        <w:rPr>
          <w:snapToGrid w:val="0"/>
          <w:color w:val="000000" w:themeColor="text1"/>
          <w:kern w:val="0"/>
          <w:sz w:val="24"/>
          <w:szCs w:val="24"/>
          <w:lang w:eastAsia="en-US"/>
        </w:rPr>
        <w:t>稳定剂用于降低配液过程中添加剂对减阻水性能的影响，便于高分子溶胀。钻井污水重复利用指标如表</w:t>
      </w:r>
      <w:r>
        <w:rPr>
          <w:rFonts w:hint="eastAsia"/>
          <w:snapToGrid w:val="0"/>
          <w:color w:val="000000" w:themeColor="text1"/>
          <w:kern w:val="0"/>
          <w:sz w:val="24"/>
          <w:szCs w:val="24"/>
        </w:rPr>
        <w:t>2.5-10</w:t>
      </w:r>
      <w:r>
        <w:rPr>
          <w:snapToGrid w:val="0"/>
          <w:color w:val="000000" w:themeColor="text1"/>
          <w:kern w:val="0"/>
          <w:sz w:val="24"/>
          <w:szCs w:val="24"/>
          <w:lang w:eastAsia="en-US"/>
        </w:rPr>
        <w:t>所示。</w:t>
      </w:r>
    </w:p>
    <w:p w14:paraId="7E705B7C" w14:textId="77777777" w:rsidR="002E0859" w:rsidRDefault="00000000">
      <w:pPr>
        <w:widowControl/>
        <w:kinsoku w:val="0"/>
        <w:topLinePunct w:val="0"/>
        <w:autoSpaceDE w:val="0"/>
        <w:autoSpaceDN w:val="0"/>
        <w:spacing w:beforeLines="50" w:before="120" w:line="240" w:lineRule="auto"/>
        <w:ind w:firstLine="412"/>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spacing w:val="-2"/>
          <w:kern w:val="0"/>
          <w:sz w:val="21"/>
          <w:szCs w:val="21"/>
        </w:rPr>
        <w:t>2.5-12</w:t>
      </w:r>
      <w:r>
        <w:rPr>
          <w:rFonts w:eastAsia="黑体" w:hint="eastAsia"/>
          <w:snapToGrid w:val="0"/>
          <w:color w:val="000000" w:themeColor="text1"/>
          <w:spacing w:val="-2"/>
          <w:kern w:val="0"/>
          <w:sz w:val="21"/>
          <w:szCs w:val="21"/>
        </w:rPr>
        <w:t xml:space="preserve"> </w:t>
      </w:r>
      <w:r>
        <w:rPr>
          <w:rFonts w:ascii="黑体" w:eastAsia="黑体" w:hAnsi="黑体" w:cs="黑体"/>
          <w:snapToGrid w:val="0"/>
          <w:color w:val="000000" w:themeColor="text1"/>
          <w:spacing w:val="-2"/>
          <w:kern w:val="0"/>
          <w:sz w:val="21"/>
          <w:szCs w:val="21"/>
          <w:lang w:eastAsia="en-US"/>
        </w:rPr>
        <w:t>钻井污水处理流程</w:t>
      </w:r>
    </w:p>
    <w:p w14:paraId="37729796" w14:textId="77777777" w:rsidR="002E0859" w:rsidRDefault="002E0859">
      <w:pPr>
        <w:kinsoku w:val="0"/>
        <w:autoSpaceDE w:val="0"/>
        <w:autoSpaceDN w:val="0"/>
        <w:spacing w:before="152" w:line="221" w:lineRule="auto"/>
        <w:ind w:left="2846" w:firstLineChars="0" w:firstLine="0"/>
        <w:jc w:val="left"/>
        <w:textAlignment w:val="baseline"/>
        <w:rPr>
          <w:rFonts w:ascii="黑体" w:eastAsia="黑体" w:hAnsi="黑体" w:cs="黑体"/>
          <w:snapToGrid w:val="0"/>
          <w:color w:val="000000" w:themeColor="text1"/>
          <w:spacing w:val="-1"/>
          <w:kern w:val="0"/>
          <w:sz w:val="21"/>
          <w:szCs w:val="21"/>
          <w:lang w:eastAsia="en-US"/>
        </w:rPr>
      </w:pPr>
    </w:p>
    <w:p w14:paraId="422E32EE" w14:textId="77777777" w:rsidR="002E0859" w:rsidRDefault="00000000">
      <w:pPr>
        <w:kinsoku w:val="0"/>
        <w:autoSpaceDE w:val="0"/>
        <w:autoSpaceDN w:val="0"/>
        <w:spacing w:before="152" w:line="221" w:lineRule="auto"/>
        <w:ind w:left="2846" w:firstLineChars="0" w:firstLine="0"/>
        <w:jc w:val="left"/>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1"/>
          <w:kern w:val="0"/>
          <w:sz w:val="21"/>
          <w:szCs w:val="21"/>
          <w:lang w:eastAsia="en-US"/>
        </w:rPr>
        <w:lastRenderedPageBreak/>
        <w:t>表</w:t>
      </w:r>
      <w:r>
        <w:rPr>
          <w:rFonts w:eastAsia="黑体" w:hint="eastAsia"/>
          <w:snapToGrid w:val="0"/>
          <w:color w:val="000000" w:themeColor="text1"/>
          <w:spacing w:val="-2"/>
          <w:kern w:val="0"/>
          <w:sz w:val="21"/>
          <w:szCs w:val="21"/>
        </w:rPr>
        <w:t xml:space="preserve">2.5-10 </w:t>
      </w:r>
      <w:r>
        <w:rPr>
          <w:rFonts w:ascii="黑体" w:eastAsia="黑体" w:hAnsi="黑体" w:cs="黑体"/>
          <w:snapToGrid w:val="0"/>
          <w:color w:val="000000" w:themeColor="text1"/>
          <w:spacing w:val="-1"/>
          <w:kern w:val="0"/>
          <w:sz w:val="21"/>
          <w:szCs w:val="21"/>
          <w:lang w:eastAsia="en-US"/>
        </w:rPr>
        <w:t>钻井污水重复利用水质指标</w:t>
      </w:r>
    </w:p>
    <w:p w14:paraId="01649B59" w14:textId="77777777" w:rsidR="002E0859" w:rsidRDefault="002E0859">
      <w:pPr>
        <w:widowControl/>
        <w:kinsoku w:val="0"/>
        <w:topLinePunct w:val="0"/>
        <w:autoSpaceDE w:val="0"/>
        <w:autoSpaceDN w:val="0"/>
        <w:spacing w:line="138"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499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521"/>
        <w:gridCol w:w="3987"/>
        <w:gridCol w:w="3644"/>
      </w:tblGrid>
      <w:tr w:rsidR="002E0859" w14:paraId="628BFA64" w14:textId="77777777">
        <w:trPr>
          <w:trHeight w:val="290"/>
        </w:trPr>
        <w:tc>
          <w:tcPr>
            <w:tcW w:w="831" w:type="pct"/>
            <w:tcBorders>
              <w:tl2br w:val="nil"/>
              <w:tr2bl w:val="nil"/>
            </w:tcBorders>
          </w:tcPr>
          <w:p w14:paraId="0BA8525E" w14:textId="77777777" w:rsidR="002E0859" w:rsidRDefault="00000000">
            <w:pPr>
              <w:kinsoku w:val="0"/>
              <w:autoSpaceDE w:val="0"/>
              <w:autoSpaceDN w:val="0"/>
              <w:spacing w:before="38" w:line="212" w:lineRule="auto"/>
              <w:ind w:left="566" w:firstLineChars="0" w:firstLine="0"/>
              <w:jc w:val="left"/>
              <w:textAlignment w:val="baseline"/>
              <w:rPr>
                <w:b/>
                <w:bCs/>
                <w:snapToGrid w:val="0"/>
                <w:color w:val="000000" w:themeColor="text1"/>
                <w:kern w:val="0"/>
                <w:sz w:val="21"/>
                <w:szCs w:val="21"/>
                <w:lang w:eastAsia="en-US"/>
              </w:rPr>
            </w:pPr>
            <w:r>
              <w:rPr>
                <w:b/>
                <w:bCs/>
                <w:snapToGrid w:val="0"/>
                <w:color w:val="000000" w:themeColor="text1"/>
                <w:kern w:val="0"/>
                <w:sz w:val="21"/>
                <w:szCs w:val="21"/>
                <w:lang w:eastAsia="en-US"/>
              </w:rPr>
              <w:t>序号</w:t>
            </w:r>
          </w:p>
        </w:tc>
        <w:tc>
          <w:tcPr>
            <w:tcW w:w="2177" w:type="pct"/>
            <w:tcBorders>
              <w:tl2br w:val="nil"/>
              <w:tr2bl w:val="nil"/>
            </w:tcBorders>
          </w:tcPr>
          <w:p w14:paraId="536C99FE" w14:textId="77777777" w:rsidR="002E0859" w:rsidRDefault="00000000">
            <w:pPr>
              <w:kinsoku w:val="0"/>
              <w:autoSpaceDE w:val="0"/>
              <w:autoSpaceDN w:val="0"/>
              <w:spacing w:before="38" w:line="212" w:lineRule="auto"/>
              <w:ind w:left="1822" w:firstLineChars="0" w:firstLine="0"/>
              <w:jc w:val="left"/>
              <w:textAlignment w:val="baseline"/>
              <w:rPr>
                <w:b/>
                <w:bCs/>
                <w:snapToGrid w:val="0"/>
                <w:color w:val="000000" w:themeColor="text1"/>
                <w:kern w:val="0"/>
                <w:sz w:val="21"/>
                <w:szCs w:val="21"/>
                <w:lang w:eastAsia="en-US"/>
              </w:rPr>
            </w:pPr>
            <w:r>
              <w:rPr>
                <w:b/>
                <w:bCs/>
                <w:snapToGrid w:val="0"/>
                <w:color w:val="000000" w:themeColor="text1"/>
                <w:kern w:val="0"/>
                <w:sz w:val="21"/>
                <w:szCs w:val="21"/>
                <w:lang w:eastAsia="en-US"/>
              </w:rPr>
              <w:t>项目</w:t>
            </w:r>
          </w:p>
        </w:tc>
        <w:tc>
          <w:tcPr>
            <w:tcW w:w="1990" w:type="pct"/>
            <w:tcBorders>
              <w:tl2br w:val="nil"/>
              <w:tr2bl w:val="nil"/>
            </w:tcBorders>
          </w:tcPr>
          <w:p w14:paraId="085C934F" w14:textId="77777777" w:rsidR="002E0859" w:rsidRDefault="00000000">
            <w:pPr>
              <w:kinsoku w:val="0"/>
              <w:autoSpaceDE w:val="0"/>
              <w:autoSpaceDN w:val="0"/>
              <w:spacing w:before="38" w:line="212" w:lineRule="auto"/>
              <w:ind w:left="803" w:firstLineChars="0" w:firstLine="0"/>
              <w:jc w:val="left"/>
              <w:textAlignment w:val="baseline"/>
              <w:rPr>
                <w:b/>
                <w:bCs/>
                <w:snapToGrid w:val="0"/>
                <w:color w:val="000000" w:themeColor="text1"/>
                <w:kern w:val="0"/>
                <w:sz w:val="21"/>
                <w:szCs w:val="21"/>
                <w:lang w:eastAsia="en-US"/>
              </w:rPr>
            </w:pPr>
            <w:r>
              <w:rPr>
                <w:b/>
                <w:bCs/>
                <w:snapToGrid w:val="0"/>
                <w:color w:val="000000" w:themeColor="text1"/>
                <w:kern w:val="0"/>
                <w:sz w:val="21"/>
                <w:szCs w:val="21"/>
                <w:lang w:eastAsia="en-US"/>
              </w:rPr>
              <w:t>钻井污水重复利用指标</w:t>
            </w:r>
          </w:p>
        </w:tc>
      </w:tr>
      <w:tr w:rsidR="002E0859" w14:paraId="0604C9D4" w14:textId="77777777">
        <w:trPr>
          <w:trHeight w:val="292"/>
        </w:trPr>
        <w:tc>
          <w:tcPr>
            <w:tcW w:w="831" w:type="pct"/>
            <w:tcBorders>
              <w:tl2br w:val="nil"/>
              <w:tr2bl w:val="nil"/>
            </w:tcBorders>
          </w:tcPr>
          <w:p w14:paraId="2F11AD1D" w14:textId="77777777" w:rsidR="002E0859" w:rsidRDefault="00000000">
            <w:pPr>
              <w:kinsoku w:val="0"/>
              <w:autoSpaceDE w:val="0"/>
              <w:autoSpaceDN w:val="0"/>
              <w:spacing w:before="73" w:line="183" w:lineRule="auto"/>
              <w:ind w:left="74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177" w:type="pct"/>
            <w:tcBorders>
              <w:tl2br w:val="nil"/>
              <w:tr2bl w:val="nil"/>
            </w:tcBorders>
          </w:tcPr>
          <w:p w14:paraId="542B02C2" w14:textId="77777777" w:rsidR="002E0859" w:rsidRDefault="00000000">
            <w:pPr>
              <w:kinsoku w:val="0"/>
              <w:autoSpaceDE w:val="0"/>
              <w:autoSpaceDN w:val="0"/>
              <w:spacing w:before="39" w:line="213" w:lineRule="auto"/>
              <w:ind w:left="181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颜色</w:t>
            </w:r>
          </w:p>
        </w:tc>
        <w:tc>
          <w:tcPr>
            <w:tcW w:w="1990" w:type="pct"/>
            <w:tcBorders>
              <w:tl2br w:val="nil"/>
              <w:tr2bl w:val="nil"/>
            </w:tcBorders>
          </w:tcPr>
          <w:p w14:paraId="1115A26C" w14:textId="77777777" w:rsidR="002E0859" w:rsidRDefault="00000000">
            <w:pPr>
              <w:kinsoku w:val="0"/>
              <w:autoSpaceDE w:val="0"/>
              <w:autoSpaceDN w:val="0"/>
              <w:spacing w:before="39" w:line="213" w:lineRule="auto"/>
              <w:ind w:left="122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无色或浅黄色</w:t>
            </w:r>
          </w:p>
        </w:tc>
      </w:tr>
      <w:tr w:rsidR="002E0859" w14:paraId="7BD2DE52" w14:textId="77777777">
        <w:trPr>
          <w:trHeight w:val="292"/>
        </w:trPr>
        <w:tc>
          <w:tcPr>
            <w:tcW w:w="831" w:type="pct"/>
            <w:tcBorders>
              <w:tl2br w:val="nil"/>
              <w:tr2bl w:val="nil"/>
            </w:tcBorders>
          </w:tcPr>
          <w:p w14:paraId="00BF6D29" w14:textId="77777777" w:rsidR="002E0859" w:rsidRDefault="00000000">
            <w:pPr>
              <w:kinsoku w:val="0"/>
              <w:autoSpaceDE w:val="0"/>
              <w:autoSpaceDN w:val="0"/>
              <w:spacing w:before="74" w:line="182" w:lineRule="auto"/>
              <w:ind w:left="728"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177" w:type="pct"/>
            <w:tcBorders>
              <w:tl2br w:val="nil"/>
              <w:tr2bl w:val="nil"/>
            </w:tcBorders>
          </w:tcPr>
          <w:p w14:paraId="4ACB78A3" w14:textId="77777777" w:rsidR="002E0859" w:rsidRDefault="00000000">
            <w:pPr>
              <w:kinsoku w:val="0"/>
              <w:autoSpaceDE w:val="0"/>
              <w:autoSpaceDN w:val="0"/>
              <w:spacing w:before="75" w:line="181" w:lineRule="auto"/>
              <w:ind w:left="191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pH</w:t>
            </w:r>
          </w:p>
        </w:tc>
        <w:tc>
          <w:tcPr>
            <w:tcW w:w="1990" w:type="pct"/>
            <w:tcBorders>
              <w:tl2br w:val="nil"/>
              <w:tr2bl w:val="nil"/>
            </w:tcBorders>
          </w:tcPr>
          <w:p w14:paraId="7ADFEEA3" w14:textId="77777777" w:rsidR="002E0859" w:rsidRDefault="00000000">
            <w:pPr>
              <w:kinsoku w:val="0"/>
              <w:autoSpaceDE w:val="0"/>
              <w:autoSpaceDN w:val="0"/>
              <w:spacing w:before="74" w:line="182" w:lineRule="auto"/>
              <w:ind w:left="149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5.6-8.5</w:t>
            </w:r>
          </w:p>
        </w:tc>
      </w:tr>
      <w:tr w:rsidR="002E0859" w14:paraId="6AB98B0D" w14:textId="77777777">
        <w:trPr>
          <w:trHeight w:val="290"/>
        </w:trPr>
        <w:tc>
          <w:tcPr>
            <w:tcW w:w="831" w:type="pct"/>
            <w:tcBorders>
              <w:tl2br w:val="nil"/>
              <w:tr2bl w:val="nil"/>
            </w:tcBorders>
          </w:tcPr>
          <w:p w14:paraId="63A7DA69" w14:textId="77777777" w:rsidR="002E0859" w:rsidRDefault="00000000">
            <w:pPr>
              <w:kinsoku w:val="0"/>
              <w:autoSpaceDE w:val="0"/>
              <w:autoSpaceDN w:val="0"/>
              <w:spacing w:before="72" w:line="182" w:lineRule="auto"/>
              <w:ind w:left="72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2177" w:type="pct"/>
            <w:tcBorders>
              <w:tl2br w:val="nil"/>
              <w:tr2bl w:val="nil"/>
            </w:tcBorders>
          </w:tcPr>
          <w:p w14:paraId="3972DA44" w14:textId="77777777" w:rsidR="002E0859" w:rsidRDefault="00000000">
            <w:pPr>
              <w:kinsoku w:val="0"/>
              <w:autoSpaceDE w:val="0"/>
              <w:autoSpaceDN w:val="0"/>
              <w:spacing w:before="32" w:line="218" w:lineRule="auto"/>
              <w:ind w:left="131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Ca</w:t>
            </w:r>
            <w:r>
              <w:rPr>
                <w:snapToGrid w:val="0"/>
                <w:color w:val="000000" w:themeColor="text1"/>
                <w:kern w:val="0"/>
                <w:sz w:val="11"/>
                <w:szCs w:val="11"/>
                <w:lang w:eastAsia="en-US"/>
              </w:rPr>
              <w:t>2</w:t>
            </w:r>
            <w:r>
              <w:rPr>
                <w:snapToGrid w:val="0"/>
                <w:color w:val="000000" w:themeColor="text1"/>
                <w:kern w:val="0"/>
                <w:sz w:val="21"/>
                <w:szCs w:val="21"/>
                <w:lang w:eastAsia="en-US"/>
              </w:rPr>
              <w:t>++Mg</w:t>
            </w:r>
            <w:r>
              <w:rPr>
                <w:snapToGrid w:val="0"/>
                <w:color w:val="000000" w:themeColor="text1"/>
                <w:kern w:val="0"/>
                <w:sz w:val="11"/>
                <w:szCs w:val="11"/>
                <w:lang w:eastAsia="en-US"/>
              </w:rPr>
              <w:t>2+</w:t>
            </w:r>
            <w:r>
              <w:rPr>
                <w:snapToGrid w:val="0"/>
                <w:color w:val="000000" w:themeColor="text1"/>
                <w:kern w:val="0"/>
                <w:sz w:val="21"/>
                <w:szCs w:val="21"/>
                <w:lang w:eastAsia="en-US"/>
              </w:rPr>
              <w:t>，</w:t>
            </w:r>
            <w:r>
              <w:rPr>
                <w:snapToGrid w:val="0"/>
                <w:color w:val="000000" w:themeColor="text1"/>
                <w:kern w:val="0"/>
                <w:sz w:val="21"/>
                <w:szCs w:val="21"/>
                <w:lang w:eastAsia="en-US"/>
              </w:rPr>
              <w:t>mg/L</w:t>
            </w:r>
          </w:p>
        </w:tc>
        <w:tc>
          <w:tcPr>
            <w:tcW w:w="1990" w:type="pct"/>
            <w:tcBorders>
              <w:tl2br w:val="nil"/>
              <w:tr2bl w:val="nil"/>
            </w:tcBorders>
          </w:tcPr>
          <w:p w14:paraId="062C40AB" w14:textId="77777777" w:rsidR="002E0859" w:rsidRDefault="00000000">
            <w:pPr>
              <w:kinsoku w:val="0"/>
              <w:autoSpaceDE w:val="0"/>
              <w:autoSpaceDN w:val="0"/>
              <w:spacing w:before="37" w:line="213" w:lineRule="auto"/>
              <w:ind w:left="160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≤400</w:t>
            </w:r>
          </w:p>
        </w:tc>
      </w:tr>
      <w:tr w:rsidR="002E0859" w14:paraId="103B556B" w14:textId="77777777">
        <w:trPr>
          <w:trHeight w:val="287"/>
        </w:trPr>
        <w:tc>
          <w:tcPr>
            <w:tcW w:w="831" w:type="pct"/>
            <w:tcBorders>
              <w:tl2br w:val="nil"/>
              <w:tr2bl w:val="nil"/>
            </w:tcBorders>
          </w:tcPr>
          <w:p w14:paraId="6B1874FF" w14:textId="77777777" w:rsidR="002E0859" w:rsidRDefault="00000000">
            <w:pPr>
              <w:kinsoku w:val="0"/>
              <w:autoSpaceDE w:val="0"/>
              <w:autoSpaceDN w:val="0"/>
              <w:spacing w:before="71" w:line="181" w:lineRule="auto"/>
              <w:ind w:left="724"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2177" w:type="pct"/>
            <w:tcBorders>
              <w:tl2br w:val="nil"/>
              <w:tr2bl w:val="nil"/>
            </w:tcBorders>
          </w:tcPr>
          <w:p w14:paraId="244D3D78" w14:textId="77777777" w:rsidR="002E0859" w:rsidRDefault="00000000">
            <w:pPr>
              <w:kinsoku w:val="0"/>
              <w:autoSpaceDE w:val="0"/>
              <w:autoSpaceDN w:val="0"/>
              <w:spacing w:before="35" w:line="212" w:lineRule="auto"/>
              <w:ind w:left="113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悬浮固体含量</w:t>
            </w:r>
            <w:r>
              <w:rPr>
                <w:snapToGrid w:val="0"/>
                <w:color w:val="000000" w:themeColor="text1"/>
                <w:kern w:val="0"/>
                <w:sz w:val="21"/>
                <w:szCs w:val="21"/>
                <w:lang w:eastAsia="en-US"/>
              </w:rPr>
              <w:t>,mg/L</w:t>
            </w:r>
          </w:p>
        </w:tc>
        <w:tc>
          <w:tcPr>
            <w:tcW w:w="1990" w:type="pct"/>
            <w:tcBorders>
              <w:tl2br w:val="nil"/>
              <w:tr2bl w:val="nil"/>
            </w:tcBorders>
          </w:tcPr>
          <w:p w14:paraId="423BEE8C" w14:textId="77777777" w:rsidR="002E0859" w:rsidRDefault="00000000">
            <w:pPr>
              <w:kinsoku w:val="0"/>
              <w:autoSpaceDE w:val="0"/>
              <w:autoSpaceDN w:val="0"/>
              <w:spacing w:before="35" w:line="212" w:lineRule="auto"/>
              <w:ind w:left="1658"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p>
        </w:tc>
      </w:tr>
      <w:tr w:rsidR="002E0859" w14:paraId="67829D99" w14:textId="77777777">
        <w:trPr>
          <w:trHeight w:val="289"/>
        </w:trPr>
        <w:tc>
          <w:tcPr>
            <w:tcW w:w="831" w:type="pct"/>
            <w:tcBorders>
              <w:tl2br w:val="nil"/>
              <w:tr2bl w:val="nil"/>
            </w:tcBorders>
          </w:tcPr>
          <w:p w14:paraId="4F489434" w14:textId="77777777" w:rsidR="002E0859" w:rsidRDefault="00000000">
            <w:pPr>
              <w:kinsoku w:val="0"/>
              <w:autoSpaceDE w:val="0"/>
              <w:autoSpaceDN w:val="0"/>
              <w:spacing w:before="75" w:line="179" w:lineRule="auto"/>
              <w:ind w:left="72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w:t>
            </w:r>
          </w:p>
        </w:tc>
        <w:tc>
          <w:tcPr>
            <w:tcW w:w="2177" w:type="pct"/>
            <w:tcBorders>
              <w:tl2br w:val="nil"/>
              <w:tr2bl w:val="nil"/>
            </w:tcBorders>
          </w:tcPr>
          <w:p w14:paraId="2E6A80C8" w14:textId="77777777" w:rsidR="002E0859" w:rsidRDefault="00000000">
            <w:pPr>
              <w:kinsoku w:val="0"/>
              <w:autoSpaceDE w:val="0"/>
              <w:autoSpaceDN w:val="0"/>
              <w:spacing w:before="38" w:line="211" w:lineRule="auto"/>
              <w:ind w:left="139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SRB</w:t>
            </w:r>
            <w:r>
              <w:rPr>
                <w:snapToGrid w:val="0"/>
                <w:color w:val="000000" w:themeColor="text1"/>
                <w:kern w:val="0"/>
                <w:sz w:val="21"/>
                <w:szCs w:val="21"/>
                <w:lang w:eastAsia="en-US"/>
              </w:rPr>
              <w:t>，个</w:t>
            </w:r>
            <w:r>
              <w:rPr>
                <w:snapToGrid w:val="0"/>
                <w:color w:val="000000" w:themeColor="text1"/>
                <w:kern w:val="0"/>
                <w:sz w:val="21"/>
                <w:szCs w:val="21"/>
                <w:lang w:eastAsia="en-US"/>
              </w:rPr>
              <w:t>/</w:t>
            </w:r>
            <w:r>
              <w:rPr>
                <w:snapToGrid w:val="0"/>
                <w:color w:val="000000" w:themeColor="text1"/>
                <w:kern w:val="0"/>
                <w:sz w:val="21"/>
                <w:szCs w:val="21"/>
                <w:lang w:eastAsia="en-US"/>
              </w:rPr>
              <w:t>毫升</w:t>
            </w:r>
          </w:p>
        </w:tc>
        <w:tc>
          <w:tcPr>
            <w:tcW w:w="1990" w:type="pct"/>
            <w:tcBorders>
              <w:tl2br w:val="nil"/>
              <w:tr2bl w:val="nil"/>
            </w:tcBorders>
          </w:tcPr>
          <w:p w14:paraId="46DB5617" w14:textId="77777777" w:rsidR="002E0859" w:rsidRDefault="00000000">
            <w:pPr>
              <w:kinsoku w:val="0"/>
              <w:autoSpaceDE w:val="0"/>
              <w:autoSpaceDN w:val="0"/>
              <w:spacing w:before="74" w:line="180" w:lineRule="auto"/>
              <w:ind w:left="180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w:t>
            </w:r>
          </w:p>
        </w:tc>
      </w:tr>
      <w:tr w:rsidR="002E0859" w14:paraId="6B7B2416" w14:textId="77777777">
        <w:trPr>
          <w:trHeight w:val="287"/>
        </w:trPr>
        <w:tc>
          <w:tcPr>
            <w:tcW w:w="831" w:type="pct"/>
            <w:tcBorders>
              <w:tl2br w:val="nil"/>
              <w:tr2bl w:val="nil"/>
            </w:tcBorders>
          </w:tcPr>
          <w:p w14:paraId="18E4F058" w14:textId="77777777" w:rsidR="002E0859" w:rsidRDefault="00000000">
            <w:pPr>
              <w:kinsoku w:val="0"/>
              <w:autoSpaceDE w:val="0"/>
              <w:autoSpaceDN w:val="0"/>
              <w:spacing w:before="73" w:line="179" w:lineRule="auto"/>
              <w:ind w:left="72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6</w:t>
            </w:r>
          </w:p>
        </w:tc>
        <w:tc>
          <w:tcPr>
            <w:tcW w:w="2177" w:type="pct"/>
            <w:tcBorders>
              <w:tl2br w:val="nil"/>
              <w:tr2bl w:val="nil"/>
            </w:tcBorders>
          </w:tcPr>
          <w:p w14:paraId="21E519D1" w14:textId="77777777" w:rsidR="002E0859" w:rsidRDefault="00000000">
            <w:pPr>
              <w:kinsoku w:val="0"/>
              <w:autoSpaceDE w:val="0"/>
              <w:autoSpaceDN w:val="0"/>
              <w:spacing w:before="38" w:line="210" w:lineRule="auto"/>
              <w:ind w:left="134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TGB</w:t>
            </w:r>
            <w:r>
              <w:rPr>
                <w:snapToGrid w:val="0"/>
                <w:color w:val="000000" w:themeColor="text1"/>
                <w:kern w:val="0"/>
                <w:sz w:val="21"/>
                <w:szCs w:val="21"/>
                <w:lang w:eastAsia="en-US"/>
              </w:rPr>
              <w:t>，个</w:t>
            </w:r>
            <w:r>
              <w:rPr>
                <w:snapToGrid w:val="0"/>
                <w:color w:val="000000" w:themeColor="text1"/>
                <w:kern w:val="0"/>
                <w:sz w:val="21"/>
                <w:szCs w:val="21"/>
                <w:lang w:eastAsia="en-US"/>
              </w:rPr>
              <w:t>/</w:t>
            </w:r>
            <w:r>
              <w:rPr>
                <w:snapToGrid w:val="0"/>
                <w:color w:val="000000" w:themeColor="text1"/>
                <w:kern w:val="0"/>
                <w:sz w:val="21"/>
                <w:szCs w:val="21"/>
                <w:lang w:eastAsia="en-US"/>
              </w:rPr>
              <w:t>毫升</w:t>
            </w:r>
          </w:p>
        </w:tc>
        <w:tc>
          <w:tcPr>
            <w:tcW w:w="1990" w:type="pct"/>
            <w:tcBorders>
              <w:tl2br w:val="nil"/>
              <w:tr2bl w:val="nil"/>
            </w:tcBorders>
          </w:tcPr>
          <w:p w14:paraId="6D1C2317" w14:textId="77777777" w:rsidR="002E0859" w:rsidRDefault="00000000">
            <w:pPr>
              <w:kinsoku w:val="0"/>
              <w:autoSpaceDE w:val="0"/>
              <w:autoSpaceDN w:val="0"/>
              <w:spacing w:before="38" w:line="210" w:lineRule="auto"/>
              <w:ind w:left="160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≤25</w:t>
            </w:r>
          </w:p>
        </w:tc>
      </w:tr>
      <w:tr w:rsidR="002E0859" w14:paraId="5FFE45AD" w14:textId="77777777">
        <w:trPr>
          <w:trHeight w:val="289"/>
        </w:trPr>
        <w:tc>
          <w:tcPr>
            <w:tcW w:w="831" w:type="pct"/>
            <w:tcBorders>
              <w:tl2br w:val="nil"/>
              <w:tr2bl w:val="nil"/>
            </w:tcBorders>
          </w:tcPr>
          <w:p w14:paraId="6E244E36" w14:textId="77777777" w:rsidR="002E0859" w:rsidRDefault="00000000">
            <w:pPr>
              <w:kinsoku w:val="0"/>
              <w:autoSpaceDE w:val="0"/>
              <w:autoSpaceDN w:val="0"/>
              <w:spacing w:before="77" w:line="177" w:lineRule="auto"/>
              <w:ind w:left="730"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7</w:t>
            </w:r>
          </w:p>
        </w:tc>
        <w:tc>
          <w:tcPr>
            <w:tcW w:w="2177" w:type="pct"/>
            <w:tcBorders>
              <w:tl2br w:val="nil"/>
              <w:tr2bl w:val="nil"/>
            </w:tcBorders>
          </w:tcPr>
          <w:p w14:paraId="01D94EF4" w14:textId="77777777" w:rsidR="002E0859" w:rsidRDefault="00000000">
            <w:pPr>
              <w:kinsoku w:val="0"/>
              <w:autoSpaceDE w:val="0"/>
              <w:autoSpaceDN w:val="0"/>
              <w:spacing w:before="41" w:line="209" w:lineRule="auto"/>
              <w:ind w:left="139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FB</w:t>
            </w:r>
            <w:r>
              <w:rPr>
                <w:snapToGrid w:val="0"/>
                <w:color w:val="000000" w:themeColor="text1"/>
                <w:kern w:val="0"/>
                <w:sz w:val="21"/>
                <w:szCs w:val="21"/>
                <w:lang w:eastAsia="en-US"/>
              </w:rPr>
              <w:t>，个</w:t>
            </w:r>
            <w:r>
              <w:rPr>
                <w:snapToGrid w:val="0"/>
                <w:color w:val="000000" w:themeColor="text1"/>
                <w:kern w:val="0"/>
                <w:sz w:val="21"/>
                <w:szCs w:val="21"/>
                <w:lang w:eastAsia="en-US"/>
              </w:rPr>
              <w:t>/</w:t>
            </w:r>
            <w:r>
              <w:rPr>
                <w:snapToGrid w:val="0"/>
                <w:color w:val="000000" w:themeColor="text1"/>
                <w:kern w:val="0"/>
                <w:sz w:val="21"/>
                <w:szCs w:val="21"/>
                <w:lang w:eastAsia="en-US"/>
              </w:rPr>
              <w:t>毫升</w:t>
            </w:r>
          </w:p>
        </w:tc>
        <w:tc>
          <w:tcPr>
            <w:tcW w:w="1990" w:type="pct"/>
            <w:tcBorders>
              <w:tl2br w:val="nil"/>
              <w:tr2bl w:val="nil"/>
            </w:tcBorders>
          </w:tcPr>
          <w:p w14:paraId="08B69852" w14:textId="77777777" w:rsidR="002E0859" w:rsidRDefault="00000000">
            <w:pPr>
              <w:kinsoku w:val="0"/>
              <w:autoSpaceDE w:val="0"/>
              <w:autoSpaceDN w:val="0"/>
              <w:spacing w:before="41" w:line="209" w:lineRule="auto"/>
              <w:ind w:left="160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≤25</w:t>
            </w:r>
          </w:p>
        </w:tc>
      </w:tr>
      <w:tr w:rsidR="002E0859" w14:paraId="1724A18B" w14:textId="77777777">
        <w:trPr>
          <w:trHeight w:val="292"/>
        </w:trPr>
        <w:tc>
          <w:tcPr>
            <w:tcW w:w="831" w:type="pct"/>
            <w:tcBorders>
              <w:tl2br w:val="nil"/>
              <w:tr2bl w:val="nil"/>
            </w:tcBorders>
          </w:tcPr>
          <w:p w14:paraId="38C3DE0C" w14:textId="77777777" w:rsidR="002E0859" w:rsidRDefault="00000000">
            <w:pPr>
              <w:kinsoku w:val="0"/>
              <w:autoSpaceDE w:val="0"/>
              <w:autoSpaceDN w:val="0"/>
              <w:spacing w:before="74" w:line="182" w:lineRule="auto"/>
              <w:ind w:left="72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p>
        </w:tc>
        <w:tc>
          <w:tcPr>
            <w:tcW w:w="2177" w:type="pct"/>
            <w:tcBorders>
              <w:tl2br w:val="nil"/>
              <w:tr2bl w:val="nil"/>
            </w:tcBorders>
          </w:tcPr>
          <w:p w14:paraId="4D2A459B" w14:textId="77777777" w:rsidR="002E0859" w:rsidRDefault="00000000">
            <w:pPr>
              <w:kinsoku w:val="0"/>
              <w:autoSpaceDE w:val="0"/>
              <w:autoSpaceDN w:val="0"/>
              <w:spacing w:before="39" w:line="213" w:lineRule="auto"/>
              <w:ind w:left="1398"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含油量，</w:t>
            </w:r>
            <w:r>
              <w:rPr>
                <w:snapToGrid w:val="0"/>
                <w:color w:val="000000" w:themeColor="text1"/>
                <w:kern w:val="0"/>
                <w:sz w:val="21"/>
                <w:szCs w:val="21"/>
                <w:lang w:eastAsia="en-US"/>
              </w:rPr>
              <w:t>mg/L</w:t>
            </w:r>
          </w:p>
        </w:tc>
        <w:tc>
          <w:tcPr>
            <w:tcW w:w="1990" w:type="pct"/>
            <w:tcBorders>
              <w:tl2br w:val="nil"/>
              <w:tr2bl w:val="nil"/>
            </w:tcBorders>
          </w:tcPr>
          <w:p w14:paraId="69BD1D94" w14:textId="77777777" w:rsidR="002E0859" w:rsidRDefault="00000000">
            <w:pPr>
              <w:kinsoku w:val="0"/>
              <w:autoSpaceDE w:val="0"/>
              <w:autoSpaceDN w:val="0"/>
              <w:spacing w:before="74" w:line="182" w:lineRule="auto"/>
              <w:ind w:left="180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w:t>
            </w:r>
          </w:p>
        </w:tc>
      </w:tr>
    </w:tbl>
    <w:p w14:paraId="7355FEC0" w14:textId="4EB3263B" w:rsidR="002E0859" w:rsidRDefault="00000000">
      <w:pPr>
        <w:widowControl/>
        <w:topLinePunct w:val="0"/>
        <w:autoSpaceDE w:val="0"/>
        <w:autoSpaceDN w:val="0"/>
        <w:spacing w:beforeLines="50" w:before="120" w:line="360" w:lineRule="auto"/>
        <w:ind w:firstLineChars="0" w:firstLine="482"/>
        <w:textAlignment w:val="baseline"/>
        <w:rPr>
          <w:snapToGrid w:val="0"/>
          <w:color w:val="000000" w:themeColor="text1"/>
          <w:kern w:val="0"/>
          <w:sz w:val="24"/>
          <w:szCs w:val="24"/>
          <w:lang w:eastAsia="en-US"/>
        </w:rPr>
      </w:pPr>
      <w:r>
        <w:rPr>
          <w:snapToGrid w:val="0"/>
          <w:color w:val="000000" w:themeColor="text1"/>
          <w:kern w:val="0"/>
          <w:sz w:val="24"/>
          <w:szCs w:val="24"/>
          <w:lang w:eastAsia="en-US"/>
        </w:rPr>
        <w:t>现场处理方案如图</w:t>
      </w:r>
      <w:r>
        <w:rPr>
          <w:rFonts w:hint="eastAsia"/>
          <w:snapToGrid w:val="0"/>
          <w:color w:val="000000" w:themeColor="text1"/>
          <w:kern w:val="0"/>
          <w:sz w:val="24"/>
          <w:szCs w:val="24"/>
        </w:rPr>
        <w:t>2.5-13</w:t>
      </w:r>
      <w:r>
        <w:rPr>
          <w:snapToGrid w:val="0"/>
          <w:color w:val="000000" w:themeColor="text1"/>
          <w:kern w:val="0"/>
          <w:sz w:val="24"/>
          <w:szCs w:val="24"/>
          <w:lang w:eastAsia="en-US"/>
        </w:rPr>
        <w:t>所示，如果钻井池皆满，采用潜水泵、缓冲罐进行内循环；如果钻井池</w:t>
      </w:r>
      <w:r>
        <w:rPr>
          <w:snapToGrid w:val="0"/>
          <w:color w:val="000000" w:themeColor="text1"/>
          <w:kern w:val="0"/>
          <w:sz w:val="24"/>
          <w:szCs w:val="24"/>
          <w:lang w:eastAsia="en-US"/>
        </w:rPr>
        <w:t>1</w:t>
      </w:r>
      <w:r>
        <w:rPr>
          <w:snapToGrid w:val="0"/>
          <w:color w:val="000000" w:themeColor="text1"/>
          <w:kern w:val="0"/>
          <w:sz w:val="24"/>
          <w:szCs w:val="24"/>
          <w:lang w:eastAsia="en-US"/>
        </w:rPr>
        <w:t>满</w:t>
      </w:r>
      <w:r>
        <w:rPr>
          <w:snapToGrid w:val="0"/>
          <w:color w:val="000000" w:themeColor="text1"/>
          <w:kern w:val="0"/>
          <w:sz w:val="24"/>
          <w:szCs w:val="24"/>
          <w:lang w:eastAsia="en-US"/>
        </w:rPr>
        <w:t>1</w:t>
      </w:r>
      <w:r>
        <w:rPr>
          <w:snapToGrid w:val="0"/>
          <w:color w:val="000000" w:themeColor="text1"/>
          <w:kern w:val="0"/>
          <w:sz w:val="24"/>
          <w:szCs w:val="24"/>
          <w:lang w:eastAsia="en-US"/>
        </w:rPr>
        <w:t>空，则采用潜水泵、缓冲罐进行外循环。</w:t>
      </w:r>
    </w:p>
    <w:p w14:paraId="451B00DD" w14:textId="77777777" w:rsidR="002E0859" w:rsidRDefault="002E0859">
      <w:pPr>
        <w:widowControl/>
        <w:topLinePunct w:val="0"/>
        <w:autoSpaceDE w:val="0"/>
        <w:autoSpaceDN w:val="0"/>
        <w:spacing w:beforeLines="50" w:before="120" w:line="360" w:lineRule="auto"/>
        <w:ind w:firstLineChars="0" w:firstLine="482"/>
        <w:textAlignment w:val="baseline"/>
        <w:rPr>
          <w:snapToGrid w:val="0"/>
          <w:color w:val="000000" w:themeColor="text1"/>
          <w:kern w:val="0"/>
          <w:sz w:val="24"/>
          <w:szCs w:val="24"/>
          <w:lang w:eastAsia="en-US"/>
        </w:rPr>
      </w:pPr>
    </w:p>
    <w:p w14:paraId="37FCF487" w14:textId="77777777" w:rsidR="002E0859" w:rsidRDefault="002E0859">
      <w:pPr>
        <w:widowControl/>
        <w:topLinePunct w:val="0"/>
        <w:autoSpaceDE w:val="0"/>
        <w:autoSpaceDN w:val="0"/>
        <w:spacing w:beforeLines="50" w:before="120" w:line="360" w:lineRule="auto"/>
        <w:ind w:firstLineChars="0" w:firstLine="482"/>
        <w:textAlignment w:val="baseline"/>
        <w:rPr>
          <w:snapToGrid w:val="0"/>
          <w:color w:val="000000" w:themeColor="text1"/>
          <w:kern w:val="0"/>
          <w:sz w:val="24"/>
          <w:szCs w:val="24"/>
          <w:lang w:eastAsia="en-US"/>
        </w:rPr>
      </w:pPr>
    </w:p>
    <w:p w14:paraId="7E3DBB80" w14:textId="77777777" w:rsidR="002E0859" w:rsidRDefault="002E0859">
      <w:pPr>
        <w:widowControl/>
        <w:kinsoku w:val="0"/>
        <w:topLinePunct w:val="0"/>
        <w:autoSpaceDE w:val="0"/>
        <w:autoSpaceDN w:val="0"/>
        <w:spacing w:line="360" w:lineRule="auto"/>
        <w:ind w:firstLineChars="0" w:firstLine="0"/>
        <w:jc w:val="left"/>
        <w:textAlignment w:val="baseline"/>
        <w:rPr>
          <w:rFonts w:ascii="黑体" w:eastAsia="黑体" w:hAnsi="黑体" w:cs="黑体"/>
          <w:snapToGrid w:val="0"/>
          <w:color w:val="000000" w:themeColor="text1"/>
          <w:spacing w:val="-2"/>
          <w:kern w:val="0"/>
          <w:position w:val="12"/>
          <w:sz w:val="21"/>
          <w:szCs w:val="21"/>
          <w:lang w:eastAsia="en-US"/>
        </w:rPr>
      </w:pPr>
    </w:p>
    <w:p w14:paraId="214F2340" w14:textId="77777777" w:rsidR="002E0859" w:rsidRDefault="002E0859">
      <w:pPr>
        <w:widowControl/>
        <w:kinsoku w:val="0"/>
        <w:topLinePunct w:val="0"/>
        <w:autoSpaceDE w:val="0"/>
        <w:autoSpaceDN w:val="0"/>
        <w:spacing w:line="360" w:lineRule="auto"/>
        <w:ind w:firstLineChars="0" w:firstLine="0"/>
        <w:jc w:val="left"/>
        <w:textAlignment w:val="baseline"/>
        <w:rPr>
          <w:rFonts w:ascii="黑体" w:eastAsia="黑体" w:hAnsi="黑体" w:cs="黑体"/>
          <w:snapToGrid w:val="0"/>
          <w:color w:val="000000" w:themeColor="text1"/>
          <w:spacing w:val="-2"/>
          <w:kern w:val="0"/>
          <w:position w:val="12"/>
          <w:sz w:val="21"/>
          <w:szCs w:val="21"/>
          <w:lang w:eastAsia="en-US"/>
        </w:rPr>
      </w:pPr>
    </w:p>
    <w:p w14:paraId="74080A90" w14:textId="77777777" w:rsidR="002E0859" w:rsidRDefault="002E0859">
      <w:pPr>
        <w:widowControl/>
        <w:kinsoku w:val="0"/>
        <w:topLinePunct w:val="0"/>
        <w:autoSpaceDE w:val="0"/>
        <w:autoSpaceDN w:val="0"/>
        <w:spacing w:line="360" w:lineRule="auto"/>
        <w:ind w:firstLineChars="0" w:firstLine="0"/>
        <w:jc w:val="left"/>
        <w:textAlignment w:val="baseline"/>
        <w:rPr>
          <w:rFonts w:ascii="黑体" w:eastAsia="黑体" w:hAnsi="黑体" w:cs="黑体"/>
          <w:snapToGrid w:val="0"/>
          <w:color w:val="000000" w:themeColor="text1"/>
          <w:spacing w:val="-2"/>
          <w:kern w:val="0"/>
          <w:position w:val="12"/>
          <w:sz w:val="21"/>
          <w:szCs w:val="21"/>
          <w:lang w:eastAsia="en-US"/>
        </w:rPr>
      </w:pPr>
    </w:p>
    <w:p w14:paraId="738A3EFB"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2"/>
          <w:kern w:val="0"/>
          <w:position w:val="12"/>
          <w:sz w:val="21"/>
          <w:szCs w:val="21"/>
          <w:lang w:eastAsia="en-US"/>
        </w:rPr>
        <w:t>图</w:t>
      </w:r>
      <w:r>
        <w:rPr>
          <w:rFonts w:eastAsia="黑体"/>
          <w:snapToGrid w:val="0"/>
          <w:color w:val="000000" w:themeColor="text1"/>
          <w:spacing w:val="-2"/>
          <w:kern w:val="0"/>
          <w:position w:val="12"/>
          <w:sz w:val="21"/>
          <w:szCs w:val="21"/>
        </w:rPr>
        <w:t>2.5-13</w:t>
      </w:r>
      <w:r>
        <w:rPr>
          <w:rFonts w:eastAsia="黑体" w:hint="eastAsia"/>
          <w:snapToGrid w:val="0"/>
          <w:color w:val="000000" w:themeColor="text1"/>
          <w:spacing w:val="-2"/>
          <w:kern w:val="0"/>
          <w:position w:val="12"/>
          <w:sz w:val="21"/>
          <w:szCs w:val="21"/>
        </w:rPr>
        <w:t xml:space="preserve"> </w:t>
      </w:r>
      <w:r>
        <w:rPr>
          <w:rFonts w:ascii="黑体" w:eastAsia="黑体" w:hAnsi="黑体" w:cs="黑体"/>
          <w:snapToGrid w:val="0"/>
          <w:color w:val="000000" w:themeColor="text1"/>
          <w:spacing w:val="-2"/>
          <w:kern w:val="0"/>
          <w:position w:val="12"/>
          <w:sz w:val="21"/>
          <w:szCs w:val="21"/>
          <w:lang w:eastAsia="en-US"/>
        </w:rPr>
        <w:t>钻井污水现场处理方案</w:t>
      </w:r>
    </w:p>
    <w:p w14:paraId="199F0904"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spacing w:val="-5"/>
          <w:kern w:val="0"/>
          <w:sz w:val="24"/>
          <w:szCs w:val="24"/>
          <w:lang w:eastAsia="en-US"/>
        </w:rPr>
      </w:pPr>
      <w:r>
        <w:rPr>
          <w:snapToGrid w:val="0"/>
          <w:color w:val="000000" w:themeColor="text1"/>
          <w:spacing w:val="-5"/>
          <w:kern w:val="0"/>
          <w:sz w:val="24"/>
          <w:szCs w:val="24"/>
          <w:lang w:eastAsia="en-US"/>
        </w:rPr>
        <w:t>（</w:t>
      </w:r>
      <w:r>
        <w:rPr>
          <w:snapToGrid w:val="0"/>
          <w:color w:val="000000" w:themeColor="text1"/>
          <w:spacing w:val="-5"/>
          <w:kern w:val="0"/>
          <w:sz w:val="24"/>
          <w:szCs w:val="24"/>
          <w:lang w:eastAsia="en-US"/>
        </w:rPr>
        <w:t>2</w:t>
      </w:r>
      <w:r>
        <w:rPr>
          <w:snapToGrid w:val="0"/>
          <w:color w:val="000000" w:themeColor="text1"/>
          <w:spacing w:val="-5"/>
          <w:kern w:val="0"/>
          <w:sz w:val="24"/>
          <w:szCs w:val="24"/>
          <w:lang w:eastAsia="en-US"/>
        </w:rPr>
        <w:t>）</w:t>
      </w:r>
      <w:r>
        <w:rPr>
          <w:snapToGrid w:val="0"/>
          <w:color w:val="000000" w:themeColor="text1"/>
          <w:kern w:val="0"/>
          <w:sz w:val="24"/>
          <w:szCs w:val="24"/>
          <w:lang w:eastAsia="en-US"/>
        </w:rPr>
        <w:t>返排液处理及重复利用</w:t>
      </w:r>
    </w:p>
    <w:p w14:paraId="05298C3D"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spacing w:val="-5"/>
          <w:kern w:val="0"/>
          <w:sz w:val="24"/>
          <w:szCs w:val="24"/>
          <w:lang w:eastAsia="en-US"/>
        </w:rPr>
      </w:pPr>
      <w:r>
        <w:rPr>
          <w:snapToGrid w:val="0"/>
          <w:color w:val="000000" w:themeColor="text1"/>
          <w:kern w:val="0"/>
          <w:sz w:val="24"/>
          <w:szCs w:val="24"/>
          <w:lang w:eastAsia="en-US"/>
        </w:rPr>
        <w:t>压裂施工返排液中悬浮物、细菌含量较高。具有一定的表界面张力、粘度和防膨性能。处理流程如图</w:t>
      </w:r>
      <w:r>
        <w:rPr>
          <w:rFonts w:hint="eastAsia"/>
          <w:snapToGrid w:val="0"/>
          <w:color w:val="000000" w:themeColor="text1"/>
          <w:kern w:val="0"/>
          <w:sz w:val="24"/>
          <w:szCs w:val="24"/>
          <w:lang w:eastAsia="en-US"/>
        </w:rPr>
        <w:t>2.5-14</w:t>
      </w:r>
      <w:r>
        <w:rPr>
          <w:snapToGrid w:val="0"/>
          <w:color w:val="000000" w:themeColor="text1"/>
          <w:kern w:val="0"/>
          <w:sz w:val="24"/>
          <w:szCs w:val="24"/>
          <w:lang w:eastAsia="en-US"/>
        </w:rPr>
        <w:t>所示。其中助凝剂选择</w:t>
      </w:r>
      <w:r>
        <w:rPr>
          <w:snapToGrid w:val="0"/>
          <w:color w:val="000000" w:themeColor="text1"/>
          <w:kern w:val="0"/>
          <w:sz w:val="24"/>
          <w:szCs w:val="24"/>
          <w:lang w:eastAsia="en-US"/>
        </w:rPr>
        <w:t>3-10PPM</w:t>
      </w:r>
      <w:r>
        <w:rPr>
          <w:snapToGrid w:val="0"/>
          <w:color w:val="000000" w:themeColor="text1"/>
          <w:kern w:val="0"/>
          <w:sz w:val="24"/>
          <w:szCs w:val="24"/>
          <w:lang w:eastAsia="en-US"/>
        </w:rPr>
        <w:t>的</w:t>
      </w:r>
      <w:r>
        <w:rPr>
          <w:snapToGrid w:val="0"/>
          <w:color w:val="000000" w:themeColor="text1"/>
          <w:kern w:val="0"/>
          <w:sz w:val="24"/>
          <w:szCs w:val="24"/>
          <w:lang w:eastAsia="en-US"/>
        </w:rPr>
        <w:t>CPAM</w:t>
      </w:r>
      <w:r>
        <w:rPr>
          <w:snapToGrid w:val="0"/>
          <w:color w:val="000000" w:themeColor="text1"/>
          <w:kern w:val="0"/>
          <w:sz w:val="24"/>
          <w:szCs w:val="24"/>
          <w:lang w:eastAsia="en-US"/>
        </w:rPr>
        <w:t>；杀菌剂选择</w:t>
      </w:r>
      <w:r>
        <w:rPr>
          <w:snapToGrid w:val="0"/>
          <w:color w:val="000000" w:themeColor="text1"/>
          <w:kern w:val="0"/>
          <w:sz w:val="24"/>
          <w:szCs w:val="24"/>
          <w:lang w:eastAsia="en-US"/>
        </w:rPr>
        <w:t>SJ-02</w:t>
      </w:r>
      <w:r>
        <w:rPr>
          <w:snapToGrid w:val="0"/>
          <w:color w:val="000000" w:themeColor="text1"/>
          <w:kern w:val="0"/>
          <w:sz w:val="24"/>
          <w:szCs w:val="24"/>
          <w:lang w:eastAsia="en-US"/>
        </w:rPr>
        <w:t>，</w:t>
      </w:r>
      <w:r>
        <w:rPr>
          <w:snapToGrid w:val="0"/>
          <w:color w:val="000000" w:themeColor="text1"/>
          <w:kern w:val="0"/>
          <w:sz w:val="24"/>
          <w:szCs w:val="24"/>
          <w:lang w:eastAsia="en-US"/>
        </w:rPr>
        <w:t>100mg/LSJ-02</w:t>
      </w:r>
      <w:r>
        <w:rPr>
          <w:snapToGrid w:val="0"/>
          <w:color w:val="000000" w:themeColor="text1"/>
          <w:kern w:val="0"/>
          <w:sz w:val="24"/>
          <w:szCs w:val="24"/>
          <w:lang w:eastAsia="en-US"/>
        </w:rPr>
        <w:t>能把</w:t>
      </w:r>
      <w:r>
        <w:rPr>
          <w:snapToGrid w:val="0"/>
          <w:color w:val="000000" w:themeColor="text1"/>
          <w:kern w:val="0"/>
          <w:sz w:val="24"/>
          <w:szCs w:val="24"/>
          <w:lang w:eastAsia="en-US"/>
        </w:rPr>
        <w:t>TGB</w:t>
      </w:r>
      <w:r>
        <w:rPr>
          <w:snapToGrid w:val="0"/>
          <w:color w:val="000000" w:themeColor="text1"/>
          <w:kern w:val="0"/>
          <w:sz w:val="24"/>
          <w:szCs w:val="24"/>
          <w:lang w:eastAsia="en-US"/>
        </w:rPr>
        <w:t>、</w:t>
      </w:r>
      <w:r>
        <w:rPr>
          <w:snapToGrid w:val="0"/>
          <w:color w:val="000000" w:themeColor="text1"/>
          <w:kern w:val="0"/>
          <w:sz w:val="24"/>
          <w:szCs w:val="24"/>
          <w:lang w:eastAsia="en-US"/>
        </w:rPr>
        <w:t>FB</w:t>
      </w:r>
      <w:r>
        <w:rPr>
          <w:snapToGrid w:val="0"/>
          <w:color w:val="000000" w:themeColor="text1"/>
          <w:kern w:val="0"/>
          <w:sz w:val="24"/>
          <w:szCs w:val="24"/>
          <w:lang w:eastAsia="en-US"/>
        </w:rPr>
        <w:t>细菌含量能控制在</w:t>
      </w:r>
      <w:r>
        <w:rPr>
          <w:snapToGrid w:val="0"/>
          <w:color w:val="000000" w:themeColor="text1"/>
          <w:kern w:val="0"/>
          <w:sz w:val="24"/>
          <w:szCs w:val="24"/>
          <w:lang w:eastAsia="en-US"/>
        </w:rPr>
        <w:t>25</w:t>
      </w:r>
      <w:r>
        <w:rPr>
          <w:snapToGrid w:val="0"/>
          <w:color w:val="000000" w:themeColor="text1"/>
          <w:kern w:val="0"/>
          <w:sz w:val="24"/>
          <w:szCs w:val="24"/>
          <w:lang w:eastAsia="en-US"/>
        </w:rPr>
        <w:t>个</w:t>
      </w:r>
      <w:r>
        <w:rPr>
          <w:snapToGrid w:val="0"/>
          <w:color w:val="000000" w:themeColor="text1"/>
          <w:kern w:val="0"/>
          <w:sz w:val="24"/>
          <w:szCs w:val="24"/>
          <w:lang w:eastAsia="en-US"/>
        </w:rPr>
        <w:t>/mL</w:t>
      </w:r>
      <w:r>
        <w:rPr>
          <w:snapToGrid w:val="0"/>
          <w:color w:val="000000" w:themeColor="text1"/>
          <w:kern w:val="0"/>
          <w:sz w:val="24"/>
          <w:szCs w:val="24"/>
          <w:lang w:eastAsia="en-US"/>
        </w:rPr>
        <w:t>，</w:t>
      </w:r>
      <w:r>
        <w:rPr>
          <w:snapToGrid w:val="0"/>
          <w:color w:val="000000" w:themeColor="text1"/>
          <w:kern w:val="0"/>
          <w:sz w:val="24"/>
          <w:szCs w:val="24"/>
          <w:lang w:eastAsia="en-US"/>
        </w:rPr>
        <w:t>SRB</w:t>
      </w:r>
      <w:r>
        <w:rPr>
          <w:snapToGrid w:val="0"/>
          <w:color w:val="000000" w:themeColor="text1"/>
          <w:kern w:val="0"/>
          <w:sz w:val="24"/>
          <w:szCs w:val="24"/>
          <w:lang w:eastAsia="en-US"/>
        </w:rPr>
        <w:t>控制在</w:t>
      </w:r>
      <w:r>
        <w:rPr>
          <w:snapToGrid w:val="0"/>
          <w:color w:val="000000" w:themeColor="text1"/>
          <w:kern w:val="0"/>
          <w:sz w:val="24"/>
          <w:szCs w:val="24"/>
          <w:lang w:eastAsia="en-US"/>
        </w:rPr>
        <w:t>0</w:t>
      </w:r>
      <w:r>
        <w:rPr>
          <w:snapToGrid w:val="0"/>
          <w:color w:val="000000" w:themeColor="text1"/>
          <w:kern w:val="0"/>
          <w:sz w:val="24"/>
          <w:szCs w:val="24"/>
          <w:lang w:eastAsia="en-US"/>
        </w:rPr>
        <w:t>个</w:t>
      </w:r>
      <w:r>
        <w:rPr>
          <w:snapToGrid w:val="0"/>
          <w:color w:val="000000" w:themeColor="text1"/>
          <w:kern w:val="0"/>
          <w:sz w:val="24"/>
          <w:szCs w:val="24"/>
          <w:lang w:eastAsia="en-US"/>
        </w:rPr>
        <w:t>/mL</w:t>
      </w:r>
      <w:r>
        <w:rPr>
          <w:snapToGrid w:val="0"/>
          <w:color w:val="000000" w:themeColor="text1"/>
          <w:kern w:val="0"/>
          <w:sz w:val="24"/>
          <w:szCs w:val="24"/>
          <w:lang w:eastAsia="en-US"/>
        </w:rPr>
        <w:t>。</w:t>
      </w:r>
    </w:p>
    <w:p w14:paraId="25F5B2F7" w14:textId="77777777" w:rsidR="002E0859" w:rsidRDefault="00000000">
      <w:pPr>
        <w:widowControl/>
        <w:kinsoku w:val="0"/>
        <w:topLinePunct w:val="0"/>
        <w:autoSpaceDE w:val="0"/>
        <w:autoSpaceDN w:val="0"/>
        <w:spacing w:line="240" w:lineRule="auto"/>
        <w:ind w:firstLineChars="0" w:firstLine="0"/>
        <w:jc w:val="center"/>
        <w:textAlignment w:val="baseline"/>
        <w:rPr>
          <w:rFonts w:ascii="宋体" w:hAnsi="宋体" w:cs="宋体"/>
          <w:snapToGrid w:val="0"/>
          <w:color w:val="000000" w:themeColor="text1"/>
          <w:kern w:val="0"/>
          <w:sz w:val="19"/>
          <w:szCs w:val="19"/>
          <w:lang w:val="es-MX" w:eastAsia="en-US"/>
        </w:rPr>
      </w:pPr>
      <w:r>
        <w:rPr>
          <w:noProof/>
          <w:color w:val="000000" w:themeColor="text1"/>
        </w:rPr>
        <w:drawing>
          <wp:inline distT="0" distB="0" distL="114300" distR="114300" wp14:anchorId="1945778E" wp14:editId="19084580">
            <wp:extent cx="5562600" cy="703580"/>
            <wp:effectExtent l="0" t="0" r="0" b="12700"/>
            <wp:docPr id="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
                    <pic:cNvPicPr>
                      <a:picLocks noChangeAspect="1"/>
                    </pic:cNvPicPr>
                  </pic:nvPicPr>
                  <pic:blipFill>
                    <a:blip r:embed="rId28"/>
                    <a:stretch>
                      <a:fillRect/>
                    </a:stretch>
                  </pic:blipFill>
                  <pic:spPr>
                    <a:xfrm>
                      <a:off x="0" y="0"/>
                      <a:ext cx="5562600" cy="703580"/>
                    </a:xfrm>
                    <a:prstGeom prst="rect">
                      <a:avLst/>
                    </a:prstGeom>
                    <a:noFill/>
                    <a:ln>
                      <a:noFill/>
                    </a:ln>
                  </pic:spPr>
                </pic:pic>
              </a:graphicData>
            </a:graphic>
          </wp:inline>
        </w:drawing>
      </w:r>
    </w:p>
    <w:p w14:paraId="5DDF670D" w14:textId="77777777" w:rsidR="002E0859" w:rsidRDefault="00000000">
      <w:pPr>
        <w:widowControl/>
        <w:kinsoku w:val="0"/>
        <w:topLinePunct w:val="0"/>
        <w:autoSpaceDE w:val="0"/>
        <w:autoSpaceDN w:val="0"/>
        <w:spacing w:beforeLines="50" w:before="120" w:line="360" w:lineRule="auto"/>
        <w:ind w:firstLine="412"/>
        <w:jc w:val="center"/>
        <w:textAlignment w:val="baseline"/>
        <w:rPr>
          <w:rFonts w:eastAsia="黑体"/>
          <w:snapToGrid w:val="0"/>
          <w:color w:val="000000" w:themeColor="text1"/>
          <w:spacing w:val="-2"/>
          <w:kern w:val="0"/>
          <w:position w:val="12"/>
          <w:sz w:val="21"/>
          <w:szCs w:val="21"/>
          <w:lang w:eastAsia="en-US"/>
        </w:rPr>
      </w:pPr>
      <w:r>
        <w:rPr>
          <w:rFonts w:eastAsia="黑体"/>
          <w:snapToGrid w:val="0"/>
          <w:color w:val="000000" w:themeColor="text1"/>
          <w:spacing w:val="-2"/>
          <w:kern w:val="0"/>
          <w:position w:val="12"/>
          <w:sz w:val="21"/>
          <w:szCs w:val="21"/>
          <w:lang w:eastAsia="en-US"/>
        </w:rPr>
        <w:t>图</w:t>
      </w:r>
      <w:r>
        <w:rPr>
          <w:rFonts w:eastAsia="黑体" w:hint="eastAsia"/>
          <w:snapToGrid w:val="0"/>
          <w:color w:val="000000" w:themeColor="text1"/>
          <w:spacing w:val="-2"/>
          <w:kern w:val="0"/>
          <w:position w:val="12"/>
          <w:sz w:val="21"/>
          <w:szCs w:val="21"/>
        </w:rPr>
        <w:t xml:space="preserve">2.5-14 </w:t>
      </w:r>
      <w:r>
        <w:rPr>
          <w:rFonts w:eastAsia="黑体"/>
          <w:snapToGrid w:val="0"/>
          <w:color w:val="000000" w:themeColor="text1"/>
          <w:spacing w:val="-2"/>
          <w:kern w:val="0"/>
          <w:position w:val="12"/>
          <w:sz w:val="21"/>
          <w:szCs w:val="21"/>
          <w:lang w:eastAsia="en-US"/>
        </w:rPr>
        <w:t>返排液处理流程</w:t>
      </w:r>
    </w:p>
    <w:p w14:paraId="5E8135D6" w14:textId="77777777" w:rsidR="002E0859" w:rsidRDefault="00000000">
      <w:pPr>
        <w:widowControl/>
        <w:kinsoku w:val="0"/>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处理后返排液水质与配液水质指标比较接近，则不需要进一步处理，在重复利用时主要考虑将返排液稀释后配液使用。不同浓度返排液配制减阻水性能如表</w:t>
      </w:r>
      <w:r>
        <w:rPr>
          <w:rFonts w:hint="eastAsia"/>
          <w:snapToGrid w:val="0"/>
          <w:color w:val="000000" w:themeColor="text1"/>
          <w:kern w:val="0"/>
          <w:sz w:val="24"/>
          <w:szCs w:val="24"/>
        </w:rPr>
        <w:t>2.5-11</w:t>
      </w:r>
      <w:r>
        <w:rPr>
          <w:snapToGrid w:val="0"/>
          <w:color w:val="000000" w:themeColor="text1"/>
          <w:kern w:val="0"/>
          <w:sz w:val="24"/>
          <w:szCs w:val="24"/>
          <w:lang w:eastAsia="en-US"/>
        </w:rPr>
        <w:t>所示。稀释后，表观粘度、表面张力性能都较好。重复利用时和清水混合，建议返排液混合比例小于</w:t>
      </w:r>
      <w:r>
        <w:rPr>
          <w:snapToGrid w:val="0"/>
          <w:color w:val="000000" w:themeColor="text1"/>
          <w:kern w:val="0"/>
          <w:sz w:val="24"/>
          <w:szCs w:val="24"/>
          <w:lang w:eastAsia="en-US"/>
        </w:rPr>
        <w:t>30%</w:t>
      </w:r>
      <w:r>
        <w:rPr>
          <w:snapToGrid w:val="0"/>
          <w:color w:val="000000" w:themeColor="text1"/>
          <w:kern w:val="0"/>
          <w:sz w:val="24"/>
          <w:szCs w:val="24"/>
          <w:lang w:eastAsia="en-US"/>
        </w:rPr>
        <w:t>（焦页</w:t>
      </w:r>
      <w:r>
        <w:rPr>
          <w:snapToGrid w:val="0"/>
          <w:color w:val="000000" w:themeColor="text1"/>
          <w:kern w:val="0"/>
          <w:sz w:val="24"/>
          <w:szCs w:val="24"/>
          <w:lang w:eastAsia="en-US"/>
        </w:rPr>
        <w:t>8HF</w:t>
      </w:r>
      <w:r>
        <w:rPr>
          <w:snapToGrid w:val="0"/>
          <w:color w:val="000000" w:themeColor="text1"/>
          <w:kern w:val="0"/>
          <w:sz w:val="24"/>
          <w:szCs w:val="24"/>
          <w:lang w:eastAsia="en-US"/>
        </w:rPr>
        <w:t>返排液应用于</w:t>
      </w:r>
      <w:r>
        <w:rPr>
          <w:snapToGrid w:val="0"/>
          <w:color w:val="000000" w:themeColor="text1"/>
          <w:kern w:val="0"/>
          <w:sz w:val="24"/>
          <w:szCs w:val="24"/>
          <w:lang w:eastAsia="en-US"/>
        </w:rPr>
        <w:t>19</w:t>
      </w:r>
      <w:r>
        <w:rPr>
          <w:snapToGrid w:val="0"/>
          <w:color w:val="000000" w:themeColor="text1"/>
          <w:kern w:val="0"/>
          <w:sz w:val="24"/>
          <w:szCs w:val="24"/>
          <w:lang w:eastAsia="en-US"/>
        </w:rPr>
        <w:t>、</w:t>
      </w:r>
      <w:r>
        <w:rPr>
          <w:snapToGrid w:val="0"/>
          <w:color w:val="000000" w:themeColor="text1"/>
          <w:kern w:val="0"/>
          <w:sz w:val="24"/>
          <w:szCs w:val="24"/>
          <w:lang w:eastAsia="en-US"/>
        </w:rPr>
        <w:t>62</w:t>
      </w:r>
      <w:r>
        <w:rPr>
          <w:snapToGrid w:val="0"/>
          <w:color w:val="000000" w:themeColor="text1"/>
          <w:kern w:val="0"/>
          <w:sz w:val="24"/>
          <w:szCs w:val="24"/>
          <w:lang w:eastAsia="en-US"/>
        </w:rPr>
        <w:t>号平台）。</w:t>
      </w:r>
    </w:p>
    <w:p w14:paraId="1DFB43F6" w14:textId="77777777" w:rsidR="002E0859" w:rsidRDefault="00000000">
      <w:pPr>
        <w:widowControl/>
        <w:kinsoku w:val="0"/>
        <w:topLinePunct w:val="0"/>
        <w:autoSpaceDE w:val="0"/>
        <w:autoSpaceDN w:val="0"/>
        <w:spacing w:line="240" w:lineRule="auto"/>
        <w:ind w:firstLine="416"/>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1"/>
          <w:kern w:val="0"/>
          <w:sz w:val="21"/>
          <w:szCs w:val="21"/>
          <w:lang w:eastAsia="en-US"/>
        </w:rPr>
        <w:t>表</w:t>
      </w:r>
      <w:r>
        <w:rPr>
          <w:rFonts w:eastAsia="黑体"/>
          <w:snapToGrid w:val="0"/>
          <w:color w:val="000000" w:themeColor="text1"/>
          <w:spacing w:val="-1"/>
          <w:kern w:val="0"/>
          <w:sz w:val="21"/>
          <w:szCs w:val="21"/>
        </w:rPr>
        <w:t>2.5-11</w:t>
      </w:r>
      <w:r>
        <w:rPr>
          <w:rFonts w:eastAsia="黑体" w:hint="eastAsia"/>
          <w:snapToGrid w:val="0"/>
          <w:color w:val="000000" w:themeColor="text1"/>
          <w:spacing w:val="-1"/>
          <w:kern w:val="0"/>
          <w:sz w:val="21"/>
          <w:szCs w:val="21"/>
        </w:rPr>
        <w:t xml:space="preserve"> </w:t>
      </w:r>
      <w:r>
        <w:rPr>
          <w:rFonts w:ascii="黑体" w:eastAsia="黑体" w:hAnsi="黑体" w:cs="黑体"/>
          <w:snapToGrid w:val="0"/>
          <w:color w:val="000000" w:themeColor="text1"/>
          <w:spacing w:val="-1"/>
          <w:kern w:val="0"/>
          <w:sz w:val="21"/>
          <w:szCs w:val="21"/>
          <w:lang w:eastAsia="en-US"/>
        </w:rPr>
        <w:t>不同浓度返排液配制的减阻水性能</w:t>
      </w:r>
    </w:p>
    <w:p w14:paraId="4B6AF973" w14:textId="77777777" w:rsidR="002E0859" w:rsidRDefault="002E0859">
      <w:pPr>
        <w:widowControl/>
        <w:kinsoku w:val="0"/>
        <w:topLinePunct w:val="0"/>
        <w:autoSpaceDE w:val="0"/>
        <w:autoSpaceDN w:val="0"/>
        <w:spacing w:line="136"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9291" w:type="dxa"/>
        <w:tblInd w:w="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3099"/>
        <w:gridCol w:w="3095"/>
        <w:gridCol w:w="3097"/>
      </w:tblGrid>
      <w:tr w:rsidR="002E0859" w14:paraId="728931C1" w14:textId="77777777">
        <w:trPr>
          <w:trHeight w:val="295"/>
          <w:tblHeader/>
        </w:trPr>
        <w:tc>
          <w:tcPr>
            <w:tcW w:w="3099" w:type="dxa"/>
            <w:tcBorders>
              <w:tl2br w:val="nil"/>
              <w:tr2bl w:val="nil"/>
            </w:tcBorders>
          </w:tcPr>
          <w:p w14:paraId="61F09CBF" w14:textId="77777777" w:rsidR="002E0859" w:rsidRDefault="00000000">
            <w:pPr>
              <w:kinsoku w:val="0"/>
              <w:autoSpaceDE w:val="0"/>
              <w:autoSpaceDN w:val="0"/>
              <w:spacing w:before="41" w:line="211" w:lineRule="auto"/>
              <w:ind w:left="820"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返排液所占比例</w:t>
            </w:r>
          </w:p>
        </w:tc>
        <w:tc>
          <w:tcPr>
            <w:tcW w:w="3095" w:type="dxa"/>
            <w:tcBorders>
              <w:tl2br w:val="nil"/>
              <w:tr2bl w:val="nil"/>
            </w:tcBorders>
          </w:tcPr>
          <w:p w14:paraId="66BA41C5" w14:textId="77777777" w:rsidR="002E0859" w:rsidRDefault="00000000">
            <w:pPr>
              <w:kinsoku w:val="0"/>
              <w:autoSpaceDE w:val="0"/>
              <w:autoSpaceDN w:val="0"/>
              <w:spacing w:before="41" w:line="211" w:lineRule="auto"/>
              <w:ind w:left="842"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表观粘度</w:t>
            </w:r>
            <w:r>
              <w:rPr>
                <w:snapToGrid w:val="0"/>
                <w:color w:val="000000" w:themeColor="text1"/>
                <w:kern w:val="0"/>
                <w:sz w:val="21"/>
                <w:szCs w:val="21"/>
                <w:lang w:eastAsia="en-US"/>
              </w:rPr>
              <w:t>mPa.s</w:t>
            </w:r>
          </w:p>
        </w:tc>
        <w:tc>
          <w:tcPr>
            <w:tcW w:w="3097" w:type="dxa"/>
            <w:tcBorders>
              <w:tl2br w:val="nil"/>
              <w:tr2bl w:val="nil"/>
            </w:tcBorders>
          </w:tcPr>
          <w:p w14:paraId="127A2279" w14:textId="77777777" w:rsidR="002E0859" w:rsidRDefault="00000000">
            <w:pPr>
              <w:kinsoku w:val="0"/>
              <w:autoSpaceDE w:val="0"/>
              <w:autoSpaceDN w:val="0"/>
              <w:spacing w:before="41" w:line="211" w:lineRule="auto"/>
              <w:ind w:left="89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表面张力</w:t>
            </w:r>
            <w:r>
              <w:rPr>
                <w:snapToGrid w:val="0"/>
                <w:color w:val="000000" w:themeColor="text1"/>
                <w:kern w:val="0"/>
                <w:sz w:val="21"/>
                <w:szCs w:val="21"/>
                <w:lang w:eastAsia="en-US"/>
              </w:rPr>
              <w:t>mN/m</w:t>
            </w:r>
          </w:p>
        </w:tc>
      </w:tr>
      <w:tr w:rsidR="002E0859" w14:paraId="1D8A2FA7" w14:textId="77777777">
        <w:trPr>
          <w:trHeight w:val="290"/>
        </w:trPr>
        <w:tc>
          <w:tcPr>
            <w:tcW w:w="3099" w:type="dxa"/>
            <w:tcBorders>
              <w:tl2br w:val="nil"/>
              <w:tr2bl w:val="nil"/>
            </w:tcBorders>
          </w:tcPr>
          <w:p w14:paraId="1446A2FD" w14:textId="77777777" w:rsidR="002E0859" w:rsidRDefault="00000000">
            <w:pPr>
              <w:kinsoku w:val="0"/>
              <w:autoSpaceDE w:val="0"/>
              <w:autoSpaceDN w:val="0"/>
              <w:spacing w:before="37" w:line="213" w:lineRule="auto"/>
              <w:ind w:left="834"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100%</w:t>
            </w:r>
            <w:r>
              <w:rPr>
                <w:snapToGrid w:val="0"/>
                <w:color w:val="000000" w:themeColor="text1"/>
                <w:kern w:val="0"/>
                <w:sz w:val="21"/>
                <w:szCs w:val="21"/>
                <w:lang w:eastAsia="en-US"/>
              </w:rPr>
              <w:t>（返排液）</w:t>
            </w:r>
          </w:p>
        </w:tc>
        <w:tc>
          <w:tcPr>
            <w:tcW w:w="3095" w:type="dxa"/>
            <w:tcBorders>
              <w:tl2br w:val="nil"/>
              <w:tr2bl w:val="nil"/>
            </w:tcBorders>
          </w:tcPr>
          <w:p w14:paraId="74E790B5" w14:textId="77777777" w:rsidR="002E0859" w:rsidRDefault="00000000">
            <w:pPr>
              <w:kinsoku w:val="0"/>
              <w:autoSpaceDE w:val="0"/>
              <w:autoSpaceDN w:val="0"/>
              <w:spacing w:before="72" w:line="182" w:lineRule="auto"/>
              <w:ind w:left="139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2.7</w:t>
            </w:r>
          </w:p>
        </w:tc>
        <w:tc>
          <w:tcPr>
            <w:tcW w:w="3097" w:type="dxa"/>
            <w:tcBorders>
              <w:tl2br w:val="nil"/>
              <w:tr2bl w:val="nil"/>
            </w:tcBorders>
          </w:tcPr>
          <w:p w14:paraId="72A776EC" w14:textId="77777777" w:rsidR="002E0859" w:rsidRDefault="00000000">
            <w:pPr>
              <w:kinsoku w:val="0"/>
              <w:autoSpaceDE w:val="0"/>
              <w:autoSpaceDN w:val="0"/>
              <w:spacing w:before="72" w:line="182"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26.88</w:t>
            </w:r>
          </w:p>
        </w:tc>
      </w:tr>
      <w:tr w:rsidR="002E0859" w14:paraId="168F2553" w14:textId="77777777">
        <w:trPr>
          <w:trHeight w:val="282"/>
        </w:trPr>
        <w:tc>
          <w:tcPr>
            <w:tcW w:w="3099" w:type="dxa"/>
            <w:tcBorders>
              <w:tl2br w:val="nil"/>
              <w:tr2bl w:val="nil"/>
            </w:tcBorders>
          </w:tcPr>
          <w:p w14:paraId="5952CD24" w14:textId="77777777" w:rsidR="002E0859" w:rsidRDefault="00000000">
            <w:pPr>
              <w:kinsoku w:val="0"/>
              <w:autoSpaceDE w:val="0"/>
              <w:autoSpaceDN w:val="0"/>
              <w:spacing w:before="68" w:line="179" w:lineRule="auto"/>
              <w:ind w:left="140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p>
        </w:tc>
        <w:tc>
          <w:tcPr>
            <w:tcW w:w="3095" w:type="dxa"/>
            <w:tcBorders>
              <w:tl2br w:val="nil"/>
              <w:tr2bl w:val="nil"/>
            </w:tcBorders>
          </w:tcPr>
          <w:p w14:paraId="5894D61D" w14:textId="77777777" w:rsidR="002E0859" w:rsidRDefault="00000000">
            <w:pPr>
              <w:kinsoku w:val="0"/>
              <w:autoSpaceDE w:val="0"/>
              <w:autoSpaceDN w:val="0"/>
              <w:spacing w:before="68" w:line="179" w:lineRule="auto"/>
              <w:ind w:left="139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2.9</w:t>
            </w:r>
          </w:p>
        </w:tc>
        <w:tc>
          <w:tcPr>
            <w:tcW w:w="3097" w:type="dxa"/>
            <w:tcBorders>
              <w:tl2br w:val="nil"/>
              <w:tr2bl w:val="nil"/>
            </w:tcBorders>
          </w:tcPr>
          <w:p w14:paraId="60E6EFEC" w14:textId="77777777" w:rsidR="002E0859" w:rsidRDefault="00000000">
            <w:pPr>
              <w:kinsoku w:val="0"/>
              <w:autoSpaceDE w:val="0"/>
              <w:autoSpaceDN w:val="0"/>
              <w:spacing w:before="68" w:line="179"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27.25</w:t>
            </w:r>
          </w:p>
        </w:tc>
      </w:tr>
      <w:tr w:rsidR="002E0859" w14:paraId="3A896C71" w14:textId="77777777">
        <w:trPr>
          <w:trHeight w:val="290"/>
        </w:trPr>
        <w:tc>
          <w:tcPr>
            <w:tcW w:w="3099" w:type="dxa"/>
            <w:tcBorders>
              <w:tl2br w:val="nil"/>
              <w:tr2bl w:val="nil"/>
            </w:tcBorders>
          </w:tcPr>
          <w:p w14:paraId="0C97ACE9" w14:textId="77777777" w:rsidR="002E0859" w:rsidRDefault="00000000">
            <w:pPr>
              <w:kinsoku w:val="0"/>
              <w:autoSpaceDE w:val="0"/>
              <w:autoSpaceDN w:val="0"/>
              <w:spacing w:before="74" w:line="181" w:lineRule="auto"/>
              <w:ind w:left="139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40%</w:t>
            </w:r>
          </w:p>
        </w:tc>
        <w:tc>
          <w:tcPr>
            <w:tcW w:w="3095" w:type="dxa"/>
            <w:tcBorders>
              <w:tl2br w:val="nil"/>
              <w:tr2bl w:val="nil"/>
            </w:tcBorders>
          </w:tcPr>
          <w:p w14:paraId="31D10C42" w14:textId="77777777" w:rsidR="002E0859" w:rsidRDefault="00000000">
            <w:pPr>
              <w:kinsoku w:val="0"/>
              <w:autoSpaceDE w:val="0"/>
              <w:autoSpaceDN w:val="0"/>
              <w:spacing w:before="74" w:line="181" w:lineRule="auto"/>
              <w:ind w:left="139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3.4</w:t>
            </w:r>
          </w:p>
        </w:tc>
        <w:tc>
          <w:tcPr>
            <w:tcW w:w="3097" w:type="dxa"/>
            <w:tcBorders>
              <w:tl2br w:val="nil"/>
              <w:tr2bl w:val="nil"/>
            </w:tcBorders>
          </w:tcPr>
          <w:p w14:paraId="3BD020DC" w14:textId="77777777" w:rsidR="002E0859" w:rsidRDefault="00000000">
            <w:pPr>
              <w:kinsoku w:val="0"/>
              <w:autoSpaceDE w:val="0"/>
              <w:autoSpaceDN w:val="0"/>
              <w:spacing w:before="74" w:line="181"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25.45</w:t>
            </w:r>
          </w:p>
        </w:tc>
      </w:tr>
      <w:tr w:rsidR="002E0859" w14:paraId="4293E8B3" w14:textId="77777777">
        <w:trPr>
          <w:trHeight w:val="287"/>
        </w:trPr>
        <w:tc>
          <w:tcPr>
            <w:tcW w:w="3099" w:type="dxa"/>
            <w:tcBorders>
              <w:tl2br w:val="nil"/>
              <w:tr2bl w:val="nil"/>
            </w:tcBorders>
          </w:tcPr>
          <w:p w14:paraId="451200B2" w14:textId="77777777" w:rsidR="002E0859" w:rsidRDefault="00000000">
            <w:pPr>
              <w:kinsoku w:val="0"/>
              <w:autoSpaceDE w:val="0"/>
              <w:autoSpaceDN w:val="0"/>
              <w:spacing w:before="74" w:line="178" w:lineRule="auto"/>
              <w:ind w:left="140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30%</w:t>
            </w:r>
          </w:p>
        </w:tc>
        <w:tc>
          <w:tcPr>
            <w:tcW w:w="3095" w:type="dxa"/>
            <w:tcBorders>
              <w:tl2br w:val="nil"/>
              <w:tr2bl w:val="nil"/>
            </w:tcBorders>
          </w:tcPr>
          <w:p w14:paraId="5EB177BE" w14:textId="77777777" w:rsidR="002E0859" w:rsidRDefault="00000000">
            <w:pPr>
              <w:kinsoku w:val="0"/>
              <w:autoSpaceDE w:val="0"/>
              <w:autoSpaceDN w:val="0"/>
              <w:spacing w:before="74" w:line="178" w:lineRule="auto"/>
              <w:ind w:left="1394"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4.2</w:t>
            </w:r>
          </w:p>
        </w:tc>
        <w:tc>
          <w:tcPr>
            <w:tcW w:w="3097" w:type="dxa"/>
            <w:tcBorders>
              <w:tl2br w:val="nil"/>
              <w:tr2bl w:val="nil"/>
            </w:tcBorders>
          </w:tcPr>
          <w:p w14:paraId="594B8E03" w14:textId="77777777" w:rsidR="002E0859" w:rsidRDefault="00000000">
            <w:pPr>
              <w:kinsoku w:val="0"/>
              <w:autoSpaceDE w:val="0"/>
              <w:autoSpaceDN w:val="0"/>
              <w:spacing w:before="74" w:line="178"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27.27</w:t>
            </w:r>
          </w:p>
        </w:tc>
      </w:tr>
      <w:tr w:rsidR="002E0859" w14:paraId="1E7F1C7E" w14:textId="77777777">
        <w:trPr>
          <w:trHeight w:val="290"/>
        </w:trPr>
        <w:tc>
          <w:tcPr>
            <w:tcW w:w="3099" w:type="dxa"/>
            <w:tcBorders>
              <w:tl2br w:val="nil"/>
              <w:tr2bl w:val="nil"/>
            </w:tcBorders>
          </w:tcPr>
          <w:p w14:paraId="3F52EC2D" w14:textId="77777777" w:rsidR="002E0859" w:rsidRDefault="00000000">
            <w:pPr>
              <w:kinsoku w:val="0"/>
              <w:autoSpaceDE w:val="0"/>
              <w:autoSpaceDN w:val="0"/>
              <w:spacing w:before="75" w:line="180" w:lineRule="auto"/>
              <w:ind w:left="1400"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20%</w:t>
            </w:r>
          </w:p>
        </w:tc>
        <w:tc>
          <w:tcPr>
            <w:tcW w:w="3095" w:type="dxa"/>
            <w:tcBorders>
              <w:tl2br w:val="nil"/>
              <w:tr2bl w:val="nil"/>
            </w:tcBorders>
          </w:tcPr>
          <w:p w14:paraId="6B3B4952" w14:textId="77777777" w:rsidR="002E0859" w:rsidRDefault="00000000">
            <w:pPr>
              <w:kinsoku w:val="0"/>
              <w:autoSpaceDE w:val="0"/>
              <w:autoSpaceDN w:val="0"/>
              <w:spacing w:before="75" w:line="180" w:lineRule="auto"/>
              <w:ind w:left="139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5.2</w:t>
            </w:r>
          </w:p>
        </w:tc>
        <w:tc>
          <w:tcPr>
            <w:tcW w:w="3097" w:type="dxa"/>
            <w:tcBorders>
              <w:tl2br w:val="nil"/>
              <w:tr2bl w:val="nil"/>
            </w:tcBorders>
          </w:tcPr>
          <w:p w14:paraId="5C78B9DC" w14:textId="77777777" w:rsidR="002E0859" w:rsidRDefault="00000000">
            <w:pPr>
              <w:kinsoku w:val="0"/>
              <w:autoSpaceDE w:val="0"/>
              <w:autoSpaceDN w:val="0"/>
              <w:spacing w:before="74" w:line="181"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27.41</w:t>
            </w:r>
          </w:p>
        </w:tc>
      </w:tr>
      <w:tr w:rsidR="002E0859" w14:paraId="25D541E8" w14:textId="77777777">
        <w:trPr>
          <w:trHeight w:val="287"/>
        </w:trPr>
        <w:tc>
          <w:tcPr>
            <w:tcW w:w="3099" w:type="dxa"/>
            <w:tcBorders>
              <w:tl2br w:val="nil"/>
              <w:tr2bl w:val="nil"/>
            </w:tcBorders>
          </w:tcPr>
          <w:p w14:paraId="0D74D303" w14:textId="77777777" w:rsidR="002E0859" w:rsidRDefault="00000000">
            <w:pPr>
              <w:kinsoku w:val="0"/>
              <w:autoSpaceDE w:val="0"/>
              <w:autoSpaceDN w:val="0"/>
              <w:spacing w:before="74" w:line="178" w:lineRule="auto"/>
              <w:ind w:left="141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10%</w:t>
            </w:r>
          </w:p>
        </w:tc>
        <w:tc>
          <w:tcPr>
            <w:tcW w:w="3095" w:type="dxa"/>
            <w:tcBorders>
              <w:tl2br w:val="nil"/>
              <w:tr2bl w:val="nil"/>
            </w:tcBorders>
          </w:tcPr>
          <w:p w14:paraId="55CFC745" w14:textId="77777777" w:rsidR="002E0859" w:rsidRDefault="00000000">
            <w:pPr>
              <w:kinsoku w:val="0"/>
              <w:autoSpaceDE w:val="0"/>
              <w:autoSpaceDN w:val="0"/>
              <w:spacing w:before="75" w:line="177" w:lineRule="auto"/>
              <w:ind w:left="139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5.3</w:t>
            </w:r>
          </w:p>
        </w:tc>
        <w:tc>
          <w:tcPr>
            <w:tcW w:w="3097" w:type="dxa"/>
            <w:tcBorders>
              <w:tl2br w:val="nil"/>
              <w:tr2bl w:val="nil"/>
            </w:tcBorders>
          </w:tcPr>
          <w:p w14:paraId="1F1C9037" w14:textId="77777777" w:rsidR="002E0859" w:rsidRDefault="00000000">
            <w:pPr>
              <w:kinsoku w:val="0"/>
              <w:autoSpaceDE w:val="0"/>
              <w:autoSpaceDN w:val="0"/>
              <w:spacing w:before="75" w:line="177"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28.87</w:t>
            </w:r>
          </w:p>
        </w:tc>
      </w:tr>
      <w:tr w:rsidR="002E0859" w14:paraId="59A9E9EE" w14:textId="77777777">
        <w:trPr>
          <w:trHeight w:val="294"/>
        </w:trPr>
        <w:tc>
          <w:tcPr>
            <w:tcW w:w="3099" w:type="dxa"/>
            <w:tcBorders>
              <w:tl2br w:val="nil"/>
              <w:tr2bl w:val="nil"/>
            </w:tcBorders>
          </w:tcPr>
          <w:p w14:paraId="014E3667" w14:textId="77777777" w:rsidR="002E0859" w:rsidRDefault="00000000">
            <w:pPr>
              <w:kinsoku w:val="0"/>
              <w:autoSpaceDE w:val="0"/>
              <w:autoSpaceDN w:val="0"/>
              <w:spacing w:before="40" w:line="214" w:lineRule="auto"/>
              <w:ind w:left="1032"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w:t>
            </w:r>
            <w:r>
              <w:rPr>
                <w:snapToGrid w:val="0"/>
                <w:color w:val="000000" w:themeColor="text1"/>
                <w:kern w:val="0"/>
                <w:sz w:val="21"/>
                <w:szCs w:val="21"/>
                <w:lang w:eastAsia="en-US"/>
              </w:rPr>
              <w:t>（清水）</w:t>
            </w:r>
          </w:p>
        </w:tc>
        <w:tc>
          <w:tcPr>
            <w:tcW w:w="3095" w:type="dxa"/>
            <w:tcBorders>
              <w:tl2br w:val="nil"/>
              <w:tr2bl w:val="nil"/>
            </w:tcBorders>
          </w:tcPr>
          <w:p w14:paraId="3089CE15" w14:textId="77777777" w:rsidR="002E0859" w:rsidRDefault="00000000">
            <w:pPr>
              <w:kinsoku w:val="0"/>
              <w:autoSpaceDE w:val="0"/>
              <w:autoSpaceDN w:val="0"/>
              <w:spacing w:before="76" w:line="182" w:lineRule="auto"/>
              <w:ind w:left="139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5.4</w:t>
            </w:r>
          </w:p>
        </w:tc>
        <w:tc>
          <w:tcPr>
            <w:tcW w:w="3097" w:type="dxa"/>
            <w:tcBorders>
              <w:tl2br w:val="nil"/>
              <w:tr2bl w:val="nil"/>
            </w:tcBorders>
          </w:tcPr>
          <w:p w14:paraId="31B3CC1B" w14:textId="77777777" w:rsidR="002E0859" w:rsidRDefault="00000000">
            <w:pPr>
              <w:kinsoku w:val="0"/>
              <w:autoSpaceDE w:val="0"/>
              <w:autoSpaceDN w:val="0"/>
              <w:spacing w:before="76" w:line="182" w:lineRule="auto"/>
              <w:ind w:left="12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28.53</w:t>
            </w:r>
          </w:p>
        </w:tc>
      </w:tr>
    </w:tbl>
    <w:p w14:paraId="668047E8"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试气施工工艺</w:t>
      </w:r>
    </w:p>
    <w:p w14:paraId="62537BC7"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1</w:t>
      </w:r>
      <w:r>
        <w:rPr>
          <w:snapToGrid w:val="0"/>
          <w:color w:val="000000" w:themeColor="text1"/>
          <w:kern w:val="0"/>
          <w:sz w:val="24"/>
          <w:szCs w:val="24"/>
          <w:lang w:eastAsia="en-US"/>
        </w:rPr>
        <w:t>、前期准备</w:t>
      </w:r>
    </w:p>
    <w:p w14:paraId="37C05BBB"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1</w:t>
      </w:r>
      <w:r>
        <w:rPr>
          <w:snapToGrid w:val="0"/>
          <w:color w:val="000000" w:themeColor="text1"/>
          <w:kern w:val="0"/>
          <w:sz w:val="24"/>
          <w:szCs w:val="24"/>
          <w:lang w:eastAsia="en-US"/>
        </w:rPr>
        <w:t>）刮管：下</w:t>
      </w:r>
      <w:r>
        <w:rPr>
          <w:snapToGrid w:val="0"/>
          <w:color w:val="000000" w:themeColor="text1"/>
          <w:kern w:val="0"/>
          <w:sz w:val="24"/>
          <w:szCs w:val="24"/>
          <w:lang w:eastAsia="en-US"/>
        </w:rPr>
        <w:t>φ73mm</w:t>
      </w:r>
      <w:r>
        <w:rPr>
          <w:snapToGrid w:val="0"/>
          <w:color w:val="000000" w:themeColor="text1"/>
          <w:kern w:val="0"/>
          <w:sz w:val="24"/>
          <w:szCs w:val="24"/>
          <w:lang w:eastAsia="en-US"/>
        </w:rPr>
        <w:t>钻杆底带套管刮削器至井底，并分别在桥塞坐封处反复刮削不少于</w:t>
      </w:r>
      <w:r>
        <w:rPr>
          <w:snapToGrid w:val="0"/>
          <w:color w:val="000000" w:themeColor="text1"/>
          <w:kern w:val="0"/>
          <w:sz w:val="24"/>
          <w:szCs w:val="24"/>
          <w:lang w:eastAsia="en-US"/>
        </w:rPr>
        <w:t>3</w:t>
      </w:r>
      <w:r>
        <w:rPr>
          <w:snapToGrid w:val="0"/>
          <w:color w:val="000000" w:themeColor="text1"/>
          <w:kern w:val="0"/>
          <w:sz w:val="24"/>
          <w:szCs w:val="24"/>
          <w:lang w:eastAsia="en-US"/>
        </w:rPr>
        <w:t>次，用活性水以＞</w:t>
      </w:r>
      <w:r>
        <w:rPr>
          <w:snapToGrid w:val="0"/>
          <w:color w:val="000000" w:themeColor="text1"/>
          <w:kern w:val="0"/>
          <w:sz w:val="24"/>
          <w:szCs w:val="24"/>
          <w:lang w:eastAsia="en-US"/>
        </w:rPr>
        <w:t>0.5m³/min</w:t>
      </w:r>
      <w:r>
        <w:rPr>
          <w:snapToGrid w:val="0"/>
          <w:color w:val="000000" w:themeColor="text1"/>
          <w:kern w:val="0"/>
          <w:sz w:val="24"/>
          <w:szCs w:val="24"/>
          <w:lang w:eastAsia="en-US"/>
        </w:rPr>
        <w:t>的排量反循环至进出口液性一致，起出刮管管柱。</w:t>
      </w:r>
    </w:p>
    <w:p w14:paraId="698BF7FD"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2</w:t>
      </w:r>
      <w:r>
        <w:rPr>
          <w:snapToGrid w:val="0"/>
          <w:color w:val="000000" w:themeColor="text1"/>
          <w:kern w:val="0"/>
          <w:sz w:val="24"/>
          <w:szCs w:val="24"/>
          <w:lang w:eastAsia="en-US"/>
        </w:rPr>
        <w:t>）通井：管柱组合（自上而下）为</w:t>
      </w:r>
      <w:r>
        <w:rPr>
          <w:snapToGrid w:val="0"/>
          <w:color w:val="000000" w:themeColor="text1"/>
          <w:kern w:val="0"/>
          <w:sz w:val="24"/>
          <w:szCs w:val="24"/>
          <w:lang w:eastAsia="en-US"/>
        </w:rPr>
        <w:t>2</w:t>
      </w:r>
      <w:r>
        <w:rPr>
          <w:snapToGrid w:val="0"/>
          <w:color w:val="000000" w:themeColor="text1"/>
          <w:kern w:val="0"/>
          <w:sz w:val="24"/>
          <w:szCs w:val="24"/>
          <w:lang w:eastAsia="en-US"/>
        </w:rPr>
        <w:t>寸连续油管</w:t>
      </w:r>
      <w:r>
        <w:rPr>
          <w:snapToGrid w:val="0"/>
          <w:color w:val="000000" w:themeColor="text1"/>
          <w:kern w:val="0"/>
          <w:sz w:val="24"/>
          <w:szCs w:val="24"/>
          <w:lang w:eastAsia="en-US"/>
        </w:rPr>
        <w:t>+φ73mm</w:t>
      </w:r>
      <w:r>
        <w:rPr>
          <w:snapToGrid w:val="0"/>
          <w:color w:val="000000" w:themeColor="text1"/>
          <w:kern w:val="0"/>
          <w:sz w:val="24"/>
          <w:szCs w:val="24"/>
          <w:lang w:eastAsia="en-US"/>
        </w:rPr>
        <w:t>安全接头</w:t>
      </w:r>
      <w:r>
        <w:rPr>
          <w:snapToGrid w:val="0"/>
          <w:color w:val="000000" w:themeColor="text1"/>
          <w:kern w:val="0"/>
          <w:sz w:val="24"/>
          <w:szCs w:val="24"/>
          <w:lang w:eastAsia="en-US"/>
        </w:rPr>
        <w:t>+φ88mm</w:t>
      </w:r>
      <w:r>
        <w:rPr>
          <w:snapToGrid w:val="0"/>
          <w:color w:val="000000" w:themeColor="text1"/>
          <w:kern w:val="0"/>
          <w:sz w:val="24"/>
          <w:szCs w:val="24"/>
          <w:lang w:eastAsia="en-US"/>
        </w:rPr>
        <w:t>通井规。</w:t>
      </w:r>
    </w:p>
    <w:p w14:paraId="39B583B2"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3</w:t>
      </w:r>
      <w:r>
        <w:rPr>
          <w:snapToGrid w:val="0"/>
          <w:color w:val="000000" w:themeColor="text1"/>
          <w:kern w:val="0"/>
          <w:sz w:val="24"/>
          <w:szCs w:val="24"/>
          <w:lang w:eastAsia="en-US"/>
        </w:rPr>
        <w:t>）试压：套管、井口及封井器试压</w:t>
      </w:r>
      <w:r>
        <w:rPr>
          <w:snapToGrid w:val="0"/>
          <w:color w:val="000000" w:themeColor="text1"/>
          <w:kern w:val="0"/>
          <w:sz w:val="24"/>
          <w:szCs w:val="24"/>
          <w:lang w:eastAsia="en-US"/>
        </w:rPr>
        <w:t>95MPa</w:t>
      </w:r>
      <w:r>
        <w:rPr>
          <w:snapToGrid w:val="0"/>
          <w:color w:val="000000" w:themeColor="text1"/>
          <w:kern w:val="0"/>
          <w:sz w:val="24"/>
          <w:szCs w:val="24"/>
          <w:lang w:eastAsia="en-US"/>
        </w:rPr>
        <w:t>，稳压</w:t>
      </w:r>
      <w:r>
        <w:rPr>
          <w:snapToGrid w:val="0"/>
          <w:color w:val="000000" w:themeColor="text1"/>
          <w:kern w:val="0"/>
          <w:sz w:val="24"/>
          <w:szCs w:val="24"/>
          <w:lang w:eastAsia="en-US"/>
        </w:rPr>
        <w:t>30min</w:t>
      </w:r>
      <w:r>
        <w:rPr>
          <w:snapToGrid w:val="0"/>
          <w:color w:val="000000" w:themeColor="text1"/>
          <w:kern w:val="0"/>
          <w:sz w:val="24"/>
          <w:szCs w:val="24"/>
          <w:lang w:eastAsia="en-US"/>
        </w:rPr>
        <w:t>，压降不超过</w:t>
      </w:r>
      <w:r>
        <w:rPr>
          <w:snapToGrid w:val="0"/>
          <w:color w:val="000000" w:themeColor="text1"/>
          <w:kern w:val="0"/>
          <w:sz w:val="24"/>
          <w:szCs w:val="24"/>
          <w:lang w:eastAsia="en-US"/>
        </w:rPr>
        <w:t>0.5MPa</w:t>
      </w:r>
      <w:r>
        <w:rPr>
          <w:snapToGrid w:val="0"/>
          <w:color w:val="000000" w:themeColor="text1"/>
          <w:kern w:val="0"/>
          <w:sz w:val="24"/>
          <w:szCs w:val="24"/>
          <w:lang w:eastAsia="en-US"/>
        </w:rPr>
        <w:t>为合格；起钻。</w:t>
      </w:r>
    </w:p>
    <w:p w14:paraId="038A14E4"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4</w:t>
      </w:r>
      <w:r>
        <w:rPr>
          <w:snapToGrid w:val="0"/>
          <w:color w:val="000000" w:themeColor="text1"/>
          <w:kern w:val="0"/>
          <w:sz w:val="24"/>
          <w:szCs w:val="24"/>
          <w:lang w:eastAsia="en-US"/>
        </w:rPr>
        <w:t>）拆防喷器组合：拆掉防喷器组合，关闭上部大阀门，并在上面盖上铁板并固定，防止落物入井或落物损坏大闸门。</w:t>
      </w:r>
    </w:p>
    <w:p w14:paraId="63501E68"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5</w:t>
      </w:r>
      <w:r>
        <w:rPr>
          <w:snapToGrid w:val="0"/>
          <w:color w:val="000000" w:themeColor="text1"/>
          <w:kern w:val="0"/>
          <w:sz w:val="24"/>
          <w:szCs w:val="24"/>
          <w:lang w:eastAsia="en-US"/>
        </w:rPr>
        <w:t>）换压裂井口：清水对井筒、压裂井口试压</w:t>
      </w:r>
      <w:r>
        <w:rPr>
          <w:snapToGrid w:val="0"/>
          <w:color w:val="000000" w:themeColor="text1"/>
          <w:kern w:val="0"/>
          <w:sz w:val="24"/>
          <w:szCs w:val="24"/>
          <w:lang w:eastAsia="en-US"/>
        </w:rPr>
        <w:t>95MPa</w:t>
      </w:r>
      <w:r>
        <w:rPr>
          <w:snapToGrid w:val="0"/>
          <w:color w:val="000000" w:themeColor="text1"/>
          <w:kern w:val="0"/>
          <w:sz w:val="24"/>
          <w:szCs w:val="24"/>
          <w:lang w:eastAsia="en-US"/>
        </w:rPr>
        <w:t>，稳压</w:t>
      </w:r>
      <w:r>
        <w:rPr>
          <w:snapToGrid w:val="0"/>
          <w:color w:val="000000" w:themeColor="text1"/>
          <w:kern w:val="0"/>
          <w:sz w:val="24"/>
          <w:szCs w:val="24"/>
          <w:lang w:eastAsia="en-US"/>
        </w:rPr>
        <w:t>30min</w:t>
      </w:r>
      <w:r>
        <w:rPr>
          <w:snapToGrid w:val="0"/>
          <w:color w:val="000000" w:themeColor="text1"/>
          <w:kern w:val="0"/>
          <w:sz w:val="24"/>
          <w:szCs w:val="24"/>
          <w:lang w:eastAsia="en-US"/>
        </w:rPr>
        <w:t>，压降不超过</w:t>
      </w:r>
      <w:r>
        <w:rPr>
          <w:snapToGrid w:val="0"/>
          <w:color w:val="000000" w:themeColor="text1"/>
          <w:kern w:val="0"/>
          <w:sz w:val="24"/>
          <w:szCs w:val="24"/>
          <w:lang w:eastAsia="en-US"/>
        </w:rPr>
        <w:t>0.5MPa</w:t>
      </w:r>
      <w:r>
        <w:rPr>
          <w:snapToGrid w:val="0"/>
          <w:color w:val="000000" w:themeColor="text1"/>
          <w:kern w:val="0"/>
          <w:sz w:val="24"/>
          <w:szCs w:val="24"/>
          <w:lang w:eastAsia="en-US"/>
        </w:rPr>
        <w:t>为合格。</w:t>
      </w:r>
    </w:p>
    <w:p w14:paraId="13AB62BC"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6</w:t>
      </w:r>
      <w:r>
        <w:rPr>
          <w:snapToGrid w:val="0"/>
          <w:color w:val="000000" w:themeColor="text1"/>
          <w:kern w:val="0"/>
          <w:sz w:val="24"/>
          <w:szCs w:val="24"/>
          <w:lang w:eastAsia="en-US"/>
        </w:rPr>
        <w:t>）安装固定地面流程：安装两级地面测试流程和放喷测试管线，固定牢固；上油管头三通连接好测试流程，流程试压合格。</w:t>
      </w:r>
    </w:p>
    <w:p w14:paraId="30F78FCE"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7</w:t>
      </w:r>
      <w:r>
        <w:rPr>
          <w:snapToGrid w:val="0"/>
          <w:color w:val="000000" w:themeColor="text1"/>
          <w:kern w:val="0"/>
          <w:sz w:val="24"/>
          <w:szCs w:val="24"/>
          <w:lang w:eastAsia="en-US"/>
        </w:rPr>
        <w:t>）开工验收：由现场施工总指挥召集作业监督、各施工单位负责人、设计单位负责人、各工序和岗位负责人，对施工准备情况、人员配置、</w:t>
      </w:r>
      <w:r>
        <w:rPr>
          <w:snapToGrid w:val="0"/>
          <w:color w:val="000000" w:themeColor="text1"/>
          <w:kern w:val="0"/>
          <w:sz w:val="24"/>
          <w:szCs w:val="24"/>
          <w:lang w:eastAsia="en-US"/>
        </w:rPr>
        <w:t>HSE</w:t>
      </w:r>
      <w:r>
        <w:rPr>
          <w:snapToGrid w:val="0"/>
          <w:color w:val="000000" w:themeColor="text1"/>
          <w:kern w:val="0"/>
          <w:sz w:val="24"/>
          <w:szCs w:val="24"/>
          <w:lang w:eastAsia="en-US"/>
        </w:rPr>
        <w:t>进行检查，同时明确试气运行组织机构及相关注意事项，各工艺负责人就工艺衔接相互进行交底。</w:t>
      </w:r>
    </w:p>
    <w:p w14:paraId="24548C9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2</w:t>
      </w:r>
      <w:r>
        <w:rPr>
          <w:snapToGrid w:val="0"/>
          <w:color w:val="000000" w:themeColor="text1"/>
          <w:kern w:val="0"/>
          <w:sz w:val="24"/>
          <w:szCs w:val="24"/>
          <w:lang w:eastAsia="en-US"/>
        </w:rPr>
        <w:t>、第一段压裂</w:t>
      </w:r>
    </w:p>
    <w:p w14:paraId="5AA1F330"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1</w:t>
      </w:r>
      <w:r>
        <w:rPr>
          <w:snapToGrid w:val="0"/>
          <w:color w:val="000000" w:themeColor="text1"/>
          <w:kern w:val="0"/>
          <w:sz w:val="24"/>
          <w:szCs w:val="24"/>
          <w:lang w:eastAsia="en-US"/>
        </w:rPr>
        <w:t>）连接地面设备及试压流程，地面流程试压</w:t>
      </w:r>
      <w:r>
        <w:rPr>
          <w:snapToGrid w:val="0"/>
          <w:color w:val="000000" w:themeColor="text1"/>
          <w:kern w:val="0"/>
          <w:sz w:val="24"/>
          <w:szCs w:val="24"/>
          <w:lang w:eastAsia="en-US"/>
        </w:rPr>
        <w:t>95MPa</w:t>
      </w:r>
      <w:r>
        <w:rPr>
          <w:snapToGrid w:val="0"/>
          <w:color w:val="000000" w:themeColor="text1"/>
          <w:kern w:val="0"/>
          <w:sz w:val="24"/>
          <w:szCs w:val="24"/>
          <w:lang w:eastAsia="en-US"/>
        </w:rPr>
        <w:t>。第</w:t>
      </w:r>
      <w:r>
        <w:rPr>
          <w:snapToGrid w:val="0"/>
          <w:color w:val="000000" w:themeColor="text1"/>
          <w:kern w:val="0"/>
          <w:sz w:val="24"/>
          <w:szCs w:val="24"/>
          <w:lang w:eastAsia="en-US"/>
        </w:rPr>
        <w:t>1</w:t>
      </w:r>
      <w:r>
        <w:rPr>
          <w:snapToGrid w:val="0"/>
          <w:color w:val="000000" w:themeColor="text1"/>
          <w:kern w:val="0"/>
          <w:sz w:val="24"/>
          <w:szCs w:val="24"/>
          <w:lang w:eastAsia="en-US"/>
        </w:rPr>
        <w:t>段采用趾端滑套施工，按照第</w:t>
      </w:r>
      <w:r>
        <w:rPr>
          <w:snapToGrid w:val="0"/>
          <w:color w:val="000000" w:themeColor="text1"/>
          <w:kern w:val="0"/>
          <w:sz w:val="24"/>
          <w:szCs w:val="24"/>
          <w:lang w:eastAsia="en-US"/>
        </w:rPr>
        <w:t>1</w:t>
      </w:r>
      <w:r>
        <w:rPr>
          <w:snapToGrid w:val="0"/>
          <w:color w:val="000000" w:themeColor="text1"/>
          <w:kern w:val="0"/>
          <w:sz w:val="24"/>
          <w:szCs w:val="24"/>
          <w:lang w:eastAsia="en-US"/>
        </w:rPr>
        <w:t>段泵注程序表施工。</w:t>
      </w:r>
    </w:p>
    <w:p w14:paraId="11FB681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2</w:t>
      </w:r>
      <w:r>
        <w:rPr>
          <w:snapToGrid w:val="0"/>
          <w:color w:val="000000" w:themeColor="text1"/>
          <w:kern w:val="0"/>
          <w:sz w:val="24"/>
          <w:szCs w:val="24"/>
          <w:lang w:eastAsia="en-US"/>
        </w:rPr>
        <w:t>）顶替</w:t>
      </w:r>
    </w:p>
    <w:p w14:paraId="74D4B9D4"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使用低温可溶桥塞的压裂段，施工后期顶替结束时降排量至</w:t>
      </w:r>
      <w:r>
        <w:rPr>
          <w:snapToGrid w:val="0"/>
          <w:color w:val="000000" w:themeColor="text1"/>
          <w:kern w:val="0"/>
          <w:sz w:val="24"/>
          <w:szCs w:val="24"/>
          <w:lang w:eastAsia="en-US"/>
        </w:rPr>
        <w:t>1</w:t>
      </w:r>
      <w:r>
        <w:rPr>
          <w:snapToGrid w:val="0"/>
          <w:color w:val="000000" w:themeColor="text1"/>
          <w:kern w:val="0"/>
          <w:sz w:val="24"/>
          <w:szCs w:val="24"/>
          <w:lang w:eastAsia="en-US"/>
        </w:rPr>
        <w:t>～</w:t>
      </w:r>
      <w:r>
        <w:rPr>
          <w:snapToGrid w:val="0"/>
          <w:color w:val="000000" w:themeColor="text1"/>
          <w:kern w:val="0"/>
          <w:sz w:val="24"/>
          <w:szCs w:val="24"/>
          <w:lang w:eastAsia="en-US"/>
        </w:rPr>
        <w:t>2m</w:t>
      </w:r>
      <w:r>
        <w:rPr>
          <w:snapToGrid w:val="0"/>
          <w:color w:val="000000" w:themeColor="text1"/>
          <w:kern w:val="0"/>
          <w:sz w:val="24"/>
          <w:szCs w:val="24"/>
          <w:vertAlign w:val="superscript"/>
          <w:lang w:eastAsia="en-US"/>
        </w:rPr>
        <w:t>3</w:t>
      </w:r>
      <w:r>
        <w:rPr>
          <w:snapToGrid w:val="0"/>
          <w:color w:val="000000" w:themeColor="text1"/>
          <w:kern w:val="0"/>
          <w:sz w:val="24"/>
          <w:szCs w:val="24"/>
          <w:lang w:eastAsia="en-US"/>
        </w:rPr>
        <w:t>/min</w:t>
      </w:r>
      <w:r>
        <w:rPr>
          <w:snapToGrid w:val="0"/>
          <w:color w:val="000000" w:themeColor="text1"/>
          <w:kern w:val="0"/>
          <w:sz w:val="24"/>
          <w:szCs w:val="24"/>
          <w:lang w:eastAsia="en-US"/>
        </w:rPr>
        <w:t>，泵入对应段号浓度的</w:t>
      </w:r>
      <w:r>
        <w:rPr>
          <w:snapToGrid w:val="0"/>
          <w:color w:val="000000" w:themeColor="text1"/>
          <w:kern w:val="0"/>
          <w:sz w:val="24"/>
          <w:szCs w:val="24"/>
          <w:lang w:eastAsia="en-US"/>
        </w:rPr>
        <w:t>KCl</w:t>
      </w:r>
      <w:r>
        <w:rPr>
          <w:snapToGrid w:val="0"/>
          <w:color w:val="000000" w:themeColor="text1"/>
          <w:kern w:val="0"/>
          <w:sz w:val="24"/>
          <w:szCs w:val="24"/>
          <w:lang w:eastAsia="en-US"/>
        </w:rPr>
        <w:t>溶液</w:t>
      </w:r>
      <w:r>
        <w:rPr>
          <w:snapToGrid w:val="0"/>
          <w:color w:val="000000" w:themeColor="text1"/>
          <w:kern w:val="0"/>
          <w:sz w:val="24"/>
          <w:szCs w:val="24"/>
          <w:lang w:eastAsia="en-US"/>
        </w:rPr>
        <w:t>3m³,</w:t>
      </w:r>
      <w:r>
        <w:rPr>
          <w:snapToGrid w:val="0"/>
          <w:color w:val="000000" w:themeColor="text1"/>
          <w:kern w:val="0"/>
          <w:sz w:val="24"/>
          <w:szCs w:val="24"/>
          <w:lang w:eastAsia="en-US"/>
        </w:rPr>
        <w:t>后用清水将</w:t>
      </w:r>
      <w:r>
        <w:rPr>
          <w:snapToGrid w:val="0"/>
          <w:color w:val="000000" w:themeColor="text1"/>
          <w:kern w:val="0"/>
          <w:sz w:val="24"/>
          <w:szCs w:val="24"/>
          <w:lang w:eastAsia="en-US"/>
        </w:rPr>
        <w:t>KCl</w:t>
      </w:r>
      <w:r>
        <w:rPr>
          <w:snapToGrid w:val="0"/>
          <w:color w:val="000000" w:themeColor="text1"/>
          <w:kern w:val="0"/>
          <w:sz w:val="24"/>
          <w:szCs w:val="24"/>
          <w:lang w:eastAsia="en-US"/>
        </w:rPr>
        <w:t>溶液替至桥塞位置，加快可溶桥塞溶解。</w:t>
      </w:r>
    </w:p>
    <w:p w14:paraId="1FE9EFCE"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3</w:t>
      </w:r>
      <w:r>
        <w:rPr>
          <w:snapToGrid w:val="0"/>
          <w:color w:val="000000" w:themeColor="text1"/>
          <w:kern w:val="0"/>
          <w:sz w:val="24"/>
          <w:szCs w:val="24"/>
          <w:lang w:eastAsia="en-US"/>
        </w:rPr>
        <w:t>、第二段压裂</w:t>
      </w:r>
    </w:p>
    <w:p w14:paraId="6CA179FD"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lastRenderedPageBreak/>
        <w:t>第二段及余下压裂段施工全部采用电缆泵送</w:t>
      </w:r>
      <w:r>
        <w:rPr>
          <w:snapToGrid w:val="0"/>
          <w:color w:val="000000" w:themeColor="text1"/>
          <w:kern w:val="0"/>
          <w:sz w:val="24"/>
          <w:szCs w:val="24"/>
          <w:lang w:eastAsia="en-US"/>
        </w:rPr>
        <w:t>-</w:t>
      </w:r>
      <w:r>
        <w:rPr>
          <w:snapToGrid w:val="0"/>
          <w:color w:val="000000" w:themeColor="text1"/>
          <w:kern w:val="0"/>
          <w:sz w:val="24"/>
          <w:szCs w:val="24"/>
          <w:lang w:eastAsia="en-US"/>
        </w:rPr>
        <w:t>桥塞</w:t>
      </w:r>
      <w:r>
        <w:rPr>
          <w:snapToGrid w:val="0"/>
          <w:color w:val="000000" w:themeColor="text1"/>
          <w:kern w:val="0"/>
          <w:sz w:val="24"/>
          <w:szCs w:val="24"/>
          <w:lang w:eastAsia="en-US"/>
        </w:rPr>
        <w:t>+</w:t>
      </w:r>
      <w:r>
        <w:rPr>
          <w:snapToGrid w:val="0"/>
          <w:color w:val="000000" w:themeColor="text1"/>
          <w:kern w:val="0"/>
          <w:sz w:val="24"/>
          <w:szCs w:val="24"/>
          <w:lang w:eastAsia="en-US"/>
        </w:rPr>
        <w:t>射孔联作技术进行桥塞坐封、射孔、压裂等工艺。</w:t>
      </w:r>
    </w:p>
    <w:p w14:paraId="09D1DC0B"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1</w:t>
      </w:r>
      <w:r>
        <w:rPr>
          <w:snapToGrid w:val="0"/>
          <w:color w:val="000000" w:themeColor="text1"/>
          <w:kern w:val="0"/>
          <w:sz w:val="24"/>
          <w:szCs w:val="24"/>
          <w:lang w:eastAsia="en-US"/>
        </w:rPr>
        <w:t>）电缆泵送</w:t>
      </w:r>
      <w:r>
        <w:rPr>
          <w:snapToGrid w:val="0"/>
          <w:color w:val="000000" w:themeColor="text1"/>
          <w:kern w:val="0"/>
          <w:sz w:val="24"/>
          <w:szCs w:val="24"/>
          <w:lang w:eastAsia="en-US"/>
        </w:rPr>
        <w:t>-</w:t>
      </w:r>
      <w:r>
        <w:rPr>
          <w:snapToGrid w:val="0"/>
          <w:color w:val="000000" w:themeColor="text1"/>
          <w:kern w:val="0"/>
          <w:sz w:val="24"/>
          <w:szCs w:val="24"/>
          <w:lang w:eastAsia="en-US"/>
        </w:rPr>
        <w:t>桥塞</w:t>
      </w:r>
      <w:r>
        <w:rPr>
          <w:snapToGrid w:val="0"/>
          <w:color w:val="000000" w:themeColor="text1"/>
          <w:kern w:val="0"/>
          <w:sz w:val="24"/>
          <w:szCs w:val="24"/>
          <w:lang w:eastAsia="en-US"/>
        </w:rPr>
        <w:t>+</w:t>
      </w:r>
      <w:r>
        <w:rPr>
          <w:snapToGrid w:val="0"/>
          <w:color w:val="000000" w:themeColor="text1"/>
          <w:kern w:val="0"/>
          <w:sz w:val="24"/>
          <w:szCs w:val="24"/>
          <w:lang w:eastAsia="en-US"/>
        </w:rPr>
        <w:t>射孔联作</w:t>
      </w:r>
    </w:p>
    <w:p w14:paraId="52F352A9"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①</w:t>
      </w:r>
      <w:r>
        <w:rPr>
          <w:snapToGrid w:val="0"/>
          <w:color w:val="000000" w:themeColor="text1"/>
          <w:kern w:val="0"/>
          <w:sz w:val="24"/>
          <w:szCs w:val="24"/>
          <w:lang w:eastAsia="en-US"/>
        </w:rPr>
        <w:t>安装模拟枪试压</w:t>
      </w:r>
    </w:p>
    <w:p w14:paraId="5BB6EDDE"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安装电缆压力控制设备并用模拟枪装入试压，进行</w:t>
      </w:r>
      <w:r>
        <w:rPr>
          <w:snapToGrid w:val="0"/>
          <w:color w:val="000000" w:themeColor="text1"/>
          <w:kern w:val="0"/>
          <w:sz w:val="24"/>
          <w:szCs w:val="24"/>
          <w:lang w:eastAsia="en-US"/>
        </w:rPr>
        <w:t>70MPa</w:t>
      </w:r>
      <w:r>
        <w:rPr>
          <w:snapToGrid w:val="0"/>
          <w:color w:val="000000" w:themeColor="text1"/>
          <w:kern w:val="0"/>
          <w:sz w:val="24"/>
          <w:szCs w:val="24"/>
          <w:lang w:eastAsia="en-US"/>
        </w:rPr>
        <w:t>和</w:t>
      </w:r>
      <w:r>
        <w:rPr>
          <w:snapToGrid w:val="0"/>
          <w:color w:val="000000" w:themeColor="text1"/>
          <w:kern w:val="0"/>
          <w:sz w:val="24"/>
          <w:szCs w:val="24"/>
          <w:lang w:eastAsia="en-US"/>
        </w:rPr>
        <w:t>3.5MPa</w:t>
      </w:r>
      <w:r>
        <w:rPr>
          <w:snapToGrid w:val="0"/>
          <w:color w:val="000000" w:themeColor="text1"/>
          <w:kern w:val="0"/>
          <w:sz w:val="24"/>
          <w:szCs w:val="24"/>
          <w:lang w:eastAsia="en-US"/>
        </w:rPr>
        <w:t>的高低压测试各</w:t>
      </w:r>
      <w:r>
        <w:rPr>
          <w:snapToGrid w:val="0"/>
          <w:color w:val="000000" w:themeColor="text1"/>
          <w:kern w:val="0"/>
          <w:sz w:val="24"/>
          <w:szCs w:val="24"/>
          <w:lang w:eastAsia="en-US"/>
        </w:rPr>
        <w:t>10min</w:t>
      </w:r>
      <w:r>
        <w:rPr>
          <w:snapToGrid w:val="0"/>
          <w:color w:val="000000" w:themeColor="text1"/>
          <w:kern w:val="0"/>
          <w:sz w:val="24"/>
          <w:szCs w:val="24"/>
          <w:lang w:eastAsia="en-US"/>
        </w:rPr>
        <w:t>，压降小于</w:t>
      </w:r>
      <w:r>
        <w:rPr>
          <w:snapToGrid w:val="0"/>
          <w:color w:val="000000" w:themeColor="text1"/>
          <w:kern w:val="0"/>
          <w:sz w:val="24"/>
          <w:szCs w:val="24"/>
          <w:lang w:eastAsia="en-US"/>
        </w:rPr>
        <w:t>0.5MPa</w:t>
      </w:r>
      <w:r>
        <w:rPr>
          <w:snapToGrid w:val="0"/>
          <w:color w:val="000000" w:themeColor="text1"/>
          <w:kern w:val="0"/>
          <w:sz w:val="24"/>
          <w:szCs w:val="24"/>
          <w:lang w:eastAsia="en-US"/>
        </w:rPr>
        <w:t>为合格。检查仪器重量是否足够克服因井下压力而产生的举力而自由下井，卸压并拆下模拟枪串。</w:t>
      </w:r>
    </w:p>
    <w:p w14:paraId="13D03AA3"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②</w:t>
      </w:r>
      <w:r>
        <w:rPr>
          <w:snapToGrid w:val="0"/>
          <w:color w:val="000000" w:themeColor="text1"/>
          <w:kern w:val="0"/>
          <w:sz w:val="24"/>
          <w:szCs w:val="24"/>
          <w:lang w:eastAsia="en-US"/>
        </w:rPr>
        <w:t>组装射孔工具串</w:t>
      </w:r>
    </w:p>
    <w:p w14:paraId="366642A7"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射孔工程师排出枪柱图并组织装枪，射孔人员严格按射孔操作规程和安全规定进行操作，确保装枪质量合格。</w:t>
      </w:r>
    </w:p>
    <w:p w14:paraId="0C17C66E" w14:textId="77777777" w:rsidR="002E0859" w:rsidRDefault="00000000">
      <w:pPr>
        <w:pStyle w:val="a0"/>
        <w:spacing w:line="360" w:lineRule="auto"/>
        <w:ind w:firstLine="480"/>
        <w:rPr>
          <w:snapToGrid w:val="0"/>
          <w:color w:val="000000" w:themeColor="text1"/>
          <w:kern w:val="0"/>
          <w:sz w:val="24"/>
          <w:szCs w:val="24"/>
          <w:lang w:eastAsia="en-US"/>
        </w:rPr>
      </w:pPr>
      <w:r>
        <w:rPr>
          <w:rFonts w:ascii="宋体" w:hAnsi="宋体" w:cs="宋体" w:hint="eastAsia"/>
          <w:snapToGrid w:val="0"/>
          <w:color w:val="000000" w:themeColor="text1"/>
          <w:kern w:val="0"/>
          <w:sz w:val="24"/>
          <w:szCs w:val="24"/>
          <w:lang w:eastAsia="en-US"/>
        </w:rPr>
        <w:t>③</w:t>
      </w:r>
      <w:r>
        <w:rPr>
          <w:snapToGrid w:val="0"/>
          <w:color w:val="000000" w:themeColor="text1"/>
          <w:kern w:val="0"/>
          <w:sz w:val="24"/>
          <w:szCs w:val="24"/>
          <w:lang w:eastAsia="en-US"/>
        </w:rPr>
        <w:t>下放电缆速度及泵送排量执行表</w:t>
      </w:r>
      <w:r>
        <w:rPr>
          <w:rFonts w:hint="eastAsia"/>
          <w:snapToGrid w:val="0"/>
          <w:color w:val="000000" w:themeColor="text1"/>
          <w:kern w:val="0"/>
          <w:sz w:val="24"/>
          <w:szCs w:val="24"/>
        </w:rPr>
        <w:t>2.5-12</w:t>
      </w:r>
      <w:r>
        <w:rPr>
          <w:snapToGrid w:val="0"/>
          <w:color w:val="000000" w:themeColor="text1"/>
          <w:kern w:val="0"/>
          <w:sz w:val="24"/>
          <w:szCs w:val="24"/>
          <w:lang w:eastAsia="en-US"/>
        </w:rPr>
        <w:t>的规定。</w:t>
      </w:r>
    </w:p>
    <w:p w14:paraId="07242190" w14:textId="77777777" w:rsidR="002E0859" w:rsidRDefault="00000000">
      <w:pPr>
        <w:widowControl/>
        <w:kinsoku w:val="0"/>
        <w:topLinePunct w:val="0"/>
        <w:autoSpaceDE w:val="0"/>
        <w:autoSpaceDN w:val="0"/>
        <w:spacing w:line="240" w:lineRule="auto"/>
        <w:ind w:firstLineChars="0" w:firstLine="0"/>
        <w:jc w:val="center"/>
        <w:textAlignment w:val="baseline"/>
        <w:rPr>
          <w:rFonts w:ascii="黑体" w:eastAsia="黑体" w:hAnsi="黑体" w:cs="黑体"/>
          <w:snapToGrid w:val="0"/>
          <w:color w:val="000000" w:themeColor="text1"/>
          <w:spacing w:val="-1"/>
          <w:kern w:val="0"/>
          <w:sz w:val="21"/>
          <w:szCs w:val="21"/>
          <w:lang w:eastAsia="en-US"/>
        </w:rPr>
      </w:pPr>
      <w:r>
        <w:rPr>
          <w:rFonts w:ascii="黑体" w:eastAsia="黑体" w:hAnsi="黑体" w:cs="黑体"/>
          <w:snapToGrid w:val="0"/>
          <w:color w:val="000000" w:themeColor="text1"/>
          <w:spacing w:val="-1"/>
          <w:kern w:val="0"/>
          <w:sz w:val="21"/>
          <w:szCs w:val="21"/>
          <w:lang w:eastAsia="en-US"/>
        </w:rPr>
        <w:t>表</w:t>
      </w:r>
      <w:r>
        <w:rPr>
          <w:rFonts w:eastAsia="黑体"/>
          <w:snapToGrid w:val="0"/>
          <w:color w:val="000000" w:themeColor="text1"/>
          <w:spacing w:val="-1"/>
          <w:kern w:val="0"/>
          <w:sz w:val="21"/>
          <w:szCs w:val="21"/>
        </w:rPr>
        <w:t>2.5-12</w:t>
      </w:r>
      <w:r>
        <w:rPr>
          <w:rFonts w:eastAsia="黑体" w:hint="eastAsia"/>
          <w:snapToGrid w:val="0"/>
          <w:color w:val="000000" w:themeColor="text1"/>
          <w:spacing w:val="-1"/>
          <w:kern w:val="0"/>
          <w:sz w:val="21"/>
          <w:szCs w:val="21"/>
        </w:rPr>
        <w:t xml:space="preserve"> </w:t>
      </w:r>
      <w:r>
        <w:rPr>
          <w:rFonts w:ascii="黑体" w:eastAsia="黑体" w:hAnsi="黑体" w:cs="黑体"/>
          <w:snapToGrid w:val="0"/>
          <w:color w:val="000000" w:themeColor="text1"/>
          <w:spacing w:val="-1"/>
          <w:kern w:val="0"/>
          <w:sz w:val="21"/>
          <w:szCs w:val="21"/>
          <w:lang w:eastAsia="en-US"/>
        </w:rPr>
        <w:t>电缆下放速度和排量</w:t>
      </w:r>
    </w:p>
    <w:p w14:paraId="10283C40" w14:textId="77777777" w:rsidR="002E0859" w:rsidRDefault="002E0859">
      <w:pPr>
        <w:widowControl/>
        <w:topLinePunct w:val="0"/>
        <w:autoSpaceDE w:val="0"/>
        <w:autoSpaceDN w:val="0"/>
        <w:spacing w:line="114" w:lineRule="auto"/>
        <w:ind w:firstLineChars="0" w:firstLine="0"/>
        <w:jc w:val="left"/>
        <w:textAlignment w:val="baseline"/>
        <w:rPr>
          <w:snapToGrid w:val="0"/>
          <w:color w:val="000000" w:themeColor="text1"/>
          <w:kern w:val="0"/>
          <w:sz w:val="2"/>
          <w:szCs w:val="21"/>
          <w:lang w:eastAsia="en-US"/>
        </w:rPr>
      </w:pPr>
    </w:p>
    <w:tbl>
      <w:tblPr>
        <w:tblStyle w:val="TableNormal"/>
        <w:tblW w:w="8974"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883"/>
        <w:gridCol w:w="2656"/>
        <w:gridCol w:w="3435"/>
      </w:tblGrid>
      <w:tr w:rsidR="002E0859" w14:paraId="7F84B56A" w14:textId="77777777">
        <w:trPr>
          <w:trHeight w:val="294"/>
          <w:jc w:val="center"/>
        </w:trPr>
        <w:tc>
          <w:tcPr>
            <w:tcW w:w="2883" w:type="dxa"/>
            <w:tcBorders>
              <w:tl2br w:val="nil"/>
              <w:tr2bl w:val="nil"/>
            </w:tcBorders>
            <w:vAlign w:val="center"/>
          </w:tcPr>
          <w:p w14:paraId="729C19C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井深位置</w:t>
            </w:r>
          </w:p>
        </w:tc>
        <w:tc>
          <w:tcPr>
            <w:tcW w:w="2656" w:type="dxa"/>
            <w:tcBorders>
              <w:tl2br w:val="nil"/>
              <w:tr2bl w:val="nil"/>
            </w:tcBorders>
            <w:vAlign w:val="center"/>
          </w:tcPr>
          <w:p w14:paraId="699689F0"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排量</w:t>
            </w:r>
            <w:r>
              <w:rPr>
                <w:snapToGrid w:val="0"/>
                <w:color w:val="000000" w:themeColor="text1"/>
                <w:kern w:val="0"/>
                <w:sz w:val="21"/>
                <w:szCs w:val="21"/>
                <w:lang w:eastAsia="en-US"/>
              </w:rPr>
              <w:t>m³/min</w:t>
            </w:r>
          </w:p>
        </w:tc>
        <w:tc>
          <w:tcPr>
            <w:tcW w:w="3435" w:type="dxa"/>
            <w:tcBorders>
              <w:tl2br w:val="nil"/>
              <w:tr2bl w:val="nil"/>
            </w:tcBorders>
            <w:vAlign w:val="center"/>
          </w:tcPr>
          <w:p w14:paraId="4F36AC81"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电缆下放速度</w:t>
            </w:r>
            <w:r>
              <w:rPr>
                <w:snapToGrid w:val="0"/>
                <w:color w:val="000000" w:themeColor="text1"/>
                <w:kern w:val="0"/>
                <w:sz w:val="21"/>
                <w:szCs w:val="21"/>
                <w:lang w:eastAsia="en-US"/>
              </w:rPr>
              <w:t>m/h</w:t>
            </w:r>
          </w:p>
        </w:tc>
      </w:tr>
      <w:tr w:rsidR="002E0859" w14:paraId="4EF0CF4F" w14:textId="77777777">
        <w:trPr>
          <w:trHeight w:val="287"/>
          <w:jc w:val="center"/>
        </w:trPr>
        <w:tc>
          <w:tcPr>
            <w:tcW w:w="2883" w:type="dxa"/>
            <w:tcBorders>
              <w:tl2br w:val="nil"/>
              <w:tr2bl w:val="nil"/>
            </w:tcBorders>
            <w:vAlign w:val="center"/>
          </w:tcPr>
          <w:p w14:paraId="21309A92"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井口</w:t>
            </w:r>
            <w:r>
              <w:rPr>
                <w:snapToGrid w:val="0"/>
                <w:color w:val="000000" w:themeColor="text1"/>
                <w:kern w:val="0"/>
                <w:sz w:val="21"/>
                <w:szCs w:val="21"/>
                <w:lang w:eastAsia="en-US"/>
              </w:rPr>
              <w:t>-100m</w:t>
            </w:r>
          </w:p>
        </w:tc>
        <w:tc>
          <w:tcPr>
            <w:tcW w:w="2656" w:type="dxa"/>
            <w:tcBorders>
              <w:tl2br w:val="nil"/>
              <w:tr2bl w:val="nil"/>
            </w:tcBorders>
            <w:vAlign w:val="center"/>
          </w:tcPr>
          <w:p w14:paraId="60A69EA4"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435" w:type="dxa"/>
            <w:tcBorders>
              <w:tl2br w:val="nil"/>
              <w:tr2bl w:val="nil"/>
            </w:tcBorders>
            <w:vAlign w:val="center"/>
          </w:tcPr>
          <w:p w14:paraId="7320DDFB"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600</w:t>
            </w:r>
          </w:p>
        </w:tc>
      </w:tr>
      <w:tr w:rsidR="002E0859" w14:paraId="4F5B6D13" w14:textId="77777777">
        <w:trPr>
          <w:trHeight w:val="290"/>
          <w:jc w:val="center"/>
        </w:trPr>
        <w:tc>
          <w:tcPr>
            <w:tcW w:w="2883" w:type="dxa"/>
            <w:tcBorders>
              <w:tl2br w:val="nil"/>
              <w:tr2bl w:val="nil"/>
            </w:tcBorders>
            <w:vAlign w:val="center"/>
          </w:tcPr>
          <w:p w14:paraId="074DDD8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直井段</w:t>
            </w:r>
          </w:p>
        </w:tc>
        <w:tc>
          <w:tcPr>
            <w:tcW w:w="2656" w:type="dxa"/>
            <w:tcBorders>
              <w:tl2br w:val="nil"/>
              <w:tr2bl w:val="nil"/>
            </w:tcBorders>
            <w:vAlign w:val="center"/>
          </w:tcPr>
          <w:p w14:paraId="51390126"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435" w:type="dxa"/>
            <w:tcBorders>
              <w:tl2br w:val="nil"/>
              <w:tr2bl w:val="nil"/>
            </w:tcBorders>
            <w:vAlign w:val="center"/>
          </w:tcPr>
          <w:p w14:paraId="12EDFEF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3600-4000</w:t>
            </w:r>
          </w:p>
        </w:tc>
      </w:tr>
      <w:tr w:rsidR="002E0859" w14:paraId="66A56F57" w14:textId="77777777">
        <w:trPr>
          <w:trHeight w:val="287"/>
          <w:jc w:val="center"/>
        </w:trPr>
        <w:tc>
          <w:tcPr>
            <w:tcW w:w="2883" w:type="dxa"/>
            <w:tcBorders>
              <w:tl2br w:val="nil"/>
              <w:tr2bl w:val="nil"/>
            </w:tcBorders>
            <w:vAlign w:val="center"/>
          </w:tcPr>
          <w:p w14:paraId="01744AD9"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直井段</w:t>
            </w:r>
            <w:r>
              <w:rPr>
                <w:snapToGrid w:val="0"/>
                <w:color w:val="000000" w:themeColor="text1"/>
                <w:kern w:val="0"/>
                <w:sz w:val="21"/>
                <w:szCs w:val="21"/>
                <w:lang w:eastAsia="en-US"/>
              </w:rPr>
              <w:t>-30°</w:t>
            </w:r>
            <w:r>
              <w:rPr>
                <w:snapToGrid w:val="0"/>
                <w:color w:val="000000" w:themeColor="text1"/>
                <w:kern w:val="0"/>
                <w:sz w:val="21"/>
                <w:szCs w:val="21"/>
                <w:lang w:eastAsia="en-US"/>
              </w:rPr>
              <w:t>井斜</w:t>
            </w:r>
          </w:p>
        </w:tc>
        <w:tc>
          <w:tcPr>
            <w:tcW w:w="2656" w:type="dxa"/>
            <w:tcBorders>
              <w:tl2br w:val="nil"/>
              <w:tr2bl w:val="nil"/>
            </w:tcBorders>
            <w:vAlign w:val="center"/>
          </w:tcPr>
          <w:p w14:paraId="65680B3F"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0.5</w:t>
            </w:r>
          </w:p>
        </w:tc>
        <w:tc>
          <w:tcPr>
            <w:tcW w:w="3435" w:type="dxa"/>
            <w:tcBorders>
              <w:tl2br w:val="nil"/>
              <w:tr2bl w:val="nil"/>
            </w:tcBorders>
            <w:vAlign w:val="center"/>
          </w:tcPr>
          <w:p w14:paraId="6384545D"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&lt;3000</w:t>
            </w:r>
          </w:p>
        </w:tc>
      </w:tr>
      <w:tr w:rsidR="002E0859" w14:paraId="1A41823F" w14:textId="77777777">
        <w:trPr>
          <w:trHeight w:val="290"/>
          <w:jc w:val="center"/>
        </w:trPr>
        <w:tc>
          <w:tcPr>
            <w:tcW w:w="2883" w:type="dxa"/>
            <w:tcBorders>
              <w:tl2br w:val="nil"/>
              <w:tr2bl w:val="nil"/>
            </w:tcBorders>
            <w:vAlign w:val="center"/>
          </w:tcPr>
          <w:p w14:paraId="73AD4A99"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30°</w:t>
            </w:r>
            <w:r>
              <w:rPr>
                <w:snapToGrid w:val="0"/>
                <w:color w:val="000000" w:themeColor="text1"/>
                <w:kern w:val="0"/>
                <w:sz w:val="21"/>
                <w:szCs w:val="21"/>
                <w:lang w:eastAsia="en-US"/>
              </w:rPr>
              <w:t>井斜</w:t>
            </w:r>
            <w:r>
              <w:rPr>
                <w:snapToGrid w:val="0"/>
                <w:color w:val="000000" w:themeColor="text1"/>
                <w:kern w:val="0"/>
                <w:sz w:val="21"/>
                <w:szCs w:val="21"/>
                <w:lang w:eastAsia="en-US"/>
              </w:rPr>
              <w:t>-45°</w:t>
            </w:r>
            <w:r>
              <w:rPr>
                <w:snapToGrid w:val="0"/>
                <w:color w:val="000000" w:themeColor="text1"/>
                <w:kern w:val="0"/>
                <w:sz w:val="21"/>
                <w:szCs w:val="21"/>
                <w:lang w:eastAsia="en-US"/>
              </w:rPr>
              <w:t>井斜</w:t>
            </w:r>
          </w:p>
        </w:tc>
        <w:tc>
          <w:tcPr>
            <w:tcW w:w="2656" w:type="dxa"/>
            <w:tcBorders>
              <w:tl2br w:val="nil"/>
              <w:tr2bl w:val="nil"/>
            </w:tcBorders>
            <w:vAlign w:val="center"/>
          </w:tcPr>
          <w:p w14:paraId="5A13C24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0.5</w:t>
            </w:r>
          </w:p>
        </w:tc>
        <w:tc>
          <w:tcPr>
            <w:tcW w:w="3435" w:type="dxa"/>
            <w:tcBorders>
              <w:tl2br w:val="nil"/>
              <w:tr2bl w:val="nil"/>
            </w:tcBorders>
            <w:vAlign w:val="center"/>
          </w:tcPr>
          <w:p w14:paraId="4311BB0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&lt;3600</w:t>
            </w:r>
          </w:p>
        </w:tc>
      </w:tr>
      <w:tr w:rsidR="002E0859" w14:paraId="6DD1C9FA" w14:textId="77777777">
        <w:trPr>
          <w:trHeight w:val="287"/>
          <w:jc w:val="center"/>
        </w:trPr>
        <w:tc>
          <w:tcPr>
            <w:tcW w:w="2883" w:type="dxa"/>
            <w:tcBorders>
              <w:tl2br w:val="nil"/>
              <w:tr2bl w:val="nil"/>
            </w:tcBorders>
            <w:vAlign w:val="center"/>
          </w:tcPr>
          <w:p w14:paraId="5E2E57EB"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45°</w:t>
            </w:r>
            <w:r>
              <w:rPr>
                <w:snapToGrid w:val="0"/>
                <w:color w:val="000000" w:themeColor="text1"/>
                <w:kern w:val="0"/>
                <w:sz w:val="21"/>
                <w:szCs w:val="21"/>
                <w:lang w:eastAsia="en-US"/>
              </w:rPr>
              <w:t>井斜</w:t>
            </w:r>
            <w:r>
              <w:rPr>
                <w:snapToGrid w:val="0"/>
                <w:color w:val="000000" w:themeColor="text1"/>
                <w:kern w:val="0"/>
                <w:sz w:val="21"/>
                <w:szCs w:val="21"/>
                <w:lang w:eastAsia="en-US"/>
              </w:rPr>
              <w:t>-60°</w:t>
            </w:r>
            <w:r>
              <w:rPr>
                <w:snapToGrid w:val="0"/>
                <w:color w:val="000000" w:themeColor="text1"/>
                <w:kern w:val="0"/>
                <w:sz w:val="21"/>
                <w:szCs w:val="21"/>
                <w:lang w:eastAsia="en-US"/>
              </w:rPr>
              <w:t>井斜</w:t>
            </w:r>
          </w:p>
        </w:tc>
        <w:tc>
          <w:tcPr>
            <w:tcW w:w="2656" w:type="dxa"/>
            <w:tcBorders>
              <w:tl2br w:val="nil"/>
              <w:tr2bl w:val="nil"/>
            </w:tcBorders>
            <w:vAlign w:val="center"/>
          </w:tcPr>
          <w:p w14:paraId="32EFB295"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0.9</w:t>
            </w:r>
          </w:p>
        </w:tc>
        <w:tc>
          <w:tcPr>
            <w:tcW w:w="3435" w:type="dxa"/>
            <w:tcBorders>
              <w:tl2br w:val="nil"/>
              <w:tr2bl w:val="nil"/>
            </w:tcBorders>
            <w:vAlign w:val="center"/>
          </w:tcPr>
          <w:p w14:paraId="30A2BA4C"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&lt;3600</w:t>
            </w:r>
          </w:p>
        </w:tc>
      </w:tr>
      <w:tr w:rsidR="002E0859" w14:paraId="2D5EF08A" w14:textId="77777777">
        <w:trPr>
          <w:trHeight w:val="290"/>
          <w:jc w:val="center"/>
        </w:trPr>
        <w:tc>
          <w:tcPr>
            <w:tcW w:w="2883" w:type="dxa"/>
            <w:tcBorders>
              <w:tl2br w:val="nil"/>
              <w:tr2bl w:val="nil"/>
            </w:tcBorders>
            <w:vAlign w:val="center"/>
          </w:tcPr>
          <w:p w14:paraId="243E69E4"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60°</w:t>
            </w:r>
            <w:r>
              <w:rPr>
                <w:snapToGrid w:val="0"/>
                <w:color w:val="000000" w:themeColor="text1"/>
                <w:kern w:val="0"/>
                <w:sz w:val="21"/>
                <w:szCs w:val="21"/>
                <w:lang w:eastAsia="en-US"/>
              </w:rPr>
              <w:t>井斜</w:t>
            </w:r>
            <w:r>
              <w:rPr>
                <w:snapToGrid w:val="0"/>
                <w:color w:val="000000" w:themeColor="text1"/>
                <w:kern w:val="0"/>
                <w:sz w:val="21"/>
                <w:szCs w:val="21"/>
                <w:lang w:eastAsia="en-US"/>
              </w:rPr>
              <w:t>-75°</w:t>
            </w:r>
            <w:r>
              <w:rPr>
                <w:snapToGrid w:val="0"/>
                <w:color w:val="000000" w:themeColor="text1"/>
                <w:kern w:val="0"/>
                <w:sz w:val="21"/>
                <w:szCs w:val="21"/>
                <w:lang w:eastAsia="en-US"/>
              </w:rPr>
              <w:t>井斜</w:t>
            </w:r>
          </w:p>
        </w:tc>
        <w:tc>
          <w:tcPr>
            <w:tcW w:w="2656" w:type="dxa"/>
            <w:tcBorders>
              <w:tl2br w:val="nil"/>
              <w:tr2bl w:val="nil"/>
            </w:tcBorders>
            <w:vAlign w:val="center"/>
          </w:tcPr>
          <w:p w14:paraId="0971233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1.3</w:t>
            </w:r>
          </w:p>
        </w:tc>
        <w:tc>
          <w:tcPr>
            <w:tcW w:w="3435" w:type="dxa"/>
            <w:tcBorders>
              <w:tl2br w:val="nil"/>
              <w:tr2bl w:val="nil"/>
            </w:tcBorders>
            <w:vAlign w:val="center"/>
          </w:tcPr>
          <w:p w14:paraId="546121E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&lt;3600</w:t>
            </w:r>
          </w:p>
        </w:tc>
      </w:tr>
      <w:tr w:rsidR="002E0859" w14:paraId="1A997CAA" w14:textId="77777777">
        <w:trPr>
          <w:trHeight w:val="287"/>
          <w:jc w:val="center"/>
        </w:trPr>
        <w:tc>
          <w:tcPr>
            <w:tcW w:w="2883" w:type="dxa"/>
            <w:tcBorders>
              <w:tl2br w:val="nil"/>
              <w:tr2bl w:val="nil"/>
            </w:tcBorders>
            <w:vAlign w:val="center"/>
          </w:tcPr>
          <w:p w14:paraId="2E3EB281"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75°</w:t>
            </w:r>
            <w:r>
              <w:rPr>
                <w:snapToGrid w:val="0"/>
                <w:color w:val="000000" w:themeColor="text1"/>
                <w:kern w:val="0"/>
                <w:sz w:val="21"/>
                <w:szCs w:val="21"/>
                <w:lang w:eastAsia="en-US"/>
              </w:rPr>
              <w:t>井斜</w:t>
            </w:r>
            <w:r>
              <w:rPr>
                <w:snapToGrid w:val="0"/>
                <w:color w:val="000000" w:themeColor="text1"/>
                <w:kern w:val="0"/>
                <w:sz w:val="21"/>
                <w:szCs w:val="21"/>
                <w:lang w:eastAsia="en-US"/>
              </w:rPr>
              <w:t>-</w:t>
            </w:r>
            <w:r>
              <w:rPr>
                <w:snapToGrid w:val="0"/>
                <w:color w:val="000000" w:themeColor="text1"/>
                <w:kern w:val="0"/>
                <w:sz w:val="21"/>
                <w:szCs w:val="21"/>
                <w:lang w:eastAsia="en-US"/>
              </w:rPr>
              <w:t>（桥塞位置</w:t>
            </w:r>
            <w:r>
              <w:rPr>
                <w:snapToGrid w:val="0"/>
                <w:color w:val="000000" w:themeColor="text1"/>
                <w:kern w:val="0"/>
                <w:sz w:val="21"/>
                <w:szCs w:val="21"/>
                <w:lang w:eastAsia="en-US"/>
              </w:rPr>
              <w:t>-100m</w:t>
            </w:r>
            <w:r>
              <w:rPr>
                <w:snapToGrid w:val="0"/>
                <w:color w:val="000000" w:themeColor="text1"/>
                <w:kern w:val="0"/>
                <w:sz w:val="21"/>
                <w:szCs w:val="21"/>
                <w:lang w:eastAsia="en-US"/>
              </w:rPr>
              <w:t>）</w:t>
            </w:r>
          </w:p>
        </w:tc>
        <w:tc>
          <w:tcPr>
            <w:tcW w:w="2656" w:type="dxa"/>
            <w:tcBorders>
              <w:tl2br w:val="nil"/>
              <w:tr2bl w:val="nil"/>
            </w:tcBorders>
            <w:vAlign w:val="center"/>
          </w:tcPr>
          <w:p w14:paraId="3652C692"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1.5-2.0</w:t>
            </w:r>
          </w:p>
        </w:tc>
        <w:tc>
          <w:tcPr>
            <w:tcW w:w="3435" w:type="dxa"/>
            <w:tcBorders>
              <w:tl2br w:val="nil"/>
              <w:tr2bl w:val="nil"/>
            </w:tcBorders>
            <w:vAlign w:val="center"/>
          </w:tcPr>
          <w:p w14:paraId="2098A25D"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&lt;3600</w:t>
            </w:r>
          </w:p>
        </w:tc>
      </w:tr>
      <w:tr w:rsidR="002E0859" w14:paraId="75E2CC71" w14:textId="77777777">
        <w:trPr>
          <w:trHeight w:val="294"/>
          <w:jc w:val="center"/>
        </w:trPr>
        <w:tc>
          <w:tcPr>
            <w:tcW w:w="2883" w:type="dxa"/>
            <w:tcBorders>
              <w:tl2br w:val="nil"/>
              <w:tr2bl w:val="nil"/>
            </w:tcBorders>
            <w:vAlign w:val="center"/>
          </w:tcPr>
          <w:p w14:paraId="0D50460D"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最后</w:t>
            </w:r>
            <w:r>
              <w:rPr>
                <w:snapToGrid w:val="0"/>
                <w:color w:val="000000" w:themeColor="text1"/>
                <w:kern w:val="0"/>
                <w:sz w:val="21"/>
                <w:szCs w:val="21"/>
                <w:lang w:eastAsia="en-US"/>
              </w:rPr>
              <w:t>100m</w:t>
            </w:r>
          </w:p>
        </w:tc>
        <w:tc>
          <w:tcPr>
            <w:tcW w:w="2656" w:type="dxa"/>
            <w:tcBorders>
              <w:tl2br w:val="nil"/>
              <w:tr2bl w:val="nil"/>
            </w:tcBorders>
            <w:vAlign w:val="center"/>
          </w:tcPr>
          <w:p w14:paraId="5B9C0E5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1.5-2.0</w:t>
            </w:r>
          </w:p>
        </w:tc>
        <w:tc>
          <w:tcPr>
            <w:tcW w:w="3435" w:type="dxa"/>
            <w:tcBorders>
              <w:tl2br w:val="nil"/>
              <w:tr2bl w:val="nil"/>
            </w:tcBorders>
            <w:vAlign w:val="center"/>
          </w:tcPr>
          <w:p w14:paraId="0CDF844A" w14:textId="77777777" w:rsidR="002E0859" w:rsidRDefault="00000000">
            <w:pPr>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&lt;3000</w:t>
            </w:r>
          </w:p>
        </w:tc>
      </w:tr>
    </w:tbl>
    <w:p w14:paraId="18CA08C8" w14:textId="77777777" w:rsidR="002E0859" w:rsidRDefault="00000000">
      <w:pPr>
        <w:widowControl/>
        <w:topLinePunct w:val="0"/>
        <w:autoSpaceDE w:val="0"/>
        <w:autoSpaceDN w:val="0"/>
        <w:spacing w:beforeLines="50" w:before="120"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④</w:t>
      </w:r>
      <w:r>
        <w:rPr>
          <w:snapToGrid w:val="0"/>
          <w:color w:val="000000" w:themeColor="text1"/>
          <w:kern w:val="0"/>
          <w:sz w:val="24"/>
          <w:szCs w:val="24"/>
          <w:lang w:eastAsia="en-US"/>
        </w:rPr>
        <w:t>校深</w:t>
      </w:r>
    </w:p>
    <w:p w14:paraId="19BFB2B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当磁定位仪下到第一个短套管以下适当深度（以能伸直并绷紧电缆为准），然后上提用磁定位仪校深。</w:t>
      </w:r>
    </w:p>
    <w:p w14:paraId="6A377942"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⑤</w:t>
      </w:r>
      <w:r>
        <w:rPr>
          <w:snapToGrid w:val="0"/>
          <w:color w:val="000000" w:themeColor="text1"/>
          <w:kern w:val="0"/>
          <w:sz w:val="24"/>
          <w:szCs w:val="24"/>
          <w:lang w:eastAsia="en-US"/>
        </w:rPr>
        <w:t>坐封桥塞</w:t>
      </w:r>
    </w:p>
    <w:p w14:paraId="6D33B8F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⑥</w:t>
      </w:r>
      <w:r>
        <w:rPr>
          <w:snapToGrid w:val="0"/>
          <w:color w:val="000000" w:themeColor="text1"/>
          <w:kern w:val="0"/>
          <w:sz w:val="24"/>
          <w:szCs w:val="24"/>
          <w:lang w:eastAsia="en-US"/>
        </w:rPr>
        <w:t>验封：在上一段压裂施工停泵压力基础上增加压力</w:t>
      </w:r>
      <w:r>
        <w:rPr>
          <w:snapToGrid w:val="0"/>
          <w:color w:val="000000" w:themeColor="text1"/>
          <w:kern w:val="0"/>
          <w:sz w:val="24"/>
          <w:szCs w:val="24"/>
          <w:lang w:eastAsia="en-US"/>
        </w:rPr>
        <w:t>15MPa</w:t>
      </w:r>
      <w:r>
        <w:rPr>
          <w:snapToGrid w:val="0"/>
          <w:color w:val="000000" w:themeColor="text1"/>
          <w:kern w:val="0"/>
          <w:sz w:val="24"/>
          <w:szCs w:val="24"/>
          <w:lang w:eastAsia="en-US"/>
        </w:rPr>
        <w:t>，稳压</w:t>
      </w:r>
      <w:r>
        <w:rPr>
          <w:snapToGrid w:val="0"/>
          <w:color w:val="000000" w:themeColor="text1"/>
          <w:kern w:val="0"/>
          <w:sz w:val="24"/>
          <w:szCs w:val="24"/>
          <w:lang w:eastAsia="en-US"/>
        </w:rPr>
        <w:t>15min</w:t>
      </w:r>
      <w:r>
        <w:rPr>
          <w:snapToGrid w:val="0"/>
          <w:color w:val="000000" w:themeColor="text1"/>
          <w:kern w:val="0"/>
          <w:sz w:val="24"/>
          <w:szCs w:val="24"/>
          <w:lang w:eastAsia="en-US"/>
        </w:rPr>
        <w:t>，压降小于</w:t>
      </w:r>
      <w:r>
        <w:rPr>
          <w:snapToGrid w:val="0"/>
          <w:color w:val="000000" w:themeColor="text1"/>
          <w:kern w:val="0"/>
          <w:sz w:val="24"/>
          <w:szCs w:val="24"/>
          <w:lang w:eastAsia="en-US"/>
        </w:rPr>
        <w:t>0.5MPa</w:t>
      </w:r>
      <w:r>
        <w:rPr>
          <w:snapToGrid w:val="0"/>
          <w:color w:val="000000" w:themeColor="text1"/>
          <w:kern w:val="0"/>
          <w:sz w:val="24"/>
          <w:szCs w:val="24"/>
          <w:lang w:eastAsia="en-US"/>
        </w:rPr>
        <w:t>，则验封合格。</w:t>
      </w:r>
    </w:p>
    <w:p w14:paraId="744B82FD"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⑦</w:t>
      </w:r>
      <w:r>
        <w:rPr>
          <w:snapToGrid w:val="0"/>
          <w:color w:val="000000" w:themeColor="text1"/>
          <w:kern w:val="0"/>
          <w:sz w:val="24"/>
          <w:szCs w:val="24"/>
          <w:lang w:eastAsia="en-US"/>
        </w:rPr>
        <w:t>重复步骤完成剩下的设计射孔簇。</w:t>
      </w:r>
    </w:p>
    <w:p w14:paraId="0FED2B02"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⑧</w:t>
      </w:r>
      <w:r>
        <w:rPr>
          <w:snapToGrid w:val="0"/>
          <w:color w:val="000000" w:themeColor="text1"/>
          <w:kern w:val="0"/>
          <w:sz w:val="24"/>
          <w:szCs w:val="24"/>
          <w:lang w:eastAsia="en-US"/>
        </w:rPr>
        <w:t>上提电缆，检验射孔发射率。</w:t>
      </w:r>
    </w:p>
    <w:p w14:paraId="1897B263"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2</w:t>
      </w:r>
      <w:r>
        <w:rPr>
          <w:snapToGrid w:val="0"/>
          <w:color w:val="000000" w:themeColor="text1"/>
          <w:kern w:val="0"/>
          <w:sz w:val="24"/>
          <w:szCs w:val="24"/>
          <w:lang w:eastAsia="en-US"/>
        </w:rPr>
        <w:t>）第二段进行压裂。</w:t>
      </w:r>
    </w:p>
    <w:p w14:paraId="0EA33E7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3</w:t>
      </w:r>
      <w:r>
        <w:rPr>
          <w:snapToGrid w:val="0"/>
          <w:color w:val="000000" w:themeColor="text1"/>
          <w:kern w:val="0"/>
          <w:sz w:val="24"/>
          <w:szCs w:val="24"/>
          <w:lang w:eastAsia="en-US"/>
        </w:rPr>
        <w:t>）顶替</w:t>
      </w:r>
    </w:p>
    <w:p w14:paraId="279FD4B7" w14:textId="77777777" w:rsidR="002E0859" w:rsidRDefault="00000000">
      <w:pPr>
        <w:widowControl/>
        <w:topLinePunct w:val="0"/>
        <w:autoSpaceDE w:val="0"/>
        <w:autoSpaceDN w:val="0"/>
        <w:spacing w:line="360" w:lineRule="auto"/>
        <w:ind w:firstLineChars="0" w:firstLine="36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使用低温可溶桥塞的压裂段，施工后期顶替结束时降排量至</w:t>
      </w:r>
      <w:r>
        <w:rPr>
          <w:snapToGrid w:val="0"/>
          <w:color w:val="000000" w:themeColor="text1"/>
          <w:kern w:val="0"/>
          <w:sz w:val="24"/>
          <w:szCs w:val="24"/>
          <w:lang w:eastAsia="en-US"/>
        </w:rPr>
        <w:t>1</w:t>
      </w:r>
      <w:r>
        <w:rPr>
          <w:snapToGrid w:val="0"/>
          <w:color w:val="000000" w:themeColor="text1"/>
          <w:kern w:val="0"/>
          <w:sz w:val="24"/>
          <w:szCs w:val="24"/>
          <w:lang w:eastAsia="en-US"/>
        </w:rPr>
        <w:t>～</w:t>
      </w:r>
      <w:r>
        <w:rPr>
          <w:snapToGrid w:val="0"/>
          <w:color w:val="000000" w:themeColor="text1"/>
          <w:kern w:val="0"/>
          <w:sz w:val="24"/>
          <w:szCs w:val="24"/>
          <w:lang w:eastAsia="en-US"/>
        </w:rPr>
        <w:t>2m</w:t>
      </w:r>
      <w:r>
        <w:rPr>
          <w:snapToGrid w:val="0"/>
          <w:color w:val="000000" w:themeColor="text1"/>
          <w:kern w:val="0"/>
          <w:sz w:val="24"/>
          <w:szCs w:val="24"/>
          <w:vertAlign w:val="superscript"/>
          <w:lang w:eastAsia="en-US"/>
        </w:rPr>
        <w:t>3</w:t>
      </w:r>
      <w:r>
        <w:rPr>
          <w:snapToGrid w:val="0"/>
          <w:color w:val="000000" w:themeColor="text1"/>
          <w:kern w:val="0"/>
          <w:sz w:val="24"/>
          <w:szCs w:val="24"/>
          <w:lang w:eastAsia="en-US"/>
        </w:rPr>
        <w:t>/min</w:t>
      </w:r>
      <w:r>
        <w:rPr>
          <w:snapToGrid w:val="0"/>
          <w:color w:val="000000" w:themeColor="text1"/>
          <w:kern w:val="0"/>
          <w:sz w:val="24"/>
          <w:szCs w:val="24"/>
          <w:lang w:eastAsia="en-US"/>
        </w:rPr>
        <w:t>，泵入对应段号浓度的</w:t>
      </w:r>
      <w:r>
        <w:rPr>
          <w:snapToGrid w:val="0"/>
          <w:color w:val="000000" w:themeColor="text1"/>
          <w:kern w:val="0"/>
          <w:sz w:val="24"/>
          <w:szCs w:val="24"/>
          <w:lang w:eastAsia="en-US"/>
        </w:rPr>
        <w:t>KCl</w:t>
      </w:r>
      <w:r>
        <w:rPr>
          <w:snapToGrid w:val="0"/>
          <w:color w:val="000000" w:themeColor="text1"/>
          <w:kern w:val="0"/>
          <w:sz w:val="24"/>
          <w:szCs w:val="24"/>
          <w:lang w:eastAsia="en-US"/>
        </w:rPr>
        <w:t>溶液</w:t>
      </w:r>
      <w:r>
        <w:rPr>
          <w:snapToGrid w:val="0"/>
          <w:color w:val="000000" w:themeColor="text1"/>
          <w:kern w:val="0"/>
          <w:sz w:val="24"/>
          <w:szCs w:val="24"/>
          <w:lang w:eastAsia="en-US"/>
        </w:rPr>
        <w:t>3m³,</w:t>
      </w:r>
      <w:r>
        <w:rPr>
          <w:snapToGrid w:val="0"/>
          <w:color w:val="000000" w:themeColor="text1"/>
          <w:kern w:val="0"/>
          <w:sz w:val="24"/>
          <w:szCs w:val="24"/>
          <w:lang w:eastAsia="en-US"/>
        </w:rPr>
        <w:t>后用清水将</w:t>
      </w:r>
      <w:r>
        <w:rPr>
          <w:snapToGrid w:val="0"/>
          <w:color w:val="000000" w:themeColor="text1"/>
          <w:kern w:val="0"/>
          <w:sz w:val="24"/>
          <w:szCs w:val="24"/>
          <w:lang w:eastAsia="en-US"/>
        </w:rPr>
        <w:t>KCl</w:t>
      </w:r>
      <w:r>
        <w:rPr>
          <w:snapToGrid w:val="0"/>
          <w:color w:val="000000" w:themeColor="text1"/>
          <w:kern w:val="0"/>
          <w:sz w:val="24"/>
          <w:szCs w:val="24"/>
          <w:lang w:eastAsia="en-US"/>
        </w:rPr>
        <w:t>溶液替至桥塞位置，加快可溶桥塞溶解。</w:t>
      </w:r>
    </w:p>
    <w:p w14:paraId="39B02B86"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lastRenderedPageBreak/>
        <w:t>4</w:t>
      </w:r>
      <w:r>
        <w:rPr>
          <w:snapToGrid w:val="0"/>
          <w:color w:val="000000" w:themeColor="text1"/>
          <w:kern w:val="0"/>
          <w:sz w:val="24"/>
          <w:szCs w:val="24"/>
          <w:lang w:eastAsia="en-US"/>
        </w:rPr>
        <w:t>、其余井段射孔及压裂施工</w:t>
      </w:r>
    </w:p>
    <w:p w14:paraId="3682929D"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其余各段按照第二段施工工序施工，最后一段不顶替</w:t>
      </w:r>
      <w:r>
        <w:rPr>
          <w:snapToGrid w:val="0"/>
          <w:color w:val="000000" w:themeColor="text1"/>
          <w:kern w:val="0"/>
          <w:sz w:val="24"/>
          <w:szCs w:val="24"/>
          <w:lang w:eastAsia="en-US"/>
        </w:rPr>
        <w:t>KCl</w:t>
      </w:r>
      <w:r>
        <w:rPr>
          <w:snapToGrid w:val="0"/>
          <w:color w:val="000000" w:themeColor="text1"/>
          <w:kern w:val="0"/>
          <w:sz w:val="24"/>
          <w:szCs w:val="24"/>
          <w:lang w:eastAsia="en-US"/>
        </w:rPr>
        <w:t>溶液。</w:t>
      </w:r>
    </w:p>
    <w:p w14:paraId="4A3F7032" w14:textId="77777777" w:rsidR="002E0859" w:rsidRDefault="00000000">
      <w:pPr>
        <w:widowControl/>
        <w:topLinePunct w:val="0"/>
        <w:autoSpaceDE w:val="0"/>
        <w:autoSpaceDN w:val="0"/>
        <w:spacing w:line="360" w:lineRule="auto"/>
        <w:ind w:firstLineChars="0" w:firstLine="362"/>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5</w:t>
      </w:r>
      <w:r>
        <w:rPr>
          <w:snapToGrid w:val="0"/>
          <w:color w:val="000000" w:themeColor="text1"/>
          <w:kern w:val="0"/>
          <w:sz w:val="24"/>
          <w:szCs w:val="24"/>
          <w:lang w:eastAsia="en-US"/>
        </w:rPr>
        <w:t>、对井口</w:t>
      </w:r>
      <w:r>
        <w:rPr>
          <w:snapToGrid w:val="0"/>
          <w:color w:val="000000" w:themeColor="text1"/>
          <w:kern w:val="0"/>
          <w:sz w:val="24"/>
          <w:szCs w:val="24"/>
          <w:lang w:eastAsia="en-US"/>
        </w:rPr>
        <w:t>1#</w:t>
      </w:r>
      <w:r>
        <w:rPr>
          <w:snapToGrid w:val="0"/>
          <w:color w:val="000000" w:themeColor="text1"/>
          <w:kern w:val="0"/>
          <w:sz w:val="24"/>
          <w:szCs w:val="24"/>
          <w:lang w:eastAsia="en-US"/>
        </w:rPr>
        <w:t>闸门试压，试压</w:t>
      </w:r>
      <w:r>
        <w:rPr>
          <w:snapToGrid w:val="0"/>
          <w:color w:val="000000" w:themeColor="text1"/>
          <w:kern w:val="0"/>
          <w:sz w:val="24"/>
          <w:szCs w:val="24"/>
          <w:lang w:eastAsia="en-US"/>
        </w:rPr>
        <w:t>60Mpa</w:t>
      </w:r>
      <w:r>
        <w:rPr>
          <w:snapToGrid w:val="0"/>
          <w:color w:val="000000" w:themeColor="text1"/>
          <w:kern w:val="0"/>
          <w:sz w:val="24"/>
          <w:szCs w:val="24"/>
          <w:lang w:eastAsia="en-US"/>
        </w:rPr>
        <w:t>，</w:t>
      </w:r>
      <w:r>
        <w:rPr>
          <w:snapToGrid w:val="0"/>
          <w:color w:val="000000" w:themeColor="text1"/>
          <w:kern w:val="0"/>
          <w:sz w:val="24"/>
          <w:szCs w:val="24"/>
          <w:lang w:eastAsia="en-US"/>
        </w:rPr>
        <w:t>30min</w:t>
      </w:r>
      <w:r>
        <w:rPr>
          <w:snapToGrid w:val="0"/>
          <w:color w:val="000000" w:themeColor="text1"/>
          <w:kern w:val="0"/>
          <w:sz w:val="24"/>
          <w:szCs w:val="24"/>
          <w:lang w:eastAsia="en-US"/>
        </w:rPr>
        <w:t>压降低于</w:t>
      </w:r>
      <w:r>
        <w:rPr>
          <w:snapToGrid w:val="0"/>
          <w:color w:val="000000" w:themeColor="text1"/>
          <w:kern w:val="0"/>
          <w:sz w:val="24"/>
          <w:szCs w:val="24"/>
          <w:lang w:eastAsia="en-US"/>
        </w:rPr>
        <w:t>0.5MPa</w:t>
      </w:r>
      <w:r>
        <w:rPr>
          <w:snapToGrid w:val="0"/>
          <w:color w:val="000000" w:themeColor="text1"/>
          <w:kern w:val="0"/>
          <w:sz w:val="24"/>
          <w:szCs w:val="24"/>
          <w:lang w:eastAsia="en-US"/>
        </w:rPr>
        <w:t>为合格，井口试压合格则进行下一步钻塞施工。如井口试压不合格，采用电缆下入全封式可钻复合桥塞。试压</w:t>
      </w:r>
      <w:r>
        <w:rPr>
          <w:snapToGrid w:val="0"/>
          <w:color w:val="000000" w:themeColor="text1"/>
          <w:kern w:val="0"/>
          <w:sz w:val="24"/>
          <w:szCs w:val="24"/>
          <w:lang w:eastAsia="en-US"/>
        </w:rPr>
        <w:t>50MPa</w:t>
      </w:r>
      <w:r>
        <w:rPr>
          <w:snapToGrid w:val="0"/>
          <w:color w:val="000000" w:themeColor="text1"/>
          <w:kern w:val="0"/>
          <w:sz w:val="24"/>
          <w:szCs w:val="24"/>
          <w:lang w:eastAsia="en-US"/>
        </w:rPr>
        <w:t>，稳压</w:t>
      </w:r>
      <w:r>
        <w:rPr>
          <w:snapToGrid w:val="0"/>
          <w:color w:val="000000" w:themeColor="text1"/>
          <w:kern w:val="0"/>
          <w:sz w:val="24"/>
          <w:szCs w:val="24"/>
          <w:lang w:eastAsia="en-US"/>
        </w:rPr>
        <w:t>30min</w:t>
      </w:r>
      <w:r>
        <w:rPr>
          <w:snapToGrid w:val="0"/>
          <w:color w:val="000000" w:themeColor="text1"/>
          <w:kern w:val="0"/>
          <w:sz w:val="24"/>
          <w:szCs w:val="24"/>
          <w:lang w:eastAsia="en-US"/>
        </w:rPr>
        <w:t>合格后，更换井口</w:t>
      </w:r>
      <w:r>
        <w:rPr>
          <w:snapToGrid w:val="0"/>
          <w:color w:val="000000" w:themeColor="text1"/>
          <w:kern w:val="0"/>
          <w:sz w:val="24"/>
          <w:szCs w:val="24"/>
          <w:lang w:eastAsia="en-US"/>
        </w:rPr>
        <w:t>1</w:t>
      </w:r>
      <w:r>
        <w:rPr>
          <w:snapToGrid w:val="0"/>
          <w:color w:val="000000" w:themeColor="text1"/>
          <w:kern w:val="0"/>
          <w:sz w:val="24"/>
          <w:szCs w:val="24"/>
          <w:lang w:eastAsia="en-US"/>
        </w:rPr>
        <w:t>号闸门，准备进行下步钻塞施工。</w:t>
      </w:r>
    </w:p>
    <w:p w14:paraId="7EBFFBDC"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6</w:t>
      </w:r>
      <w:r>
        <w:rPr>
          <w:snapToGrid w:val="0"/>
          <w:color w:val="000000" w:themeColor="text1"/>
          <w:kern w:val="0"/>
          <w:sz w:val="24"/>
          <w:szCs w:val="24"/>
          <w:lang w:eastAsia="en-US"/>
        </w:rPr>
        <w:t>、钻塞作业</w:t>
      </w:r>
    </w:p>
    <w:p w14:paraId="262E34FD" w14:textId="77777777" w:rsidR="002E0859" w:rsidRDefault="00000000">
      <w:pPr>
        <w:widowControl/>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spacing w:val="-1"/>
          <w:kern w:val="0"/>
          <w:sz w:val="21"/>
          <w:szCs w:val="21"/>
          <w:lang w:eastAsia="en-US"/>
        </w:rPr>
      </w:pPr>
      <w:r>
        <w:rPr>
          <w:noProof/>
          <w:snapToGrid w:val="0"/>
          <w:color w:val="000000" w:themeColor="text1"/>
          <w:kern w:val="0"/>
          <w:sz w:val="21"/>
          <w:szCs w:val="21"/>
          <w:lang w:eastAsia="en-US"/>
        </w:rPr>
        <w:drawing>
          <wp:anchor distT="0" distB="0" distL="0" distR="0" simplePos="0" relativeHeight="251671552" behindDoc="0" locked="0" layoutInCell="1" allowOverlap="1" wp14:anchorId="6D5EFAD7" wp14:editId="6FCA04E9">
            <wp:simplePos x="0" y="0"/>
            <wp:positionH relativeFrom="column">
              <wp:posOffset>485140</wp:posOffset>
            </wp:positionH>
            <wp:positionV relativeFrom="paragraph">
              <wp:posOffset>156210</wp:posOffset>
            </wp:positionV>
            <wp:extent cx="4585970" cy="1817370"/>
            <wp:effectExtent l="0" t="0" r="1270" b="11430"/>
            <wp:wrapTopAndBottom/>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r:embed="rId29"/>
                    <a:stretch>
                      <a:fillRect/>
                    </a:stretch>
                  </pic:blipFill>
                  <pic:spPr>
                    <a:xfrm>
                      <a:off x="0" y="0"/>
                      <a:ext cx="4585970" cy="1817370"/>
                    </a:xfrm>
                    <a:prstGeom prst="rect">
                      <a:avLst/>
                    </a:prstGeom>
                  </pic:spPr>
                </pic:pic>
              </a:graphicData>
            </a:graphic>
          </wp:anchor>
        </w:drawing>
      </w:r>
      <w:r>
        <w:rPr>
          <w:rFonts w:ascii="黑体" w:eastAsia="黑体" w:hAnsi="黑体" w:cs="黑体" w:hint="eastAsia"/>
          <w:snapToGrid w:val="0"/>
          <w:color w:val="000000" w:themeColor="text1"/>
          <w:spacing w:val="-1"/>
          <w:kern w:val="0"/>
          <w:sz w:val="21"/>
          <w:szCs w:val="21"/>
          <w:lang w:eastAsia="en-US"/>
        </w:rPr>
        <w:t>图</w:t>
      </w:r>
      <w:r>
        <w:rPr>
          <w:rFonts w:eastAsia="黑体"/>
          <w:snapToGrid w:val="0"/>
          <w:color w:val="000000" w:themeColor="text1"/>
          <w:spacing w:val="-1"/>
          <w:kern w:val="0"/>
          <w:sz w:val="21"/>
          <w:szCs w:val="21"/>
        </w:rPr>
        <w:t>2.5-15</w:t>
      </w:r>
      <w:r>
        <w:rPr>
          <w:rFonts w:eastAsia="黑体" w:hint="eastAsia"/>
          <w:snapToGrid w:val="0"/>
          <w:color w:val="000000" w:themeColor="text1"/>
          <w:spacing w:val="-1"/>
          <w:kern w:val="0"/>
          <w:sz w:val="21"/>
          <w:szCs w:val="21"/>
        </w:rPr>
        <w:t xml:space="preserve"> </w:t>
      </w:r>
      <w:r>
        <w:rPr>
          <w:rFonts w:ascii="黑体" w:eastAsia="黑体" w:hAnsi="黑体" w:cs="黑体" w:hint="eastAsia"/>
          <w:snapToGrid w:val="0"/>
          <w:color w:val="000000" w:themeColor="text1"/>
          <w:spacing w:val="-1"/>
          <w:kern w:val="0"/>
          <w:sz w:val="21"/>
          <w:szCs w:val="21"/>
          <w:lang w:eastAsia="en-US"/>
        </w:rPr>
        <w:t>不同类型钻具组合</w:t>
      </w:r>
    </w:p>
    <w:p w14:paraId="55B3905F"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推荐钻塞钻具组合，针对不同类型桥塞，优选适应的磨鞋类型和规格，使碎屑大小适中，提高钻磨效率（图</w:t>
      </w:r>
      <w:r>
        <w:rPr>
          <w:rFonts w:hint="eastAsia"/>
          <w:snapToGrid w:val="0"/>
          <w:color w:val="000000" w:themeColor="text1"/>
          <w:kern w:val="0"/>
          <w:sz w:val="24"/>
          <w:szCs w:val="24"/>
        </w:rPr>
        <w:t>2.5-15</w:t>
      </w:r>
      <w:r>
        <w:rPr>
          <w:snapToGrid w:val="0"/>
          <w:color w:val="000000" w:themeColor="text1"/>
          <w:kern w:val="0"/>
          <w:sz w:val="24"/>
          <w:szCs w:val="24"/>
          <w:lang w:eastAsia="en-US"/>
        </w:rPr>
        <w:t>）。针对深井的自锁问题，应用水力振荡器</w:t>
      </w:r>
      <w:r>
        <w:rPr>
          <w:snapToGrid w:val="0"/>
          <w:color w:val="000000" w:themeColor="text1"/>
          <w:kern w:val="0"/>
          <w:sz w:val="24"/>
          <w:szCs w:val="24"/>
          <w:lang w:eastAsia="en-US"/>
        </w:rPr>
        <w:t>+</w:t>
      </w:r>
      <w:r>
        <w:rPr>
          <w:snapToGrid w:val="0"/>
          <w:color w:val="000000" w:themeColor="text1"/>
          <w:kern w:val="0"/>
          <w:sz w:val="24"/>
          <w:szCs w:val="24"/>
          <w:lang w:eastAsia="en-US"/>
        </w:rPr>
        <w:t>金属减阻剂。</w:t>
      </w:r>
    </w:p>
    <w:p w14:paraId="64B66AC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钻塞技术：针对前期钻塞过程中存在的问题，提出钻塞技术主要为</w:t>
      </w:r>
      <w:r>
        <w:rPr>
          <w:snapToGrid w:val="0"/>
          <w:color w:val="000000" w:themeColor="text1"/>
          <w:kern w:val="0"/>
          <w:sz w:val="24"/>
          <w:szCs w:val="24"/>
          <w:lang w:eastAsia="en-US"/>
        </w:rPr>
        <w:t>“</w:t>
      </w:r>
      <w:r>
        <w:rPr>
          <w:snapToGrid w:val="0"/>
          <w:color w:val="000000" w:themeColor="text1"/>
          <w:kern w:val="0"/>
          <w:sz w:val="24"/>
          <w:szCs w:val="24"/>
          <w:lang w:eastAsia="en-US"/>
        </w:rPr>
        <w:t>泡沫液加</w:t>
      </w:r>
      <w:r>
        <w:rPr>
          <w:snapToGrid w:val="0"/>
          <w:color w:val="000000" w:themeColor="text1"/>
          <w:kern w:val="0"/>
          <w:sz w:val="24"/>
          <w:szCs w:val="24"/>
          <w:lang w:eastAsia="en-US"/>
        </w:rPr>
        <w:t>KCl</w:t>
      </w:r>
      <w:r>
        <w:rPr>
          <w:snapToGrid w:val="0"/>
          <w:color w:val="000000" w:themeColor="text1"/>
          <w:kern w:val="0"/>
          <w:sz w:val="24"/>
          <w:szCs w:val="24"/>
          <w:lang w:eastAsia="en-US"/>
        </w:rPr>
        <w:t>溶液钻进</w:t>
      </w:r>
      <w:r>
        <w:rPr>
          <w:snapToGrid w:val="0"/>
          <w:color w:val="000000" w:themeColor="text1"/>
          <w:kern w:val="0"/>
          <w:sz w:val="24"/>
          <w:szCs w:val="24"/>
          <w:lang w:eastAsia="en-US"/>
        </w:rPr>
        <w:t>+</w:t>
      </w:r>
      <w:r>
        <w:rPr>
          <w:snapToGrid w:val="0"/>
          <w:color w:val="000000" w:themeColor="text1"/>
          <w:kern w:val="0"/>
          <w:sz w:val="24"/>
          <w:szCs w:val="24"/>
          <w:lang w:eastAsia="en-US"/>
        </w:rPr>
        <w:t>胶液携屑</w:t>
      </w:r>
      <w:r>
        <w:rPr>
          <w:snapToGrid w:val="0"/>
          <w:color w:val="000000" w:themeColor="text1"/>
          <w:kern w:val="0"/>
          <w:sz w:val="24"/>
          <w:szCs w:val="24"/>
          <w:lang w:eastAsia="en-US"/>
        </w:rPr>
        <w:t>+</w:t>
      </w:r>
      <w:r>
        <w:rPr>
          <w:snapToGrid w:val="0"/>
          <w:color w:val="000000" w:themeColor="text1"/>
          <w:kern w:val="0"/>
          <w:sz w:val="24"/>
          <w:szCs w:val="24"/>
          <w:lang w:eastAsia="en-US"/>
        </w:rPr>
        <w:t>短起返排</w:t>
      </w:r>
      <w:r>
        <w:rPr>
          <w:snapToGrid w:val="0"/>
          <w:color w:val="000000" w:themeColor="text1"/>
          <w:kern w:val="0"/>
          <w:sz w:val="24"/>
          <w:szCs w:val="24"/>
          <w:lang w:eastAsia="en-US"/>
        </w:rPr>
        <w:t>”</w:t>
      </w:r>
      <w:r>
        <w:rPr>
          <w:snapToGrid w:val="0"/>
          <w:color w:val="000000" w:themeColor="text1"/>
          <w:kern w:val="0"/>
          <w:sz w:val="24"/>
          <w:szCs w:val="24"/>
          <w:lang w:eastAsia="en-US"/>
        </w:rPr>
        <w:t>技术，提高了碎屑返出能力，降低了施工风险；</w:t>
      </w:r>
      <w:r>
        <w:rPr>
          <w:snapToGrid w:val="0"/>
          <w:color w:val="000000" w:themeColor="text1"/>
          <w:kern w:val="0"/>
          <w:sz w:val="24"/>
          <w:szCs w:val="24"/>
          <w:lang w:eastAsia="en-US"/>
        </w:rPr>
        <w:t>“</w:t>
      </w:r>
      <w:r>
        <w:rPr>
          <w:snapToGrid w:val="0"/>
          <w:color w:val="000000" w:themeColor="text1"/>
          <w:kern w:val="0"/>
          <w:sz w:val="24"/>
          <w:szCs w:val="24"/>
          <w:lang w:eastAsia="en-US"/>
        </w:rPr>
        <w:t>强磁</w:t>
      </w:r>
      <w:r>
        <w:rPr>
          <w:snapToGrid w:val="0"/>
          <w:color w:val="000000" w:themeColor="text1"/>
          <w:kern w:val="0"/>
          <w:sz w:val="24"/>
          <w:szCs w:val="24"/>
          <w:lang w:eastAsia="en-US"/>
        </w:rPr>
        <w:t>+</w:t>
      </w:r>
      <w:r>
        <w:rPr>
          <w:snapToGrid w:val="0"/>
          <w:color w:val="000000" w:themeColor="text1"/>
          <w:kern w:val="0"/>
          <w:sz w:val="24"/>
          <w:szCs w:val="24"/>
          <w:lang w:eastAsia="en-US"/>
        </w:rPr>
        <w:t>文丘里打捞</w:t>
      </w:r>
      <w:r>
        <w:rPr>
          <w:snapToGrid w:val="0"/>
          <w:color w:val="000000" w:themeColor="text1"/>
          <w:kern w:val="0"/>
          <w:sz w:val="24"/>
          <w:szCs w:val="24"/>
          <w:lang w:eastAsia="en-US"/>
        </w:rPr>
        <w:t>”</w:t>
      </w:r>
      <w:r>
        <w:rPr>
          <w:snapToGrid w:val="0"/>
          <w:color w:val="000000" w:themeColor="text1"/>
          <w:kern w:val="0"/>
          <w:sz w:val="24"/>
          <w:szCs w:val="24"/>
          <w:lang w:eastAsia="en-US"/>
        </w:rPr>
        <w:t>技术，解决了前期钻后井筒清理难题。</w:t>
      </w:r>
    </w:p>
    <w:p w14:paraId="452AF4BD"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钻塞参数：综合考虑井深和井眼轨迹对钻磨效果的影响：</w:t>
      </w:r>
    </w:p>
    <w:p w14:paraId="1BFBC317"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1</w:t>
      </w:r>
      <w:r>
        <w:rPr>
          <w:snapToGrid w:val="0"/>
          <w:color w:val="000000" w:themeColor="text1"/>
          <w:kern w:val="0"/>
          <w:sz w:val="24"/>
          <w:szCs w:val="24"/>
          <w:lang w:eastAsia="en-US"/>
        </w:rPr>
        <w:t>）在井斜角</w:t>
      </w:r>
      <w:r>
        <w:rPr>
          <w:snapToGrid w:val="0"/>
          <w:color w:val="000000" w:themeColor="text1"/>
          <w:kern w:val="0"/>
          <w:sz w:val="24"/>
          <w:szCs w:val="24"/>
          <w:lang w:eastAsia="en-US"/>
        </w:rPr>
        <w:t>≤90°</w:t>
      </w:r>
      <w:r>
        <w:rPr>
          <w:snapToGrid w:val="0"/>
          <w:color w:val="000000" w:themeColor="text1"/>
          <w:kern w:val="0"/>
          <w:sz w:val="24"/>
          <w:szCs w:val="24"/>
          <w:lang w:eastAsia="en-US"/>
        </w:rPr>
        <w:t>、井眼轨迹较平缓且无反复上下波动的水平井内，在不同水平段长下的施工参数，见表</w:t>
      </w:r>
      <w:r>
        <w:rPr>
          <w:rFonts w:hint="eastAsia"/>
          <w:snapToGrid w:val="0"/>
          <w:color w:val="000000" w:themeColor="text1"/>
          <w:kern w:val="0"/>
          <w:sz w:val="24"/>
          <w:szCs w:val="24"/>
        </w:rPr>
        <w:t>2.5-13</w:t>
      </w:r>
      <w:r>
        <w:rPr>
          <w:snapToGrid w:val="0"/>
          <w:color w:val="000000" w:themeColor="text1"/>
          <w:kern w:val="0"/>
          <w:sz w:val="24"/>
          <w:szCs w:val="24"/>
          <w:lang w:eastAsia="en-US"/>
        </w:rPr>
        <w:t>所示。</w:t>
      </w:r>
    </w:p>
    <w:p w14:paraId="24780753" w14:textId="77777777" w:rsidR="002E0859" w:rsidRDefault="00000000">
      <w:pPr>
        <w:autoSpaceDE w:val="0"/>
        <w:autoSpaceDN w:val="0"/>
        <w:spacing w:line="240" w:lineRule="auto"/>
        <w:ind w:firstLineChars="0" w:firstLine="0"/>
        <w:jc w:val="center"/>
        <w:textAlignment w:val="baseline"/>
        <w:rPr>
          <w:rFonts w:ascii="黑体" w:eastAsia="黑体" w:hAnsi="黑体" w:cs="黑体"/>
          <w:snapToGrid w:val="0"/>
          <w:color w:val="000000" w:themeColor="text1"/>
          <w:spacing w:val="-1"/>
          <w:kern w:val="0"/>
          <w:sz w:val="21"/>
          <w:szCs w:val="21"/>
          <w:lang w:eastAsia="en-US"/>
        </w:rPr>
      </w:pPr>
      <w:r>
        <w:rPr>
          <w:rFonts w:ascii="黑体" w:eastAsia="黑体" w:hAnsi="黑体" w:cs="黑体" w:hint="eastAsia"/>
          <w:snapToGrid w:val="0"/>
          <w:color w:val="000000" w:themeColor="text1"/>
          <w:spacing w:val="-1"/>
          <w:kern w:val="0"/>
          <w:sz w:val="21"/>
          <w:szCs w:val="21"/>
          <w:lang w:eastAsia="en-US"/>
        </w:rPr>
        <w:t>表</w:t>
      </w:r>
      <w:r>
        <w:rPr>
          <w:rFonts w:eastAsia="黑体"/>
          <w:snapToGrid w:val="0"/>
          <w:color w:val="000000" w:themeColor="text1"/>
          <w:spacing w:val="-1"/>
          <w:kern w:val="0"/>
          <w:sz w:val="21"/>
          <w:szCs w:val="21"/>
          <w:lang w:eastAsia="en-US"/>
        </w:rPr>
        <w:t>2.5-13</w:t>
      </w:r>
      <w:r>
        <w:rPr>
          <w:rFonts w:eastAsia="黑体" w:hint="eastAsia"/>
          <w:snapToGrid w:val="0"/>
          <w:color w:val="000000" w:themeColor="text1"/>
          <w:spacing w:val="-1"/>
          <w:kern w:val="0"/>
          <w:sz w:val="21"/>
          <w:szCs w:val="21"/>
        </w:rPr>
        <w:t xml:space="preserve"> </w:t>
      </w:r>
      <w:r>
        <w:rPr>
          <w:rFonts w:ascii="黑体" w:eastAsia="黑体" w:hAnsi="黑体" w:cs="黑体" w:hint="eastAsia"/>
          <w:snapToGrid w:val="0"/>
          <w:color w:val="000000" w:themeColor="text1"/>
          <w:spacing w:val="-1"/>
          <w:kern w:val="0"/>
          <w:sz w:val="21"/>
          <w:szCs w:val="21"/>
          <w:lang w:eastAsia="en-US"/>
        </w:rPr>
        <w:t>井斜角</w:t>
      </w:r>
      <w:r>
        <w:rPr>
          <w:rFonts w:eastAsia="黑体" w:hint="eastAsia"/>
          <w:snapToGrid w:val="0"/>
          <w:color w:val="000000" w:themeColor="text1"/>
          <w:spacing w:val="-1"/>
          <w:kern w:val="0"/>
          <w:sz w:val="21"/>
          <w:szCs w:val="21"/>
          <w:lang w:eastAsia="en-US"/>
        </w:rPr>
        <w:t>≤</w:t>
      </w:r>
      <w:r>
        <w:rPr>
          <w:rFonts w:eastAsia="黑体" w:hint="eastAsia"/>
          <w:snapToGrid w:val="0"/>
          <w:color w:val="000000" w:themeColor="text1"/>
          <w:spacing w:val="-1"/>
          <w:kern w:val="0"/>
          <w:sz w:val="21"/>
          <w:szCs w:val="21"/>
          <w:lang w:eastAsia="en-US"/>
        </w:rPr>
        <w:t>90</w:t>
      </w:r>
      <w:r>
        <w:rPr>
          <w:rFonts w:eastAsia="黑体" w:hint="eastAsia"/>
          <w:snapToGrid w:val="0"/>
          <w:color w:val="000000" w:themeColor="text1"/>
          <w:spacing w:val="-1"/>
          <w:kern w:val="0"/>
          <w:sz w:val="21"/>
          <w:szCs w:val="21"/>
          <w:lang w:eastAsia="en-US"/>
        </w:rPr>
        <w:t>°</w:t>
      </w:r>
      <w:r>
        <w:rPr>
          <w:rFonts w:ascii="黑体" w:eastAsia="黑体" w:hAnsi="黑体" w:cs="黑体" w:hint="eastAsia"/>
          <w:snapToGrid w:val="0"/>
          <w:color w:val="000000" w:themeColor="text1"/>
          <w:spacing w:val="-1"/>
          <w:kern w:val="0"/>
          <w:sz w:val="21"/>
          <w:szCs w:val="21"/>
          <w:lang w:eastAsia="en-US"/>
        </w:rPr>
        <w:t>水平井段连续油管钻塞施工参数表</w:t>
      </w:r>
    </w:p>
    <w:p w14:paraId="2BBDB6F2" w14:textId="77777777" w:rsidR="002E0859" w:rsidRDefault="002E0859">
      <w:pPr>
        <w:widowControl/>
        <w:topLinePunct w:val="0"/>
        <w:autoSpaceDE w:val="0"/>
        <w:autoSpaceDN w:val="0"/>
        <w:spacing w:line="123" w:lineRule="auto"/>
        <w:ind w:firstLineChars="0" w:firstLine="0"/>
        <w:jc w:val="left"/>
        <w:textAlignment w:val="baseline"/>
        <w:rPr>
          <w:snapToGrid w:val="0"/>
          <w:color w:val="000000" w:themeColor="text1"/>
          <w:kern w:val="0"/>
          <w:sz w:val="2"/>
          <w:szCs w:val="21"/>
          <w:lang w:eastAsia="en-US"/>
        </w:rPr>
      </w:pPr>
    </w:p>
    <w:tbl>
      <w:tblPr>
        <w:tblStyle w:val="TableNormal"/>
        <w:tblW w:w="499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057"/>
        <w:gridCol w:w="2345"/>
        <w:gridCol w:w="2283"/>
        <w:gridCol w:w="2467"/>
      </w:tblGrid>
      <w:tr w:rsidR="002E0859" w14:paraId="4A193340" w14:textId="77777777">
        <w:trPr>
          <w:trHeight w:val="328"/>
        </w:trPr>
        <w:tc>
          <w:tcPr>
            <w:tcW w:w="1123" w:type="pct"/>
            <w:vMerge w:val="restart"/>
            <w:tcBorders>
              <w:tl2br w:val="nil"/>
              <w:tr2bl w:val="nil"/>
            </w:tcBorders>
          </w:tcPr>
          <w:p w14:paraId="282039CF" w14:textId="77777777" w:rsidR="002E0859" w:rsidRDefault="00000000">
            <w:pPr>
              <w:autoSpaceDE w:val="0"/>
              <w:autoSpaceDN w:val="0"/>
              <w:spacing w:before="211" w:line="221" w:lineRule="auto"/>
              <w:ind w:left="611"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施工参数</w:t>
            </w:r>
          </w:p>
        </w:tc>
        <w:tc>
          <w:tcPr>
            <w:tcW w:w="3876" w:type="pct"/>
            <w:gridSpan w:val="3"/>
            <w:tcBorders>
              <w:tl2br w:val="nil"/>
              <w:tr2bl w:val="nil"/>
            </w:tcBorders>
          </w:tcPr>
          <w:p w14:paraId="77567025" w14:textId="77777777" w:rsidR="002E0859" w:rsidRDefault="00000000">
            <w:pPr>
              <w:autoSpaceDE w:val="0"/>
              <w:autoSpaceDN w:val="0"/>
              <w:spacing w:before="52" w:line="221" w:lineRule="auto"/>
              <w:ind w:left="3144"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水平段长</w:t>
            </w:r>
          </w:p>
        </w:tc>
      </w:tr>
      <w:tr w:rsidR="002E0859" w14:paraId="478EEA9B" w14:textId="77777777">
        <w:trPr>
          <w:trHeight w:val="304"/>
        </w:trPr>
        <w:tc>
          <w:tcPr>
            <w:tcW w:w="1123" w:type="pct"/>
            <w:vMerge/>
            <w:tcBorders>
              <w:tl2br w:val="nil"/>
              <w:tr2bl w:val="nil"/>
            </w:tcBorders>
          </w:tcPr>
          <w:p w14:paraId="43D0092C" w14:textId="77777777" w:rsidR="002E0859" w:rsidRDefault="002E0859">
            <w:pPr>
              <w:widowControl/>
              <w:topLinePunct w:val="0"/>
              <w:autoSpaceDE w:val="0"/>
              <w:autoSpaceDN w:val="0"/>
              <w:spacing w:line="240" w:lineRule="auto"/>
              <w:ind w:firstLineChars="0" w:firstLine="0"/>
              <w:jc w:val="left"/>
              <w:textAlignment w:val="baseline"/>
              <w:rPr>
                <w:snapToGrid w:val="0"/>
                <w:color w:val="000000" w:themeColor="text1"/>
                <w:kern w:val="0"/>
                <w:sz w:val="21"/>
                <w:szCs w:val="21"/>
                <w:lang w:eastAsia="en-US"/>
              </w:rPr>
            </w:pPr>
          </w:p>
        </w:tc>
        <w:tc>
          <w:tcPr>
            <w:tcW w:w="1281" w:type="pct"/>
            <w:tcBorders>
              <w:tl2br w:val="nil"/>
              <w:tr2bl w:val="nil"/>
            </w:tcBorders>
          </w:tcPr>
          <w:p w14:paraId="1EFCBE8B" w14:textId="77777777" w:rsidR="002E0859" w:rsidRDefault="00000000">
            <w:pPr>
              <w:autoSpaceDE w:val="0"/>
              <w:autoSpaceDN w:val="0"/>
              <w:spacing w:before="58" w:line="185" w:lineRule="auto"/>
              <w:ind w:left="866"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&lt;1000m</w:t>
            </w:r>
          </w:p>
        </w:tc>
        <w:tc>
          <w:tcPr>
            <w:tcW w:w="1247" w:type="pct"/>
            <w:tcBorders>
              <w:tl2br w:val="nil"/>
              <w:tr2bl w:val="nil"/>
            </w:tcBorders>
          </w:tcPr>
          <w:p w14:paraId="6126A100" w14:textId="77777777" w:rsidR="002E0859" w:rsidRDefault="00000000">
            <w:pPr>
              <w:autoSpaceDE w:val="0"/>
              <w:autoSpaceDN w:val="0"/>
              <w:spacing w:before="61" w:line="183" w:lineRule="auto"/>
              <w:ind w:left="638"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1000-1500m</w:t>
            </w:r>
          </w:p>
        </w:tc>
        <w:tc>
          <w:tcPr>
            <w:tcW w:w="1348" w:type="pct"/>
            <w:tcBorders>
              <w:tl2br w:val="nil"/>
              <w:tr2bl w:val="nil"/>
            </w:tcBorders>
          </w:tcPr>
          <w:p w14:paraId="21FB7A48" w14:textId="77777777" w:rsidR="002E0859" w:rsidRDefault="00000000">
            <w:pPr>
              <w:autoSpaceDE w:val="0"/>
              <w:autoSpaceDN w:val="0"/>
              <w:spacing w:before="61" w:line="183" w:lineRule="auto"/>
              <w:ind w:left="729"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1500-2000m</w:t>
            </w:r>
          </w:p>
        </w:tc>
      </w:tr>
      <w:tr w:rsidR="002E0859" w14:paraId="0EF73C4E" w14:textId="77777777">
        <w:trPr>
          <w:trHeight w:val="281"/>
        </w:trPr>
        <w:tc>
          <w:tcPr>
            <w:tcW w:w="1123" w:type="pct"/>
            <w:tcBorders>
              <w:tl2br w:val="nil"/>
              <w:tr2bl w:val="nil"/>
            </w:tcBorders>
          </w:tcPr>
          <w:p w14:paraId="50CB1CF7" w14:textId="77777777" w:rsidR="002E0859" w:rsidRDefault="00000000">
            <w:pPr>
              <w:autoSpaceDE w:val="0"/>
              <w:autoSpaceDN w:val="0"/>
              <w:spacing w:before="25" w:line="216" w:lineRule="auto"/>
              <w:ind w:left="454"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泵压（</w:t>
            </w:r>
            <w:r>
              <w:rPr>
                <w:snapToGrid w:val="0"/>
                <w:color w:val="000000" w:themeColor="text1"/>
                <w:kern w:val="0"/>
                <w:sz w:val="21"/>
                <w:szCs w:val="21"/>
                <w:lang w:eastAsia="en-US"/>
              </w:rPr>
              <w:t>MPa</w:t>
            </w:r>
            <w:r>
              <w:rPr>
                <w:snapToGrid w:val="0"/>
                <w:color w:val="000000" w:themeColor="text1"/>
                <w:kern w:val="0"/>
                <w:sz w:val="21"/>
                <w:szCs w:val="21"/>
                <w:lang w:eastAsia="en-US"/>
              </w:rPr>
              <w:t>）</w:t>
            </w:r>
          </w:p>
        </w:tc>
        <w:tc>
          <w:tcPr>
            <w:tcW w:w="1281" w:type="pct"/>
            <w:tcBorders>
              <w:tl2br w:val="nil"/>
              <w:tr2bl w:val="nil"/>
            </w:tcBorders>
          </w:tcPr>
          <w:p w14:paraId="1B2315B6" w14:textId="77777777" w:rsidR="002E0859" w:rsidRDefault="00000000">
            <w:pPr>
              <w:autoSpaceDE w:val="0"/>
              <w:autoSpaceDN w:val="0"/>
              <w:spacing w:before="60" w:line="182" w:lineRule="auto"/>
              <w:ind w:left="916"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25-30</w:t>
            </w:r>
          </w:p>
        </w:tc>
        <w:tc>
          <w:tcPr>
            <w:tcW w:w="1247" w:type="pct"/>
            <w:tcBorders>
              <w:tl2br w:val="nil"/>
              <w:tr2bl w:val="nil"/>
            </w:tcBorders>
          </w:tcPr>
          <w:p w14:paraId="2C04A2C3" w14:textId="77777777" w:rsidR="002E0859" w:rsidRDefault="00000000">
            <w:pPr>
              <w:autoSpaceDE w:val="0"/>
              <w:autoSpaceDN w:val="0"/>
              <w:spacing w:before="60" w:line="182" w:lineRule="auto"/>
              <w:ind w:left="888"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30-35</w:t>
            </w:r>
          </w:p>
        </w:tc>
        <w:tc>
          <w:tcPr>
            <w:tcW w:w="1348" w:type="pct"/>
            <w:tcBorders>
              <w:tl2br w:val="nil"/>
              <w:tr2bl w:val="nil"/>
            </w:tcBorders>
          </w:tcPr>
          <w:p w14:paraId="48E4DCCB" w14:textId="77777777" w:rsidR="002E0859" w:rsidRDefault="00000000">
            <w:pPr>
              <w:autoSpaceDE w:val="0"/>
              <w:autoSpaceDN w:val="0"/>
              <w:spacing w:before="60" w:line="182" w:lineRule="auto"/>
              <w:ind w:left="981"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32-40</w:t>
            </w:r>
          </w:p>
        </w:tc>
      </w:tr>
      <w:tr w:rsidR="002E0859" w14:paraId="7BB264A4" w14:textId="77777777">
        <w:trPr>
          <w:trHeight w:val="293"/>
        </w:trPr>
        <w:tc>
          <w:tcPr>
            <w:tcW w:w="1123" w:type="pct"/>
            <w:tcBorders>
              <w:tl2br w:val="nil"/>
              <w:tr2bl w:val="nil"/>
            </w:tcBorders>
          </w:tcPr>
          <w:p w14:paraId="3DD126AC" w14:textId="77777777" w:rsidR="002E0859" w:rsidRDefault="00000000">
            <w:pPr>
              <w:autoSpaceDE w:val="0"/>
              <w:autoSpaceDN w:val="0"/>
              <w:spacing w:before="42" w:line="211" w:lineRule="auto"/>
              <w:ind w:left="348"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排量（</w:t>
            </w:r>
            <w:r>
              <w:rPr>
                <w:snapToGrid w:val="0"/>
                <w:color w:val="000000" w:themeColor="text1"/>
                <w:kern w:val="0"/>
                <w:sz w:val="21"/>
                <w:szCs w:val="21"/>
                <w:lang w:eastAsia="en-US"/>
              </w:rPr>
              <w:t>L/min</w:t>
            </w:r>
            <w:r>
              <w:rPr>
                <w:snapToGrid w:val="0"/>
                <w:color w:val="000000" w:themeColor="text1"/>
                <w:kern w:val="0"/>
                <w:sz w:val="21"/>
                <w:szCs w:val="21"/>
                <w:lang w:eastAsia="en-US"/>
              </w:rPr>
              <w:t>）</w:t>
            </w:r>
          </w:p>
        </w:tc>
        <w:tc>
          <w:tcPr>
            <w:tcW w:w="1281" w:type="pct"/>
            <w:tcBorders>
              <w:tl2br w:val="nil"/>
              <w:tr2bl w:val="nil"/>
            </w:tcBorders>
          </w:tcPr>
          <w:p w14:paraId="1BC56004" w14:textId="77777777" w:rsidR="002E0859" w:rsidRDefault="00000000">
            <w:pPr>
              <w:autoSpaceDE w:val="0"/>
              <w:autoSpaceDN w:val="0"/>
              <w:spacing w:before="78" w:line="180" w:lineRule="auto"/>
              <w:ind w:left="812"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380-420</w:t>
            </w:r>
          </w:p>
        </w:tc>
        <w:tc>
          <w:tcPr>
            <w:tcW w:w="1247" w:type="pct"/>
            <w:tcBorders>
              <w:tl2br w:val="nil"/>
              <w:tr2bl w:val="nil"/>
            </w:tcBorders>
          </w:tcPr>
          <w:p w14:paraId="7E013086" w14:textId="77777777" w:rsidR="002E0859" w:rsidRDefault="00000000">
            <w:pPr>
              <w:autoSpaceDE w:val="0"/>
              <w:autoSpaceDN w:val="0"/>
              <w:spacing w:before="78" w:line="180" w:lineRule="auto"/>
              <w:ind w:left="782"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380-420</w:t>
            </w:r>
          </w:p>
        </w:tc>
        <w:tc>
          <w:tcPr>
            <w:tcW w:w="1348" w:type="pct"/>
            <w:tcBorders>
              <w:tl2br w:val="nil"/>
              <w:tr2bl w:val="nil"/>
            </w:tcBorders>
          </w:tcPr>
          <w:p w14:paraId="0EAF71EE" w14:textId="77777777" w:rsidR="002E0859" w:rsidRDefault="00000000">
            <w:pPr>
              <w:autoSpaceDE w:val="0"/>
              <w:autoSpaceDN w:val="0"/>
              <w:spacing w:before="78" w:line="180" w:lineRule="auto"/>
              <w:ind w:left="878"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380-420</w:t>
            </w:r>
          </w:p>
        </w:tc>
      </w:tr>
      <w:tr w:rsidR="002E0859" w14:paraId="4C41A146" w14:textId="77777777">
        <w:trPr>
          <w:trHeight w:val="304"/>
        </w:trPr>
        <w:tc>
          <w:tcPr>
            <w:tcW w:w="1123" w:type="pct"/>
            <w:tcBorders>
              <w:tl2br w:val="nil"/>
              <w:tr2bl w:val="nil"/>
            </w:tcBorders>
          </w:tcPr>
          <w:p w14:paraId="05CBD5BA" w14:textId="77777777" w:rsidR="002E0859" w:rsidRDefault="00000000">
            <w:pPr>
              <w:autoSpaceDE w:val="0"/>
              <w:autoSpaceDN w:val="0"/>
              <w:spacing w:before="51" w:line="213" w:lineRule="auto"/>
              <w:ind w:left="506"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钻压（</w:t>
            </w:r>
            <w:r>
              <w:rPr>
                <w:snapToGrid w:val="0"/>
                <w:color w:val="000000" w:themeColor="text1"/>
                <w:kern w:val="0"/>
                <w:sz w:val="21"/>
                <w:szCs w:val="21"/>
                <w:lang w:eastAsia="en-US"/>
              </w:rPr>
              <w:t>kN</w:t>
            </w:r>
            <w:r>
              <w:rPr>
                <w:snapToGrid w:val="0"/>
                <w:color w:val="000000" w:themeColor="text1"/>
                <w:kern w:val="0"/>
                <w:sz w:val="21"/>
                <w:szCs w:val="21"/>
                <w:lang w:eastAsia="en-US"/>
              </w:rPr>
              <w:t>）</w:t>
            </w:r>
          </w:p>
        </w:tc>
        <w:tc>
          <w:tcPr>
            <w:tcW w:w="1281" w:type="pct"/>
            <w:tcBorders>
              <w:tl2br w:val="nil"/>
              <w:tr2bl w:val="nil"/>
            </w:tcBorders>
          </w:tcPr>
          <w:p w14:paraId="77D2F4A4" w14:textId="77777777" w:rsidR="002E0859" w:rsidRDefault="00000000">
            <w:pPr>
              <w:autoSpaceDE w:val="0"/>
              <w:autoSpaceDN w:val="0"/>
              <w:spacing w:before="86" w:line="182" w:lineRule="auto"/>
              <w:ind w:left="971"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5-10</w:t>
            </w:r>
          </w:p>
        </w:tc>
        <w:tc>
          <w:tcPr>
            <w:tcW w:w="1247" w:type="pct"/>
            <w:tcBorders>
              <w:tl2br w:val="nil"/>
              <w:tr2bl w:val="nil"/>
            </w:tcBorders>
          </w:tcPr>
          <w:p w14:paraId="730040FE" w14:textId="77777777" w:rsidR="002E0859" w:rsidRDefault="00000000">
            <w:pPr>
              <w:autoSpaceDE w:val="0"/>
              <w:autoSpaceDN w:val="0"/>
              <w:spacing w:before="86" w:line="182" w:lineRule="auto"/>
              <w:ind w:left="941"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5-15</w:t>
            </w:r>
          </w:p>
        </w:tc>
        <w:tc>
          <w:tcPr>
            <w:tcW w:w="1348" w:type="pct"/>
            <w:tcBorders>
              <w:tl2br w:val="nil"/>
              <w:tr2bl w:val="nil"/>
            </w:tcBorders>
          </w:tcPr>
          <w:p w14:paraId="6BCA5592" w14:textId="77777777" w:rsidR="002E0859" w:rsidRDefault="00000000">
            <w:pPr>
              <w:autoSpaceDE w:val="0"/>
              <w:autoSpaceDN w:val="0"/>
              <w:spacing w:before="86" w:line="182" w:lineRule="auto"/>
              <w:ind w:left="993" w:firstLine="42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10-20</w:t>
            </w:r>
          </w:p>
        </w:tc>
      </w:tr>
    </w:tbl>
    <w:p w14:paraId="0CD4CF2D" w14:textId="77777777" w:rsidR="002E0859" w:rsidRDefault="00000000">
      <w:pPr>
        <w:widowControl/>
        <w:topLinePunct w:val="0"/>
        <w:autoSpaceDE w:val="0"/>
        <w:autoSpaceDN w:val="0"/>
        <w:spacing w:before="113" w:line="400" w:lineRule="exact"/>
        <w:ind w:left="404" w:firstLineChars="0" w:firstLine="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w:t>
      </w:r>
      <w:r>
        <w:rPr>
          <w:snapToGrid w:val="0"/>
          <w:color w:val="000000" w:themeColor="text1"/>
          <w:kern w:val="0"/>
          <w:sz w:val="24"/>
          <w:szCs w:val="24"/>
          <w:lang w:eastAsia="en-US"/>
        </w:rPr>
        <w:t>2</w:t>
      </w:r>
      <w:r>
        <w:rPr>
          <w:snapToGrid w:val="0"/>
          <w:color w:val="000000" w:themeColor="text1"/>
          <w:kern w:val="0"/>
          <w:sz w:val="24"/>
          <w:szCs w:val="24"/>
          <w:lang w:eastAsia="en-US"/>
        </w:rPr>
        <w:t>）针对井斜角</w:t>
      </w:r>
      <w:r>
        <w:rPr>
          <w:snapToGrid w:val="0"/>
          <w:color w:val="000000" w:themeColor="text1"/>
          <w:kern w:val="0"/>
          <w:sz w:val="24"/>
          <w:szCs w:val="24"/>
          <w:lang w:eastAsia="en-US"/>
        </w:rPr>
        <w:t>&gt;90°</w:t>
      </w:r>
      <w:r>
        <w:rPr>
          <w:snapToGrid w:val="0"/>
          <w:color w:val="000000" w:themeColor="text1"/>
          <w:kern w:val="0"/>
          <w:sz w:val="24"/>
          <w:szCs w:val="24"/>
          <w:lang w:eastAsia="en-US"/>
        </w:rPr>
        <w:t>、井眼轨迹复杂且反复上下波动的水平井施工参数，见表</w:t>
      </w:r>
      <w:r>
        <w:rPr>
          <w:rFonts w:hint="eastAsia"/>
          <w:snapToGrid w:val="0"/>
          <w:color w:val="000000" w:themeColor="text1"/>
          <w:kern w:val="0"/>
          <w:sz w:val="24"/>
          <w:szCs w:val="24"/>
        </w:rPr>
        <w:t>2.5-14</w:t>
      </w:r>
      <w:r>
        <w:rPr>
          <w:snapToGrid w:val="0"/>
          <w:color w:val="000000" w:themeColor="text1"/>
          <w:kern w:val="0"/>
          <w:sz w:val="24"/>
          <w:szCs w:val="24"/>
          <w:lang w:eastAsia="en-US"/>
        </w:rPr>
        <w:t>所示。</w:t>
      </w:r>
    </w:p>
    <w:p w14:paraId="5B1CB588" w14:textId="77777777" w:rsidR="002E0859" w:rsidRDefault="00000000">
      <w:pPr>
        <w:autoSpaceDE w:val="0"/>
        <w:autoSpaceDN w:val="0"/>
        <w:spacing w:line="221" w:lineRule="auto"/>
        <w:ind w:firstLine="416"/>
        <w:jc w:val="center"/>
        <w:textAlignment w:val="baseline"/>
        <w:rPr>
          <w:rFonts w:ascii="黑体" w:eastAsia="黑体" w:hAnsi="黑体" w:cs="黑体"/>
          <w:snapToGrid w:val="0"/>
          <w:color w:val="000000" w:themeColor="text1"/>
          <w:spacing w:val="-1"/>
          <w:kern w:val="0"/>
          <w:sz w:val="21"/>
          <w:szCs w:val="21"/>
          <w:lang w:eastAsia="en-US"/>
        </w:rPr>
      </w:pPr>
      <w:r>
        <w:rPr>
          <w:rFonts w:ascii="黑体" w:eastAsia="黑体" w:hAnsi="黑体" w:cs="黑体" w:hint="eastAsia"/>
          <w:snapToGrid w:val="0"/>
          <w:color w:val="000000" w:themeColor="text1"/>
          <w:spacing w:val="-1"/>
          <w:kern w:val="0"/>
          <w:sz w:val="21"/>
          <w:szCs w:val="21"/>
          <w:lang w:eastAsia="en-US"/>
        </w:rPr>
        <w:lastRenderedPageBreak/>
        <w:t>表</w:t>
      </w:r>
      <w:r>
        <w:rPr>
          <w:rFonts w:eastAsia="黑体" w:hint="eastAsia"/>
          <w:snapToGrid w:val="0"/>
          <w:color w:val="000000" w:themeColor="text1"/>
          <w:spacing w:val="-1"/>
          <w:kern w:val="0"/>
          <w:sz w:val="21"/>
          <w:szCs w:val="21"/>
        </w:rPr>
        <w:t xml:space="preserve">2.5-14 </w:t>
      </w:r>
      <w:r>
        <w:rPr>
          <w:rFonts w:ascii="黑体" w:eastAsia="黑体" w:hAnsi="黑体" w:cs="黑体" w:hint="eastAsia"/>
          <w:snapToGrid w:val="0"/>
          <w:color w:val="000000" w:themeColor="text1"/>
          <w:spacing w:val="-1"/>
          <w:kern w:val="0"/>
          <w:sz w:val="21"/>
          <w:szCs w:val="21"/>
          <w:lang w:eastAsia="en-US"/>
        </w:rPr>
        <w:t>井斜角</w:t>
      </w:r>
      <w:r>
        <w:rPr>
          <w:rFonts w:eastAsia="黑体" w:hint="eastAsia"/>
          <w:snapToGrid w:val="0"/>
          <w:color w:val="000000" w:themeColor="text1"/>
          <w:spacing w:val="-1"/>
          <w:kern w:val="0"/>
          <w:sz w:val="21"/>
          <w:szCs w:val="21"/>
          <w:lang w:eastAsia="en-US"/>
        </w:rPr>
        <w:t>＞</w:t>
      </w:r>
      <w:r>
        <w:rPr>
          <w:rFonts w:eastAsia="黑体" w:hint="eastAsia"/>
          <w:snapToGrid w:val="0"/>
          <w:color w:val="000000" w:themeColor="text1"/>
          <w:spacing w:val="-1"/>
          <w:kern w:val="0"/>
          <w:sz w:val="21"/>
          <w:szCs w:val="21"/>
          <w:lang w:eastAsia="en-US"/>
        </w:rPr>
        <w:t>90</w:t>
      </w:r>
      <w:r>
        <w:rPr>
          <w:rFonts w:eastAsia="黑体" w:hint="eastAsia"/>
          <w:snapToGrid w:val="0"/>
          <w:color w:val="000000" w:themeColor="text1"/>
          <w:spacing w:val="-1"/>
          <w:kern w:val="0"/>
          <w:sz w:val="21"/>
          <w:szCs w:val="21"/>
          <w:lang w:eastAsia="en-US"/>
        </w:rPr>
        <w:t>°</w:t>
      </w:r>
      <w:r>
        <w:rPr>
          <w:rFonts w:ascii="黑体" w:eastAsia="黑体" w:hAnsi="黑体" w:cs="黑体" w:hint="eastAsia"/>
          <w:snapToGrid w:val="0"/>
          <w:color w:val="000000" w:themeColor="text1"/>
          <w:spacing w:val="-1"/>
          <w:kern w:val="0"/>
          <w:sz w:val="21"/>
          <w:szCs w:val="21"/>
          <w:lang w:eastAsia="en-US"/>
        </w:rPr>
        <w:t>水平井段连续油管钻塞施工参数表</w:t>
      </w:r>
    </w:p>
    <w:p w14:paraId="776D077B" w14:textId="77777777" w:rsidR="002E0859" w:rsidRDefault="002E0859">
      <w:pPr>
        <w:widowControl/>
        <w:topLinePunct w:val="0"/>
        <w:autoSpaceDE w:val="0"/>
        <w:autoSpaceDN w:val="0"/>
        <w:spacing w:line="112" w:lineRule="auto"/>
        <w:ind w:firstLineChars="0" w:firstLine="0"/>
        <w:jc w:val="left"/>
        <w:textAlignment w:val="baseline"/>
        <w:rPr>
          <w:snapToGrid w:val="0"/>
          <w:color w:val="000000" w:themeColor="text1"/>
          <w:kern w:val="0"/>
          <w:sz w:val="2"/>
          <w:szCs w:val="21"/>
          <w:lang w:eastAsia="en-US"/>
        </w:rPr>
      </w:pPr>
    </w:p>
    <w:tbl>
      <w:tblPr>
        <w:tblStyle w:val="TableNormal"/>
        <w:tblW w:w="9192" w:type="dxa"/>
        <w:tblInd w:w="1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128"/>
        <w:gridCol w:w="2468"/>
        <w:gridCol w:w="2118"/>
        <w:gridCol w:w="2478"/>
      </w:tblGrid>
      <w:tr w:rsidR="002E0859" w14:paraId="1B035F40" w14:textId="77777777">
        <w:trPr>
          <w:trHeight w:val="309"/>
        </w:trPr>
        <w:tc>
          <w:tcPr>
            <w:tcW w:w="2128" w:type="dxa"/>
            <w:vMerge w:val="restart"/>
            <w:tcBorders>
              <w:tl2br w:val="nil"/>
              <w:tr2bl w:val="nil"/>
            </w:tcBorders>
          </w:tcPr>
          <w:p w14:paraId="2CC4FB29" w14:textId="77777777" w:rsidR="002E0859" w:rsidRDefault="00000000">
            <w:pPr>
              <w:autoSpaceDE w:val="0"/>
              <w:autoSpaceDN w:val="0"/>
              <w:spacing w:before="211" w:line="221" w:lineRule="auto"/>
              <w:ind w:left="640"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施工参数</w:t>
            </w:r>
          </w:p>
        </w:tc>
        <w:tc>
          <w:tcPr>
            <w:tcW w:w="7064" w:type="dxa"/>
            <w:gridSpan w:val="3"/>
            <w:tcBorders>
              <w:tl2br w:val="nil"/>
              <w:tr2bl w:val="nil"/>
            </w:tcBorders>
          </w:tcPr>
          <w:p w14:paraId="1BE428F1" w14:textId="77777777" w:rsidR="002E0859" w:rsidRDefault="00000000">
            <w:pPr>
              <w:autoSpaceDE w:val="0"/>
              <w:autoSpaceDN w:val="0"/>
              <w:spacing w:before="53" w:line="216" w:lineRule="auto"/>
              <w:ind w:left="332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水平段长</w:t>
            </w:r>
          </w:p>
        </w:tc>
      </w:tr>
      <w:tr w:rsidR="002E0859" w14:paraId="17C035B9" w14:textId="77777777">
        <w:trPr>
          <w:trHeight w:val="305"/>
        </w:trPr>
        <w:tc>
          <w:tcPr>
            <w:tcW w:w="2128" w:type="dxa"/>
            <w:vMerge/>
            <w:tcBorders>
              <w:tl2br w:val="nil"/>
              <w:tr2bl w:val="nil"/>
            </w:tcBorders>
          </w:tcPr>
          <w:p w14:paraId="6B69C87A" w14:textId="77777777" w:rsidR="002E0859" w:rsidRDefault="002E0859">
            <w:pPr>
              <w:widowControl/>
              <w:topLinePunct w:val="0"/>
              <w:autoSpaceDE w:val="0"/>
              <w:autoSpaceDN w:val="0"/>
              <w:spacing w:line="240" w:lineRule="auto"/>
              <w:ind w:firstLineChars="0" w:firstLine="0"/>
              <w:jc w:val="left"/>
              <w:textAlignment w:val="baseline"/>
              <w:rPr>
                <w:snapToGrid w:val="0"/>
                <w:color w:val="000000" w:themeColor="text1"/>
                <w:kern w:val="0"/>
                <w:sz w:val="21"/>
                <w:szCs w:val="21"/>
                <w:lang w:eastAsia="en-US"/>
              </w:rPr>
            </w:pPr>
          </w:p>
        </w:tc>
        <w:tc>
          <w:tcPr>
            <w:tcW w:w="2468" w:type="dxa"/>
            <w:tcBorders>
              <w:tl2br w:val="nil"/>
              <w:tr2bl w:val="nil"/>
            </w:tcBorders>
          </w:tcPr>
          <w:p w14:paraId="543CF34B" w14:textId="77777777" w:rsidR="002E0859" w:rsidRDefault="00000000">
            <w:pPr>
              <w:autoSpaceDE w:val="0"/>
              <w:autoSpaceDN w:val="0"/>
              <w:spacing w:before="77" w:line="185" w:lineRule="auto"/>
              <w:ind w:left="92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&lt;1000m</w:t>
            </w:r>
          </w:p>
        </w:tc>
        <w:tc>
          <w:tcPr>
            <w:tcW w:w="2118" w:type="dxa"/>
            <w:tcBorders>
              <w:tl2br w:val="nil"/>
              <w:tr2bl w:val="nil"/>
            </w:tcBorders>
          </w:tcPr>
          <w:p w14:paraId="414E7191" w14:textId="77777777" w:rsidR="002E0859" w:rsidRDefault="00000000">
            <w:pPr>
              <w:autoSpaceDE w:val="0"/>
              <w:autoSpaceDN w:val="0"/>
              <w:spacing w:before="80" w:line="183" w:lineRule="auto"/>
              <w:ind w:left="54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1000-1500m</w:t>
            </w:r>
          </w:p>
        </w:tc>
        <w:tc>
          <w:tcPr>
            <w:tcW w:w="2478" w:type="dxa"/>
            <w:tcBorders>
              <w:tl2br w:val="nil"/>
              <w:tr2bl w:val="nil"/>
            </w:tcBorders>
          </w:tcPr>
          <w:p w14:paraId="7967A209" w14:textId="77777777" w:rsidR="002E0859" w:rsidRDefault="00000000">
            <w:pPr>
              <w:autoSpaceDE w:val="0"/>
              <w:autoSpaceDN w:val="0"/>
              <w:spacing w:before="80" w:line="183" w:lineRule="auto"/>
              <w:ind w:left="72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1500-2000m</w:t>
            </w:r>
          </w:p>
        </w:tc>
      </w:tr>
      <w:tr w:rsidR="002E0859" w14:paraId="37F32696" w14:textId="77777777">
        <w:trPr>
          <w:trHeight w:val="310"/>
        </w:trPr>
        <w:tc>
          <w:tcPr>
            <w:tcW w:w="2128" w:type="dxa"/>
            <w:tcBorders>
              <w:tl2br w:val="nil"/>
              <w:tr2bl w:val="nil"/>
            </w:tcBorders>
          </w:tcPr>
          <w:p w14:paraId="43D9B6D3" w14:textId="77777777" w:rsidR="002E0859" w:rsidRDefault="00000000">
            <w:pPr>
              <w:autoSpaceDE w:val="0"/>
              <w:autoSpaceDN w:val="0"/>
              <w:spacing w:before="40" w:line="221" w:lineRule="auto"/>
              <w:ind w:left="48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泵压（</w:t>
            </w:r>
            <w:r>
              <w:rPr>
                <w:snapToGrid w:val="0"/>
                <w:color w:val="000000" w:themeColor="text1"/>
                <w:kern w:val="0"/>
                <w:sz w:val="21"/>
                <w:szCs w:val="21"/>
                <w:lang w:eastAsia="en-US"/>
              </w:rPr>
              <w:t>MPa</w:t>
            </w:r>
            <w:r>
              <w:rPr>
                <w:snapToGrid w:val="0"/>
                <w:color w:val="000000" w:themeColor="text1"/>
                <w:kern w:val="0"/>
                <w:sz w:val="21"/>
                <w:szCs w:val="21"/>
                <w:lang w:eastAsia="en-US"/>
              </w:rPr>
              <w:t>）</w:t>
            </w:r>
          </w:p>
        </w:tc>
        <w:tc>
          <w:tcPr>
            <w:tcW w:w="2468" w:type="dxa"/>
            <w:tcBorders>
              <w:tl2br w:val="nil"/>
              <w:tr2bl w:val="nil"/>
            </w:tcBorders>
          </w:tcPr>
          <w:p w14:paraId="12479479" w14:textId="77777777" w:rsidR="002E0859" w:rsidRDefault="00000000">
            <w:pPr>
              <w:autoSpaceDE w:val="0"/>
              <w:autoSpaceDN w:val="0"/>
              <w:spacing w:before="76" w:line="182" w:lineRule="auto"/>
              <w:ind w:left="96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28-32</w:t>
            </w:r>
          </w:p>
        </w:tc>
        <w:tc>
          <w:tcPr>
            <w:tcW w:w="2118" w:type="dxa"/>
            <w:tcBorders>
              <w:tl2br w:val="nil"/>
              <w:tr2bl w:val="nil"/>
            </w:tcBorders>
          </w:tcPr>
          <w:p w14:paraId="5F1794EF" w14:textId="77777777" w:rsidR="002E0859" w:rsidRDefault="00000000">
            <w:pPr>
              <w:autoSpaceDE w:val="0"/>
              <w:autoSpaceDN w:val="0"/>
              <w:spacing w:before="76" w:line="182" w:lineRule="auto"/>
              <w:ind w:left="802"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30-42</w:t>
            </w:r>
          </w:p>
        </w:tc>
        <w:tc>
          <w:tcPr>
            <w:tcW w:w="2478" w:type="dxa"/>
            <w:tcBorders>
              <w:tl2br w:val="nil"/>
              <w:tr2bl w:val="nil"/>
            </w:tcBorders>
          </w:tcPr>
          <w:p w14:paraId="26B990C2" w14:textId="77777777" w:rsidR="002E0859" w:rsidRDefault="00000000">
            <w:pPr>
              <w:autoSpaceDE w:val="0"/>
              <w:autoSpaceDN w:val="0"/>
              <w:spacing w:before="76" w:line="182" w:lineRule="auto"/>
              <w:ind w:left="98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35-45</w:t>
            </w:r>
          </w:p>
        </w:tc>
      </w:tr>
      <w:tr w:rsidR="002E0859" w14:paraId="560C8897" w14:textId="77777777">
        <w:trPr>
          <w:trHeight w:val="288"/>
        </w:trPr>
        <w:tc>
          <w:tcPr>
            <w:tcW w:w="2128" w:type="dxa"/>
            <w:tcBorders>
              <w:tl2br w:val="nil"/>
              <w:tr2bl w:val="nil"/>
            </w:tcBorders>
          </w:tcPr>
          <w:p w14:paraId="061C269B" w14:textId="77777777" w:rsidR="002E0859" w:rsidRDefault="00000000">
            <w:pPr>
              <w:autoSpaceDE w:val="0"/>
              <w:autoSpaceDN w:val="0"/>
              <w:spacing w:before="32" w:line="216" w:lineRule="auto"/>
              <w:ind w:left="37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排量（</w:t>
            </w:r>
            <w:r>
              <w:rPr>
                <w:snapToGrid w:val="0"/>
                <w:color w:val="000000" w:themeColor="text1"/>
                <w:kern w:val="0"/>
                <w:sz w:val="21"/>
                <w:szCs w:val="21"/>
                <w:lang w:eastAsia="en-US"/>
              </w:rPr>
              <w:t>L/min</w:t>
            </w:r>
            <w:r>
              <w:rPr>
                <w:snapToGrid w:val="0"/>
                <w:color w:val="000000" w:themeColor="text1"/>
                <w:kern w:val="0"/>
                <w:sz w:val="21"/>
                <w:szCs w:val="21"/>
                <w:lang w:eastAsia="en-US"/>
              </w:rPr>
              <w:t>）</w:t>
            </w:r>
          </w:p>
        </w:tc>
        <w:tc>
          <w:tcPr>
            <w:tcW w:w="2468" w:type="dxa"/>
            <w:tcBorders>
              <w:tl2br w:val="nil"/>
              <w:tr2bl w:val="nil"/>
            </w:tcBorders>
          </w:tcPr>
          <w:p w14:paraId="0101C12F" w14:textId="77777777" w:rsidR="002E0859" w:rsidRDefault="00000000">
            <w:pPr>
              <w:autoSpaceDE w:val="0"/>
              <w:autoSpaceDN w:val="0"/>
              <w:spacing w:before="67" w:line="182" w:lineRule="auto"/>
              <w:ind w:left="86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380-420</w:t>
            </w:r>
          </w:p>
        </w:tc>
        <w:tc>
          <w:tcPr>
            <w:tcW w:w="2118" w:type="dxa"/>
            <w:tcBorders>
              <w:tl2br w:val="nil"/>
              <w:tr2bl w:val="nil"/>
            </w:tcBorders>
          </w:tcPr>
          <w:p w14:paraId="3B5CD661" w14:textId="77777777" w:rsidR="002E0859" w:rsidRDefault="00000000">
            <w:pPr>
              <w:autoSpaceDE w:val="0"/>
              <w:autoSpaceDN w:val="0"/>
              <w:spacing w:before="67" w:line="182" w:lineRule="auto"/>
              <w:ind w:left="69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380-420</w:t>
            </w:r>
          </w:p>
        </w:tc>
        <w:tc>
          <w:tcPr>
            <w:tcW w:w="2478" w:type="dxa"/>
            <w:tcBorders>
              <w:tl2br w:val="nil"/>
              <w:tr2bl w:val="nil"/>
            </w:tcBorders>
          </w:tcPr>
          <w:p w14:paraId="73992AD1" w14:textId="77777777" w:rsidR="002E0859" w:rsidRDefault="00000000">
            <w:pPr>
              <w:autoSpaceDE w:val="0"/>
              <w:autoSpaceDN w:val="0"/>
              <w:spacing w:before="67" w:line="182" w:lineRule="auto"/>
              <w:ind w:left="878"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380-420</w:t>
            </w:r>
          </w:p>
        </w:tc>
      </w:tr>
      <w:tr w:rsidR="002E0859" w14:paraId="4C540269" w14:textId="77777777">
        <w:trPr>
          <w:trHeight w:val="299"/>
        </w:trPr>
        <w:tc>
          <w:tcPr>
            <w:tcW w:w="2128" w:type="dxa"/>
            <w:tcBorders>
              <w:tl2br w:val="nil"/>
              <w:tr2bl w:val="nil"/>
            </w:tcBorders>
          </w:tcPr>
          <w:p w14:paraId="39E0DBA7" w14:textId="77777777" w:rsidR="002E0859" w:rsidRDefault="00000000">
            <w:pPr>
              <w:autoSpaceDE w:val="0"/>
              <w:autoSpaceDN w:val="0"/>
              <w:spacing w:before="46" w:line="213" w:lineRule="auto"/>
              <w:ind w:left="53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钻压（</w:t>
            </w:r>
            <w:r>
              <w:rPr>
                <w:snapToGrid w:val="0"/>
                <w:color w:val="000000" w:themeColor="text1"/>
                <w:kern w:val="0"/>
                <w:sz w:val="21"/>
                <w:szCs w:val="21"/>
                <w:lang w:eastAsia="en-US"/>
              </w:rPr>
              <w:t>kN</w:t>
            </w:r>
            <w:r>
              <w:rPr>
                <w:snapToGrid w:val="0"/>
                <w:color w:val="000000" w:themeColor="text1"/>
                <w:kern w:val="0"/>
                <w:sz w:val="21"/>
                <w:szCs w:val="21"/>
                <w:lang w:eastAsia="en-US"/>
              </w:rPr>
              <w:t>）</w:t>
            </w:r>
          </w:p>
        </w:tc>
        <w:tc>
          <w:tcPr>
            <w:tcW w:w="2468" w:type="dxa"/>
            <w:tcBorders>
              <w:tl2br w:val="nil"/>
              <w:tr2bl w:val="nil"/>
            </w:tcBorders>
          </w:tcPr>
          <w:p w14:paraId="0257647F" w14:textId="77777777" w:rsidR="002E0859" w:rsidRDefault="00000000">
            <w:pPr>
              <w:autoSpaceDE w:val="0"/>
              <w:autoSpaceDN w:val="0"/>
              <w:spacing w:before="80" w:line="183" w:lineRule="auto"/>
              <w:ind w:left="102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5-15</w:t>
            </w:r>
          </w:p>
        </w:tc>
        <w:tc>
          <w:tcPr>
            <w:tcW w:w="2118" w:type="dxa"/>
            <w:tcBorders>
              <w:tl2br w:val="nil"/>
              <w:tr2bl w:val="nil"/>
            </w:tcBorders>
          </w:tcPr>
          <w:p w14:paraId="6DB712E8" w14:textId="77777777" w:rsidR="002E0859" w:rsidRDefault="00000000">
            <w:pPr>
              <w:autoSpaceDE w:val="0"/>
              <w:autoSpaceDN w:val="0"/>
              <w:spacing w:before="81" w:line="182" w:lineRule="auto"/>
              <w:ind w:left="85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5-20</w:t>
            </w:r>
          </w:p>
        </w:tc>
        <w:tc>
          <w:tcPr>
            <w:tcW w:w="2478" w:type="dxa"/>
            <w:tcBorders>
              <w:tl2br w:val="nil"/>
              <w:tr2bl w:val="nil"/>
            </w:tcBorders>
          </w:tcPr>
          <w:p w14:paraId="235D4605" w14:textId="77777777" w:rsidR="002E0859" w:rsidRDefault="00000000">
            <w:pPr>
              <w:autoSpaceDE w:val="0"/>
              <w:autoSpaceDN w:val="0"/>
              <w:spacing w:before="80" w:line="183" w:lineRule="auto"/>
              <w:ind w:left="99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10-40</w:t>
            </w:r>
          </w:p>
        </w:tc>
      </w:tr>
    </w:tbl>
    <w:p w14:paraId="4DED52C1" w14:textId="77777777" w:rsidR="002E0859" w:rsidRDefault="00000000">
      <w:pPr>
        <w:widowControl/>
        <w:topLinePunct w:val="0"/>
        <w:autoSpaceDE w:val="0"/>
        <w:autoSpaceDN w:val="0"/>
        <w:spacing w:beforeLines="50" w:before="120"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7</w:t>
      </w:r>
      <w:r>
        <w:rPr>
          <w:snapToGrid w:val="0"/>
          <w:color w:val="000000" w:themeColor="text1"/>
          <w:kern w:val="0"/>
          <w:sz w:val="24"/>
          <w:szCs w:val="24"/>
          <w:lang w:eastAsia="en-US"/>
        </w:rPr>
        <w:t>、下连续油管打捞井筒碎屑</w:t>
      </w:r>
    </w:p>
    <w:p w14:paraId="248CA370"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8</w:t>
      </w:r>
      <w:r>
        <w:rPr>
          <w:snapToGrid w:val="0"/>
          <w:color w:val="000000" w:themeColor="text1"/>
          <w:kern w:val="0"/>
          <w:sz w:val="24"/>
          <w:szCs w:val="24"/>
          <w:lang w:eastAsia="en-US"/>
        </w:rPr>
        <w:t>、放喷排液</w:t>
      </w:r>
    </w:p>
    <w:p w14:paraId="4266B3B0" w14:textId="77777777" w:rsidR="002E0859" w:rsidRDefault="00000000">
      <w:pPr>
        <w:widowControl/>
        <w:topLinePunct w:val="0"/>
        <w:autoSpaceDE w:val="0"/>
        <w:autoSpaceDN w:val="0"/>
        <w:spacing w:line="360" w:lineRule="auto"/>
        <w:ind w:firstLine="480"/>
        <w:textAlignment w:val="baseline"/>
        <w:rPr>
          <w:snapToGrid w:val="0"/>
          <w:color w:val="000000" w:themeColor="text1"/>
          <w:kern w:val="0"/>
          <w:sz w:val="24"/>
          <w:szCs w:val="24"/>
          <w:lang w:eastAsia="en-US"/>
        </w:rPr>
      </w:pPr>
      <w:r>
        <w:rPr>
          <w:snapToGrid w:val="0"/>
          <w:color w:val="000000" w:themeColor="text1"/>
          <w:kern w:val="0"/>
          <w:sz w:val="24"/>
          <w:szCs w:val="24"/>
          <w:lang w:eastAsia="en-US"/>
        </w:rPr>
        <w:t>为避免地层吐砂，开始返排的速度应小于</w:t>
      </w:r>
      <w:r>
        <w:rPr>
          <w:snapToGrid w:val="0"/>
          <w:color w:val="000000" w:themeColor="text1"/>
          <w:kern w:val="0"/>
          <w:sz w:val="24"/>
          <w:szCs w:val="24"/>
          <w:lang w:eastAsia="en-US"/>
        </w:rPr>
        <w:t>200L/min</w:t>
      </w:r>
      <w:r>
        <w:rPr>
          <w:snapToGrid w:val="0"/>
          <w:color w:val="000000" w:themeColor="text1"/>
          <w:kern w:val="0"/>
          <w:sz w:val="24"/>
          <w:szCs w:val="24"/>
          <w:lang w:eastAsia="en-US"/>
        </w:rPr>
        <w:t>（</w:t>
      </w:r>
      <w:r>
        <w:rPr>
          <w:snapToGrid w:val="0"/>
          <w:color w:val="000000" w:themeColor="text1"/>
          <w:kern w:val="0"/>
          <w:sz w:val="24"/>
          <w:szCs w:val="24"/>
          <w:lang w:eastAsia="en-US"/>
        </w:rPr>
        <w:t>12m³/h</w:t>
      </w:r>
      <w:r>
        <w:rPr>
          <w:snapToGrid w:val="0"/>
          <w:color w:val="000000" w:themeColor="text1"/>
          <w:kern w:val="0"/>
          <w:sz w:val="24"/>
          <w:szCs w:val="24"/>
          <w:lang w:eastAsia="en-US"/>
        </w:rPr>
        <w:t>），分别采用</w:t>
      </w:r>
      <w:r>
        <w:rPr>
          <w:snapToGrid w:val="0"/>
          <w:color w:val="000000" w:themeColor="text1"/>
          <w:kern w:val="0"/>
          <w:sz w:val="24"/>
          <w:szCs w:val="24"/>
          <w:lang w:eastAsia="en-US"/>
        </w:rPr>
        <w:t>4mm</w:t>
      </w:r>
      <w:r>
        <w:rPr>
          <w:snapToGrid w:val="0"/>
          <w:color w:val="000000" w:themeColor="text1"/>
          <w:kern w:val="0"/>
          <w:sz w:val="24"/>
          <w:szCs w:val="24"/>
          <w:lang w:eastAsia="en-US"/>
        </w:rPr>
        <w:t>、</w:t>
      </w:r>
      <w:r>
        <w:rPr>
          <w:snapToGrid w:val="0"/>
          <w:color w:val="000000" w:themeColor="text1"/>
          <w:kern w:val="0"/>
          <w:sz w:val="24"/>
          <w:szCs w:val="24"/>
          <w:lang w:eastAsia="en-US"/>
        </w:rPr>
        <w:t>6mm</w:t>
      </w:r>
      <w:r>
        <w:rPr>
          <w:snapToGrid w:val="0"/>
          <w:color w:val="000000" w:themeColor="text1"/>
          <w:kern w:val="0"/>
          <w:sz w:val="24"/>
          <w:szCs w:val="24"/>
          <w:lang w:eastAsia="en-US"/>
        </w:rPr>
        <w:t>、</w:t>
      </w:r>
      <w:r>
        <w:rPr>
          <w:snapToGrid w:val="0"/>
          <w:color w:val="000000" w:themeColor="text1"/>
          <w:kern w:val="0"/>
          <w:sz w:val="24"/>
          <w:szCs w:val="24"/>
          <w:lang w:eastAsia="en-US"/>
        </w:rPr>
        <w:t>8mm</w:t>
      </w:r>
      <w:r>
        <w:rPr>
          <w:snapToGrid w:val="0"/>
          <w:color w:val="000000" w:themeColor="text1"/>
          <w:kern w:val="0"/>
          <w:sz w:val="24"/>
          <w:szCs w:val="24"/>
          <w:lang w:eastAsia="en-US"/>
        </w:rPr>
        <w:t>油嘴放喷，每个油嘴放喷时间</w:t>
      </w:r>
      <w:r>
        <w:rPr>
          <w:snapToGrid w:val="0"/>
          <w:color w:val="000000" w:themeColor="text1"/>
          <w:kern w:val="0"/>
          <w:sz w:val="24"/>
          <w:szCs w:val="24"/>
          <w:lang w:eastAsia="en-US"/>
        </w:rPr>
        <w:t>4-6</w:t>
      </w:r>
      <w:r>
        <w:rPr>
          <w:snapToGrid w:val="0"/>
          <w:color w:val="000000" w:themeColor="text1"/>
          <w:kern w:val="0"/>
          <w:sz w:val="24"/>
          <w:szCs w:val="24"/>
          <w:lang w:eastAsia="en-US"/>
        </w:rPr>
        <w:t>小时，再改用</w:t>
      </w:r>
      <w:r>
        <w:rPr>
          <w:snapToGrid w:val="0"/>
          <w:color w:val="000000" w:themeColor="text1"/>
          <w:kern w:val="0"/>
          <w:sz w:val="24"/>
          <w:szCs w:val="24"/>
          <w:lang w:eastAsia="en-US"/>
        </w:rPr>
        <w:t>10mm</w:t>
      </w:r>
      <w:r>
        <w:rPr>
          <w:snapToGrid w:val="0"/>
          <w:color w:val="000000" w:themeColor="text1"/>
          <w:kern w:val="0"/>
          <w:sz w:val="24"/>
          <w:szCs w:val="24"/>
          <w:lang w:eastAsia="en-US"/>
        </w:rPr>
        <w:t>、</w:t>
      </w:r>
      <w:r>
        <w:rPr>
          <w:snapToGrid w:val="0"/>
          <w:color w:val="000000" w:themeColor="text1"/>
          <w:kern w:val="0"/>
          <w:sz w:val="24"/>
          <w:szCs w:val="24"/>
          <w:lang w:eastAsia="en-US"/>
        </w:rPr>
        <w:t>12mm</w:t>
      </w:r>
      <w:r>
        <w:rPr>
          <w:snapToGrid w:val="0"/>
          <w:color w:val="000000" w:themeColor="text1"/>
          <w:kern w:val="0"/>
          <w:sz w:val="24"/>
          <w:szCs w:val="24"/>
          <w:lang w:eastAsia="en-US"/>
        </w:rPr>
        <w:t>油嘴放喷排液，根据排液情况和井口压力再定进入求产阶段；具体的要根据井口压力及出砂情况相应调整。井口压力原则上不低于</w:t>
      </w:r>
      <w:r>
        <w:rPr>
          <w:snapToGrid w:val="0"/>
          <w:color w:val="000000" w:themeColor="text1"/>
          <w:kern w:val="0"/>
          <w:sz w:val="24"/>
          <w:szCs w:val="24"/>
          <w:lang w:eastAsia="en-US"/>
        </w:rPr>
        <w:t>12MPa</w:t>
      </w:r>
      <w:r>
        <w:rPr>
          <w:snapToGrid w:val="0"/>
          <w:color w:val="000000" w:themeColor="text1"/>
          <w:kern w:val="0"/>
          <w:sz w:val="24"/>
          <w:szCs w:val="24"/>
          <w:lang w:eastAsia="en-US"/>
        </w:rPr>
        <w:t>。因采用套管放喷，临界携液流量高，在放喷见气、有一定喷势后应提高放喷气量使之高于临界携液流量，适当加快排液。对井口压力较低的井实施液氮气举排液。通过相关模型公式，合理优化施工参数。</w:t>
      </w:r>
    </w:p>
    <w:p w14:paraId="79084305"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9</w:t>
      </w:r>
      <w:r>
        <w:rPr>
          <w:snapToGrid w:val="0"/>
          <w:color w:val="000000" w:themeColor="text1"/>
          <w:kern w:val="0"/>
          <w:sz w:val="24"/>
          <w:szCs w:val="24"/>
          <w:lang w:eastAsia="en-US"/>
        </w:rPr>
        <w:t>、测试求产</w:t>
      </w:r>
    </w:p>
    <w:p w14:paraId="4D002016" w14:textId="77777777" w:rsidR="002E0859" w:rsidRDefault="00000000">
      <w:pPr>
        <w:widowControl/>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当产液量小于</w:t>
      </w:r>
      <w:r>
        <w:rPr>
          <w:snapToGrid w:val="0"/>
          <w:color w:val="000000" w:themeColor="text1"/>
          <w:kern w:val="0"/>
          <w:sz w:val="24"/>
          <w:szCs w:val="24"/>
          <w:lang w:eastAsia="en-US"/>
        </w:rPr>
        <w:t>10m³/h</w:t>
      </w:r>
      <w:r>
        <w:rPr>
          <w:snapToGrid w:val="0"/>
          <w:color w:val="000000" w:themeColor="text1"/>
          <w:kern w:val="0"/>
          <w:sz w:val="24"/>
          <w:szCs w:val="24"/>
          <w:lang w:eastAsia="en-US"/>
        </w:rPr>
        <w:t>或者产气量高于临界携液流量时，进入测试求产阶段。为减小井下积液的影响，采用油嘴从大到小的方式测产。分别采用</w:t>
      </w:r>
      <w:r>
        <w:rPr>
          <w:snapToGrid w:val="0"/>
          <w:color w:val="000000" w:themeColor="text1"/>
          <w:kern w:val="0"/>
          <w:sz w:val="24"/>
          <w:szCs w:val="24"/>
          <w:lang w:eastAsia="en-US"/>
        </w:rPr>
        <w:t>12mm</w:t>
      </w:r>
      <w:r>
        <w:rPr>
          <w:snapToGrid w:val="0"/>
          <w:color w:val="000000" w:themeColor="text1"/>
          <w:kern w:val="0"/>
          <w:sz w:val="24"/>
          <w:szCs w:val="24"/>
          <w:lang w:eastAsia="en-US"/>
        </w:rPr>
        <w:t>、</w:t>
      </w:r>
      <w:r>
        <w:rPr>
          <w:snapToGrid w:val="0"/>
          <w:color w:val="000000" w:themeColor="text1"/>
          <w:kern w:val="0"/>
          <w:sz w:val="24"/>
          <w:szCs w:val="24"/>
          <w:lang w:eastAsia="en-US"/>
        </w:rPr>
        <w:t>10mm</w:t>
      </w:r>
      <w:r>
        <w:rPr>
          <w:snapToGrid w:val="0"/>
          <w:color w:val="000000" w:themeColor="text1"/>
          <w:kern w:val="0"/>
          <w:sz w:val="24"/>
          <w:szCs w:val="24"/>
          <w:lang w:eastAsia="en-US"/>
        </w:rPr>
        <w:t>、</w:t>
      </w:r>
      <w:r>
        <w:rPr>
          <w:snapToGrid w:val="0"/>
          <w:color w:val="000000" w:themeColor="text1"/>
          <w:kern w:val="0"/>
          <w:sz w:val="24"/>
          <w:szCs w:val="24"/>
          <w:lang w:eastAsia="en-US"/>
        </w:rPr>
        <w:t>8mm</w:t>
      </w:r>
      <w:r>
        <w:rPr>
          <w:snapToGrid w:val="0"/>
          <w:color w:val="000000" w:themeColor="text1"/>
          <w:kern w:val="0"/>
          <w:sz w:val="24"/>
          <w:szCs w:val="24"/>
          <w:lang w:eastAsia="en-US"/>
        </w:rPr>
        <w:t>、</w:t>
      </w:r>
      <w:r>
        <w:rPr>
          <w:snapToGrid w:val="0"/>
          <w:color w:val="000000" w:themeColor="text1"/>
          <w:kern w:val="0"/>
          <w:sz w:val="24"/>
          <w:szCs w:val="24"/>
          <w:lang w:eastAsia="en-US"/>
        </w:rPr>
        <w:t>6mm</w:t>
      </w:r>
      <w:r>
        <w:rPr>
          <w:snapToGrid w:val="0"/>
          <w:color w:val="000000" w:themeColor="text1"/>
          <w:kern w:val="0"/>
          <w:sz w:val="24"/>
          <w:szCs w:val="24"/>
          <w:lang w:eastAsia="en-US"/>
        </w:rPr>
        <w:t>、</w:t>
      </w:r>
      <w:r>
        <w:rPr>
          <w:snapToGrid w:val="0"/>
          <w:color w:val="000000" w:themeColor="text1"/>
          <w:kern w:val="0"/>
          <w:sz w:val="24"/>
          <w:szCs w:val="24"/>
          <w:lang w:eastAsia="en-US"/>
        </w:rPr>
        <w:t>4mm</w:t>
      </w:r>
      <w:r>
        <w:rPr>
          <w:snapToGrid w:val="0"/>
          <w:color w:val="000000" w:themeColor="text1"/>
          <w:kern w:val="0"/>
          <w:sz w:val="24"/>
          <w:szCs w:val="24"/>
          <w:lang w:eastAsia="en-US"/>
        </w:rPr>
        <w:t>油嘴求产，如井筒压力低于</w:t>
      </w:r>
      <w:r>
        <w:rPr>
          <w:snapToGrid w:val="0"/>
          <w:color w:val="000000" w:themeColor="text1"/>
          <w:kern w:val="0"/>
          <w:sz w:val="24"/>
          <w:szCs w:val="24"/>
          <w:lang w:eastAsia="en-US"/>
        </w:rPr>
        <w:t>12MPa</w:t>
      </w:r>
      <w:r>
        <w:rPr>
          <w:snapToGrid w:val="0"/>
          <w:color w:val="000000" w:themeColor="text1"/>
          <w:kern w:val="0"/>
          <w:sz w:val="24"/>
          <w:szCs w:val="24"/>
          <w:lang w:eastAsia="en-US"/>
        </w:rPr>
        <w:t>，则从</w:t>
      </w:r>
      <w:r>
        <w:rPr>
          <w:snapToGrid w:val="0"/>
          <w:color w:val="000000" w:themeColor="text1"/>
          <w:kern w:val="0"/>
          <w:sz w:val="24"/>
          <w:szCs w:val="24"/>
          <w:lang w:eastAsia="en-US"/>
        </w:rPr>
        <w:t>8mm</w:t>
      </w:r>
      <w:r>
        <w:rPr>
          <w:snapToGrid w:val="0"/>
          <w:color w:val="000000" w:themeColor="text1"/>
          <w:kern w:val="0"/>
          <w:sz w:val="24"/>
          <w:szCs w:val="24"/>
          <w:lang w:eastAsia="en-US"/>
        </w:rPr>
        <w:t>油嘴开始求产，用</w:t>
      </w:r>
      <w:r>
        <w:rPr>
          <w:snapToGrid w:val="0"/>
          <w:color w:val="000000" w:themeColor="text1"/>
          <w:kern w:val="0"/>
          <w:sz w:val="24"/>
          <w:szCs w:val="24"/>
          <w:lang w:eastAsia="en-US"/>
        </w:rPr>
        <w:t>6mm</w:t>
      </w:r>
      <w:r>
        <w:rPr>
          <w:snapToGrid w:val="0"/>
          <w:color w:val="000000" w:themeColor="text1"/>
          <w:kern w:val="0"/>
          <w:sz w:val="24"/>
          <w:szCs w:val="24"/>
          <w:lang w:eastAsia="en-US"/>
        </w:rPr>
        <w:t>油嘴求产时，产气量小于</w:t>
      </w:r>
      <w:r>
        <w:rPr>
          <w:snapToGrid w:val="0"/>
          <w:color w:val="000000" w:themeColor="text1"/>
          <w:kern w:val="0"/>
          <w:sz w:val="24"/>
          <w:szCs w:val="24"/>
          <w:lang w:eastAsia="en-US"/>
        </w:rPr>
        <w:t>10×104m³/d</w:t>
      </w:r>
      <w:r>
        <w:rPr>
          <w:snapToGrid w:val="0"/>
          <w:color w:val="000000" w:themeColor="text1"/>
          <w:kern w:val="0"/>
          <w:sz w:val="24"/>
          <w:szCs w:val="24"/>
          <w:lang w:eastAsia="en-US"/>
        </w:rPr>
        <w:t>，再用</w:t>
      </w:r>
      <w:r>
        <w:rPr>
          <w:snapToGrid w:val="0"/>
          <w:color w:val="000000" w:themeColor="text1"/>
          <w:kern w:val="0"/>
          <w:sz w:val="24"/>
          <w:szCs w:val="24"/>
          <w:lang w:eastAsia="en-US"/>
        </w:rPr>
        <w:t>4mm</w:t>
      </w:r>
      <w:r>
        <w:rPr>
          <w:snapToGrid w:val="0"/>
          <w:color w:val="000000" w:themeColor="text1"/>
          <w:kern w:val="0"/>
          <w:sz w:val="24"/>
          <w:szCs w:val="24"/>
          <w:lang w:eastAsia="en-US"/>
        </w:rPr>
        <w:t>油嘴求产。测试产量稳定要求见表</w:t>
      </w:r>
      <w:r>
        <w:rPr>
          <w:rFonts w:hint="eastAsia"/>
          <w:snapToGrid w:val="0"/>
          <w:color w:val="000000" w:themeColor="text1"/>
          <w:kern w:val="0"/>
          <w:sz w:val="24"/>
          <w:szCs w:val="24"/>
        </w:rPr>
        <w:t>2.5-15</w:t>
      </w:r>
      <w:r>
        <w:rPr>
          <w:snapToGrid w:val="0"/>
          <w:color w:val="000000" w:themeColor="text1"/>
          <w:kern w:val="0"/>
          <w:sz w:val="24"/>
          <w:szCs w:val="24"/>
          <w:lang w:eastAsia="en-US"/>
        </w:rPr>
        <w:t>所示：</w:t>
      </w:r>
    </w:p>
    <w:p w14:paraId="18DBBCD8" w14:textId="77777777" w:rsidR="002E0859" w:rsidRDefault="00000000">
      <w:pPr>
        <w:autoSpaceDE w:val="0"/>
        <w:autoSpaceDN w:val="0"/>
        <w:spacing w:line="240" w:lineRule="auto"/>
        <w:ind w:firstLineChars="0" w:firstLine="0"/>
        <w:jc w:val="center"/>
        <w:textAlignment w:val="baseline"/>
        <w:rPr>
          <w:rFonts w:ascii="黑体" w:eastAsia="黑体" w:hAnsi="黑体" w:cs="黑体"/>
          <w:snapToGrid w:val="0"/>
          <w:color w:val="000000" w:themeColor="text1"/>
          <w:spacing w:val="-1"/>
          <w:kern w:val="0"/>
          <w:sz w:val="21"/>
          <w:szCs w:val="21"/>
          <w:lang w:eastAsia="en-US"/>
        </w:rPr>
      </w:pPr>
      <w:r>
        <w:rPr>
          <w:rFonts w:ascii="黑体" w:eastAsia="黑体" w:hAnsi="黑体" w:cs="黑体" w:hint="eastAsia"/>
          <w:snapToGrid w:val="0"/>
          <w:color w:val="000000" w:themeColor="text1"/>
          <w:spacing w:val="-1"/>
          <w:kern w:val="0"/>
          <w:sz w:val="21"/>
          <w:szCs w:val="21"/>
          <w:lang w:eastAsia="en-US"/>
        </w:rPr>
        <w:t>表</w:t>
      </w:r>
      <w:r>
        <w:rPr>
          <w:rFonts w:eastAsia="黑体"/>
          <w:snapToGrid w:val="0"/>
          <w:color w:val="000000" w:themeColor="text1"/>
          <w:spacing w:val="-1"/>
          <w:kern w:val="0"/>
          <w:sz w:val="21"/>
          <w:szCs w:val="21"/>
        </w:rPr>
        <w:t>2.5-15</w:t>
      </w:r>
      <w:r>
        <w:rPr>
          <w:rFonts w:eastAsia="黑体" w:hint="eastAsia"/>
          <w:snapToGrid w:val="0"/>
          <w:color w:val="000000" w:themeColor="text1"/>
          <w:spacing w:val="-1"/>
          <w:kern w:val="0"/>
          <w:sz w:val="21"/>
          <w:szCs w:val="21"/>
        </w:rPr>
        <w:t xml:space="preserve"> </w:t>
      </w:r>
      <w:r>
        <w:rPr>
          <w:rFonts w:ascii="黑体" w:eastAsia="黑体" w:hAnsi="黑体" w:cs="黑体" w:hint="eastAsia"/>
          <w:snapToGrid w:val="0"/>
          <w:color w:val="000000" w:themeColor="text1"/>
          <w:spacing w:val="-1"/>
          <w:kern w:val="0"/>
          <w:sz w:val="21"/>
          <w:szCs w:val="21"/>
          <w:lang w:eastAsia="en-US"/>
        </w:rPr>
        <w:t>气井测试稳定标准</w:t>
      </w:r>
    </w:p>
    <w:p w14:paraId="40E85D92" w14:textId="77777777" w:rsidR="002E0859" w:rsidRDefault="002E0859">
      <w:pPr>
        <w:widowControl/>
        <w:topLinePunct w:val="0"/>
        <w:autoSpaceDE w:val="0"/>
        <w:autoSpaceDN w:val="0"/>
        <w:spacing w:line="122" w:lineRule="auto"/>
        <w:ind w:firstLineChars="0" w:firstLine="0"/>
        <w:jc w:val="left"/>
        <w:textAlignment w:val="baseline"/>
        <w:rPr>
          <w:snapToGrid w:val="0"/>
          <w:color w:val="000000" w:themeColor="text1"/>
          <w:kern w:val="0"/>
          <w:sz w:val="2"/>
          <w:szCs w:val="21"/>
          <w:lang w:eastAsia="en-US"/>
        </w:rPr>
      </w:pPr>
    </w:p>
    <w:tbl>
      <w:tblPr>
        <w:tblStyle w:val="TableNormal"/>
        <w:tblW w:w="9291" w:type="dxa"/>
        <w:tblInd w:w="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714"/>
        <w:gridCol w:w="1642"/>
        <w:gridCol w:w="1643"/>
        <w:gridCol w:w="1643"/>
        <w:gridCol w:w="1649"/>
      </w:tblGrid>
      <w:tr w:rsidR="002E0859" w14:paraId="0E2B141C" w14:textId="77777777">
        <w:trPr>
          <w:trHeight w:val="294"/>
        </w:trPr>
        <w:tc>
          <w:tcPr>
            <w:tcW w:w="2714" w:type="dxa"/>
            <w:tcBorders>
              <w:tl2br w:val="nil"/>
              <w:tr2bl w:val="nil"/>
            </w:tcBorders>
          </w:tcPr>
          <w:p w14:paraId="2D5A7F3C" w14:textId="77777777" w:rsidR="002E0859" w:rsidRDefault="00000000">
            <w:pPr>
              <w:autoSpaceDE w:val="0"/>
              <w:autoSpaceDN w:val="0"/>
              <w:spacing w:before="36" w:line="218" w:lineRule="auto"/>
              <w:ind w:left="38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测试产量，</w:t>
            </w:r>
            <w:r>
              <w:rPr>
                <w:snapToGrid w:val="0"/>
                <w:color w:val="000000" w:themeColor="text1"/>
                <w:kern w:val="0"/>
                <w:sz w:val="21"/>
                <w:szCs w:val="21"/>
                <w:lang w:eastAsia="en-US"/>
              </w:rPr>
              <w:t>×10</w:t>
            </w:r>
            <w:r>
              <w:rPr>
                <w:snapToGrid w:val="0"/>
                <w:color w:val="000000" w:themeColor="text1"/>
                <w:kern w:val="0"/>
                <w:sz w:val="11"/>
                <w:szCs w:val="11"/>
                <w:lang w:eastAsia="en-US"/>
              </w:rPr>
              <w:t>4</w:t>
            </w:r>
            <w:r>
              <w:rPr>
                <w:snapToGrid w:val="0"/>
                <w:color w:val="000000" w:themeColor="text1"/>
                <w:kern w:val="0"/>
                <w:sz w:val="21"/>
                <w:szCs w:val="21"/>
                <w:lang w:eastAsia="en-US"/>
              </w:rPr>
              <w:t>m³/d</w:t>
            </w:r>
          </w:p>
        </w:tc>
        <w:tc>
          <w:tcPr>
            <w:tcW w:w="1642" w:type="dxa"/>
            <w:tcBorders>
              <w:tl2br w:val="nil"/>
              <w:tr2bl w:val="nil"/>
            </w:tcBorders>
          </w:tcPr>
          <w:p w14:paraId="03CFE86F" w14:textId="77777777" w:rsidR="002E0859" w:rsidRDefault="00000000">
            <w:pPr>
              <w:autoSpaceDE w:val="0"/>
              <w:autoSpaceDN w:val="0"/>
              <w:spacing w:before="41" w:line="213" w:lineRule="auto"/>
              <w:ind w:left="632"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&gt;50</w:t>
            </w:r>
          </w:p>
        </w:tc>
        <w:tc>
          <w:tcPr>
            <w:tcW w:w="1643" w:type="dxa"/>
            <w:tcBorders>
              <w:tl2br w:val="nil"/>
              <w:tr2bl w:val="nil"/>
            </w:tcBorders>
          </w:tcPr>
          <w:p w14:paraId="5A149050" w14:textId="77777777" w:rsidR="002E0859" w:rsidRDefault="00000000">
            <w:pPr>
              <w:autoSpaceDE w:val="0"/>
              <w:autoSpaceDN w:val="0"/>
              <w:spacing w:before="41" w:line="213" w:lineRule="auto"/>
              <w:ind w:left="514"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r>
              <w:rPr>
                <w:snapToGrid w:val="0"/>
                <w:color w:val="000000" w:themeColor="text1"/>
                <w:kern w:val="0"/>
                <w:sz w:val="21"/>
                <w:szCs w:val="21"/>
                <w:lang w:eastAsia="en-US"/>
              </w:rPr>
              <w:t>～</w:t>
            </w:r>
            <w:r>
              <w:rPr>
                <w:snapToGrid w:val="0"/>
                <w:color w:val="000000" w:themeColor="text1"/>
                <w:kern w:val="0"/>
                <w:sz w:val="21"/>
                <w:szCs w:val="21"/>
                <w:lang w:eastAsia="en-US"/>
              </w:rPr>
              <w:t>20</w:t>
            </w:r>
          </w:p>
        </w:tc>
        <w:tc>
          <w:tcPr>
            <w:tcW w:w="1643" w:type="dxa"/>
            <w:tcBorders>
              <w:tl2br w:val="nil"/>
              <w:tr2bl w:val="nil"/>
            </w:tcBorders>
          </w:tcPr>
          <w:p w14:paraId="61F12A6C" w14:textId="77777777" w:rsidR="002E0859" w:rsidRDefault="00000000">
            <w:pPr>
              <w:autoSpaceDE w:val="0"/>
              <w:autoSpaceDN w:val="0"/>
              <w:spacing w:before="41" w:line="213" w:lineRule="auto"/>
              <w:ind w:left="56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20</w:t>
            </w:r>
            <w:r>
              <w:rPr>
                <w:snapToGrid w:val="0"/>
                <w:color w:val="000000" w:themeColor="text1"/>
                <w:kern w:val="0"/>
                <w:sz w:val="21"/>
                <w:szCs w:val="21"/>
                <w:lang w:eastAsia="en-US"/>
              </w:rPr>
              <w:t>～</w:t>
            </w:r>
            <w:r>
              <w:rPr>
                <w:snapToGrid w:val="0"/>
                <w:color w:val="000000" w:themeColor="text1"/>
                <w:kern w:val="0"/>
                <w:sz w:val="21"/>
                <w:szCs w:val="21"/>
                <w:lang w:eastAsia="en-US"/>
              </w:rPr>
              <w:t>5</w:t>
            </w:r>
          </w:p>
        </w:tc>
        <w:tc>
          <w:tcPr>
            <w:tcW w:w="1649" w:type="dxa"/>
            <w:tcBorders>
              <w:tl2br w:val="nil"/>
              <w:tr2bl w:val="nil"/>
            </w:tcBorders>
          </w:tcPr>
          <w:p w14:paraId="7BF55782" w14:textId="77777777" w:rsidR="002E0859" w:rsidRDefault="00000000">
            <w:pPr>
              <w:autoSpaceDE w:val="0"/>
              <w:autoSpaceDN w:val="0"/>
              <w:spacing w:before="41" w:line="213" w:lineRule="auto"/>
              <w:ind w:left="68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5</w:t>
            </w:r>
          </w:p>
        </w:tc>
      </w:tr>
      <w:tr w:rsidR="002E0859" w14:paraId="77E45432" w14:textId="77777777">
        <w:trPr>
          <w:trHeight w:val="287"/>
        </w:trPr>
        <w:tc>
          <w:tcPr>
            <w:tcW w:w="2714" w:type="dxa"/>
            <w:tcBorders>
              <w:tl2br w:val="nil"/>
              <w:tr2bl w:val="nil"/>
            </w:tcBorders>
          </w:tcPr>
          <w:p w14:paraId="25AF2FA5" w14:textId="77777777" w:rsidR="002E0859" w:rsidRDefault="00000000">
            <w:pPr>
              <w:autoSpaceDE w:val="0"/>
              <w:autoSpaceDN w:val="0"/>
              <w:spacing w:before="36" w:line="211" w:lineRule="auto"/>
              <w:ind w:left="78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稳定时间，</w:t>
            </w:r>
            <w:r>
              <w:rPr>
                <w:snapToGrid w:val="0"/>
                <w:color w:val="000000" w:themeColor="text1"/>
                <w:kern w:val="0"/>
                <w:sz w:val="21"/>
                <w:szCs w:val="21"/>
                <w:lang w:eastAsia="en-US"/>
              </w:rPr>
              <w:t>h</w:t>
            </w:r>
          </w:p>
        </w:tc>
        <w:tc>
          <w:tcPr>
            <w:tcW w:w="1642" w:type="dxa"/>
            <w:tcBorders>
              <w:tl2br w:val="nil"/>
              <w:tr2bl w:val="nil"/>
            </w:tcBorders>
          </w:tcPr>
          <w:p w14:paraId="4CC38CA1" w14:textId="77777777" w:rsidR="002E0859" w:rsidRDefault="00000000">
            <w:pPr>
              <w:autoSpaceDE w:val="0"/>
              <w:autoSpaceDN w:val="0"/>
              <w:spacing w:before="73" w:line="179" w:lineRule="auto"/>
              <w:ind w:left="772"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643" w:type="dxa"/>
            <w:tcBorders>
              <w:tl2br w:val="nil"/>
              <w:tr2bl w:val="nil"/>
            </w:tcBorders>
          </w:tcPr>
          <w:p w14:paraId="04F6E577" w14:textId="77777777" w:rsidR="002E0859" w:rsidRDefault="00000000">
            <w:pPr>
              <w:autoSpaceDE w:val="0"/>
              <w:autoSpaceDN w:val="0"/>
              <w:spacing w:before="73" w:line="179" w:lineRule="auto"/>
              <w:ind w:left="77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643" w:type="dxa"/>
            <w:tcBorders>
              <w:tl2br w:val="nil"/>
              <w:tr2bl w:val="nil"/>
            </w:tcBorders>
          </w:tcPr>
          <w:p w14:paraId="0ECDCC11" w14:textId="77777777" w:rsidR="002E0859" w:rsidRDefault="00000000">
            <w:pPr>
              <w:autoSpaceDE w:val="0"/>
              <w:autoSpaceDN w:val="0"/>
              <w:spacing w:before="73" w:line="179" w:lineRule="auto"/>
              <w:ind w:left="77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p>
        </w:tc>
        <w:tc>
          <w:tcPr>
            <w:tcW w:w="1649" w:type="dxa"/>
            <w:tcBorders>
              <w:tl2br w:val="nil"/>
              <w:tr2bl w:val="nil"/>
            </w:tcBorders>
          </w:tcPr>
          <w:p w14:paraId="081A66BF" w14:textId="77777777" w:rsidR="002E0859" w:rsidRDefault="00000000">
            <w:pPr>
              <w:autoSpaceDE w:val="0"/>
              <w:autoSpaceDN w:val="0"/>
              <w:spacing w:before="72" w:line="180" w:lineRule="auto"/>
              <w:ind w:left="737"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12</w:t>
            </w:r>
          </w:p>
        </w:tc>
      </w:tr>
      <w:tr w:rsidR="002E0859" w14:paraId="24930B18" w14:textId="77777777">
        <w:trPr>
          <w:trHeight w:val="285"/>
        </w:trPr>
        <w:tc>
          <w:tcPr>
            <w:tcW w:w="2714" w:type="dxa"/>
            <w:tcBorders>
              <w:tl2br w:val="nil"/>
              <w:tr2bl w:val="nil"/>
            </w:tcBorders>
          </w:tcPr>
          <w:p w14:paraId="0D7F05D1" w14:textId="77777777" w:rsidR="002E0859" w:rsidRDefault="00000000">
            <w:pPr>
              <w:autoSpaceDE w:val="0"/>
              <w:autoSpaceDN w:val="0"/>
              <w:spacing w:before="38" w:line="208" w:lineRule="auto"/>
              <w:ind w:left="678"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压力波动，</w:t>
            </w:r>
            <w:r>
              <w:rPr>
                <w:snapToGrid w:val="0"/>
                <w:color w:val="000000" w:themeColor="text1"/>
                <w:kern w:val="0"/>
                <w:sz w:val="21"/>
                <w:szCs w:val="21"/>
                <w:lang w:eastAsia="en-US"/>
              </w:rPr>
              <w:t>MPa</w:t>
            </w:r>
          </w:p>
        </w:tc>
        <w:tc>
          <w:tcPr>
            <w:tcW w:w="1642" w:type="dxa"/>
            <w:tcBorders>
              <w:tl2br w:val="nil"/>
              <w:tr2bl w:val="nil"/>
            </w:tcBorders>
          </w:tcPr>
          <w:p w14:paraId="5D0EDBF2" w14:textId="77777777" w:rsidR="002E0859" w:rsidRDefault="00000000">
            <w:pPr>
              <w:autoSpaceDE w:val="0"/>
              <w:autoSpaceDN w:val="0"/>
              <w:spacing w:before="38" w:line="208" w:lineRule="auto"/>
              <w:ind w:left="509"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0.5</w:t>
            </w:r>
            <w:r>
              <w:rPr>
                <w:snapToGrid w:val="0"/>
                <w:color w:val="000000" w:themeColor="text1"/>
                <w:kern w:val="0"/>
                <w:sz w:val="21"/>
                <w:szCs w:val="21"/>
                <w:lang w:eastAsia="en-US"/>
              </w:rPr>
              <w:t>～</w:t>
            </w:r>
            <w:r>
              <w:rPr>
                <w:snapToGrid w:val="0"/>
                <w:color w:val="000000" w:themeColor="text1"/>
                <w:kern w:val="0"/>
                <w:sz w:val="21"/>
                <w:szCs w:val="21"/>
                <w:lang w:eastAsia="en-US"/>
              </w:rPr>
              <w:t>1</w:t>
            </w:r>
          </w:p>
        </w:tc>
        <w:tc>
          <w:tcPr>
            <w:tcW w:w="1643" w:type="dxa"/>
            <w:tcBorders>
              <w:tl2br w:val="nil"/>
              <w:tr2bl w:val="nil"/>
            </w:tcBorders>
          </w:tcPr>
          <w:p w14:paraId="1E18B586" w14:textId="77777777" w:rsidR="002E0859" w:rsidRDefault="00000000">
            <w:pPr>
              <w:autoSpaceDE w:val="0"/>
              <w:autoSpaceDN w:val="0"/>
              <w:spacing w:before="38" w:line="208" w:lineRule="auto"/>
              <w:ind w:left="51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0.5</w:t>
            </w:r>
            <w:r>
              <w:rPr>
                <w:snapToGrid w:val="0"/>
                <w:color w:val="000000" w:themeColor="text1"/>
                <w:kern w:val="0"/>
                <w:sz w:val="21"/>
                <w:szCs w:val="21"/>
                <w:lang w:eastAsia="en-US"/>
              </w:rPr>
              <w:t>～</w:t>
            </w:r>
            <w:r>
              <w:rPr>
                <w:snapToGrid w:val="0"/>
                <w:color w:val="000000" w:themeColor="text1"/>
                <w:kern w:val="0"/>
                <w:sz w:val="21"/>
                <w:szCs w:val="21"/>
                <w:lang w:eastAsia="en-US"/>
              </w:rPr>
              <w:t>1</w:t>
            </w:r>
          </w:p>
        </w:tc>
        <w:tc>
          <w:tcPr>
            <w:tcW w:w="1643" w:type="dxa"/>
            <w:tcBorders>
              <w:tl2br w:val="nil"/>
              <w:tr2bl w:val="nil"/>
            </w:tcBorders>
          </w:tcPr>
          <w:p w14:paraId="34F88AA8" w14:textId="77777777" w:rsidR="002E0859" w:rsidRDefault="00000000">
            <w:pPr>
              <w:autoSpaceDE w:val="0"/>
              <w:autoSpaceDN w:val="0"/>
              <w:spacing w:before="38" w:line="208" w:lineRule="auto"/>
              <w:ind w:left="513"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0.5</w:t>
            </w:r>
            <w:r>
              <w:rPr>
                <w:snapToGrid w:val="0"/>
                <w:color w:val="000000" w:themeColor="text1"/>
                <w:kern w:val="0"/>
                <w:sz w:val="21"/>
                <w:szCs w:val="21"/>
                <w:lang w:eastAsia="en-US"/>
              </w:rPr>
              <w:t>～</w:t>
            </w:r>
            <w:r>
              <w:rPr>
                <w:snapToGrid w:val="0"/>
                <w:color w:val="000000" w:themeColor="text1"/>
                <w:kern w:val="0"/>
                <w:sz w:val="21"/>
                <w:szCs w:val="21"/>
                <w:lang w:eastAsia="en-US"/>
              </w:rPr>
              <w:t>1</w:t>
            </w:r>
          </w:p>
        </w:tc>
        <w:tc>
          <w:tcPr>
            <w:tcW w:w="1649" w:type="dxa"/>
            <w:tcBorders>
              <w:tl2br w:val="nil"/>
              <w:tr2bl w:val="nil"/>
            </w:tcBorders>
          </w:tcPr>
          <w:p w14:paraId="3DEC129E" w14:textId="77777777" w:rsidR="002E0859" w:rsidRDefault="00000000">
            <w:pPr>
              <w:autoSpaceDE w:val="0"/>
              <w:autoSpaceDN w:val="0"/>
              <w:spacing w:before="38" w:line="208" w:lineRule="auto"/>
              <w:ind w:left="514"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0.5</w:t>
            </w:r>
            <w:r>
              <w:rPr>
                <w:snapToGrid w:val="0"/>
                <w:color w:val="000000" w:themeColor="text1"/>
                <w:kern w:val="0"/>
                <w:sz w:val="21"/>
                <w:szCs w:val="21"/>
                <w:lang w:eastAsia="en-US"/>
              </w:rPr>
              <w:t>～</w:t>
            </w:r>
            <w:r>
              <w:rPr>
                <w:snapToGrid w:val="0"/>
                <w:color w:val="000000" w:themeColor="text1"/>
                <w:kern w:val="0"/>
                <w:sz w:val="21"/>
                <w:szCs w:val="21"/>
                <w:lang w:eastAsia="en-US"/>
              </w:rPr>
              <w:t>1</w:t>
            </w:r>
          </w:p>
        </w:tc>
      </w:tr>
      <w:tr w:rsidR="002E0859" w14:paraId="603F9A68" w14:textId="77777777">
        <w:trPr>
          <w:trHeight w:val="295"/>
        </w:trPr>
        <w:tc>
          <w:tcPr>
            <w:tcW w:w="2714" w:type="dxa"/>
            <w:tcBorders>
              <w:tl2br w:val="nil"/>
              <w:tr2bl w:val="nil"/>
            </w:tcBorders>
          </w:tcPr>
          <w:p w14:paraId="381D6D70" w14:textId="77777777" w:rsidR="002E0859" w:rsidRDefault="00000000">
            <w:pPr>
              <w:autoSpaceDE w:val="0"/>
              <w:autoSpaceDN w:val="0"/>
              <w:spacing w:before="42" w:line="213" w:lineRule="auto"/>
              <w:ind w:left="782"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产量波动，</w:t>
            </w:r>
            <w:r>
              <w:rPr>
                <w:snapToGrid w:val="0"/>
                <w:color w:val="000000" w:themeColor="text1"/>
                <w:kern w:val="0"/>
                <w:sz w:val="21"/>
                <w:szCs w:val="21"/>
                <w:lang w:eastAsia="en-US"/>
              </w:rPr>
              <w:t>%</w:t>
            </w:r>
          </w:p>
        </w:tc>
        <w:tc>
          <w:tcPr>
            <w:tcW w:w="1642" w:type="dxa"/>
            <w:tcBorders>
              <w:tl2br w:val="nil"/>
              <w:tr2bl w:val="nil"/>
            </w:tcBorders>
          </w:tcPr>
          <w:p w14:paraId="5BFC33BC" w14:textId="77777777" w:rsidR="002E0859" w:rsidRDefault="00000000">
            <w:pPr>
              <w:autoSpaceDE w:val="0"/>
              <w:autoSpaceDN w:val="0"/>
              <w:spacing w:before="42" w:line="213" w:lineRule="auto"/>
              <w:ind w:left="681"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5</w:t>
            </w:r>
          </w:p>
        </w:tc>
        <w:tc>
          <w:tcPr>
            <w:tcW w:w="1643" w:type="dxa"/>
            <w:tcBorders>
              <w:tl2br w:val="nil"/>
              <w:tr2bl w:val="nil"/>
            </w:tcBorders>
          </w:tcPr>
          <w:p w14:paraId="75598929" w14:textId="77777777" w:rsidR="002E0859" w:rsidRDefault="00000000">
            <w:pPr>
              <w:autoSpaceDE w:val="0"/>
              <w:autoSpaceDN w:val="0"/>
              <w:spacing w:before="42" w:line="213" w:lineRule="auto"/>
              <w:ind w:left="684"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5</w:t>
            </w:r>
          </w:p>
        </w:tc>
        <w:tc>
          <w:tcPr>
            <w:tcW w:w="1643" w:type="dxa"/>
            <w:tcBorders>
              <w:tl2br w:val="nil"/>
              <w:tr2bl w:val="nil"/>
            </w:tcBorders>
          </w:tcPr>
          <w:p w14:paraId="06EFF03F" w14:textId="77777777" w:rsidR="002E0859" w:rsidRDefault="00000000">
            <w:pPr>
              <w:autoSpaceDE w:val="0"/>
              <w:autoSpaceDN w:val="0"/>
              <w:spacing w:before="42" w:line="213" w:lineRule="auto"/>
              <w:ind w:left="685"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5</w:t>
            </w:r>
          </w:p>
        </w:tc>
        <w:tc>
          <w:tcPr>
            <w:tcW w:w="1649" w:type="dxa"/>
            <w:tcBorders>
              <w:tl2br w:val="nil"/>
              <w:tr2bl w:val="nil"/>
            </w:tcBorders>
          </w:tcPr>
          <w:p w14:paraId="3DE04839" w14:textId="77777777" w:rsidR="002E0859" w:rsidRDefault="00000000">
            <w:pPr>
              <w:autoSpaceDE w:val="0"/>
              <w:autoSpaceDN w:val="0"/>
              <w:spacing w:before="42" w:line="213" w:lineRule="auto"/>
              <w:ind w:left="686" w:firstLineChars="0" w:firstLine="0"/>
              <w:jc w:val="left"/>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5</w:t>
            </w:r>
          </w:p>
        </w:tc>
      </w:tr>
    </w:tbl>
    <w:p w14:paraId="0313709C"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单井压裂工艺</w:t>
      </w:r>
    </w:p>
    <w:p w14:paraId="1BD3C892" w14:textId="77777777" w:rsidR="002E0859" w:rsidRDefault="00000000">
      <w:pPr>
        <w:widowControl/>
        <w:kinsoku w:val="0"/>
        <w:topLinePunct w:val="0"/>
        <w:autoSpaceDE w:val="0"/>
        <w:autoSpaceDN w:val="0"/>
        <w:spacing w:line="360" w:lineRule="auto"/>
        <w:ind w:firstLine="480"/>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以实现剩余气储量最大化动用为目标，采用</w:t>
      </w:r>
      <w:r>
        <w:rPr>
          <w:snapToGrid w:val="0"/>
          <w:color w:val="000000" w:themeColor="text1"/>
          <w:kern w:val="0"/>
          <w:sz w:val="24"/>
          <w:szCs w:val="24"/>
          <w:lang w:eastAsia="en-US"/>
        </w:rPr>
        <w:t>“</w:t>
      </w:r>
      <w:r>
        <w:rPr>
          <w:snapToGrid w:val="0"/>
          <w:color w:val="000000" w:themeColor="text1"/>
          <w:kern w:val="0"/>
          <w:sz w:val="24"/>
          <w:szCs w:val="24"/>
          <w:lang w:eastAsia="en-US"/>
        </w:rPr>
        <w:t>多簇密切</w:t>
      </w:r>
      <w:r>
        <w:rPr>
          <w:snapToGrid w:val="0"/>
          <w:color w:val="000000" w:themeColor="text1"/>
          <w:kern w:val="0"/>
          <w:sz w:val="24"/>
          <w:szCs w:val="24"/>
          <w:lang w:eastAsia="en-US"/>
        </w:rPr>
        <w:t>+</w:t>
      </w:r>
      <w:r>
        <w:rPr>
          <w:snapToGrid w:val="0"/>
          <w:color w:val="000000" w:themeColor="text1"/>
          <w:kern w:val="0"/>
          <w:sz w:val="24"/>
          <w:szCs w:val="24"/>
          <w:lang w:eastAsia="en-US"/>
        </w:rPr>
        <w:t>暂堵转向</w:t>
      </w:r>
      <w:r>
        <w:rPr>
          <w:snapToGrid w:val="0"/>
          <w:color w:val="000000" w:themeColor="text1"/>
          <w:kern w:val="0"/>
          <w:sz w:val="24"/>
          <w:szCs w:val="24"/>
          <w:lang w:eastAsia="en-US"/>
        </w:rPr>
        <w:t>”</w:t>
      </w:r>
      <w:r>
        <w:rPr>
          <w:snapToGrid w:val="0"/>
          <w:color w:val="000000" w:themeColor="text1"/>
          <w:kern w:val="0"/>
          <w:sz w:val="24"/>
          <w:szCs w:val="24"/>
          <w:lang w:eastAsia="en-US"/>
        </w:rPr>
        <w:t>主体工艺，结合井网井距部署情况，通过应用数值模拟和逆向设计方法，开展差异化参数设计，采用一体化减阻水压裂液体系、支撑剂以石英砂为主，覆膜砂封口。单段</w:t>
      </w:r>
      <w:r>
        <w:rPr>
          <w:snapToGrid w:val="0"/>
          <w:color w:val="000000" w:themeColor="text1"/>
          <w:kern w:val="0"/>
          <w:sz w:val="24"/>
          <w:szCs w:val="24"/>
          <w:lang w:eastAsia="en-US"/>
        </w:rPr>
        <w:t>4-6</w:t>
      </w:r>
      <w:r>
        <w:rPr>
          <w:snapToGrid w:val="0"/>
          <w:color w:val="000000" w:themeColor="text1"/>
          <w:kern w:val="0"/>
          <w:sz w:val="24"/>
          <w:szCs w:val="24"/>
          <w:lang w:eastAsia="en-US"/>
        </w:rPr>
        <w:t>簇为主，段长</w:t>
      </w:r>
      <w:r>
        <w:rPr>
          <w:snapToGrid w:val="0"/>
          <w:color w:val="000000" w:themeColor="text1"/>
          <w:kern w:val="0"/>
          <w:sz w:val="24"/>
          <w:szCs w:val="24"/>
          <w:lang w:eastAsia="en-US"/>
        </w:rPr>
        <w:t>65-68</w:t>
      </w:r>
      <w:r>
        <w:rPr>
          <w:snapToGrid w:val="0"/>
          <w:color w:val="000000" w:themeColor="text1"/>
          <w:kern w:val="0"/>
          <w:sz w:val="24"/>
          <w:szCs w:val="24"/>
          <w:lang w:eastAsia="en-US"/>
        </w:rPr>
        <w:t>米，用液强度</w:t>
      </w:r>
      <w:r>
        <w:rPr>
          <w:snapToGrid w:val="0"/>
          <w:color w:val="000000" w:themeColor="text1"/>
          <w:kern w:val="0"/>
          <w:sz w:val="24"/>
          <w:szCs w:val="24"/>
          <w:lang w:eastAsia="en-US"/>
        </w:rPr>
        <w:t>22.0-23.0</w:t>
      </w:r>
      <w:r>
        <w:rPr>
          <w:snapToGrid w:val="0"/>
          <w:color w:val="000000" w:themeColor="text1"/>
          <w:kern w:val="0"/>
          <w:sz w:val="24"/>
          <w:szCs w:val="24"/>
          <w:lang w:eastAsia="en-US"/>
        </w:rPr>
        <w:t>方</w:t>
      </w:r>
      <w:r>
        <w:rPr>
          <w:snapToGrid w:val="0"/>
          <w:color w:val="000000" w:themeColor="text1"/>
          <w:kern w:val="0"/>
          <w:sz w:val="24"/>
          <w:szCs w:val="24"/>
          <w:lang w:eastAsia="en-US"/>
        </w:rPr>
        <w:t>/</w:t>
      </w:r>
      <w:r>
        <w:rPr>
          <w:snapToGrid w:val="0"/>
          <w:color w:val="000000" w:themeColor="text1"/>
          <w:kern w:val="0"/>
          <w:sz w:val="24"/>
          <w:szCs w:val="24"/>
          <w:lang w:eastAsia="en-US"/>
        </w:rPr>
        <w:t>米，加砂强度</w:t>
      </w:r>
      <w:r>
        <w:rPr>
          <w:snapToGrid w:val="0"/>
          <w:color w:val="000000" w:themeColor="text1"/>
          <w:kern w:val="0"/>
          <w:sz w:val="24"/>
          <w:szCs w:val="24"/>
          <w:lang w:eastAsia="en-US"/>
        </w:rPr>
        <w:t>2.0-2.05</w:t>
      </w:r>
      <w:r>
        <w:rPr>
          <w:snapToGrid w:val="0"/>
          <w:color w:val="000000" w:themeColor="text1"/>
          <w:kern w:val="0"/>
          <w:sz w:val="24"/>
          <w:szCs w:val="24"/>
          <w:lang w:eastAsia="en-US"/>
        </w:rPr>
        <w:t>吨</w:t>
      </w:r>
      <w:r>
        <w:rPr>
          <w:snapToGrid w:val="0"/>
          <w:color w:val="000000" w:themeColor="text1"/>
          <w:kern w:val="0"/>
          <w:sz w:val="24"/>
          <w:szCs w:val="24"/>
          <w:lang w:eastAsia="en-US"/>
        </w:rPr>
        <w:t>/</w:t>
      </w:r>
      <w:r>
        <w:rPr>
          <w:snapToGrid w:val="0"/>
          <w:color w:val="000000" w:themeColor="text1"/>
          <w:kern w:val="0"/>
          <w:sz w:val="24"/>
          <w:szCs w:val="24"/>
          <w:lang w:eastAsia="en-US"/>
        </w:rPr>
        <w:t>米。</w:t>
      </w:r>
    </w:p>
    <w:p w14:paraId="26C24FDA" w14:textId="77777777" w:rsidR="002E0859" w:rsidRDefault="00000000">
      <w:pPr>
        <w:widowControl/>
        <w:kinsoku w:val="0"/>
        <w:topLinePunct w:val="0"/>
        <w:autoSpaceDE w:val="0"/>
        <w:autoSpaceDN w:val="0"/>
        <w:spacing w:line="240" w:lineRule="auto"/>
        <w:ind w:firstLine="416"/>
        <w:jc w:val="center"/>
        <w:textAlignment w:val="baseline"/>
        <w:rPr>
          <w:rFonts w:ascii="黑体" w:eastAsia="黑体" w:hAnsi="黑体" w:cs="黑体"/>
          <w:snapToGrid w:val="0"/>
          <w:color w:val="000000" w:themeColor="text1"/>
          <w:spacing w:val="-1"/>
          <w:kern w:val="0"/>
          <w:sz w:val="21"/>
          <w:szCs w:val="21"/>
          <w:lang w:eastAsia="en-US"/>
        </w:rPr>
      </w:pPr>
      <w:r>
        <w:rPr>
          <w:rFonts w:ascii="黑体" w:eastAsia="黑体" w:hAnsi="黑体" w:cs="黑体"/>
          <w:snapToGrid w:val="0"/>
          <w:color w:val="000000" w:themeColor="text1"/>
          <w:spacing w:val="-1"/>
          <w:kern w:val="0"/>
          <w:sz w:val="21"/>
          <w:szCs w:val="21"/>
          <w:lang w:eastAsia="en-US"/>
        </w:rPr>
        <w:t>表</w:t>
      </w:r>
      <w:r>
        <w:rPr>
          <w:rFonts w:eastAsia="黑体"/>
          <w:snapToGrid w:val="0"/>
          <w:color w:val="000000" w:themeColor="text1"/>
          <w:spacing w:val="-1"/>
          <w:kern w:val="0"/>
          <w:sz w:val="21"/>
          <w:szCs w:val="21"/>
        </w:rPr>
        <w:t>2.5-1</w:t>
      </w:r>
      <w:r>
        <w:rPr>
          <w:rFonts w:eastAsia="黑体" w:hint="eastAsia"/>
          <w:snapToGrid w:val="0"/>
          <w:color w:val="000000" w:themeColor="text1"/>
          <w:spacing w:val="-1"/>
          <w:kern w:val="0"/>
          <w:sz w:val="21"/>
          <w:szCs w:val="21"/>
        </w:rPr>
        <w:t xml:space="preserve">6 </w:t>
      </w:r>
      <w:r>
        <w:rPr>
          <w:rFonts w:ascii="黑体" w:eastAsia="黑体" w:hAnsi="黑体" w:cs="黑体"/>
          <w:snapToGrid w:val="0"/>
          <w:color w:val="000000" w:themeColor="text1"/>
          <w:spacing w:val="-1"/>
          <w:kern w:val="0"/>
          <w:sz w:val="21"/>
          <w:szCs w:val="21"/>
          <w:lang w:eastAsia="en-US"/>
        </w:rPr>
        <w:t>单井压裂工艺参数表</w:t>
      </w:r>
    </w:p>
    <w:p w14:paraId="077E1B44" w14:textId="77777777" w:rsidR="002E0859" w:rsidRDefault="002E0859">
      <w:pPr>
        <w:widowControl/>
        <w:kinsoku w:val="0"/>
        <w:topLinePunct w:val="0"/>
        <w:autoSpaceDE w:val="0"/>
        <w:autoSpaceDN w:val="0"/>
        <w:spacing w:line="109"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502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08"/>
        <w:gridCol w:w="793"/>
        <w:gridCol w:w="708"/>
        <w:gridCol w:w="640"/>
        <w:gridCol w:w="708"/>
        <w:gridCol w:w="706"/>
        <w:gridCol w:w="1010"/>
        <w:gridCol w:w="959"/>
        <w:gridCol w:w="1469"/>
        <w:gridCol w:w="1506"/>
      </w:tblGrid>
      <w:tr w:rsidR="002E0859" w14:paraId="750DF2EA" w14:textId="77777777">
        <w:trPr>
          <w:trHeight w:val="23"/>
        </w:trPr>
        <w:tc>
          <w:tcPr>
            <w:tcW w:w="384" w:type="pct"/>
            <w:vMerge w:val="restart"/>
            <w:tcBorders>
              <w:tl2br w:val="nil"/>
              <w:tr2bl w:val="nil"/>
            </w:tcBorders>
            <w:vAlign w:val="center"/>
          </w:tcPr>
          <w:p w14:paraId="0BE8B49B"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井数</w:t>
            </w:r>
          </w:p>
        </w:tc>
        <w:tc>
          <w:tcPr>
            <w:tcW w:w="430" w:type="pct"/>
            <w:vMerge w:val="restart"/>
            <w:tcBorders>
              <w:tl2br w:val="nil"/>
              <w:tr2bl w:val="nil"/>
            </w:tcBorders>
            <w:vAlign w:val="center"/>
          </w:tcPr>
          <w:p w14:paraId="79655AEC"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井号</w:t>
            </w:r>
          </w:p>
        </w:tc>
        <w:tc>
          <w:tcPr>
            <w:tcW w:w="384" w:type="pct"/>
            <w:vMerge w:val="restart"/>
            <w:tcBorders>
              <w:tl2br w:val="nil"/>
              <w:tr2bl w:val="nil"/>
            </w:tcBorders>
            <w:vAlign w:val="center"/>
          </w:tcPr>
          <w:p w14:paraId="405E0DEA"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水平段长</w:t>
            </w:r>
            <w:r>
              <w:rPr>
                <w:rFonts w:hint="eastAsia"/>
                <w:snapToGrid w:val="0"/>
                <w:color w:val="000000" w:themeColor="text1"/>
                <w:kern w:val="0"/>
                <w:sz w:val="21"/>
                <w:szCs w:val="21"/>
              </w:rPr>
              <w:t>（</w:t>
            </w:r>
            <w:r>
              <w:rPr>
                <w:snapToGrid w:val="0"/>
                <w:color w:val="000000" w:themeColor="text1"/>
                <w:kern w:val="0"/>
                <w:sz w:val="21"/>
                <w:szCs w:val="21"/>
                <w:lang w:eastAsia="en-US"/>
              </w:rPr>
              <w:t>米</w:t>
            </w:r>
            <w:r>
              <w:rPr>
                <w:rFonts w:hint="eastAsia"/>
                <w:snapToGrid w:val="0"/>
                <w:color w:val="000000" w:themeColor="text1"/>
                <w:kern w:val="0"/>
                <w:sz w:val="21"/>
                <w:szCs w:val="21"/>
              </w:rPr>
              <w:t>）</w:t>
            </w:r>
          </w:p>
        </w:tc>
        <w:tc>
          <w:tcPr>
            <w:tcW w:w="347" w:type="pct"/>
            <w:vMerge w:val="restart"/>
            <w:tcBorders>
              <w:tl2br w:val="nil"/>
              <w:tr2bl w:val="nil"/>
            </w:tcBorders>
            <w:vAlign w:val="center"/>
          </w:tcPr>
          <w:p w14:paraId="73489F59"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单段簇数</w:t>
            </w:r>
          </w:p>
        </w:tc>
        <w:tc>
          <w:tcPr>
            <w:tcW w:w="384" w:type="pct"/>
            <w:vMerge w:val="restart"/>
            <w:tcBorders>
              <w:tl2br w:val="nil"/>
              <w:tr2bl w:val="nil"/>
            </w:tcBorders>
            <w:vAlign w:val="center"/>
          </w:tcPr>
          <w:p w14:paraId="44161543"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单段长度</w:t>
            </w:r>
            <w:r>
              <w:rPr>
                <w:rFonts w:hint="eastAsia"/>
                <w:snapToGrid w:val="0"/>
                <w:color w:val="000000" w:themeColor="text1"/>
                <w:kern w:val="0"/>
                <w:sz w:val="21"/>
                <w:szCs w:val="21"/>
              </w:rPr>
              <w:t>（</w:t>
            </w:r>
            <w:r>
              <w:rPr>
                <w:snapToGrid w:val="0"/>
                <w:color w:val="000000" w:themeColor="text1"/>
                <w:kern w:val="0"/>
                <w:sz w:val="21"/>
                <w:szCs w:val="21"/>
                <w:lang w:eastAsia="en-US"/>
              </w:rPr>
              <w:t>米</w:t>
            </w:r>
            <w:r>
              <w:rPr>
                <w:rFonts w:hint="eastAsia"/>
                <w:snapToGrid w:val="0"/>
                <w:color w:val="000000" w:themeColor="text1"/>
                <w:kern w:val="0"/>
                <w:sz w:val="21"/>
                <w:szCs w:val="21"/>
              </w:rPr>
              <w:t>）</w:t>
            </w:r>
          </w:p>
        </w:tc>
        <w:tc>
          <w:tcPr>
            <w:tcW w:w="383" w:type="pct"/>
            <w:vMerge w:val="restart"/>
            <w:tcBorders>
              <w:tl2br w:val="nil"/>
              <w:tr2bl w:val="nil"/>
            </w:tcBorders>
            <w:vAlign w:val="center"/>
          </w:tcPr>
          <w:p w14:paraId="1E3A95F7"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段数</w:t>
            </w:r>
          </w:p>
        </w:tc>
        <w:tc>
          <w:tcPr>
            <w:tcW w:w="1069" w:type="pct"/>
            <w:gridSpan w:val="2"/>
            <w:tcBorders>
              <w:tl2br w:val="nil"/>
              <w:tr2bl w:val="nil"/>
            </w:tcBorders>
            <w:vAlign w:val="center"/>
          </w:tcPr>
          <w:p w14:paraId="4897EA6A"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单段规模，方</w:t>
            </w:r>
          </w:p>
        </w:tc>
        <w:tc>
          <w:tcPr>
            <w:tcW w:w="1616" w:type="pct"/>
            <w:gridSpan w:val="2"/>
            <w:tcBorders>
              <w:tl2br w:val="nil"/>
              <w:tr2bl w:val="nil"/>
            </w:tcBorders>
            <w:vAlign w:val="center"/>
          </w:tcPr>
          <w:p w14:paraId="0708BB81"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单段规模，方</w:t>
            </w:r>
          </w:p>
        </w:tc>
      </w:tr>
      <w:tr w:rsidR="002E0859" w14:paraId="7C478715" w14:textId="77777777">
        <w:trPr>
          <w:trHeight w:val="23"/>
        </w:trPr>
        <w:tc>
          <w:tcPr>
            <w:tcW w:w="384" w:type="pct"/>
            <w:vMerge/>
            <w:tcBorders>
              <w:tl2br w:val="nil"/>
              <w:tr2bl w:val="nil"/>
            </w:tcBorders>
            <w:vAlign w:val="center"/>
          </w:tcPr>
          <w:p w14:paraId="332CFDE9"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430" w:type="pct"/>
            <w:vMerge/>
            <w:tcBorders>
              <w:tl2br w:val="nil"/>
              <w:tr2bl w:val="nil"/>
            </w:tcBorders>
            <w:vAlign w:val="center"/>
          </w:tcPr>
          <w:p w14:paraId="601593B5"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84" w:type="pct"/>
            <w:vMerge/>
            <w:tcBorders>
              <w:tl2br w:val="nil"/>
              <w:tr2bl w:val="nil"/>
            </w:tcBorders>
            <w:vAlign w:val="center"/>
          </w:tcPr>
          <w:p w14:paraId="36D06C35"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47" w:type="pct"/>
            <w:vMerge/>
            <w:tcBorders>
              <w:tl2br w:val="nil"/>
              <w:tr2bl w:val="nil"/>
            </w:tcBorders>
            <w:vAlign w:val="center"/>
          </w:tcPr>
          <w:p w14:paraId="74D404D8"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84" w:type="pct"/>
            <w:vMerge/>
            <w:tcBorders>
              <w:tl2br w:val="nil"/>
              <w:tr2bl w:val="nil"/>
            </w:tcBorders>
            <w:vAlign w:val="center"/>
          </w:tcPr>
          <w:p w14:paraId="04CAB946"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383" w:type="pct"/>
            <w:vMerge/>
            <w:tcBorders>
              <w:tl2br w:val="nil"/>
              <w:tr2bl w:val="nil"/>
            </w:tcBorders>
            <w:vAlign w:val="center"/>
          </w:tcPr>
          <w:p w14:paraId="70326DFF" w14:textId="77777777" w:rsidR="002E0859" w:rsidRDefault="002E0859">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48" w:type="pct"/>
            <w:tcBorders>
              <w:tl2br w:val="nil"/>
              <w:tr2bl w:val="nil"/>
            </w:tcBorders>
            <w:vAlign w:val="center"/>
          </w:tcPr>
          <w:p w14:paraId="59B2B8FC"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单段液量</w:t>
            </w:r>
          </w:p>
        </w:tc>
        <w:tc>
          <w:tcPr>
            <w:tcW w:w="521" w:type="pct"/>
            <w:tcBorders>
              <w:tl2br w:val="nil"/>
              <w:tr2bl w:val="nil"/>
            </w:tcBorders>
            <w:vAlign w:val="center"/>
          </w:tcPr>
          <w:p w14:paraId="386F845F"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单段砂量</w:t>
            </w:r>
          </w:p>
        </w:tc>
        <w:tc>
          <w:tcPr>
            <w:tcW w:w="798" w:type="pct"/>
            <w:tcBorders>
              <w:tl2br w:val="nil"/>
              <w:tr2bl w:val="nil"/>
            </w:tcBorders>
            <w:vAlign w:val="center"/>
          </w:tcPr>
          <w:p w14:paraId="29360EC6"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用液强度，方</w:t>
            </w:r>
            <w:r>
              <w:rPr>
                <w:snapToGrid w:val="0"/>
                <w:color w:val="000000" w:themeColor="text1"/>
                <w:kern w:val="0"/>
                <w:sz w:val="21"/>
                <w:szCs w:val="21"/>
                <w:lang w:eastAsia="en-US"/>
              </w:rPr>
              <w:t>/</w:t>
            </w:r>
            <w:r>
              <w:rPr>
                <w:snapToGrid w:val="0"/>
                <w:color w:val="000000" w:themeColor="text1"/>
                <w:kern w:val="0"/>
                <w:sz w:val="21"/>
                <w:szCs w:val="21"/>
                <w:lang w:eastAsia="en-US"/>
              </w:rPr>
              <w:t>米</w:t>
            </w:r>
          </w:p>
        </w:tc>
        <w:tc>
          <w:tcPr>
            <w:tcW w:w="817" w:type="pct"/>
            <w:tcBorders>
              <w:tl2br w:val="nil"/>
              <w:tr2bl w:val="nil"/>
            </w:tcBorders>
            <w:vAlign w:val="center"/>
          </w:tcPr>
          <w:p w14:paraId="19E188BD"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加砂强度，吨</w:t>
            </w:r>
            <w:r>
              <w:rPr>
                <w:snapToGrid w:val="0"/>
                <w:color w:val="000000" w:themeColor="text1"/>
                <w:kern w:val="0"/>
                <w:sz w:val="21"/>
                <w:szCs w:val="21"/>
                <w:lang w:eastAsia="en-US"/>
              </w:rPr>
              <w:t>/</w:t>
            </w:r>
            <w:r>
              <w:rPr>
                <w:snapToGrid w:val="0"/>
                <w:color w:val="000000" w:themeColor="text1"/>
                <w:kern w:val="0"/>
                <w:sz w:val="21"/>
                <w:szCs w:val="21"/>
                <w:lang w:eastAsia="en-US"/>
              </w:rPr>
              <w:t>米</w:t>
            </w:r>
          </w:p>
        </w:tc>
      </w:tr>
      <w:tr w:rsidR="002E0859" w14:paraId="700A3A6A" w14:textId="77777777">
        <w:trPr>
          <w:trHeight w:val="23"/>
        </w:trPr>
        <w:tc>
          <w:tcPr>
            <w:tcW w:w="384" w:type="pct"/>
            <w:tcBorders>
              <w:tl2br w:val="nil"/>
              <w:tr2bl w:val="nil"/>
            </w:tcBorders>
            <w:vAlign w:val="center"/>
          </w:tcPr>
          <w:p w14:paraId="5F163B52"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1</w:t>
            </w:r>
          </w:p>
        </w:tc>
        <w:tc>
          <w:tcPr>
            <w:tcW w:w="430" w:type="pct"/>
            <w:tcBorders>
              <w:tl2br w:val="nil"/>
              <w:tr2bl w:val="nil"/>
            </w:tcBorders>
            <w:vAlign w:val="center"/>
          </w:tcPr>
          <w:p w14:paraId="72EE9B04"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90-5HF</w:t>
            </w:r>
          </w:p>
        </w:tc>
        <w:tc>
          <w:tcPr>
            <w:tcW w:w="384" w:type="pct"/>
            <w:tcBorders>
              <w:tl2br w:val="nil"/>
              <w:tr2bl w:val="nil"/>
            </w:tcBorders>
            <w:vAlign w:val="center"/>
          </w:tcPr>
          <w:p w14:paraId="46BDEDAD"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1970</w:t>
            </w:r>
          </w:p>
        </w:tc>
        <w:tc>
          <w:tcPr>
            <w:tcW w:w="347" w:type="pct"/>
            <w:tcBorders>
              <w:tl2br w:val="nil"/>
              <w:tr2bl w:val="nil"/>
            </w:tcBorders>
            <w:vAlign w:val="center"/>
          </w:tcPr>
          <w:p w14:paraId="7F53DE2F"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4-6</w:t>
            </w:r>
          </w:p>
        </w:tc>
        <w:tc>
          <w:tcPr>
            <w:tcW w:w="384" w:type="pct"/>
            <w:tcBorders>
              <w:tl2br w:val="nil"/>
              <w:tr2bl w:val="nil"/>
            </w:tcBorders>
            <w:vAlign w:val="center"/>
          </w:tcPr>
          <w:p w14:paraId="4F7FB732"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68</w:t>
            </w:r>
          </w:p>
        </w:tc>
        <w:tc>
          <w:tcPr>
            <w:tcW w:w="383" w:type="pct"/>
            <w:tcBorders>
              <w:tl2br w:val="nil"/>
              <w:tr2bl w:val="nil"/>
            </w:tcBorders>
            <w:vAlign w:val="center"/>
          </w:tcPr>
          <w:p w14:paraId="71A3D865"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29</w:t>
            </w:r>
          </w:p>
        </w:tc>
        <w:tc>
          <w:tcPr>
            <w:tcW w:w="548" w:type="pct"/>
            <w:tcBorders>
              <w:tl2br w:val="nil"/>
              <w:tr2bl w:val="nil"/>
            </w:tcBorders>
            <w:vAlign w:val="center"/>
          </w:tcPr>
          <w:p w14:paraId="35B195BA"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1494</w:t>
            </w:r>
          </w:p>
        </w:tc>
        <w:tc>
          <w:tcPr>
            <w:tcW w:w="521" w:type="pct"/>
            <w:tcBorders>
              <w:tl2br w:val="nil"/>
              <w:tr2bl w:val="nil"/>
            </w:tcBorders>
            <w:vAlign w:val="center"/>
          </w:tcPr>
          <w:p w14:paraId="78C9BDEF"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91</w:t>
            </w:r>
          </w:p>
        </w:tc>
        <w:tc>
          <w:tcPr>
            <w:tcW w:w="798" w:type="pct"/>
            <w:tcBorders>
              <w:tl2br w:val="nil"/>
              <w:tr2bl w:val="nil"/>
            </w:tcBorders>
            <w:vAlign w:val="center"/>
          </w:tcPr>
          <w:p w14:paraId="6E8870F5"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22.0</w:t>
            </w:r>
          </w:p>
        </w:tc>
        <w:tc>
          <w:tcPr>
            <w:tcW w:w="817" w:type="pct"/>
            <w:tcBorders>
              <w:tl2br w:val="nil"/>
              <w:tr2bl w:val="nil"/>
            </w:tcBorders>
            <w:vAlign w:val="center"/>
          </w:tcPr>
          <w:p w14:paraId="03626004"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2.00</w:t>
            </w:r>
          </w:p>
        </w:tc>
      </w:tr>
      <w:tr w:rsidR="002E0859" w14:paraId="72D8F22A" w14:textId="77777777">
        <w:trPr>
          <w:trHeight w:val="23"/>
        </w:trPr>
        <w:tc>
          <w:tcPr>
            <w:tcW w:w="384" w:type="pct"/>
            <w:tcBorders>
              <w:tl2br w:val="nil"/>
              <w:tr2bl w:val="nil"/>
            </w:tcBorders>
            <w:vAlign w:val="center"/>
          </w:tcPr>
          <w:p w14:paraId="536FE0DA"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430" w:type="pct"/>
            <w:tcBorders>
              <w:tl2br w:val="nil"/>
              <w:tr2bl w:val="nil"/>
            </w:tcBorders>
            <w:vAlign w:val="center"/>
          </w:tcPr>
          <w:p w14:paraId="0611FE37"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90-Z1HF</w:t>
            </w:r>
          </w:p>
        </w:tc>
        <w:tc>
          <w:tcPr>
            <w:tcW w:w="384" w:type="pct"/>
            <w:tcBorders>
              <w:tl2br w:val="nil"/>
              <w:tr2bl w:val="nil"/>
            </w:tcBorders>
            <w:vAlign w:val="center"/>
          </w:tcPr>
          <w:p w14:paraId="7B52307C"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1970</w:t>
            </w:r>
          </w:p>
        </w:tc>
        <w:tc>
          <w:tcPr>
            <w:tcW w:w="347" w:type="pct"/>
            <w:tcBorders>
              <w:tl2br w:val="nil"/>
              <w:tr2bl w:val="nil"/>
            </w:tcBorders>
            <w:vAlign w:val="center"/>
          </w:tcPr>
          <w:p w14:paraId="1B1B0135"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4-6</w:t>
            </w:r>
          </w:p>
        </w:tc>
        <w:tc>
          <w:tcPr>
            <w:tcW w:w="384" w:type="pct"/>
            <w:tcBorders>
              <w:tl2br w:val="nil"/>
              <w:tr2bl w:val="nil"/>
            </w:tcBorders>
            <w:vAlign w:val="center"/>
          </w:tcPr>
          <w:p w14:paraId="760A00FA"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65</w:t>
            </w:r>
          </w:p>
        </w:tc>
        <w:tc>
          <w:tcPr>
            <w:tcW w:w="383" w:type="pct"/>
            <w:tcBorders>
              <w:tl2br w:val="nil"/>
              <w:tr2bl w:val="nil"/>
            </w:tcBorders>
            <w:vAlign w:val="center"/>
          </w:tcPr>
          <w:p w14:paraId="78D475E5"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30</w:t>
            </w:r>
          </w:p>
        </w:tc>
        <w:tc>
          <w:tcPr>
            <w:tcW w:w="548" w:type="pct"/>
            <w:tcBorders>
              <w:tl2br w:val="nil"/>
              <w:tr2bl w:val="nil"/>
            </w:tcBorders>
            <w:vAlign w:val="center"/>
          </w:tcPr>
          <w:p w14:paraId="09BBD4CC"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1510</w:t>
            </w:r>
          </w:p>
        </w:tc>
        <w:tc>
          <w:tcPr>
            <w:tcW w:w="521" w:type="pct"/>
            <w:tcBorders>
              <w:tl2br w:val="nil"/>
              <w:tr2bl w:val="nil"/>
            </w:tcBorders>
            <w:vAlign w:val="center"/>
          </w:tcPr>
          <w:p w14:paraId="05DF3A4E"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90</w:t>
            </w:r>
          </w:p>
        </w:tc>
        <w:tc>
          <w:tcPr>
            <w:tcW w:w="798" w:type="pct"/>
            <w:tcBorders>
              <w:tl2br w:val="nil"/>
              <w:tr2bl w:val="nil"/>
            </w:tcBorders>
            <w:vAlign w:val="center"/>
          </w:tcPr>
          <w:p w14:paraId="5FCC6B8B"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23.0</w:t>
            </w:r>
          </w:p>
        </w:tc>
        <w:tc>
          <w:tcPr>
            <w:tcW w:w="817" w:type="pct"/>
            <w:tcBorders>
              <w:tl2br w:val="nil"/>
              <w:tr2bl w:val="nil"/>
            </w:tcBorders>
            <w:vAlign w:val="center"/>
          </w:tcPr>
          <w:p w14:paraId="4046AFF4" w14:textId="77777777" w:rsidR="002E0859" w:rsidRDefault="00000000">
            <w:pPr>
              <w:widowControl/>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2.05</w:t>
            </w:r>
          </w:p>
        </w:tc>
      </w:tr>
    </w:tbl>
    <w:p w14:paraId="07CF1CE3"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采气工艺</w:t>
      </w:r>
    </w:p>
    <w:p w14:paraId="2F93EC09"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生产管柱</w:t>
      </w:r>
    </w:p>
    <w:p w14:paraId="58D2D841" w14:textId="77777777" w:rsidR="002E0859" w:rsidRDefault="00000000">
      <w:pPr>
        <w:topLinePunct w:val="0"/>
        <w:autoSpaceDE w:val="0"/>
        <w:autoSpaceDN w:val="0"/>
        <w:spacing w:line="360" w:lineRule="auto"/>
        <w:ind w:firstLineChars="0" w:firstLine="482"/>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考虑生产中后期气井压力下降，为减少投入，提高排采效率，主体采用泡沫排采工艺、辅以柱塞排采、气举等措施，最大限度延长气井连续生产周期，因此，结合生产套管尺寸优选管柱：瘦身</w:t>
      </w:r>
      <w:r>
        <w:rPr>
          <w:snapToGrid w:val="0"/>
          <w:color w:val="000000" w:themeColor="text1"/>
          <w:kern w:val="0"/>
          <w:sz w:val="24"/>
          <w:szCs w:val="24"/>
          <w:lang w:eastAsia="en-US"/>
        </w:rPr>
        <w:t>I</w:t>
      </w:r>
      <w:r>
        <w:rPr>
          <w:snapToGrid w:val="0"/>
          <w:color w:val="000000" w:themeColor="text1"/>
          <w:kern w:val="0"/>
          <w:sz w:val="24"/>
          <w:szCs w:val="24"/>
          <w:lang w:eastAsia="en-US"/>
        </w:rPr>
        <w:t>型井采用</w:t>
      </w:r>
      <w:r>
        <w:rPr>
          <w:snapToGrid w:val="0"/>
          <w:color w:val="000000" w:themeColor="text1"/>
          <w:kern w:val="0"/>
          <w:sz w:val="24"/>
          <w:szCs w:val="24"/>
          <w:lang w:eastAsia="en-US"/>
        </w:rPr>
        <w:t>1.5in</w:t>
      </w:r>
      <w:r>
        <w:rPr>
          <w:snapToGrid w:val="0"/>
          <w:color w:val="000000" w:themeColor="text1"/>
          <w:kern w:val="0"/>
          <w:sz w:val="24"/>
          <w:szCs w:val="24"/>
          <w:lang w:eastAsia="en-US"/>
        </w:rPr>
        <w:t>或</w:t>
      </w:r>
      <w:r>
        <w:rPr>
          <w:snapToGrid w:val="0"/>
          <w:color w:val="000000" w:themeColor="text1"/>
          <w:kern w:val="0"/>
          <w:sz w:val="24"/>
          <w:szCs w:val="24"/>
          <w:lang w:eastAsia="en-US"/>
        </w:rPr>
        <w:t>1.9in</w:t>
      </w:r>
      <w:r>
        <w:rPr>
          <w:snapToGrid w:val="0"/>
          <w:color w:val="000000" w:themeColor="text1"/>
          <w:kern w:val="0"/>
          <w:sz w:val="24"/>
          <w:szCs w:val="24"/>
          <w:lang w:eastAsia="en-US"/>
        </w:rPr>
        <w:t>油管</w:t>
      </w:r>
      <w:r>
        <w:rPr>
          <w:snapToGrid w:val="0"/>
          <w:color w:val="000000" w:themeColor="text1"/>
          <w:kern w:val="0"/>
          <w:sz w:val="24"/>
          <w:szCs w:val="24"/>
          <w:lang w:eastAsia="en-US"/>
        </w:rPr>
        <w:t>+</w:t>
      </w:r>
      <w:r>
        <w:rPr>
          <w:snapToGrid w:val="0"/>
          <w:color w:val="000000" w:themeColor="text1"/>
          <w:kern w:val="0"/>
          <w:sz w:val="24"/>
          <w:szCs w:val="24"/>
          <w:lang w:eastAsia="en-US"/>
        </w:rPr>
        <w:t>多级气举阀（</w:t>
      </w:r>
      <w:r>
        <w:rPr>
          <w:snapToGrid w:val="0"/>
          <w:color w:val="000000" w:themeColor="text1"/>
          <w:kern w:val="0"/>
          <w:sz w:val="24"/>
          <w:szCs w:val="24"/>
          <w:lang w:eastAsia="en-US"/>
        </w:rPr>
        <w:t>1500</w:t>
      </w:r>
      <w:r>
        <w:rPr>
          <w:snapToGrid w:val="0"/>
          <w:color w:val="000000" w:themeColor="text1"/>
          <w:kern w:val="0"/>
          <w:sz w:val="24"/>
          <w:szCs w:val="24"/>
          <w:lang w:eastAsia="en-US"/>
        </w:rPr>
        <w:t>米以浅采用内涂层防腐油管），瘦身</w:t>
      </w:r>
      <w:r>
        <w:rPr>
          <w:snapToGrid w:val="0"/>
          <w:color w:val="000000" w:themeColor="text1"/>
          <w:kern w:val="0"/>
          <w:sz w:val="24"/>
          <w:szCs w:val="24"/>
          <w:lang w:eastAsia="en-US"/>
        </w:rPr>
        <w:t>II</w:t>
      </w:r>
      <w:r>
        <w:rPr>
          <w:snapToGrid w:val="0"/>
          <w:color w:val="000000" w:themeColor="text1"/>
          <w:kern w:val="0"/>
          <w:sz w:val="24"/>
          <w:szCs w:val="24"/>
          <w:lang w:eastAsia="en-US"/>
        </w:rPr>
        <w:t>型井采用</w:t>
      </w:r>
      <w:r>
        <w:rPr>
          <w:snapToGrid w:val="0"/>
          <w:color w:val="000000" w:themeColor="text1"/>
          <w:kern w:val="0"/>
          <w:sz w:val="24"/>
          <w:szCs w:val="24"/>
          <w:lang w:eastAsia="en-US"/>
        </w:rPr>
        <w:t>23/8in</w:t>
      </w:r>
      <w:r>
        <w:rPr>
          <w:snapToGrid w:val="0"/>
          <w:color w:val="000000" w:themeColor="text1"/>
          <w:kern w:val="0"/>
          <w:sz w:val="24"/>
          <w:szCs w:val="24"/>
          <w:lang w:eastAsia="en-US"/>
        </w:rPr>
        <w:t>油管</w:t>
      </w:r>
      <w:r>
        <w:rPr>
          <w:snapToGrid w:val="0"/>
          <w:color w:val="000000" w:themeColor="text1"/>
          <w:kern w:val="0"/>
          <w:sz w:val="24"/>
          <w:szCs w:val="24"/>
          <w:lang w:eastAsia="en-US"/>
        </w:rPr>
        <w:t>+</w:t>
      </w:r>
      <w:r>
        <w:rPr>
          <w:snapToGrid w:val="0"/>
          <w:color w:val="000000" w:themeColor="text1"/>
          <w:kern w:val="0"/>
          <w:sz w:val="24"/>
          <w:szCs w:val="24"/>
          <w:lang w:eastAsia="en-US"/>
        </w:rPr>
        <w:t>多级气举阀（</w:t>
      </w:r>
      <w:r>
        <w:rPr>
          <w:snapToGrid w:val="0"/>
          <w:color w:val="000000" w:themeColor="text1"/>
          <w:kern w:val="0"/>
          <w:sz w:val="24"/>
          <w:szCs w:val="24"/>
          <w:lang w:eastAsia="en-US"/>
        </w:rPr>
        <w:t>1500</w:t>
      </w:r>
      <w:r>
        <w:rPr>
          <w:snapToGrid w:val="0"/>
          <w:color w:val="000000" w:themeColor="text1"/>
          <w:kern w:val="0"/>
          <w:sz w:val="24"/>
          <w:szCs w:val="24"/>
          <w:lang w:eastAsia="en-US"/>
        </w:rPr>
        <w:t>米以浅采用内涂层防腐油管）</w:t>
      </w:r>
    </w:p>
    <w:p w14:paraId="2BBF1E4A" w14:textId="49CE7D06" w:rsidR="002E0859" w:rsidRDefault="002E0859">
      <w:pPr>
        <w:widowControl/>
        <w:kinsoku w:val="0"/>
        <w:topLinePunct w:val="0"/>
        <w:autoSpaceDE w:val="0"/>
        <w:autoSpaceDN w:val="0"/>
        <w:spacing w:before="1" w:line="4520" w:lineRule="exact"/>
        <w:ind w:firstLineChars="0" w:firstLine="0"/>
        <w:jc w:val="center"/>
        <w:textAlignment w:val="baseline"/>
        <w:rPr>
          <w:rFonts w:ascii="Arial" w:eastAsia="Arial" w:hAnsi="Arial" w:cs="Arial"/>
          <w:snapToGrid w:val="0"/>
          <w:color w:val="000000" w:themeColor="text1"/>
          <w:kern w:val="0"/>
          <w:sz w:val="21"/>
          <w:szCs w:val="21"/>
          <w:lang w:eastAsia="en-US"/>
        </w:rPr>
      </w:pPr>
    </w:p>
    <w:p w14:paraId="5DF9CD34"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eastAsia="Times New Roman"/>
          <w:snapToGrid w:val="0"/>
          <w:color w:val="000000" w:themeColor="text1"/>
          <w:spacing w:val="-2"/>
          <w:kern w:val="0"/>
          <w:sz w:val="21"/>
          <w:szCs w:val="21"/>
        </w:rPr>
        <w:t>2.5-1</w:t>
      </w:r>
      <w:r>
        <w:rPr>
          <w:rFonts w:eastAsia="Times New Roman" w:hint="eastAsia"/>
          <w:snapToGrid w:val="0"/>
          <w:color w:val="000000" w:themeColor="text1"/>
          <w:spacing w:val="-2"/>
          <w:kern w:val="0"/>
          <w:sz w:val="21"/>
          <w:szCs w:val="21"/>
        </w:rPr>
        <w:t xml:space="preserve">6 </w:t>
      </w:r>
      <w:r>
        <w:rPr>
          <w:rFonts w:ascii="黑体" w:eastAsia="黑体" w:hAnsi="黑体" w:cs="黑体"/>
          <w:snapToGrid w:val="0"/>
          <w:color w:val="000000" w:themeColor="text1"/>
          <w:spacing w:val="-2"/>
          <w:kern w:val="0"/>
          <w:sz w:val="21"/>
          <w:szCs w:val="21"/>
          <w:lang w:eastAsia="en-US"/>
        </w:rPr>
        <w:t>普通油管管柱结构</w:t>
      </w:r>
    </w:p>
    <w:p w14:paraId="5342394D" w14:textId="77777777" w:rsidR="002E0859" w:rsidRDefault="00000000">
      <w:pPr>
        <w:widowControl/>
        <w:kinsoku w:val="0"/>
        <w:topLinePunct w:val="0"/>
        <w:autoSpaceDE w:val="0"/>
        <w:autoSpaceDN w:val="0"/>
        <w:spacing w:line="360" w:lineRule="auto"/>
        <w:ind w:firstLineChars="0" w:firstLine="483"/>
        <w:jc w:val="left"/>
        <w:textAlignment w:val="baseline"/>
        <w:rPr>
          <w:snapToGrid w:val="0"/>
          <w:color w:val="000000" w:themeColor="text1"/>
          <w:kern w:val="0"/>
          <w:sz w:val="24"/>
          <w:szCs w:val="24"/>
          <w:lang w:eastAsia="en-US"/>
        </w:rPr>
      </w:pPr>
      <w:r>
        <w:rPr>
          <w:snapToGrid w:val="0"/>
          <w:color w:val="000000" w:themeColor="text1"/>
          <w:kern w:val="0"/>
          <w:sz w:val="24"/>
          <w:szCs w:val="24"/>
          <w:lang w:eastAsia="en-US"/>
        </w:rPr>
        <w:t>根据以上分析结果和气藏工程要求，管柱结构根据是否需要过油管测试分为两种，不需要开展产剖测试的管柱结构为：油管挂</w:t>
      </w:r>
      <w:r>
        <w:rPr>
          <w:snapToGrid w:val="0"/>
          <w:color w:val="000000" w:themeColor="text1"/>
          <w:kern w:val="0"/>
          <w:sz w:val="24"/>
          <w:szCs w:val="24"/>
          <w:lang w:eastAsia="en-US"/>
        </w:rPr>
        <w:t>+</w:t>
      </w:r>
      <w:r>
        <w:rPr>
          <w:snapToGrid w:val="0"/>
          <w:color w:val="000000" w:themeColor="text1"/>
          <w:kern w:val="0"/>
          <w:sz w:val="24"/>
          <w:szCs w:val="24"/>
          <w:lang w:eastAsia="en-US"/>
        </w:rPr>
        <w:t>连续油管（气举阀）</w:t>
      </w:r>
      <w:r>
        <w:rPr>
          <w:snapToGrid w:val="0"/>
          <w:color w:val="000000" w:themeColor="text1"/>
          <w:kern w:val="0"/>
          <w:sz w:val="24"/>
          <w:szCs w:val="24"/>
          <w:lang w:eastAsia="en-US"/>
        </w:rPr>
        <w:t>+</w:t>
      </w:r>
      <w:r>
        <w:rPr>
          <w:snapToGrid w:val="0"/>
          <w:color w:val="000000" w:themeColor="text1"/>
          <w:kern w:val="0"/>
          <w:sz w:val="24"/>
          <w:szCs w:val="24"/>
          <w:lang w:eastAsia="en-US"/>
        </w:rPr>
        <w:t>堵塞器</w:t>
      </w:r>
      <w:r>
        <w:rPr>
          <w:snapToGrid w:val="0"/>
          <w:color w:val="000000" w:themeColor="text1"/>
          <w:kern w:val="0"/>
          <w:sz w:val="24"/>
          <w:szCs w:val="24"/>
          <w:lang w:eastAsia="en-US"/>
        </w:rPr>
        <w:t>+</w:t>
      </w:r>
      <w:r>
        <w:rPr>
          <w:snapToGrid w:val="0"/>
          <w:color w:val="000000" w:themeColor="text1"/>
          <w:kern w:val="0"/>
          <w:sz w:val="24"/>
          <w:szCs w:val="24"/>
          <w:lang w:eastAsia="en-US"/>
        </w:rPr>
        <w:t>筛管</w:t>
      </w:r>
      <w:r>
        <w:rPr>
          <w:snapToGrid w:val="0"/>
          <w:color w:val="000000" w:themeColor="text1"/>
          <w:kern w:val="0"/>
          <w:sz w:val="24"/>
          <w:szCs w:val="24"/>
          <w:lang w:eastAsia="en-US"/>
        </w:rPr>
        <w:t>+</w:t>
      </w:r>
      <w:r>
        <w:rPr>
          <w:snapToGrid w:val="0"/>
          <w:color w:val="000000" w:themeColor="text1"/>
          <w:kern w:val="0"/>
          <w:sz w:val="24"/>
          <w:szCs w:val="24"/>
          <w:lang w:eastAsia="en-US"/>
        </w:rPr>
        <w:t>导锥。需要开展产气剖面测试的，普通油管管柱结构自上而下为：油管挂</w:t>
      </w:r>
      <w:r>
        <w:rPr>
          <w:snapToGrid w:val="0"/>
          <w:color w:val="000000" w:themeColor="text1"/>
          <w:kern w:val="0"/>
          <w:sz w:val="24"/>
          <w:szCs w:val="24"/>
          <w:lang w:eastAsia="en-US"/>
        </w:rPr>
        <w:t>+</w:t>
      </w:r>
      <w:r>
        <w:rPr>
          <w:snapToGrid w:val="0"/>
          <w:color w:val="000000" w:themeColor="text1"/>
          <w:kern w:val="0"/>
          <w:sz w:val="24"/>
          <w:szCs w:val="24"/>
          <w:lang w:eastAsia="en-US"/>
        </w:rPr>
        <w:t>双公短节</w:t>
      </w:r>
      <w:r>
        <w:rPr>
          <w:snapToGrid w:val="0"/>
          <w:color w:val="000000" w:themeColor="text1"/>
          <w:kern w:val="0"/>
          <w:sz w:val="24"/>
          <w:szCs w:val="24"/>
          <w:lang w:eastAsia="en-US"/>
        </w:rPr>
        <w:t>+BGT1P</w:t>
      </w:r>
      <w:r>
        <w:rPr>
          <w:snapToGrid w:val="0"/>
          <w:color w:val="000000" w:themeColor="text1"/>
          <w:kern w:val="0"/>
          <w:sz w:val="24"/>
          <w:szCs w:val="24"/>
          <w:lang w:eastAsia="en-US"/>
        </w:rPr>
        <w:t>转</w:t>
      </w:r>
      <w:r>
        <w:rPr>
          <w:snapToGrid w:val="0"/>
          <w:color w:val="000000" w:themeColor="text1"/>
          <w:kern w:val="0"/>
          <w:sz w:val="24"/>
          <w:szCs w:val="24"/>
          <w:lang w:eastAsia="en-US"/>
        </w:rPr>
        <w:t>EUB</w:t>
      </w:r>
      <w:r>
        <w:rPr>
          <w:snapToGrid w:val="0"/>
          <w:color w:val="000000" w:themeColor="text1"/>
          <w:kern w:val="0"/>
          <w:sz w:val="24"/>
          <w:szCs w:val="24"/>
          <w:lang w:eastAsia="en-US"/>
        </w:rPr>
        <w:t>口转换短节</w:t>
      </w:r>
      <w:r>
        <w:rPr>
          <w:snapToGrid w:val="0"/>
          <w:color w:val="000000" w:themeColor="text1"/>
          <w:kern w:val="0"/>
          <w:sz w:val="24"/>
          <w:szCs w:val="24"/>
          <w:lang w:eastAsia="en-US"/>
        </w:rPr>
        <w:t>+φ</w:t>
      </w:r>
      <w:r>
        <w:rPr>
          <w:snapToGrid w:val="0"/>
          <w:color w:val="000000" w:themeColor="text1"/>
          <w:kern w:val="0"/>
          <w:sz w:val="24"/>
          <w:szCs w:val="24"/>
          <w:lang w:eastAsia="en-US"/>
        </w:rPr>
        <w:t>油管（气举阀）</w:t>
      </w:r>
      <w:r>
        <w:rPr>
          <w:snapToGrid w:val="0"/>
          <w:color w:val="000000" w:themeColor="text1"/>
          <w:kern w:val="0"/>
          <w:sz w:val="24"/>
          <w:szCs w:val="24"/>
          <w:lang w:eastAsia="en-US"/>
        </w:rPr>
        <w:t>+φ77.8mm×15.16mmXN</w:t>
      </w:r>
      <w:r>
        <w:rPr>
          <w:snapToGrid w:val="0"/>
          <w:color w:val="000000" w:themeColor="text1"/>
          <w:kern w:val="0"/>
          <w:sz w:val="24"/>
          <w:szCs w:val="24"/>
          <w:lang w:eastAsia="en-US"/>
        </w:rPr>
        <w:t>工作筒</w:t>
      </w:r>
      <w:r>
        <w:rPr>
          <w:snapToGrid w:val="0"/>
          <w:color w:val="000000" w:themeColor="text1"/>
          <w:kern w:val="0"/>
          <w:sz w:val="24"/>
          <w:szCs w:val="24"/>
          <w:lang w:eastAsia="en-US"/>
        </w:rPr>
        <w:t>+</w:t>
      </w:r>
      <w:r>
        <w:rPr>
          <w:snapToGrid w:val="0"/>
          <w:color w:val="000000" w:themeColor="text1"/>
          <w:kern w:val="0"/>
          <w:sz w:val="24"/>
          <w:szCs w:val="24"/>
          <w:lang w:eastAsia="en-US"/>
        </w:rPr>
        <w:t>破裂盘</w:t>
      </w:r>
      <w:r>
        <w:rPr>
          <w:snapToGrid w:val="0"/>
          <w:color w:val="000000" w:themeColor="text1"/>
          <w:kern w:val="0"/>
          <w:sz w:val="24"/>
          <w:szCs w:val="24"/>
          <w:lang w:eastAsia="en-US"/>
        </w:rPr>
        <w:t>+</w:t>
      </w:r>
      <w:r>
        <w:rPr>
          <w:snapToGrid w:val="0"/>
          <w:color w:val="000000" w:themeColor="text1"/>
          <w:kern w:val="0"/>
          <w:sz w:val="24"/>
          <w:szCs w:val="24"/>
          <w:lang w:eastAsia="en-US"/>
        </w:rPr>
        <w:t>普通油管</w:t>
      </w:r>
      <w:r>
        <w:rPr>
          <w:snapToGrid w:val="0"/>
          <w:color w:val="000000" w:themeColor="text1"/>
          <w:kern w:val="0"/>
          <w:sz w:val="24"/>
          <w:szCs w:val="24"/>
          <w:lang w:eastAsia="en-US"/>
        </w:rPr>
        <w:t>+</w:t>
      </w:r>
      <w:r>
        <w:rPr>
          <w:snapToGrid w:val="0"/>
          <w:color w:val="000000" w:themeColor="text1"/>
          <w:kern w:val="0"/>
          <w:sz w:val="24"/>
          <w:szCs w:val="24"/>
          <w:lang w:eastAsia="en-US"/>
        </w:rPr>
        <w:t>破裂盘</w:t>
      </w:r>
      <w:r>
        <w:rPr>
          <w:snapToGrid w:val="0"/>
          <w:color w:val="000000" w:themeColor="text1"/>
          <w:kern w:val="0"/>
          <w:sz w:val="24"/>
          <w:szCs w:val="24"/>
          <w:lang w:eastAsia="en-US"/>
        </w:rPr>
        <w:t>+</w:t>
      </w:r>
      <w:r>
        <w:rPr>
          <w:snapToGrid w:val="0"/>
          <w:color w:val="000000" w:themeColor="text1"/>
          <w:kern w:val="0"/>
          <w:sz w:val="24"/>
          <w:szCs w:val="24"/>
          <w:lang w:eastAsia="en-US"/>
        </w:rPr>
        <w:t>筛管</w:t>
      </w:r>
      <w:r>
        <w:rPr>
          <w:snapToGrid w:val="0"/>
          <w:color w:val="000000" w:themeColor="text1"/>
          <w:kern w:val="0"/>
          <w:sz w:val="24"/>
          <w:szCs w:val="24"/>
          <w:lang w:eastAsia="en-US"/>
        </w:rPr>
        <w:t>+</w:t>
      </w:r>
      <w:r>
        <w:rPr>
          <w:snapToGrid w:val="0"/>
          <w:color w:val="000000" w:themeColor="text1"/>
          <w:kern w:val="0"/>
          <w:sz w:val="24"/>
          <w:szCs w:val="24"/>
          <w:lang w:eastAsia="en-US"/>
        </w:rPr>
        <w:t>喇叭口，如图</w:t>
      </w:r>
      <w:r>
        <w:rPr>
          <w:rFonts w:eastAsia="Times New Roman"/>
          <w:snapToGrid w:val="0"/>
          <w:color w:val="000000" w:themeColor="text1"/>
          <w:kern w:val="0"/>
          <w:sz w:val="21"/>
          <w:szCs w:val="21"/>
        </w:rPr>
        <w:t>2.5-1</w:t>
      </w:r>
      <w:r>
        <w:rPr>
          <w:rFonts w:eastAsia="Times New Roman" w:hint="eastAsia"/>
          <w:snapToGrid w:val="0"/>
          <w:color w:val="000000" w:themeColor="text1"/>
          <w:kern w:val="0"/>
          <w:sz w:val="21"/>
          <w:szCs w:val="21"/>
        </w:rPr>
        <w:t>6</w:t>
      </w:r>
      <w:r>
        <w:rPr>
          <w:snapToGrid w:val="0"/>
          <w:color w:val="000000" w:themeColor="text1"/>
          <w:kern w:val="0"/>
          <w:sz w:val="24"/>
          <w:szCs w:val="24"/>
          <w:lang w:eastAsia="en-US"/>
        </w:rPr>
        <w:t>。</w:t>
      </w:r>
    </w:p>
    <w:p w14:paraId="2E9D3104"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采气方式</w:t>
      </w:r>
    </w:p>
    <w:p w14:paraId="5F6E2B76"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按照气藏方案及邻井的实际生产数据，采用优选管柱排水采气，结合排采工艺选型图版及生产气水比，优选以泡排为主、辅以气举、柱塞、中心管等排水采气工艺。最大限度延长气井连续生产周期。依照排采工艺选型图版进行优选。</w:t>
      </w:r>
    </w:p>
    <w:p w14:paraId="208632DF"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w:t>
      </w:r>
      <w:r>
        <w:rPr>
          <w:rFonts w:eastAsia="Times New Roman"/>
          <w:snapToGrid w:val="0"/>
          <w:color w:val="000000" w:themeColor="text1"/>
          <w:kern w:val="0"/>
          <w:sz w:val="24"/>
          <w:szCs w:val="24"/>
          <w:lang w:eastAsia="en-US"/>
        </w:rPr>
        <w:t>1</w:t>
      </w:r>
      <w:r>
        <w:rPr>
          <w:rFonts w:ascii="宋体" w:hAnsi="宋体" w:cs="宋体"/>
          <w:snapToGrid w:val="0"/>
          <w:color w:val="000000" w:themeColor="text1"/>
          <w:kern w:val="0"/>
          <w:sz w:val="24"/>
          <w:szCs w:val="24"/>
          <w:lang w:eastAsia="en-US"/>
        </w:rPr>
        <w:t>）柱塞排采工艺</w:t>
      </w:r>
    </w:p>
    <w:p w14:paraId="575A6928"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lastRenderedPageBreak/>
        <w:t>柱塞排采是将柱塞作为气液之间的机械界面，利用气井自身能量推动柱塞在油管内进行周期举液的一种排采方式，能够有效阻止气体上窜和液体回落，减少液体“滑脱”效应，起到助排的效果，可充分利用气体的膨胀能量，提高举升效率。</w:t>
      </w:r>
    </w:p>
    <w:p w14:paraId="4280FCB2" w14:textId="119F35FC" w:rsidR="002E0859" w:rsidRDefault="002E0859">
      <w:pPr>
        <w:widowControl/>
        <w:kinsoku w:val="0"/>
        <w:topLinePunct w:val="0"/>
        <w:autoSpaceDE w:val="0"/>
        <w:autoSpaceDN w:val="0"/>
        <w:spacing w:line="360" w:lineRule="auto"/>
        <w:ind w:firstLine="420"/>
        <w:jc w:val="center"/>
        <w:textAlignment w:val="baseline"/>
        <w:rPr>
          <w:rFonts w:ascii="Arial" w:eastAsia="Arial" w:hAnsi="Arial" w:cs="Arial"/>
          <w:snapToGrid w:val="0"/>
          <w:color w:val="000000" w:themeColor="text1"/>
          <w:kern w:val="0"/>
          <w:sz w:val="21"/>
          <w:szCs w:val="21"/>
          <w:lang w:eastAsia="en-US"/>
        </w:rPr>
      </w:pPr>
    </w:p>
    <w:p w14:paraId="696B1858"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kern w:val="0"/>
          <w:sz w:val="21"/>
          <w:szCs w:val="21"/>
          <w:lang w:eastAsia="en-US"/>
        </w:rPr>
        <w:t>图</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 xml:space="preserve">7 </w:t>
      </w:r>
      <w:r>
        <w:rPr>
          <w:rFonts w:ascii="黑体" w:eastAsia="黑体" w:hAnsi="黑体" w:cs="黑体"/>
          <w:snapToGrid w:val="0"/>
          <w:color w:val="000000" w:themeColor="text1"/>
          <w:kern w:val="0"/>
          <w:sz w:val="21"/>
          <w:szCs w:val="21"/>
          <w:lang w:eastAsia="en-US"/>
        </w:rPr>
        <w:t>柱塞排采工艺示意图</w:t>
      </w:r>
    </w:p>
    <w:p w14:paraId="4C91E672" w14:textId="77777777" w:rsidR="002E0859" w:rsidRDefault="00000000">
      <w:pPr>
        <w:widowControl/>
        <w:kinsoku w:val="0"/>
        <w:topLinePunct w:val="0"/>
        <w:autoSpaceDE w:val="0"/>
        <w:autoSpaceDN w:val="0"/>
        <w:spacing w:line="360" w:lineRule="auto"/>
        <w:ind w:firstLine="480"/>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为有效解决页岩气井生产井口存在扩径的问题，通过更换原转换法兰为内加衬套转换法兰，并将原生产井口装置主通道上的</w:t>
      </w:r>
      <w:r>
        <w:rPr>
          <w:rFonts w:eastAsia="Times New Roman"/>
          <w:snapToGrid w:val="0"/>
          <w:color w:val="000000" w:themeColor="text1"/>
          <w:kern w:val="0"/>
          <w:sz w:val="24"/>
          <w:szCs w:val="24"/>
          <w:lang w:eastAsia="en-US"/>
        </w:rPr>
        <w:t>PFF78-70</w:t>
      </w:r>
      <w:r>
        <w:rPr>
          <w:rFonts w:ascii="宋体" w:hAnsi="宋体" w:cs="宋体"/>
          <w:snapToGrid w:val="0"/>
          <w:color w:val="000000" w:themeColor="text1"/>
          <w:kern w:val="0"/>
          <w:sz w:val="24"/>
          <w:szCs w:val="24"/>
          <w:lang w:eastAsia="en-US"/>
        </w:rPr>
        <w:t>手动平板阀换为原生产井口装置侧翼的</w:t>
      </w:r>
      <w:r>
        <w:rPr>
          <w:rFonts w:eastAsia="Times New Roman"/>
          <w:snapToGrid w:val="0"/>
          <w:color w:val="000000" w:themeColor="text1"/>
          <w:kern w:val="0"/>
          <w:sz w:val="24"/>
          <w:szCs w:val="24"/>
          <w:lang w:eastAsia="en-US"/>
        </w:rPr>
        <w:t>PFF65-70</w:t>
      </w:r>
      <w:r>
        <w:rPr>
          <w:rFonts w:ascii="宋体" w:hAnsi="宋体" w:cs="宋体"/>
          <w:snapToGrid w:val="0"/>
          <w:color w:val="000000" w:themeColor="text1"/>
          <w:kern w:val="0"/>
          <w:sz w:val="24"/>
          <w:szCs w:val="24"/>
          <w:lang w:eastAsia="en-US"/>
        </w:rPr>
        <w:t>手动平板阀、旋转原生产井口装置的小四通或者更换特定内径的小四通，同时在井口装置上部安装内通径与生产油管相同的回形管，实现井口装置主通道内径与生产油管内径近乎一致，有效解决了柱塞技术在页岩气井应用存在的瓶颈。图</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8</w:t>
      </w:r>
      <w:r>
        <w:rPr>
          <w:rFonts w:ascii="宋体" w:hAnsi="宋体" w:cs="宋体"/>
          <w:snapToGrid w:val="0"/>
          <w:color w:val="000000" w:themeColor="text1"/>
          <w:kern w:val="0"/>
          <w:sz w:val="24"/>
          <w:szCs w:val="24"/>
          <w:lang w:eastAsia="en-US"/>
        </w:rPr>
        <w:t>为页岩气井柱塞井口装置结构示意图。</w:t>
      </w:r>
    </w:p>
    <w:p w14:paraId="144294A2" w14:textId="666501E2" w:rsidR="002E0859" w:rsidRDefault="002E0859">
      <w:pPr>
        <w:widowControl/>
        <w:kinsoku w:val="0"/>
        <w:topLinePunct w:val="0"/>
        <w:autoSpaceDE w:val="0"/>
        <w:autoSpaceDN w:val="0"/>
        <w:spacing w:line="360" w:lineRule="auto"/>
        <w:ind w:firstLineChars="0" w:firstLine="0"/>
        <w:jc w:val="center"/>
        <w:textAlignment w:val="baseline"/>
        <w:rPr>
          <w:rFonts w:ascii="Arial" w:eastAsia="Arial" w:hAnsi="Arial" w:cs="Arial"/>
          <w:snapToGrid w:val="0"/>
          <w:color w:val="000000" w:themeColor="text1"/>
          <w:kern w:val="0"/>
          <w:sz w:val="21"/>
          <w:szCs w:val="21"/>
          <w:lang w:eastAsia="en-US"/>
        </w:rPr>
      </w:pPr>
    </w:p>
    <w:p w14:paraId="594CCFEF" w14:textId="77777777" w:rsidR="002E0859" w:rsidRDefault="00000000">
      <w:pPr>
        <w:widowControl/>
        <w:kinsoku w:val="0"/>
        <w:topLinePunct w:val="0"/>
        <w:autoSpaceDE w:val="0"/>
        <w:autoSpaceDN w:val="0"/>
        <w:spacing w:line="36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kern w:val="0"/>
          <w:sz w:val="21"/>
          <w:szCs w:val="21"/>
          <w:lang w:eastAsia="en-US"/>
        </w:rPr>
        <w:t>图</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 xml:space="preserve">8 </w:t>
      </w:r>
      <w:r>
        <w:rPr>
          <w:rFonts w:ascii="黑体" w:eastAsia="黑体" w:hAnsi="黑体" w:cs="黑体"/>
          <w:snapToGrid w:val="0"/>
          <w:color w:val="000000" w:themeColor="text1"/>
          <w:kern w:val="0"/>
          <w:sz w:val="21"/>
          <w:szCs w:val="21"/>
          <w:lang w:eastAsia="en-US"/>
        </w:rPr>
        <w:t>页岩气井柱塞井口装置结构示意图</w:t>
      </w:r>
    </w:p>
    <w:p w14:paraId="72D1EFCB"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为通过生产管柱的</w:t>
      </w:r>
      <w:r>
        <w:rPr>
          <w:rFonts w:eastAsia="Times New Roman"/>
          <w:snapToGrid w:val="0"/>
          <w:color w:val="000000" w:themeColor="text1"/>
          <w:kern w:val="0"/>
          <w:sz w:val="24"/>
          <w:szCs w:val="24"/>
          <w:lang w:eastAsia="en-US"/>
        </w:rPr>
        <w:t>X</w:t>
      </w:r>
      <w:r>
        <w:rPr>
          <w:rFonts w:ascii="宋体" w:hAnsi="宋体" w:cs="宋体"/>
          <w:snapToGrid w:val="0"/>
          <w:color w:val="000000" w:themeColor="text1"/>
          <w:kern w:val="0"/>
          <w:sz w:val="24"/>
          <w:szCs w:val="24"/>
          <w:lang w:eastAsia="en-US"/>
        </w:rPr>
        <w:t>型工作筒，并保证通过柱塞井口装置时的密封性和扶正性，创新设计了弹块式组合柱塞。弹块式组合柱塞主要由上下两组弹块以及中间的连接杆组成，如图</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8</w:t>
      </w:r>
      <w:r>
        <w:rPr>
          <w:rFonts w:ascii="宋体" w:hAnsi="宋体" w:cs="宋体"/>
          <w:snapToGrid w:val="0"/>
          <w:color w:val="000000" w:themeColor="text1"/>
          <w:kern w:val="0"/>
          <w:sz w:val="24"/>
          <w:szCs w:val="24"/>
          <w:lang w:eastAsia="en-US"/>
        </w:rPr>
        <w:t>所示。当柱塞进入井口变径段的时候，至少有一组弹块能保证在小通径内扶正柱塞，使柱塞能顺利通过。可以保证一组弹块在通过变径发生收缩时，始终有另一组弹块可以正常工作，最大程度的控制漏失率。</w:t>
      </w:r>
    </w:p>
    <w:p w14:paraId="7AE93521"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在组合柱塞的基础上，充分利用长柱塞的内部空间，扩展柱塞功能，提升柱塞运行效率，以适应低产气井生产。柱塞在油管内被压缩至</w:t>
      </w:r>
      <w:r>
        <w:rPr>
          <w:rFonts w:eastAsia="Times New Roman"/>
          <w:snapToGrid w:val="0"/>
          <w:color w:val="000000" w:themeColor="text1"/>
          <w:kern w:val="0"/>
          <w:sz w:val="24"/>
          <w:szCs w:val="24"/>
          <w:lang w:eastAsia="en-US"/>
        </w:rPr>
        <w:t>62mm</w:t>
      </w:r>
      <w:r>
        <w:rPr>
          <w:rFonts w:ascii="宋体" w:hAnsi="宋体" w:cs="宋体"/>
          <w:snapToGrid w:val="0"/>
          <w:color w:val="000000" w:themeColor="text1"/>
          <w:kern w:val="0"/>
          <w:sz w:val="24"/>
          <w:szCs w:val="24"/>
          <w:lang w:eastAsia="en-US"/>
        </w:rPr>
        <w:t>，举升至顶部后被撞击收缩至</w:t>
      </w:r>
      <w:r>
        <w:rPr>
          <w:rFonts w:eastAsia="Times New Roman"/>
          <w:snapToGrid w:val="0"/>
          <w:color w:val="000000" w:themeColor="text1"/>
          <w:kern w:val="0"/>
          <w:sz w:val="24"/>
          <w:szCs w:val="24"/>
          <w:lang w:eastAsia="en-US"/>
        </w:rPr>
        <w:t>58mm</w:t>
      </w:r>
      <w:r>
        <w:rPr>
          <w:rFonts w:ascii="宋体" w:hAnsi="宋体" w:cs="宋体"/>
          <w:snapToGrid w:val="0"/>
          <w:color w:val="000000" w:themeColor="text1"/>
          <w:kern w:val="0"/>
          <w:sz w:val="24"/>
          <w:szCs w:val="24"/>
          <w:lang w:eastAsia="en-US"/>
        </w:rPr>
        <w:t>，增加下行过程中油管过流面积，可以提高柱塞的下行速度，可以实现不关井连续举升，提高举升效率。配合柱塞自动换向，可实现不关井连续生产，实现小排量、多频次、连续举升。通过搭载的多参数测试仪对井下各参数进行监测，包括井下压力、温度、磁定位、含水率、速度等数据，可以节省钢丝投捞作业费用。利用气藏工程软件，对气井状况实时分析，并提供柱塞智能控制所需的参数。</w:t>
      </w:r>
    </w:p>
    <w:p w14:paraId="5FA832E4" w14:textId="23E6C01E" w:rsidR="002E0859" w:rsidRDefault="002E0859">
      <w:pPr>
        <w:widowControl/>
        <w:kinsoku w:val="0"/>
        <w:topLinePunct w:val="0"/>
        <w:autoSpaceDE w:val="0"/>
        <w:autoSpaceDN w:val="0"/>
        <w:spacing w:before="2" w:line="2076" w:lineRule="exact"/>
        <w:ind w:firstLineChars="0" w:firstLine="541"/>
        <w:jc w:val="left"/>
        <w:textAlignment w:val="baseline"/>
        <w:rPr>
          <w:rFonts w:ascii="Arial" w:eastAsia="Arial" w:hAnsi="Arial" w:cs="Arial"/>
          <w:snapToGrid w:val="0"/>
          <w:color w:val="000000" w:themeColor="text1"/>
          <w:kern w:val="0"/>
          <w:sz w:val="21"/>
          <w:szCs w:val="21"/>
          <w:lang w:eastAsia="en-US"/>
        </w:rPr>
      </w:pPr>
    </w:p>
    <w:p w14:paraId="52B53110" w14:textId="77777777" w:rsidR="002E0859" w:rsidRDefault="00000000">
      <w:pPr>
        <w:kinsoku w:val="0"/>
        <w:autoSpaceDE w:val="0"/>
        <w:autoSpaceDN w:val="0"/>
        <w:spacing w:line="36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r>
        <w:rPr>
          <w:rFonts w:ascii="黑体" w:eastAsia="黑体" w:hAnsi="黑体" w:cs="黑体"/>
          <w:snapToGrid w:val="0"/>
          <w:color w:val="000000" w:themeColor="text1"/>
          <w:spacing w:val="-2"/>
          <w:kern w:val="0"/>
          <w:sz w:val="21"/>
          <w:szCs w:val="21"/>
          <w:lang w:eastAsia="en-US"/>
        </w:rPr>
        <w:t>图</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 xml:space="preserve">9 </w:t>
      </w:r>
      <w:r>
        <w:rPr>
          <w:rFonts w:ascii="黑体" w:eastAsia="黑体" w:hAnsi="黑体" w:cs="黑体"/>
          <w:snapToGrid w:val="0"/>
          <w:color w:val="000000" w:themeColor="text1"/>
          <w:spacing w:val="-2"/>
          <w:kern w:val="0"/>
          <w:sz w:val="21"/>
          <w:szCs w:val="21"/>
          <w:lang w:eastAsia="en-US"/>
        </w:rPr>
        <w:t>组合柱塞结构示意图</w:t>
      </w:r>
    </w:p>
    <w:p w14:paraId="0C2823A8" w14:textId="77777777" w:rsidR="002E0859" w:rsidRDefault="002E0859">
      <w:pPr>
        <w:kinsoku w:val="0"/>
        <w:autoSpaceDE w:val="0"/>
        <w:autoSpaceDN w:val="0"/>
        <w:spacing w:line="36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p>
    <w:p w14:paraId="7AECACA2" w14:textId="77777777" w:rsidR="002E0859" w:rsidRDefault="002E0859">
      <w:pPr>
        <w:kinsoku w:val="0"/>
        <w:autoSpaceDE w:val="0"/>
        <w:autoSpaceDN w:val="0"/>
        <w:spacing w:line="360" w:lineRule="auto"/>
        <w:ind w:firstLineChars="0" w:firstLine="0"/>
        <w:jc w:val="center"/>
        <w:textAlignment w:val="baseline"/>
        <w:rPr>
          <w:rFonts w:ascii="黑体" w:eastAsia="黑体" w:hAnsi="黑体" w:cs="黑体"/>
          <w:snapToGrid w:val="0"/>
          <w:color w:val="000000" w:themeColor="text1"/>
          <w:spacing w:val="-2"/>
          <w:kern w:val="0"/>
          <w:sz w:val="21"/>
          <w:szCs w:val="21"/>
          <w:lang w:eastAsia="en-US"/>
        </w:rPr>
      </w:pPr>
    </w:p>
    <w:p w14:paraId="64A7C36D" w14:textId="77777777" w:rsidR="002E0859" w:rsidRDefault="00000000">
      <w:pPr>
        <w:kinsoku w:val="0"/>
        <w:autoSpaceDE w:val="0"/>
        <w:autoSpaceDN w:val="0"/>
        <w:spacing w:line="24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2"/>
          <w:kern w:val="0"/>
          <w:sz w:val="21"/>
          <w:szCs w:val="21"/>
          <w:lang w:eastAsia="en-US"/>
        </w:rPr>
        <w:t>表</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 xml:space="preserve">7 </w:t>
      </w:r>
      <w:r>
        <w:rPr>
          <w:rFonts w:ascii="黑体" w:eastAsia="黑体" w:hAnsi="黑体" w:cs="黑体"/>
          <w:snapToGrid w:val="0"/>
          <w:color w:val="000000" w:themeColor="text1"/>
          <w:spacing w:val="-2"/>
          <w:kern w:val="0"/>
          <w:sz w:val="21"/>
          <w:szCs w:val="21"/>
          <w:lang w:eastAsia="en-US"/>
        </w:rPr>
        <w:t>柱塞技术参数</w:t>
      </w:r>
    </w:p>
    <w:p w14:paraId="1301211D" w14:textId="77777777" w:rsidR="002E0859" w:rsidRDefault="002E0859">
      <w:pPr>
        <w:widowControl/>
        <w:kinsoku w:val="0"/>
        <w:topLinePunct w:val="0"/>
        <w:autoSpaceDE w:val="0"/>
        <w:autoSpaceDN w:val="0"/>
        <w:spacing w:line="128"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9188"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425"/>
        <w:gridCol w:w="1251"/>
        <w:gridCol w:w="1462"/>
        <w:gridCol w:w="2006"/>
        <w:gridCol w:w="2044"/>
      </w:tblGrid>
      <w:tr w:rsidR="002E0859" w14:paraId="4B6D1F7F" w14:textId="77777777">
        <w:trPr>
          <w:trHeight w:val="23"/>
          <w:jc w:val="center"/>
        </w:trPr>
        <w:tc>
          <w:tcPr>
            <w:tcW w:w="2425" w:type="dxa"/>
            <w:tcBorders>
              <w:tl2br w:val="nil"/>
              <w:tr2bl w:val="nil"/>
            </w:tcBorders>
            <w:vAlign w:val="center"/>
          </w:tcPr>
          <w:p w14:paraId="2D601A5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型号</w:t>
            </w:r>
          </w:p>
        </w:tc>
        <w:tc>
          <w:tcPr>
            <w:tcW w:w="2713" w:type="dxa"/>
            <w:gridSpan w:val="2"/>
            <w:tcBorders>
              <w:tl2br w:val="nil"/>
              <w:tr2bl w:val="nil"/>
            </w:tcBorders>
            <w:vAlign w:val="center"/>
          </w:tcPr>
          <w:p w14:paraId="5ADE8BE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常规柱塞举升系统</w:t>
            </w:r>
          </w:p>
        </w:tc>
        <w:tc>
          <w:tcPr>
            <w:tcW w:w="4050" w:type="dxa"/>
            <w:gridSpan w:val="2"/>
            <w:tcBorders>
              <w:tl2br w:val="nil"/>
              <w:tr2bl w:val="nil"/>
            </w:tcBorders>
            <w:vAlign w:val="center"/>
          </w:tcPr>
          <w:p w14:paraId="26A963F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智能柱塞举升系统</w:t>
            </w:r>
          </w:p>
        </w:tc>
      </w:tr>
      <w:tr w:rsidR="002E0859" w14:paraId="0713051D" w14:textId="77777777">
        <w:trPr>
          <w:trHeight w:val="23"/>
          <w:jc w:val="center"/>
        </w:trPr>
        <w:tc>
          <w:tcPr>
            <w:tcW w:w="2425" w:type="dxa"/>
            <w:tcBorders>
              <w:tl2br w:val="nil"/>
              <w:tr2bl w:val="nil"/>
            </w:tcBorders>
            <w:vAlign w:val="center"/>
          </w:tcPr>
          <w:p w14:paraId="345E356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适用条件</w:t>
            </w:r>
          </w:p>
        </w:tc>
        <w:tc>
          <w:tcPr>
            <w:tcW w:w="1251" w:type="dxa"/>
            <w:tcBorders>
              <w:tl2br w:val="nil"/>
              <w:tr2bl w:val="nil"/>
            </w:tcBorders>
            <w:vAlign w:val="center"/>
          </w:tcPr>
          <w:p w14:paraId="1D32E02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2-3/8”</w:t>
            </w:r>
          </w:p>
        </w:tc>
        <w:tc>
          <w:tcPr>
            <w:tcW w:w="1462" w:type="dxa"/>
            <w:tcBorders>
              <w:tl2br w:val="nil"/>
              <w:tr2bl w:val="nil"/>
            </w:tcBorders>
            <w:vAlign w:val="center"/>
          </w:tcPr>
          <w:p w14:paraId="43CEBD3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2-7/8”</w:t>
            </w:r>
          </w:p>
        </w:tc>
        <w:tc>
          <w:tcPr>
            <w:tcW w:w="2006" w:type="dxa"/>
            <w:tcBorders>
              <w:tl2br w:val="nil"/>
              <w:tr2bl w:val="nil"/>
            </w:tcBorders>
            <w:vAlign w:val="center"/>
          </w:tcPr>
          <w:p w14:paraId="6D3DE0E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2-3/8”</w:t>
            </w:r>
          </w:p>
        </w:tc>
        <w:tc>
          <w:tcPr>
            <w:tcW w:w="2044" w:type="dxa"/>
            <w:tcBorders>
              <w:tl2br w:val="nil"/>
              <w:tr2bl w:val="nil"/>
            </w:tcBorders>
            <w:vAlign w:val="center"/>
          </w:tcPr>
          <w:p w14:paraId="79E9529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2-7/8”</w:t>
            </w:r>
          </w:p>
        </w:tc>
      </w:tr>
      <w:tr w:rsidR="002E0859" w14:paraId="340CCD96" w14:textId="77777777">
        <w:trPr>
          <w:trHeight w:val="23"/>
          <w:jc w:val="center"/>
        </w:trPr>
        <w:tc>
          <w:tcPr>
            <w:tcW w:w="2425" w:type="dxa"/>
            <w:tcBorders>
              <w:tl2br w:val="nil"/>
              <w:tr2bl w:val="nil"/>
            </w:tcBorders>
            <w:vAlign w:val="center"/>
          </w:tcPr>
          <w:p w14:paraId="7FB7E6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柱塞最小钢体外径</w:t>
            </w:r>
          </w:p>
        </w:tc>
        <w:tc>
          <w:tcPr>
            <w:tcW w:w="1251" w:type="dxa"/>
            <w:tcBorders>
              <w:tl2br w:val="nil"/>
              <w:tr2bl w:val="nil"/>
            </w:tcBorders>
            <w:vAlign w:val="center"/>
          </w:tcPr>
          <w:p w14:paraId="4D0AFDB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49mm</w:t>
            </w:r>
          </w:p>
        </w:tc>
        <w:tc>
          <w:tcPr>
            <w:tcW w:w="1462" w:type="dxa"/>
            <w:tcBorders>
              <w:tl2br w:val="nil"/>
              <w:tr2bl w:val="nil"/>
            </w:tcBorders>
            <w:vAlign w:val="center"/>
          </w:tcPr>
          <w:p w14:paraId="39B495D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59mm</w:t>
            </w:r>
          </w:p>
        </w:tc>
        <w:tc>
          <w:tcPr>
            <w:tcW w:w="2006" w:type="dxa"/>
            <w:tcBorders>
              <w:tl2br w:val="nil"/>
              <w:tr2bl w:val="nil"/>
            </w:tcBorders>
            <w:vAlign w:val="center"/>
          </w:tcPr>
          <w:p w14:paraId="5FE47D8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45mm</w:t>
            </w:r>
          </w:p>
        </w:tc>
        <w:tc>
          <w:tcPr>
            <w:tcW w:w="2044" w:type="dxa"/>
            <w:tcBorders>
              <w:tl2br w:val="nil"/>
              <w:tr2bl w:val="nil"/>
            </w:tcBorders>
            <w:vAlign w:val="center"/>
          </w:tcPr>
          <w:p w14:paraId="5BB118A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55mm</w:t>
            </w:r>
          </w:p>
        </w:tc>
      </w:tr>
      <w:tr w:rsidR="002E0859" w14:paraId="2C0B33F8" w14:textId="77777777">
        <w:trPr>
          <w:trHeight w:val="327"/>
          <w:jc w:val="center"/>
        </w:trPr>
        <w:tc>
          <w:tcPr>
            <w:tcW w:w="2425" w:type="dxa"/>
            <w:tcBorders>
              <w:tl2br w:val="nil"/>
              <w:tr2bl w:val="nil"/>
            </w:tcBorders>
            <w:vAlign w:val="center"/>
          </w:tcPr>
          <w:p w14:paraId="6A37CF6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柱塞最大弹性外径</w:t>
            </w:r>
          </w:p>
        </w:tc>
        <w:tc>
          <w:tcPr>
            <w:tcW w:w="1251" w:type="dxa"/>
            <w:tcBorders>
              <w:tl2br w:val="nil"/>
              <w:tr2bl w:val="nil"/>
            </w:tcBorders>
            <w:vAlign w:val="center"/>
          </w:tcPr>
          <w:p w14:paraId="7A1D83E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51mm</w:t>
            </w:r>
          </w:p>
        </w:tc>
        <w:tc>
          <w:tcPr>
            <w:tcW w:w="1462" w:type="dxa"/>
            <w:tcBorders>
              <w:tl2br w:val="nil"/>
              <w:tr2bl w:val="nil"/>
            </w:tcBorders>
            <w:vAlign w:val="center"/>
          </w:tcPr>
          <w:p w14:paraId="595B1A8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63mm</w:t>
            </w:r>
          </w:p>
        </w:tc>
        <w:tc>
          <w:tcPr>
            <w:tcW w:w="2006" w:type="dxa"/>
            <w:tcBorders>
              <w:tl2br w:val="nil"/>
              <w:tr2bl w:val="nil"/>
            </w:tcBorders>
            <w:vAlign w:val="center"/>
          </w:tcPr>
          <w:p w14:paraId="17166C0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51mm</w:t>
            </w:r>
          </w:p>
        </w:tc>
        <w:tc>
          <w:tcPr>
            <w:tcW w:w="2044" w:type="dxa"/>
            <w:tcBorders>
              <w:tl2br w:val="nil"/>
              <w:tr2bl w:val="nil"/>
            </w:tcBorders>
            <w:vAlign w:val="center"/>
          </w:tcPr>
          <w:p w14:paraId="523A924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63mm</w:t>
            </w:r>
          </w:p>
        </w:tc>
      </w:tr>
      <w:tr w:rsidR="002E0859" w14:paraId="64A92A30" w14:textId="77777777">
        <w:trPr>
          <w:trHeight w:val="23"/>
          <w:jc w:val="center"/>
        </w:trPr>
        <w:tc>
          <w:tcPr>
            <w:tcW w:w="2425" w:type="dxa"/>
            <w:tcBorders>
              <w:tl2br w:val="nil"/>
              <w:tr2bl w:val="nil"/>
            </w:tcBorders>
            <w:vAlign w:val="center"/>
          </w:tcPr>
          <w:p w14:paraId="44D57A1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气井所需最低气液比</w:t>
            </w:r>
          </w:p>
        </w:tc>
        <w:tc>
          <w:tcPr>
            <w:tcW w:w="1251" w:type="dxa"/>
            <w:tcBorders>
              <w:tl2br w:val="nil"/>
              <w:tr2bl w:val="nil"/>
            </w:tcBorders>
            <w:vAlign w:val="center"/>
          </w:tcPr>
          <w:p w14:paraId="4CB9019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1000m/m</w:t>
            </w:r>
          </w:p>
        </w:tc>
        <w:tc>
          <w:tcPr>
            <w:tcW w:w="1462" w:type="dxa"/>
            <w:tcBorders>
              <w:tl2br w:val="nil"/>
              <w:tr2bl w:val="nil"/>
            </w:tcBorders>
            <w:vAlign w:val="center"/>
          </w:tcPr>
          <w:p w14:paraId="707F042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700m/m</w:t>
            </w:r>
          </w:p>
        </w:tc>
        <w:tc>
          <w:tcPr>
            <w:tcW w:w="2006" w:type="dxa"/>
            <w:tcBorders>
              <w:tl2br w:val="nil"/>
              <w:tr2bl w:val="nil"/>
            </w:tcBorders>
            <w:vAlign w:val="center"/>
          </w:tcPr>
          <w:p w14:paraId="53CE2CA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800m/m</w:t>
            </w:r>
          </w:p>
        </w:tc>
        <w:tc>
          <w:tcPr>
            <w:tcW w:w="2044" w:type="dxa"/>
            <w:tcBorders>
              <w:tl2br w:val="nil"/>
              <w:tr2bl w:val="nil"/>
            </w:tcBorders>
            <w:vAlign w:val="center"/>
          </w:tcPr>
          <w:p w14:paraId="27939AD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500m/m</w:t>
            </w:r>
          </w:p>
        </w:tc>
      </w:tr>
      <w:tr w:rsidR="002E0859" w14:paraId="7379A96E" w14:textId="77777777">
        <w:trPr>
          <w:trHeight w:val="23"/>
          <w:jc w:val="center"/>
        </w:trPr>
        <w:tc>
          <w:tcPr>
            <w:tcW w:w="2425" w:type="dxa"/>
            <w:tcBorders>
              <w:tl2br w:val="nil"/>
              <w:tr2bl w:val="nil"/>
            </w:tcBorders>
            <w:vAlign w:val="center"/>
          </w:tcPr>
          <w:p w14:paraId="48C450B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举升深度</w:t>
            </w:r>
          </w:p>
        </w:tc>
        <w:tc>
          <w:tcPr>
            <w:tcW w:w="1251" w:type="dxa"/>
            <w:tcBorders>
              <w:tl2br w:val="nil"/>
              <w:tr2bl w:val="nil"/>
            </w:tcBorders>
            <w:vAlign w:val="center"/>
          </w:tcPr>
          <w:p w14:paraId="2E59A88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&lt;3000m</w:t>
            </w:r>
          </w:p>
        </w:tc>
        <w:tc>
          <w:tcPr>
            <w:tcW w:w="1462" w:type="dxa"/>
            <w:tcBorders>
              <w:tl2br w:val="nil"/>
              <w:tr2bl w:val="nil"/>
            </w:tcBorders>
            <w:vAlign w:val="center"/>
          </w:tcPr>
          <w:p w14:paraId="40A2AB9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&lt;3000m</w:t>
            </w:r>
          </w:p>
        </w:tc>
        <w:tc>
          <w:tcPr>
            <w:tcW w:w="2006" w:type="dxa"/>
            <w:tcBorders>
              <w:tl2br w:val="nil"/>
              <w:tr2bl w:val="nil"/>
            </w:tcBorders>
            <w:vAlign w:val="center"/>
          </w:tcPr>
          <w:p w14:paraId="3B9D9F5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&lt;4500m</w:t>
            </w:r>
          </w:p>
        </w:tc>
        <w:tc>
          <w:tcPr>
            <w:tcW w:w="2044" w:type="dxa"/>
            <w:tcBorders>
              <w:tl2br w:val="nil"/>
              <w:tr2bl w:val="nil"/>
            </w:tcBorders>
            <w:vAlign w:val="center"/>
          </w:tcPr>
          <w:p w14:paraId="28F5A9A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&lt;4500m</w:t>
            </w:r>
          </w:p>
        </w:tc>
      </w:tr>
      <w:tr w:rsidR="002E0859" w14:paraId="0C90C794" w14:textId="77777777">
        <w:trPr>
          <w:trHeight w:val="23"/>
          <w:jc w:val="center"/>
        </w:trPr>
        <w:tc>
          <w:tcPr>
            <w:tcW w:w="2425" w:type="dxa"/>
            <w:tcBorders>
              <w:tl2br w:val="nil"/>
              <w:tr2bl w:val="nil"/>
            </w:tcBorders>
            <w:vAlign w:val="center"/>
          </w:tcPr>
          <w:p w14:paraId="1D65CB4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柱塞气举最大举液量</w:t>
            </w:r>
          </w:p>
        </w:tc>
        <w:tc>
          <w:tcPr>
            <w:tcW w:w="1251" w:type="dxa"/>
            <w:tcBorders>
              <w:tl2br w:val="nil"/>
              <w:tr2bl w:val="nil"/>
            </w:tcBorders>
            <w:vAlign w:val="center"/>
          </w:tcPr>
          <w:p w14:paraId="65347FC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20m/d</w:t>
            </w:r>
          </w:p>
        </w:tc>
        <w:tc>
          <w:tcPr>
            <w:tcW w:w="1462" w:type="dxa"/>
            <w:tcBorders>
              <w:tl2br w:val="nil"/>
              <w:tr2bl w:val="nil"/>
            </w:tcBorders>
            <w:vAlign w:val="center"/>
          </w:tcPr>
          <w:p w14:paraId="2A1670A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30m/d</w:t>
            </w:r>
          </w:p>
        </w:tc>
        <w:tc>
          <w:tcPr>
            <w:tcW w:w="2006" w:type="dxa"/>
            <w:tcBorders>
              <w:tl2br w:val="nil"/>
              <w:tr2bl w:val="nil"/>
            </w:tcBorders>
            <w:vAlign w:val="center"/>
          </w:tcPr>
          <w:p w14:paraId="39EC601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50m/d</w:t>
            </w:r>
          </w:p>
        </w:tc>
        <w:tc>
          <w:tcPr>
            <w:tcW w:w="2044" w:type="dxa"/>
            <w:tcBorders>
              <w:tl2br w:val="nil"/>
              <w:tr2bl w:val="nil"/>
            </w:tcBorders>
            <w:vAlign w:val="center"/>
          </w:tcPr>
          <w:p w14:paraId="3C2FB07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70m/d</w:t>
            </w:r>
          </w:p>
        </w:tc>
      </w:tr>
      <w:tr w:rsidR="002E0859" w14:paraId="768574C8" w14:textId="77777777">
        <w:trPr>
          <w:trHeight w:val="23"/>
          <w:jc w:val="center"/>
        </w:trPr>
        <w:tc>
          <w:tcPr>
            <w:tcW w:w="2425" w:type="dxa"/>
            <w:tcBorders>
              <w:tl2br w:val="nil"/>
              <w:tr2bl w:val="nil"/>
            </w:tcBorders>
            <w:vAlign w:val="center"/>
          </w:tcPr>
          <w:p w14:paraId="29453B2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井口可通过最大通径</w:t>
            </w:r>
          </w:p>
        </w:tc>
        <w:tc>
          <w:tcPr>
            <w:tcW w:w="1251" w:type="dxa"/>
            <w:tcBorders>
              <w:tl2br w:val="nil"/>
              <w:tr2bl w:val="nil"/>
            </w:tcBorders>
            <w:vAlign w:val="center"/>
          </w:tcPr>
          <w:p w14:paraId="5FFB1E7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52mm</w:t>
            </w:r>
          </w:p>
        </w:tc>
        <w:tc>
          <w:tcPr>
            <w:tcW w:w="1462" w:type="dxa"/>
            <w:tcBorders>
              <w:tl2br w:val="nil"/>
              <w:tr2bl w:val="nil"/>
            </w:tcBorders>
            <w:vAlign w:val="center"/>
          </w:tcPr>
          <w:p w14:paraId="3FCC5FC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65mm</w:t>
            </w:r>
          </w:p>
        </w:tc>
        <w:tc>
          <w:tcPr>
            <w:tcW w:w="2006" w:type="dxa"/>
            <w:tcBorders>
              <w:tl2br w:val="nil"/>
              <w:tr2bl w:val="nil"/>
            </w:tcBorders>
            <w:vAlign w:val="center"/>
          </w:tcPr>
          <w:p w14:paraId="1E83E12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无限制</w:t>
            </w:r>
          </w:p>
        </w:tc>
        <w:tc>
          <w:tcPr>
            <w:tcW w:w="2044" w:type="dxa"/>
            <w:tcBorders>
              <w:tl2br w:val="nil"/>
              <w:tr2bl w:val="nil"/>
            </w:tcBorders>
            <w:vAlign w:val="center"/>
          </w:tcPr>
          <w:p w14:paraId="4461C9B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无限制</w:t>
            </w:r>
          </w:p>
        </w:tc>
      </w:tr>
      <w:tr w:rsidR="002E0859" w14:paraId="5EE9A28A" w14:textId="77777777">
        <w:trPr>
          <w:trHeight w:val="23"/>
          <w:jc w:val="center"/>
        </w:trPr>
        <w:tc>
          <w:tcPr>
            <w:tcW w:w="2425" w:type="dxa"/>
            <w:tcBorders>
              <w:tl2br w:val="nil"/>
              <w:tr2bl w:val="nil"/>
            </w:tcBorders>
            <w:vAlign w:val="center"/>
          </w:tcPr>
          <w:p w14:paraId="78DE190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井下可通过最小通径</w:t>
            </w:r>
          </w:p>
        </w:tc>
        <w:tc>
          <w:tcPr>
            <w:tcW w:w="1251" w:type="dxa"/>
            <w:tcBorders>
              <w:tl2br w:val="nil"/>
              <w:tr2bl w:val="nil"/>
            </w:tcBorders>
            <w:vAlign w:val="center"/>
          </w:tcPr>
          <w:p w14:paraId="7B735C3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50mm</w:t>
            </w:r>
          </w:p>
        </w:tc>
        <w:tc>
          <w:tcPr>
            <w:tcW w:w="1462" w:type="dxa"/>
            <w:tcBorders>
              <w:tl2br w:val="nil"/>
              <w:tr2bl w:val="nil"/>
            </w:tcBorders>
            <w:vAlign w:val="center"/>
          </w:tcPr>
          <w:p w14:paraId="13A4894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60mm</w:t>
            </w:r>
          </w:p>
        </w:tc>
        <w:tc>
          <w:tcPr>
            <w:tcW w:w="2006" w:type="dxa"/>
            <w:tcBorders>
              <w:tl2br w:val="nil"/>
              <w:tr2bl w:val="nil"/>
            </w:tcBorders>
            <w:vAlign w:val="center"/>
          </w:tcPr>
          <w:p w14:paraId="2A32918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46mm</w:t>
            </w:r>
          </w:p>
        </w:tc>
        <w:tc>
          <w:tcPr>
            <w:tcW w:w="2044" w:type="dxa"/>
            <w:tcBorders>
              <w:tl2br w:val="nil"/>
              <w:tr2bl w:val="nil"/>
            </w:tcBorders>
            <w:vAlign w:val="center"/>
          </w:tcPr>
          <w:p w14:paraId="7104C43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56mm</w:t>
            </w:r>
          </w:p>
        </w:tc>
      </w:tr>
      <w:tr w:rsidR="002E0859" w14:paraId="4F5E9525" w14:textId="77777777">
        <w:trPr>
          <w:trHeight w:val="23"/>
          <w:jc w:val="center"/>
        </w:trPr>
        <w:tc>
          <w:tcPr>
            <w:tcW w:w="2425" w:type="dxa"/>
            <w:tcBorders>
              <w:tl2br w:val="nil"/>
              <w:tr2bl w:val="nil"/>
            </w:tcBorders>
            <w:vAlign w:val="center"/>
          </w:tcPr>
          <w:p w14:paraId="440D798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防砂、防蜡性</w:t>
            </w:r>
          </w:p>
        </w:tc>
        <w:tc>
          <w:tcPr>
            <w:tcW w:w="1251" w:type="dxa"/>
            <w:tcBorders>
              <w:tl2br w:val="nil"/>
              <w:tr2bl w:val="nil"/>
            </w:tcBorders>
            <w:vAlign w:val="center"/>
          </w:tcPr>
          <w:p w14:paraId="53FAF68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w:t>
            </w:r>
          </w:p>
        </w:tc>
        <w:tc>
          <w:tcPr>
            <w:tcW w:w="1462" w:type="dxa"/>
            <w:tcBorders>
              <w:tl2br w:val="nil"/>
              <w:tr2bl w:val="nil"/>
            </w:tcBorders>
            <w:vAlign w:val="center"/>
          </w:tcPr>
          <w:p w14:paraId="5DD0300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w:t>
            </w:r>
          </w:p>
        </w:tc>
        <w:tc>
          <w:tcPr>
            <w:tcW w:w="2006" w:type="dxa"/>
            <w:tcBorders>
              <w:tl2br w:val="nil"/>
              <w:tr2bl w:val="nil"/>
            </w:tcBorders>
            <w:vAlign w:val="center"/>
          </w:tcPr>
          <w:p w14:paraId="16D00D2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防砂、防蜡</w:t>
            </w:r>
          </w:p>
        </w:tc>
        <w:tc>
          <w:tcPr>
            <w:tcW w:w="2044" w:type="dxa"/>
            <w:tcBorders>
              <w:tl2br w:val="nil"/>
              <w:tr2bl w:val="nil"/>
            </w:tcBorders>
            <w:vAlign w:val="center"/>
          </w:tcPr>
          <w:p w14:paraId="4694A3D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防砂、防蜡</w:t>
            </w:r>
          </w:p>
        </w:tc>
      </w:tr>
      <w:tr w:rsidR="002E0859" w14:paraId="2F552F69" w14:textId="77777777">
        <w:trPr>
          <w:trHeight w:val="23"/>
          <w:jc w:val="center"/>
        </w:trPr>
        <w:tc>
          <w:tcPr>
            <w:tcW w:w="2425" w:type="dxa"/>
            <w:tcBorders>
              <w:tl2br w:val="nil"/>
              <w:tr2bl w:val="nil"/>
            </w:tcBorders>
            <w:vAlign w:val="center"/>
          </w:tcPr>
          <w:p w14:paraId="7A8C9A0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防腐蚀</w:t>
            </w:r>
          </w:p>
        </w:tc>
        <w:tc>
          <w:tcPr>
            <w:tcW w:w="1251" w:type="dxa"/>
            <w:tcBorders>
              <w:tl2br w:val="nil"/>
              <w:tr2bl w:val="nil"/>
            </w:tcBorders>
            <w:vAlign w:val="center"/>
          </w:tcPr>
          <w:p w14:paraId="7EFF27A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受限</w:t>
            </w:r>
          </w:p>
        </w:tc>
        <w:tc>
          <w:tcPr>
            <w:tcW w:w="1462" w:type="dxa"/>
            <w:tcBorders>
              <w:tl2br w:val="nil"/>
              <w:tr2bl w:val="nil"/>
            </w:tcBorders>
            <w:vAlign w:val="center"/>
          </w:tcPr>
          <w:p w14:paraId="1DA256B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受限</w:t>
            </w:r>
          </w:p>
        </w:tc>
        <w:tc>
          <w:tcPr>
            <w:tcW w:w="2006" w:type="dxa"/>
            <w:tcBorders>
              <w:tl2br w:val="nil"/>
              <w:tr2bl w:val="nil"/>
            </w:tcBorders>
            <w:vAlign w:val="center"/>
          </w:tcPr>
          <w:p w14:paraId="77E4905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适宜</w:t>
            </w:r>
          </w:p>
        </w:tc>
        <w:tc>
          <w:tcPr>
            <w:tcW w:w="2044" w:type="dxa"/>
            <w:tcBorders>
              <w:tl2br w:val="nil"/>
              <w:tr2bl w:val="nil"/>
            </w:tcBorders>
            <w:vAlign w:val="center"/>
          </w:tcPr>
          <w:p w14:paraId="1682B48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适宜</w:t>
            </w:r>
          </w:p>
        </w:tc>
      </w:tr>
      <w:tr w:rsidR="002E0859" w14:paraId="07753EC8" w14:textId="77777777">
        <w:trPr>
          <w:trHeight w:val="23"/>
          <w:jc w:val="center"/>
        </w:trPr>
        <w:tc>
          <w:tcPr>
            <w:tcW w:w="2425" w:type="dxa"/>
            <w:tcBorders>
              <w:tl2br w:val="nil"/>
              <w:tr2bl w:val="nil"/>
            </w:tcBorders>
            <w:vAlign w:val="center"/>
          </w:tcPr>
          <w:p w14:paraId="72088CB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抗磨损</w:t>
            </w:r>
          </w:p>
        </w:tc>
        <w:tc>
          <w:tcPr>
            <w:tcW w:w="1251" w:type="dxa"/>
            <w:tcBorders>
              <w:tl2br w:val="nil"/>
              <w:tr2bl w:val="nil"/>
            </w:tcBorders>
            <w:vAlign w:val="center"/>
          </w:tcPr>
          <w:p w14:paraId="4D0BEDF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受限</w:t>
            </w:r>
          </w:p>
        </w:tc>
        <w:tc>
          <w:tcPr>
            <w:tcW w:w="1462" w:type="dxa"/>
            <w:tcBorders>
              <w:tl2br w:val="nil"/>
              <w:tr2bl w:val="nil"/>
            </w:tcBorders>
            <w:vAlign w:val="center"/>
          </w:tcPr>
          <w:p w14:paraId="5DB5560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受限</w:t>
            </w:r>
          </w:p>
        </w:tc>
        <w:tc>
          <w:tcPr>
            <w:tcW w:w="2006" w:type="dxa"/>
            <w:tcBorders>
              <w:tl2br w:val="nil"/>
              <w:tr2bl w:val="nil"/>
            </w:tcBorders>
            <w:vAlign w:val="center"/>
          </w:tcPr>
          <w:p w14:paraId="10B22BF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适宜</w:t>
            </w:r>
          </w:p>
        </w:tc>
        <w:tc>
          <w:tcPr>
            <w:tcW w:w="2044" w:type="dxa"/>
            <w:tcBorders>
              <w:tl2br w:val="nil"/>
              <w:tr2bl w:val="nil"/>
            </w:tcBorders>
            <w:vAlign w:val="center"/>
          </w:tcPr>
          <w:p w14:paraId="1E4CE83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适宜</w:t>
            </w:r>
          </w:p>
        </w:tc>
      </w:tr>
      <w:tr w:rsidR="002E0859" w14:paraId="4BC56987" w14:textId="77777777">
        <w:trPr>
          <w:trHeight w:val="23"/>
          <w:jc w:val="center"/>
        </w:trPr>
        <w:tc>
          <w:tcPr>
            <w:tcW w:w="2425" w:type="dxa"/>
            <w:tcBorders>
              <w:tl2br w:val="nil"/>
              <w:tr2bl w:val="nil"/>
            </w:tcBorders>
            <w:vAlign w:val="center"/>
          </w:tcPr>
          <w:p w14:paraId="37F625F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柱塞漏失率</w:t>
            </w:r>
          </w:p>
        </w:tc>
        <w:tc>
          <w:tcPr>
            <w:tcW w:w="1251" w:type="dxa"/>
            <w:tcBorders>
              <w:tl2br w:val="nil"/>
              <w:tr2bl w:val="nil"/>
            </w:tcBorders>
            <w:vAlign w:val="center"/>
          </w:tcPr>
          <w:p w14:paraId="791C68F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&lt;10%</w:t>
            </w:r>
          </w:p>
        </w:tc>
        <w:tc>
          <w:tcPr>
            <w:tcW w:w="1462" w:type="dxa"/>
            <w:tcBorders>
              <w:tl2br w:val="nil"/>
              <w:tr2bl w:val="nil"/>
            </w:tcBorders>
            <w:vAlign w:val="center"/>
          </w:tcPr>
          <w:p w14:paraId="51F4014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&lt;10%</w:t>
            </w:r>
          </w:p>
        </w:tc>
        <w:tc>
          <w:tcPr>
            <w:tcW w:w="2006" w:type="dxa"/>
            <w:tcBorders>
              <w:tl2br w:val="nil"/>
              <w:tr2bl w:val="nil"/>
            </w:tcBorders>
            <w:vAlign w:val="center"/>
          </w:tcPr>
          <w:p w14:paraId="18E2057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w:t>
            </w:r>
          </w:p>
        </w:tc>
        <w:tc>
          <w:tcPr>
            <w:tcW w:w="2044" w:type="dxa"/>
            <w:tcBorders>
              <w:tl2br w:val="nil"/>
              <w:tr2bl w:val="nil"/>
            </w:tcBorders>
            <w:vAlign w:val="center"/>
          </w:tcPr>
          <w:p w14:paraId="31F9808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&lt;3%</w:t>
            </w:r>
          </w:p>
        </w:tc>
      </w:tr>
      <w:tr w:rsidR="002E0859" w14:paraId="260422C3" w14:textId="77777777">
        <w:trPr>
          <w:trHeight w:val="23"/>
          <w:jc w:val="center"/>
        </w:trPr>
        <w:tc>
          <w:tcPr>
            <w:tcW w:w="2425" w:type="dxa"/>
            <w:tcBorders>
              <w:tl2br w:val="nil"/>
              <w:tr2bl w:val="nil"/>
            </w:tcBorders>
            <w:vAlign w:val="center"/>
          </w:tcPr>
          <w:p w14:paraId="6F6E44B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井下防逆流缓冲卡定器</w:t>
            </w:r>
          </w:p>
        </w:tc>
        <w:tc>
          <w:tcPr>
            <w:tcW w:w="1251" w:type="dxa"/>
            <w:tcBorders>
              <w:tl2br w:val="nil"/>
              <w:tr2bl w:val="nil"/>
            </w:tcBorders>
            <w:vAlign w:val="center"/>
          </w:tcPr>
          <w:p w14:paraId="745032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w:t>
            </w:r>
          </w:p>
        </w:tc>
        <w:tc>
          <w:tcPr>
            <w:tcW w:w="1462" w:type="dxa"/>
            <w:tcBorders>
              <w:tl2br w:val="nil"/>
              <w:tr2bl w:val="nil"/>
            </w:tcBorders>
            <w:vAlign w:val="center"/>
          </w:tcPr>
          <w:p w14:paraId="439BD38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w:t>
            </w:r>
          </w:p>
        </w:tc>
        <w:tc>
          <w:tcPr>
            <w:tcW w:w="2006" w:type="dxa"/>
            <w:tcBorders>
              <w:tl2br w:val="nil"/>
              <w:tr2bl w:val="nil"/>
            </w:tcBorders>
            <w:vAlign w:val="center"/>
          </w:tcPr>
          <w:p w14:paraId="4C0F3A5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可防逆流</w:t>
            </w:r>
          </w:p>
        </w:tc>
        <w:tc>
          <w:tcPr>
            <w:tcW w:w="2044" w:type="dxa"/>
            <w:tcBorders>
              <w:tl2br w:val="nil"/>
              <w:tr2bl w:val="nil"/>
            </w:tcBorders>
            <w:vAlign w:val="center"/>
          </w:tcPr>
          <w:p w14:paraId="7F3EC47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可防逆流</w:t>
            </w:r>
          </w:p>
        </w:tc>
      </w:tr>
      <w:tr w:rsidR="002E0859" w14:paraId="3CA264F6" w14:textId="77777777">
        <w:trPr>
          <w:trHeight w:val="23"/>
          <w:jc w:val="center"/>
        </w:trPr>
        <w:tc>
          <w:tcPr>
            <w:tcW w:w="2425" w:type="dxa"/>
            <w:tcBorders>
              <w:tl2br w:val="nil"/>
              <w:tr2bl w:val="nil"/>
            </w:tcBorders>
            <w:vAlign w:val="center"/>
          </w:tcPr>
          <w:p w14:paraId="07B64D5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云端数字化管理系统</w:t>
            </w:r>
          </w:p>
        </w:tc>
        <w:tc>
          <w:tcPr>
            <w:tcW w:w="1251" w:type="dxa"/>
            <w:tcBorders>
              <w:tl2br w:val="nil"/>
              <w:tr2bl w:val="nil"/>
            </w:tcBorders>
            <w:vAlign w:val="center"/>
          </w:tcPr>
          <w:p w14:paraId="77C296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w:t>
            </w:r>
          </w:p>
        </w:tc>
        <w:tc>
          <w:tcPr>
            <w:tcW w:w="1462" w:type="dxa"/>
            <w:tcBorders>
              <w:tl2br w:val="nil"/>
              <w:tr2bl w:val="nil"/>
            </w:tcBorders>
            <w:vAlign w:val="center"/>
          </w:tcPr>
          <w:p w14:paraId="7F25713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无</w:t>
            </w:r>
          </w:p>
        </w:tc>
        <w:tc>
          <w:tcPr>
            <w:tcW w:w="2006" w:type="dxa"/>
            <w:tcBorders>
              <w:tl2br w:val="nil"/>
              <w:tr2bl w:val="nil"/>
            </w:tcBorders>
            <w:vAlign w:val="center"/>
          </w:tcPr>
          <w:p w14:paraId="5A74565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具备</w:t>
            </w:r>
          </w:p>
        </w:tc>
        <w:tc>
          <w:tcPr>
            <w:tcW w:w="2044" w:type="dxa"/>
            <w:tcBorders>
              <w:tl2br w:val="nil"/>
              <w:tr2bl w:val="nil"/>
            </w:tcBorders>
            <w:vAlign w:val="center"/>
          </w:tcPr>
          <w:p w14:paraId="3C20427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具备</w:t>
            </w:r>
          </w:p>
        </w:tc>
      </w:tr>
    </w:tbl>
    <w:p w14:paraId="3D07FEC5" w14:textId="77777777" w:rsidR="002E0859" w:rsidRDefault="00000000">
      <w:pPr>
        <w:widowControl/>
        <w:kinsoku w:val="0"/>
        <w:topLinePunct w:val="0"/>
        <w:autoSpaceDE w:val="0"/>
        <w:autoSpaceDN w:val="0"/>
        <w:spacing w:beforeLines="50" w:before="120"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结合柱塞运行良好气井的生产特征，通过井底流压、水气比等参数，选择符合要求的气井应用柱塞工艺。</w:t>
      </w:r>
    </w:p>
    <w:p w14:paraId="76C59764" w14:textId="77777777" w:rsidR="002E0859" w:rsidRDefault="00000000">
      <w:pPr>
        <w:widowControl/>
        <w:kinsoku w:val="0"/>
        <w:topLinePunct w:val="0"/>
        <w:autoSpaceDE w:val="0"/>
        <w:autoSpaceDN w:val="0"/>
        <w:spacing w:line="360" w:lineRule="auto"/>
        <w:ind w:firstLine="480"/>
        <w:jc w:val="righ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当前输压产水下柱塞运行良好气井的特征：井底压力≥</w:t>
      </w:r>
      <w:r>
        <w:rPr>
          <w:rFonts w:eastAsia="Times New Roman"/>
          <w:snapToGrid w:val="0"/>
          <w:color w:val="000000" w:themeColor="text1"/>
          <w:kern w:val="0"/>
          <w:sz w:val="24"/>
          <w:szCs w:val="24"/>
          <w:lang w:eastAsia="en-US"/>
        </w:rPr>
        <w:t>7MPa</w:t>
      </w:r>
      <w:r>
        <w:rPr>
          <w:rFonts w:ascii="宋体" w:hAnsi="宋体" w:cs="宋体"/>
          <w:snapToGrid w:val="0"/>
          <w:color w:val="000000" w:themeColor="text1"/>
          <w:kern w:val="0"/>
          <w:sz w:val="24"/>
          <w:szCs w:val="24"/>
          <w:lang w:eastAsia="en-US"/>
        </w:rPr>
        <w:t>，水气比≤</w:t>
      </w:r>
      <w:r>
        <w:rPr>
          <w:rFonts w:eastAsia="Times New Roman"/>
          <w:snapToGrid w:val="0"/>
          <w:color w:val="000000" w:themeColor="text1"/>
          <w:kern w:val="0"/>
          <w:sz w:val="24"/>
          <w:szCs w:val="24"/>
          <w:lang w:eastAsia="en-US"/>
        </w:rPr>
        <w:t>7</w:t>
      </w:r>
      <w:r>
        <w:rPr>
          <w:rFonts w:ascii="宋体" w:hAnsi="宋体" w:cs="宋体"/>
          <w:snapToGrid w:val="0"/>
          <w:color w:val="000000" w:themeColor="text1"/>
          <w:kern w:val="0"/>
          <w:sz w:val="24"/>
          <w:szCs w:val="24"/>
          <w:lang w:eastAsia="en-US"/>
        </w:rPr>
        <w:t>方</w:t>
      </w:r>
      <w:r>
        <w:rPr>
          <w:rFonts w:eastAsia="Times New Roman"/>
          <w:snapToGrid w:val="0"/>
          <w:color w:val="000000" w:themeColor="text1"/>
          <w:kern w:val="0"/>
          <w:sz w:val="24"/>
          <w:szCs w:val="24"/>
          <w:lang w:eastAsia="en-US"/>
        </w:rPr>
        <w:t>/</w:t>
      </w:r>
      <w:r>
        <w:rPr>
          <w:rFonts w:ascii="宋体" w:hAnsi="宋体" w:cs="宋体"/>
          <w:snapToGrid w:val="0"/>
          <w:color w:val="000000" w:themeColor="text1"/>
          <w:kern w:val="0"/>
          <w:sz w:val="24"/>
          <w:szCs w:val="24"/>
          <w:lang w:eastAsia="en-US"/>
        </w:rPr>
        <w:t>万方。</w:t>
      </w:r>
    </w:p>
    <w:p w14:paraId="154DD0A4"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w:t>
      </w:r>
      <w:r>
        <w:rPr>
          <w:rFonts w:eastAsia="Times New Roman"/>
          <w:snapToGrid w:val="0"/>
          <w:color w:val="000000" w:themeColor="text1"/>
          <w:kern w:val="0"/>
          <w:sz w:val="24"/>
          <w:szCs w:val="24"/>
          <w:lang w:eastAsia="en-US"/>
        </w:rPr>
        <w:t>2</w:t>
      </w:r>
      <w:r>
        <w:rPr>
          <w:rFonts w:ascii="宋体" w:hAnsi="宋体" w:cs="宋体"/>
          <w:snapToGrid w:val="0"/>
          <w:color w:val="000000" w:themeColor="text1"/>
          <w:kern w:val="0"/>
          <w:sz w:val="24"/>
          <w:szCs w:val="24"/>
          <w:lang w:eastAsia="en-US"/>
        </w:rPr>
        <w:t>）压缩机气举和泡沫排采工艺</w:t>
      </w:r>
    </w:p>
    <w:p w14:paraId="6549DA0D"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通过现场实践，涪陵气田逐步完善了车载压缩机气举选井制度和现场管理，制定了《涪陵页岩气田天然气气举排液复产施工标准》，分析评价了不同特征气井的气举效果，初步形成了车载压缩机气举运行制度。</w:t>
      </w:r>
      <w:r>
        <w:rPr>
          <w:rFonts w:eastAsia="Times New Roman"/>
          <w:snapToGrid w:val="0"/>
          <w:color w:val="000000" w:themeColor="text1"/>
          <w:kern w:val="0"/>
          <w:sz w:val="24"/>
          <w:szCs w:val="24"/>
          <w:lang w:eastAsia="en-US"/>
        </w:rPr>
        <w:t>2018</w:t>
      </w:r>
      <w:r>
        <w:rPr>
          <w:rFonts w:ascii="宋体" w:hAnsi="宋体" w:cs="宋体"/>
          <w:snapToGrid w:val="0"/>
          <w:color w:val="000000" w:themeColor="text1"/>
          <w:kern w:val="0"/>
          <w:sz w:val="24"/>
          <w:szCs w:val="24"/>
          <w:lang w:eastAsia="en-US"/>
        </w:rPr>
        <w:t>年气田共实施车载压缩机气举</w:t>
      </w:r>
      <w:r>
        <w:rPr>
          <w:rFonts w:eastAsia="Times New Roman"/>
          <w:snapToGrid w:val="0"/>
          <w:color w:val="000000" w:themeColor="text1"/>
          <w:kern w:val="0"/>
          <w:sz w:val="24"/>
          <w:szCs w:val="24"/>
          <w:lang w:eastAsia="en-US"/>
        </w:rPr>
        <w:t>74</w:t>
      </w:r>
      <w:r>
        <w:rPr>
          <w:rFonts w:ascii="宋体" w:hAnsi="宋体" w:cs="宋体"/>
          <w:snapToGrid w:val="0"/>
          <w:color w:val="000000" w:themeColor="text1"/>
          <w:kern w:val="0"/>
          <w:sz w:val="24"/>
          <w:szCs w:val="24"/>
          <w:lang w:eastAsia="en-US"/>
        </w:rPr>
        <w:t>口井（</w:t>
      </w:r>
      <w:r>
        <w:rPr>
          <w:rFonts w:eastAsia="Times New Roman"/>
          <w:snapToGrid w:val="0"/>
          <w:color w:val="000000" w:themeColor="text1"/>
          <w:kern w:val="0"/>
          <w:sz w:val="24"/>
          <w:szCs w:val="24"/>
          <w:lang w:eastAsia="en-US"/>
        </w:rPr>
        <w:t>183</w:t>
      </w:r>
      <w:r>
        <w:rPr>
          <w:rFonts w:ascii="宋体" w:hAnsi="宋体" w:cs="宋体"/>
          <w:snapToGrid w:val="0"/>
          <w:color w:val="000000" w:themeColor="text1"/>
          <w:kern w:val="0"/>
          <w:sz w:val="24"/>
          <w:szCs w:val="24"/>
          <w:lang w:eastAsia="en-US"/>
        </w:rPr>
        <w:t>井次），复活率</w:t>
      </w:r>
      <w:r>
        <w:rPr>
          <w:rFonts w:eastAsia="Times New Roman"/>
          <w:snapToGrid w:val="0"/>
          <w:color w:val="000000" w:themeColor="text1"/>
          <w:kern w:val="0"/>
          <w:sz w:val="24"/>
          <w:szCs w:val="24"/>
          <w:lang w:eastAsia="en-US"/>
        </w:rPr>
        <w:t>91%</w:t>
      </w:r>
      <w:r>
        <w:rPr>
          <w:rFonts w:ascii="宋体" w:hAnsi="宋体" w:cs="宋体"/>
          <w:snapToGrid w:val="0"/>
          <w:color w:val="000000" w:themeColor="text1"/>
          <w:kern w:val="0"/>
          <w:sz w:val="24"/>
          <w:szCs w:val="24"/>
          <w:lang w:eastAsia="en-US"/>
        </w:rPr>
        <w:t>，措施累产气</w:t>
      </w:r>
      <w:r>
        <w:rPr>
          <w:rFonts w:eastAsia="Times New Roman"/>
          <w:snapToGrid w:val="0"/>
          <w:color w:val="000000" w:themeColor="text1"/>
          <w:kern w:val="0"/>
          <w:sz w:val="24"/>
          <w:szCs w:val="24"/>
          <w:lang w:eastAsia="en-US"/>
        </w:rPr>
        <w:t>14635</w:t>
      </w:r>
      <w:r>
        <w:rPr>
          <w:rFonts w:ascii="宋体" w:hAnsi="宋体" w:cs="宋体"/>
          <w:snapToGrid w:val="0"/>
          <w:color w:val="000000" w:themeColor="text1"/>
          <w:kern w:val="0"/>
          <w:sz w:val="24"/>
          <w:szCs w:val="24"/>
          <w:lang w:eastAsia="en-US"/>
        </w:rPr>
        <w:t>万方。</w:t>
      </w:r>
    </w:p>
    <w:p w14:paraId="5D3F0095" w14:textId="77777777" w:rsidR="002E0859" w:rsidRDefault="00000000">
      <w:pPr>
        <w:widowControl/>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泡沫排水采气工艺现阶段工艺相对成熟，</w:t>
      </w:r>
      <w:r>
        <w:rPr>
          <w:rFonts w:eastAsia="Times New Roman"/>
          <w:snapToGrid w:val="0"/>
          <w:color w:val="000000" w:themeColor="text1"/>
          <w:kern w:val="0"/>
          <w:sz w:val="24"/>
          <w:szCs w:val="24"/>
          <w:lang w:eastAsia="en-US"/>
        </w:rPr>
        <w:t>2018</w:t>
      </w:r>
      <w:r>
        <w:rPr>
          <w:rFonts w:ascii="宋体" w:hAnsi="宋体" w:cs="宋体"/>
          <w:snapToGrid w:val="0"/>
          <w:color w:val="000000" w:themeColor="text1"/>
          <w:kern w:val="0"/>
          <w:sz w:val="24"/>
          <w:szCs w:val="24"/>
          <w:lang w:eastAsia="en-US"/>
        </w:rPr>
        <w:t>年气田共实施泡沫排水采气措施井</w:t>
      </w:r>
      <w:r>
        <w:rPr>
          <w:rFonts w:eastAsia="Times New Roman"/>
          <w:snapToGrid w:val="0"/>
          <w:color w:val="000000" w:themeColor="text1"/>
          <w:kern w:val="0"/>
          <w:sz w:val="24"/>
          <w:szCs w:val="24"/>
          <w:lang w:eastAsia="en-US"/>
        </w:rPr>
        <w:t>10</w:t>
      </w:r>
      <w:r>
        <w:rPr>
          <w:rFonts w:ascii="宋体" w:hAnsi="宋体" w:cs="宋体"/>
          <w:snapToGrid w:val="0"/>
          <w:color w:val="000000" w:themeColor="text1"/>
          <w:kern w:val="0"/>
          <w:sz w:val="24"/>
          <w:szCs w:val="24"/>
          <w:lang w:eastAsia="en-US"/>
        </w:rPr>
        <w:t>口，单井油套压差平均降低</w:t>
      </w:r>
      <w:r>
        <w:rPr>
          <w:rFonts w:eastAsia="Times New Roman"/>
          <w:snapToGrid w:val="0"/>
          <w:color w:val="000000" w:themeColor="text1"/>
          <w:kern w:val="0"/>
          <w:sz w:val="24"/>
          <w:szCs w:val="24"/>
          <w:lang w:eastAsia="en-US"/>
        </w:rPr>
        <w:t>1.6MPa</w:t>
      </w:r>
      <w:r>
        <w:rPr>
          <w:rFonts w:ascii="宋体" w:hAnsi="宋体" w:cs="宋体"/>
          <w:snapToGrid w:val="0"/>
          <w:color w:val="000000" w:themeColor="text1"/>
          <w:kern w:val="0"/>
          <w:sz w:val="24"/>
          <w:szCs w:val="24"/>
          <w:lang w:eastAsia="en-US"/>
        </w:rPr>
        <w:t>，单井日均产气量增加</w:t>
      </w:r>
      <w:r>
        <w:rPr>
          <w:rFonts w:eastAsia="Times New Roman"/>
          <w:snapToGrid w:val="0"/>
          <w:color w:val="000000" w:themeColor="text1"/>
          <w:kern w:val="0"/>
          <w:sz w:val="24"/>
          <w:szCs w:val="24"/>
          <w:lang w:eastAsia="en-US"/>
        </w:rPr>
        <w:t>1.2</w:t>
      </w:r>
      <w:r>
        <w:rPr>
          <w:rFonts w:ascii="宋体" w:hAnsi="宋体" w:cs="宋体"/>
          <w:snapToGrid w:val="0"/>
          <w:color w:val="000000" w:themeColor="text1"/>
          <w:kern w:val="0"/>
          <w:sz w:val="24"/>
          <w:szCs w:val="24"/>
          <w:lang w:eastAsia="en-US"/>
        </w:rPr>
        <w:t>×</w:t>
      </w:r>
      <w:r>
        <w:rPr>
          <w:rFonts w:eastAsia="Times New Roman"/>
          <w:snapToGrid w:val="0"/>
          <w:color w:val="000000" w:themeColor="text1"/>
          <w:kern w:val="0"/>
          <w:sz w:val="24"/>
          <w:szCs w:val="24"/>
          <w:lang w:eastAsia="en-US"/>
        </w:rPr>
        <w:t>10</w:t>
      </w:r>
      <w:r>
        <w:rPr>
          <w:rFonts w:eastAsia="Times New Roman"/>
          <w:snapToGrid w:val="0"/>
          <w:color w:val="000000" w:themeColor="text1"/>
          <w:kern w:val="0"/>
          <w:sz w:val="16"/>
          <w:szCs w:val="16"/>
          <w:lang w:eastAsia="en-US"/>
        </w:rPr>
        <w:t>4</w:t>
      </w:r>
      <w:r>
        <w:rPr>
          <w:rFonts w:eastAsia="Times New Roman"/>
          <w:snapToGrid w:val="0"/>
          <w:color w:val="000000" w:themeColor="text1"/>
          <w:kern w:val="0"/>
          <w:sz w:val="24"/>
          <w:szCs w:val="24"/>
          <w:lang w:eastAsia="en-US"/>
        </w:rPr>
        <w:t>m³</w:t>
      </w:r>
      <w:r>
        <w:rPr>
          <w:rFonts w:ascii="宋体" w:hAnsi="宋体" w:cs="宋体"/>
          <w:snapToGrid w:val="0"/>
          <w:color w:val="000000" w:themeColor="text1"/>
          <w:kern w:val="0"/>
          <w:sz w:val="24"/>
          <w:szCs w:val="24"/>
          <w:lang w:eastAsia="en-US"/>
        </w:rPr>
        <w:t>,单井平均生产时率提高</w:t>
      </w:r>
      <w:r>
        <w:rPr>
          <w:rFonts w:eastAsia="Times New Roman"/>
          <w:snapToGrid w:val="0"/>
          <w:color w:val="000000" w:themeColor="text1"/>
          <w:kern w:val="0"/>
          <w:sz w:val="24"/>
          <w:szCs w:val="24"/>
          <w:lang w:eastAsia="en-US"/>
        </w:rPr>
        <w:t>41%</w:t>
      </w:r>
      <w:r>
        <w:rPr>
          <w:rFonts w:ascii="宋体" w:hAnsi="宋体" w:cs="宋体"/>
          <w:snapToGrid w:val="0"/>
          <w:color w:val="000000" w:themeColor="text1"/>
          <w:kern w:val="0"/>
          <w:sz w:val="24"/>
          <w:szCs w:val="24"/>
          <w:lang w:eastAsia="en-US"/>
        </w:rPr>
        <w:t>，措施阶段累产气</w:t>
      </w:r>
      <w:r>
        <w:rPr>
          <w:rFonts w:eastAsia="Times New Roman"/>
          <w:snapToGrid w:val="0"/>
          <w:color w:val="000000" w:themeColor="text1"/>
          <w:kern w:val="0"/>
          <w:sz w:val="24"/>
          <w:szCs w:val="24"/>
          <w:lang w:eastAsia="en-US"/>
        </w:rPr>
        <w:t>3790</w:t>
      </w:r>
      <w:r>
        <w:rPr>
          <w:rFonts w:ascii="宋体" w:hAnsi="宋体" w:cs="宋体"/>
          <w:snapToGrid w:val="0"/>
          <w:color w:val="000000" w:themeColor="text1"/>
          <w:kern w:val="0"/>
          <w:sz w:val="24"/>
          <w:szCs w:val="24"/>
          <w:lang w:eastAsia="en-US"/>
        </w:rPr>
        <w:t>×</w:t>
      </w:r>
      <w:r>
        <w:rPr>
          <w:rFonts w:eastAsia="Times New Roman"/>
          <w:snapToGrid w:val="0"/>
          <w:color w:val="000000" w:themeColor="text1"/>
          <w:kern w:val="0"/>
          <w:sz w:val="24"/>
          <w:szCs w:val="24"/>
          <w:lang w:eastAsia="en-US"/>
        </w:rPr>
        <w:t>10</w:t>
      </w:r>
      <w:r>
        <w:rPr>
          <w:rFonts w:eastAsia="Times New Roman"/>
          <w:snapToGrid w:val="0"/>
          <w:color w:val="000000" w:themeColor="text1"/>
          <w:kern w:val="0"/>
          <w:sz w:val="16"/>
          <w:szCs w:val="16"/>
          <w:lang w:eastAsia="en-US"/>
        </w:rPr>
        <w:t>4</w:t>
      </w:r>
      <w:r>
        <w:rPr>
          <w:rFonts w:eastAsia="Times New Roman"/>
          <w:snapToGrid w:val="0"/>
          <w:color w:val="000000" w:themeColor="text1"/>
          <w:kern w:val="0"/>
          <w:sz w:val="24"/>
          <w:szCs w:val="24"/>
          <w:lang w:eastAsia="en-US"/>
        </w:rPr>
        <w:t>m³</w:t>
      </w:r>
      <w:r>
        <w:rPr>
          <w:rFonts w:ascii="宋体" w:hAnsi="宋体" w:cs="宋体"/>
          <w:snapToGrid w:val="0"/>
          <w:color w:val="000000" w:themeColor="text1"/>
          <w:kern w:val="0"/>
          <w:sz w:val="24"/>
          <w:szCs w:val="24"/>
          <w:lang w:eastAsia="en-US"/>
        </w:rPr>
        <w:t>。与此同时，气田开展了起泡剂、消泡剂现场评价试验和泡排剂加注制度现场试验，初步形成了泡沫排水采气选井方法和泡排剂加注制度。见表</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8</w:t>
      </w:r>
      <w:r>
        <w:rPr>
          <w:rFonts w:ascii="宋体" w:hAnsi="宋体" w:cs="宋体"/>
          <w:snapToGrid w:val="0"/>
          <w:color w:val="000000" w:themeColor="text1"/>
          <w:spacing w:val="-15"/>
          <w:kern w:val="0"/>
          <w:sz w:val="24"/>
          <w:szCs w:val="24"/>
          <w:lang w:eastAsia="en-US"/>
        </w:rPr>
        <w:t>。</w:t>
      </w:r>
    </w:p>
    <w:p w14:paraId="5506487E" w14:textId="77777777" w:rsidR="002E0859" w:rsidRDefault="00000000">
      <w:pPr>
        <w:kinsoku w:val="0"/>
        <w:autoSpaceDE w:val="0"/>
        <w:autoSpaceDN w:val="0"/>
        <w:spacing w:line="24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ascii="黑体" w:eastAsia="黑体" w:hAnsi="黑体" w:cs="黑体"/>
          <w:snapToGrid w:val="0"/>
          <w:color w:val="000000" w:themeColor="text1"/>
          <w:spacing w:val="-1"/>
          <w:kern w:val="0"/>
          <w:sz w:val="21"/>
          <w:szCs w:val="21"/>
          <w:lang w:eastAsia="en-US"/>
        </w:rPr>
        <w:t>表</w:t>
      </w:r>
      <w:r>
        <w:rPr>
          <w:rFonts w:eastAsia="黑体"/>
          <w:snapToGrid w:val="0"/>
          <w:color w:val="000000" w:themeColor="text1"/>
          <w:kern w:val="0"/>
          <w:sz w:val="21"/>
          <w:szCs w:val="21"/>
        </w:rPr>
        <w:t>2.5-1</w:t>
      </w:r>
      <w:r>
        <w:rPr>
          <w:rFonts w:eastAsia="黑体" w:hint="eastAsia"/>
          <w:snapToGrid w:val="0"/>
          <w:color w:val="000000" w:themeColor="text1"/>
          <w:kern w:val="0"/>
          <w:sz w:val="21"/>
          <w:szCs w:val="21"/>
        </w:rPr>
        <w:t xml:space="preserve">8 </w:t>
      </w:r>
      <w:r>
        <w:rPr>
          <w:rFonts w:ascii="黑体" w:eastAsia="黑体" w:hAnsi="黑体" w:cs="黑体"/>
          <w:snapToGrid w:val="0"/>
          <w:color w:val="000000" w:themeColor="text1"/>
          <w:spacing w:val="-1"/>
          <w:kern w:val="0"/>
          <w:sz w:val="21"/>
          <w:szCs w:val="21"/>
          <w:lang w:eastAsia="en-US"/>
        </w:rPr>
        <w:t>工艺选井原则和运行制度</w:t>
      </w:r>
    </w:p>
    <w:p w14:paraId="6D17E6FB" w14:textId="77777777" w:rsidR="002E0859" w:rsidRDefault="002E0859">
      <w:pPr>
        <w:widowControl/>
        <w:kinsoku w:val="0"/>
        <w:topLinePunct w:val="0"/>
        <w:autoSpaceDE w:val="0"/>
        <w:autoSpaceDN w:val="0"/>
        <w:spacing w:line="142" w:lineRule="auto"/>
        <w:ind w:firstLineChars="0" w:firstLine="0"/>
        <w:jc w:val="left"/>
        <w:textAlignment w:val="baseline"/>
        <w:rPr>
          <w:rFonts w:ascii="Arial" w:eastAsia="Arial" w:hAnsi="Arial" w:cs="Arial"/>
          <w:snapToGrid w:val="0"/>
          <w:color w:val="000000" w:themeColor="text1"/>
          <w:kern w:val="0"/>
          <w:sz w:val="2"/>
          <w:szCs w:val="21"/>
          <w:lang w:eastAsia="en-US"/>
        </w:rPr>
      </w:pPr>
    </w:p>
    <w:tbl>
      <w:tblPr>
        <w:tblStyle w:val="TableNormal"/>
        <w:tblW w:w="9104" w:type="dxa"/>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84"/>
        <w:gridCol w:w="503"/>
        <w:gridCol w:w="4268"/>
        <w:gridCol w:w="3649"/>
      </w:tblGrid>
      <w:tr w:rsidR="002E0859" w14:paraId="369D0C59" w14:textId="77777777">
        <w:trPr>
          <w:trHeight w:val="23"/>
          <w:tblHeader/>
        </w:trPr>
        <w:tc>
          <w:tcPr>
            <w:tcW w:w="684" w:type="dxa"/>
            <w:tcBorders>
              <w:tl2br w:val="nil"/>
              <w:tr2bl w:val="nil"/>
            </w:tcBorders>
            <w:vAlign w:val="center"/>
          </w:tcPr>
          <w:p w14:paraId="490529E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序号</w:t>
            </w:r>
          </w:p>
        </w:tc>
        <w:tc>
          <w:tcPr>
            <w:tcW w:w="503" w:type="dxa"/>
            <w:tcBorders>
              <w:tl2br w:val="nil"/>
              <w:tr2bl w:val="nil"/>
            </w:tcBorders>
            <w:vAlign w:val="center"/>
          </w:tcPr>
          <w:p w14:paraId="6624C9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工艺名称</w:t>
            </w:r>
          </w:p>
        </w:tc>
        <w:tc>
          <w:tcPr>
            <w:tcW w:w="4268" w:type="dxa"/>
            <w:tcBorders>
              <w:tl2br w:val="nil"/>
              <w:tr2bl w:val="nil"/>
            </w:tcBorders>
            <w:vAlign w:val="center"/>
          </w:tcPr>
          <w:p w14:paraId="2C4B4E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选井原则</w:t>
            </w:r>
          </w:p>
        </w:tc>
        <w:tc>
          <w:tcPr>
            <w:tcW w:w="3649" w:type="dxa"/>
            <w:tcBorders>
              <w:tl2br w:val="nil"/>
              <w:tr2bl w:val="nil"/>
            </w:tcBorders>
            <w:vAlign w:val="center"/>
          </w:tcPr>
          <w:p w14:paraId="6015925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运行制度</w:t>
            </w:r>
          </w:p>
        </w:tc>
      </w:tr>
      <w:tr w:rsidR="002E0859" w14:paraId="5391E7CB" w14:textId="77777777">
        <w:trPr>
          <w:trHeight w:val="23"/>
        </w:trPr>
        <w:tc>
          <w:tcPr>
            <w:tcW w:w="684" w:type="dxa"/>
            <w:vMerge w:val="restart"/>
            <w:tcBorders>
              <w:tl2br w:val="nil"/>
              <w:tr2bl w:val="nil"/>
            </w:tcBorders>
            <w:vAlign w:val="center"/>
          </w:tcPr>
          <w:p w14:paraId="41EF70E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503" w:type="dxa"/>
            <w:vMerge w:val="restart"/>
            <w:tcBorders>
              <w:tl2br w:val="nil"/>
              <w:tr2bl w:val="nil"/>
            </w:tcBorders>
            <w:vAlign w:val="center"/>
          </w:tcPr>
          <w:p w14:paraId="19CAF4B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压缩机气举</w:t>
            </w:r>
          </w:p>
        </w:tc>
        <w:tc>
          <w:tcPr>
            <w:tcW w:w="4268" w:type="dxa"/>
            <w:vMerge w:val="restart"/>
            <w:tcBorders>
              <w:tl2br w:val="nil"/>
              <w:tr2bl w:val="nil"/>
            </w:tcBorders>
            <w:vAlign w:val="center"/>
          </w:tcPr>
          <w:p w14:paraId="1A1B8739" w14:textId="77777777" w:rsidR="002E0859" w:rsidRDefault="00000000">
            <w:pPr>
              <w:widowControl/>
              <w:numPr>
                <w:ilvl w:val="0"/>
                <w:numId w:val="15"/>
              </w:numPr>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低压低产水气井间歇关井过程复产；</w:t>
            </w:r>
          </w:p>
          <w:p w14:paraId="2D1F4EA7" w14:textId="77777777" w:rsidR="002E0859" w:rsidRDefault="00000000">
            <w:pPr>
              <w:widowControl/>
              <w:numPr>
                <w:ilvl w:val="0"/>
                <w:numId w:val="15"/>
              </w:numPr>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选取正常生产时日产气量高于临界携液，套压（恢复）</w:t>
            </w:r>
            <w:r>
              <w:rPr>
                <w:snapToGrid w:val="0"/>
                <w:color w:val="000000" w:themeColor="text1"/>
                <w:kern w:val="0"/>
                <w:sz w:val="21"/>
                <w:szCs w:val="21"/>
                <w:lang w:eastAsia="en-US"/>
              </w:rPr>
              <w:t>&gt;8</w:t>
            </w:r>
            <w:r>
              <w:rPr>
                <w:snapToGrid w:val="0"/>
                <w:color w:val="000000" w:themeColor="text1"/>
                <w:kern w:val="0"/>
                <w:sz w:val="21"/>
                <w:szCs w:val="21"/>
                <w:lang w:eastAsia="en-US"/>
              </w:rPr>
              <w:t>兆帕，增压开采时套压</w:t>
            </w:r>
            <w:r>
              <w:rPr>
                <w:snapToGrid w:val="0"/>
                <w:color w:val="000000" w:themeColor="text1"/>
                <w:kern w:val="0"/>
                <w:sz w:val="21"/>
                <w:szCs w:val="21"/>
                <w:lang w:eastAsia="en-US"/>
              </w:rPr>
              <w:t>&gt;4.5</w:t>
            </w:r>
            <w:r>
              <w:rPr>
                <w:snapToGrid w:val="0"/>
                <w:color w:val="000000" w:themeColor="text1"/>
                <w:kern w:val="0"/>
                <w:sz w:val="21"/>
                <w:szCs w:val="21"/>
                <w:lang w:eastAsia="en-US"/>
              </w:rPr>
              <w:t>兆帕。</w:t>
            </w:r>
            <w:r>
              <w:rPr>
                <w:noProof/>
                <w:snapToGrid w:val="0"/>
                <w:color w:val="000000" w:themeColor="text1"/>
                <w:kern w:val="0"/>
                <w:sz w:val="21"/>
                <w:szCs w:val="21"/>
                <w:lang w:eastAsia="en-US"/>
              </w:rPr>
              <mc:AlternateContent>
                <mc:Choice Requires="wps">
                  <w:drawing>
                    <wp:anchor distT="0" distB="0" distL="114300" distR="114300" simplePos="0" relativeHeight="251672576" behindDoc="0" locked="0" layoutInCell="1" allowOverlap="1" wp14:anchorId="4A374572" wp14:editId="456FFC95">
                      <wp:simplePos x="0" y="0"/>
                      <wp:positionH relativeFrom="rightMargin">
                        <wp:posOffset>-33655</wp:posOffset>
                      </wp:positionH>
                      <wp:positionV relativeFrom="topMargin">
                        <wp:posOffset>11430</wp:posOffset>
                      </wp:positionV>
                      <wp:extent cx="29210" cy="198120"/>
                      <wp:effectExtent l="0" t="0" r="1270" b="0"/>
                      <wp:wrapNone/>
                      <wp:docPr id="75" name="矩形 75"/>
                      <wp:cNvGraphicFramePr/>
                      <a:graphic xmlns:a="http://schemas.openxmlformats.org/drawingml/2006/main">
                        <a:graphicData uri="http://schemas.microsoft.com/office/word/2010/wordprocessingShape">
                          <wps:wsp>
                            <wps:cNvSpPr/>
                            <wps:spPr>
                              <a:xfrm>
                                <a:off x="0" y="0"/>
                                <a:ext cx="29210" cy="198120"/>
                              </a:xfrm>
                              <a:prstGeom prst="rect">
                                <a:avLst/>
                              </a:prstGeom>
                              <a:solidFill>
                                <a:srgbClr val="FFFFFF"/>
                              </a:solidFill>
                              <a:ln>
                                <a:noFill/>
                              </a:ln>
                            </wps:spPr>
                            <wps:bodyPr upright="1"/>
                          </wps:wsp>
                        </a:graphicData>
                      </a:graphic>
                    </wp:anchor>
                  </w:drawing>
                </mc:Choice>
                <mc:Fallback>
                  <w:pict>
                    <v:rect w14:anchorId="3F3CE5E9" id="矩形 75" o:spid="_x0000_s1026" style="position:absolute;left:0;text-align:left;margin-left:-2.65pt;margin-top:.9pt;width:2.3pt;height:15.6pt;z-index:251672576;visibility:visible;mso-wrap-style:square;mso-wrap-distance-left:9pt;mso-wrap-distance-top:0;mso-wrap-distance-right:9pt;mso-wrap-distance-bottom:0;mso-position-horizontal:absolute;mso-position-horizontal-relative:righ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" stroked="f">
                      <w10:wrap anchorx="margin" anchory="margin"/>
                    </v:rect>
                  </w:pict>
                </mc:Fallback>
              </mc:AlternateContent>
            </w:r>
          </w:p>
        </w:tc>
        <w:tc>
          <w:tcPr>
            <w:tcW w:w="3649" w:type="dxa"/>
            <w:tcBorders>
              <w:tl2br w:val="nil"/>
              <w:tr2bl w:val="nil"/>
            </w:tcBorders>
            <w:vAlign w:val="center"/>
          </w:tcPr>
          <w:p w14:paraId="2519384F"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1</w:t>
            </w:r>
            <w:r>
              <w:rPr>
                <w:snapToGrid w:val="0"/>
                <w:color w:val="000000" w:themeColor="text1"/>
                <w:kern w:val="0"/>
                <w:sz w:val="21"/>
                <w:szCs w:val="21"/>
                <w:lang w:eastAsia="en-US"/>
              </w:rPr>
              <w:t>、稳定水气比大于</w:t>
            </w:r>
            <w:r>
              <w:rPr>
                <w:snapToGrid w:val="0"/>
                <w:color w:val="000000" w:themeColor="text1"/>
                <w:kern w:val="0"/>
                <w:sz w:val="21"/>
                <w:szCs w:val="21"/>
                <w:lang w:eastAsia="en-US"/>
              </w:rPr>
              <w:t>3</w:t>
            </w:r>
            <w:r>
              <w:rPr>
                <w:snapToGrid w:val="0"/>
                <w:color w:val="000000" w:themeColor="text1"/>
                <w:kern w:val="0"/>
                <w:sz w:val="21"/>
                <w:szCs w:val="21"/>
                <w:lang w:eastAsia="en-US"/>
              </w:rPr>
              <w:t>方</w:t>
            </w:r>
            <w:r>
              <w:rPr>
                <w:snapToGrid w:val="0"/>
                <w:color w:val="000000" w:themeColor="text1"/>
                <w:kern w:val="0"/>
                <w:sz w:val="21"/>
                <w:szCs w:val="21"/>
                <w:lang w:eastAsia="en-US"/>
              </w:rPr>
              <w:t>/</w:t>
            </w:r>
            <w:r>
              <w:rPr>
                <w:snapToGrid w:val="0"/>
                <w:color w:val="000000" w:themeColor="text1"/>
                <w:kern w:val="0"/>
                <w:sz w:val="21"/>
                <w:szCs w:val="21"/>
                <w:lang w:eastAsia="en-US"/>
              </w:rPr>
              <w:t>万方气井，气举复活后，配套泡排、柱塞等排采措施；</w:t>
            </w:r>
          </w:p>
        </w:tc>
      </w:tr>
      <w:tr w:rsidR="002E0859" w14:paraId="3B0EFECC" w14:textId="77777777">
        <w:trPr>
          <w:trHeight w:val="23"/>
        </w:trPr>
        <w:tc>
          <w:tcPr>
            <w:tcW w:w="684" w:type="dxa"/>
            <w:vMerge/>
            <w:tcBorders>
              <w:tl2br w:val="nil"/>
              <w:tr2bl w:val="nil"/>
            </w:tcBorders>
            <w:vAlign w:val="center"/>
          </w:tcPr>
          <w:p w14:paraId="1F76405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03" w:type="dxa"/>
            <w:vMerge/>
            <w:tcBorders>
              <w:tl2br w:val="nil"/>
              <w:tr2bl w:val="nil"/>
            </w:tcBorders>
            <w:vAlign w:val="center"/>
          </w:tcPr>
          <w:p w14:paraId="168E610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4268" w:type="dxa"/>
            <w:vMerge/>
            <w:tcBorders>
              <w:tl2br w:val="nil"/>
              <w:tr2bl w:val="nil"/>
            </w:tcBorders>
            <w:vAlign w:val="center"/>
          </w:tcPr>
          <w:p w14:paraId="6F2C4DAF" w14:textId="77777777" w:rsidR="002E0859" w:rsidRDefault="002E0859">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p>
        </w:tc>
        <w:tc>
          <w:tcPr>
            <w:tcW w:w="3649" w:type="dxa"/>
            <w:tcBorders>
              <w:tl2br w:val="nil"/>
              <w:tr2bl w:val="nil"/>
            </w:tcBorders>
            <w:vAlign w:val="center"/>
          </w:tcPr>
          <w:p w14:paraId="11AD291D"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、水气比介于</w:t>
            </w:r>
            <w:r>
              <w:rPr>
                <w:snapToGrid w:val="0"/>
                <w:color w:val="000000" w:themeColor="text1"/>
                <w:kern w:val="0"/>
                <w:sz w:val="21"/>
                <w:szCs w:val="21"/>
                <w:lang w:eastAsia="en-US"/>
              </w:rPr>
              <w:t>1~3</w:t>
            </w:r>
            <w:r>
              <w:rPr>
                <w:snapToGrid w:val="0"/>
                <w:color w:val="000000" w:themeColor="text1"/>
                <w:kern w:val="0"/>
                <w:sz w:val="21"/>
                <w:szCs w:val="21"/>
                <w:lang w:eastAsia="en-US"/>
              </w:rPr>
              <w:t>方</w:t>
            </w:r>
            <w:r>
              <w:rPr>
                <w:snapToGrid w:val="0"/>
                <w:color w:val="000000" w:themeColor="text1"/>
                <w:kern w:val="0"/>
                <w:sz w:val="21"/>
                <w:szCs w:val="21"/>
                <w:lang w:eastAsia="en-US"/>
              </w:rPr>
              <w:t>/</w:t>
            </w:r>
            <w:r>
              <w:rPr>
                <w:snapToGrid w:val="0"/>
                <w:color w:val="000000" w:themeColor="text1"/>
                <w:kern w:val="0"/>
                <w:sz w:val="21"/>
                <w:szCs w:val="21"/>
                <w:lang w:eastAsia="en-US"/>
              </w:rPr>
              <w:t>万方，周期性气举。</w:t>
            </w:r>
          </w:p>
        </w:tc>
      </w:tr>
      <w:tr w:rsidR="002E0859" w14:paraId="71DFC29D" w14:textId="77777777">
        <w:trPr>
          <w:trHeight w:val="23"/>
        </w:trPr>
        <w:tc>
          <w:tcPr>
            <w:tcW w:w="684" w:type="dxa"/>
            <w:tcBorders>
              <w:tl2br w:val="nil"/>
              <w:tr2bl w:val="nil"/>
            </w:tcBorders>
            <w:vAlign w:val="center"/>
          </w:tcPr>
          <w:p w14:paraId="4951B9F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503" w:type="dxa"/>
            <w:tcBorders>
              <w:tl2br w:val="nil"/>
              <w:tr2bl w:val="nil"/>
            </w:tcBorders>
            <w:vAlign w:val="center"/>
          </w:tcPr>
          <w:p w14:paraId="5F581B1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泡排</w:t>
            </w:r>
          </w:p>
        </w:tc>
        <w:tc>
          <w:tcPr>
            <w:tcW w:w="4268" w:type="dxa"/>
            <w:tcBorders>
              <w:tl2br w:val="nil"/>
              <w:tr2bl w:val="nil"/>
            </w:tcBorders>
            <w:vAlign w:val="center"/>
          </w:tcPr>
          <w:p w14:paraId="5214EDF8"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、气井具备定生产能力；</w:t>
            </w:r>
          </w:p>
          <w:p w14:paraId="07FA130C"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、水产量小于</w:t>
            </w:r>
            <w:r>
              <w:rPr>
                <w:snapToGrid w:val="0"/>
                <w:color w:val="000000" w:themeColor="text1"/>
                <w:kern w:val="0"/>
                <w:sz w:val="21"/>
                <w:szCs w:val="21"/>
                <w:lang w:eastAsia="en-US"/>
              </w:rPr>
              <w:t>30</w:t>
            </w:r>
            <w:r>
              <w:rPr>
                <w:snapToGrid w:val="0"/>
                <w:color w:val="000000" w:themeColor="text1"/>
                <w:kern w:val="0"/>
                <w:sz w:val="21"/>
                <w:szCs w:val="21"/>
                <w:lang w:eastAsia="en-US"/>
              </w:rPr>
              <w:t>方</w:t>
            </w:r>
            <w:r>
              <w:rPr>
                <w:snapToGrid w:val="0"/>
                <w:color w:val="000000" w:themeColor="text1"/>
                <w:kern w:val="0"/>
                <w:sz w:val="21"/>
                <w:szCs w:val="21"/>
                <w:lang w:eastAsia="en-US"/>
              </w:rPr>
              <w:t>/</w:t>
            </w:r>
            <w:r>
              <w:rPr>
                <w:snapToGrid w:val="0"/>
                <w:color w:val="000000" w:themeColor="text1"/>
                <w:kern w:val="0"/>
                <w:sz w:val="21"/>
                <w:szCs w:val="21"/>
                <w:lang w:eastAsia="en-US"/>
              </w:rPr>
              <w:t>天；</w:t>
            </w:r>
          </w:p>
          <w:p w14:paraId="1FB95F92"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r>
              <w:rPr>
                <w:snapToGrid w:val="0"/>
                <w:color w:val="000000" w:themeColor="text1"/>
                <w:kern w:val="0"/>
                <w:sz w:val="21"/>
                <w:szCs w:val="21"/>
                <w:lang w:eastAsia="en-US"/>
              </w:rPr>
              <w:t>、具备连续消泡能力；</w:t>
            </w:r>
          </w:p>
          <w:p w14:paraId="25941DF6"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r>
              <w:rPr>
                <w:snapToGrid w:val="0"/>
                <w:color w:val="000000" w:themeColor="text1"/>
                <w:kern w:val="0"/>
                <w:sz w:val="21"/>
                <w:szCs w:val="21"/>
                <w:lang w:eastAsia="en-US"/>
              </w:rPr>
              <w:t>、建议选择井站同台气井。</w:t>
            </w:r>
          </w:p>
        </w:tc>
        <w:tc>
          <w:tcPr>
            <w:tcW w:w="3649" w:type="dxa"/>
            <w:tcBorders>
              <w:tl2br w:val="nil"/>
              <w:tr2bl w:val="nil"/>
            </w:tcBorders>
            <w:vAlign w:val="center"/>
          </w:tcPr>
          <w:p w14:paraId="3E4E2981"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、水气比小于</w:t>
            </w:r>
            <w:r>
              <w:rPr>
                <w:snapToGrid w:val="0"/>
                <w:color w:val="000000" w:themeColor="text1"/>
                <w:kern w:val="0"/>
                <w:sz w:val="21"/>
                <w:szCs w:val="21"/>
                <w:lang w:eastAsia="en-US"/>
              </w:rPr>
              <w:t>5</w:t>
            </w:r>
            <w:r>
              <w:rPr>
                <w:snapToGrid w:val="0"/>
                <w:color w:val="000000" w:themeColor="text1"/>
                <w:kern w:val="0"/>
                <w:sz w:val="21"/>
                <w:szCs w:val="21"/>
                <w:lang w:eastAsia="en-US"/>
              </w:rPr>
              <w:t>方</w:t>
            </w:r>
            <w:r>
              <w:rPr>
                <w:snapToGrid w:val="0"/>
                <w:color w:val="000000" w:themeColor="text1"/>
                <w:kern w:val="0"/>
                <w:sz w:val="21"/>
                <w:szCs w:val="21"/>
                <w:lang w:eastAsia="en-US"/>
              </w:rPr>
              <w:t>/</w:t>
            </w:r>
            <w:r>
              <w:rPr>
                <w:snapToGrid w:val="0"/>
                <w:color w:val="000000" w:themeColor="text1"/>
                <w:kern w:val="0"/>
                <w:sz w:val="21"/>
                <w:szCs w:val="21"/>
                <w:lang w:eastAsia="en-US"/>
              </w:rPr>
              <w:t>万方时，每日连续加注</w:t>
            </w:r>
            <w:r>
              <w:rPr>
                <w:snapToGrid w:val="0"/>
                <w:color w:val="000000" w:themeColor="text1"/>
                <w:kern w:val="0"/>
                <w:sz w:val="21"/>
                <w:szCs w:val="21"/>
                <w:lang w:eastAsia="en-US"/>
              </w:rPr>
              <w:t>37.5kg</w:t>
            </w:r>
            <w:r>
              <w:rPr>
                <w:snapToGrid w:val="0"/>
                <w:color w:val="000000" w:themeColor="text1"/>
                <w:kern w:val="0"/>
                <w:sz w:val="21"/>
                <w:szCs w:val="21"/>
                <w:lang w:eastAsia="en-US"/>
              </w:rPr>
              <w:t>泡排剂（浓度</w:t>
            </w:r>
            <w:r>
              <w:rPr>
                <w:snapToGrid w:val="0"/>
                <w:color w:val="000000" w:themeColor="text1"/>
                <w:kern w:val="0"/>
                <w:sz w:val="21"/>
                <w:szCs w:val="21"/>
                <w:lang w:eastAsia="en-US"/>
              </w:rPr>
              <w:t>0.2%</w:t>
            </w:r>
            <w:r>
              <w:rPr>
                <w:snapToGrid w:val="0"/>
                <w:color w:val="000000" w:themeColor="text1"/>
                <w:kern w:val="0"/>
                <w:sz w:val="21"/>
                <w:szCs w:val="21"/>
                <w:lang w:eastAsia="en-US"/>
              </w:rPr>
              <w:t>）效果较好；</w:t>
            </w:r>
          </w:p>
          <w:p w14:paraId="579B0A1C" w14:textId="77777777" w:rsidR="002E0859" w:rsidRDefault="00000000">
            <w:pPr>
              <w:widowControl/>
              <w:kinsoku w:val="0"/>
              <w:topLinePunct w:val="0"/>
              <w:autoSpaceDE w:val="0"/>
              <w:autoSpaceDN w:val="0"/>
              <w:spacing w:line="240" w:lineRule="auto"/>
              <w:ind w:leftChars="50" w:left="140" w:firstLineChars="0" w:firstLine="0"/>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、水气比大于</w:t>
            </w:r>
            <w:r>
              <w:rPr>
                <w:snapToGrid w:val="0"/>
                <w:color w:val="000000" w:themeColor="text1"/>
                <w:kern w:val="0"/>
                <w:sz w:val="21"/>
                <w:szCs w:val="21"/>
                <w:lang w:eastAsia="en-US"/>
              </w:rPr>
              <w:t>5</w:t>
            </w:r>
            <w:r>
              <w:rPr>
                <w:snapToGrid w:val="0"/>
                <w:color w:val="000000" w:themeColor="text1"/>
                <w:kern w:val="0"/>
                <w:sz w:val="21"/>
                <w:szCs w:val="21"/>
                <w:lang w:eastAsia="en-US"/>
              </w:rPr>
              <w:t>方</w:t>
            </w:r>
            <w:r>
              <w:rPr>
                <w:snapToGrid w:val="0"/>
                <w:color w:val="000000" w:themeColor="text1"/>
                <w:kern w:val="0"/>
                <w:sz w:val="21"/>
                <w:szCs w:val="21"/>
                <w:lang w:eastAsia="en-US"/>
              </w:rPr>
              <w:t>/</w:t>
            </w:r>
            <w:r>
              <w:rPr>
                <w:snapToGrid w:val="0"/>
                <w:color w:val="000000" w:themeColor="text1"/>
                <w:kern w:val="0"/>
                <w:sz w:val="21"/>
                <w:szCs w:val="21"/>
                <w:lang w:eastAsia="en-US"/>
              </w:rPr>
              <w:t>万方时，可适当降低泡排剂浓度，连续注入。</w:t>
            </w:r>
          </w:p>
        </w:tc>
      </w:tr>
    </w:tbl>
    <w:p w14:paraId="3039F733" w14:textId="77777777" w:rsidR="002E0859" w:rsidRDefault="00000000">
      <w:pPr>
        <w:pStyle w:val="2"/>
        <w:keepNext w:val="0"/>
        <w:keepLines w:val="0"/>
        <w:spacing w:before="120" w:after="120" w:line="360" w:lineRule="auto"/>
        <w:jc w:val="center"/>
        <w:rPr>
          <w:color w:val="000000" w:themeColor="text1"/>
        </w:rPr>
      </w:pPr>
      <w:bookmarkStart w:id="29" w:name="_Toc7937"/>
      <w:r>
        <w:rPr>
          <w:rFonts w:hint="eastAsia"/>
          <w:color w:val="000000" w:themeColor="text1"/>
        </w:rPr>
        <w:t>集输工程</w:t>
      </w:r>
      <w:bookmarkEnd w:id="29"/>
    </w:p>
    <w:p w14:paraId="3ACD243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工程总体布局</w:t>
      </w:r>
    </w:p>
    <w:p w14:paraId="6AF4014A"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总体布局</w:t>
      </w:r>
    </w:p>
    <w:p w14:paraId="2DE2588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5F6A7154"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区域位置</w:t>
      </w:r>
    </w:p>
    <w:p w14:paraId="118A984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0CFFCF4E"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集输工程现状及依托情况</w:t>
      </w:r>
    </w:p>
    <w:p w14:paraId="4CC0A712"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工程现状</w:t>
      </w:r>
    </w:p>
    <w:p w14:paraId="15D63F2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57424876"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依托情况</w:t>
      </w:r>
    </w:p>
    <w:p w14:paraId="24E2A9AA"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焦页</w:t>
      </w:r>
      <w:r>
        <w:rPr>
          <w:color w:val="000000" w:themeColor="text1"/>
          <w:kern w:val="0"/>
          <w:sz w:val="24"/>
          <w:szCs w:val="24"/>
          <w:lang w:eastAsia="en-US"/>
        </w:rPr>
        <w:t>90</w:t>
      </w:r>
      <w:r>
        <w:rPr>
          <w:color w:val="000000" w:themeColor="text1"/>
          <w:kern w:val="0"/>
          <w:sz w:val="24"/>
          <w:szCs w:val="24"/>
          <w:lang w:eastAsia="en-US"/>
        </w:rPr>
        <w:t>号平台与焦页</w:t>
      </w:r>
      <w:r>
        <w:rPr>
          <w:color w:val="000000" w:themeColor="text1"/>
          <w:kern w:val="0"/>
          <w:sz w:val="24"/>
          <w:szCs w:val="24"/>
          <w:lang w:eastAsia="en-US"/>
        </w:rPr>
        <w:t>89</w:t>
      </w:r>
      <w:r>
        <w:rPr>
          <w:color w:val="000000" w:themeColor="text1"/>
          <w:kern w:val="0"/>
          <w:sz w:val="24"/>
          <w:szCs w:val="24"/>
          <w:lang w:eastAsia="en-US"/>
        </w:rPr>
        <w:t>号集气站直线距离为</w:t>
      </w:r>
      <w:r>
        <w:rPr>
          <w:color w:val="000000" w:themeColor="text1"/>
          <w:kern w:val="0"/>
          <w:sz w:val="24"/>
          <w:szCs w:val="24"/>
          <w:lang w:eastAsia="en-US"/>
        </w:rPr>
        <w:t>250</w:t>
      </w:r>
      <w:r>
        <w:rPr>
          <w:color w:val="000000" w:themeColor="text1"/>
          <w:kern w:val="0"/>
          <w:sz w:val="24"/>
          <w:szCs w:val="24"/>
          <w:lang w:eastAsia="en-US"/>
        </w:rPr>
        <w:t>米，焦页</w:t>
      </w:r>
      <w:r>
        <w:rPr>
          <w:color w:val="000000" w:themeColor="text1"/>
          <w:kern w:val="0"/>
          <w:sz w:val="24"/>
          <w:szCs w:val="24"/>
          <w:lang w:eastAsia="en-US"/>
        </w:rPr>
        <w:t>90</w:t>
      </w:r>
      <w:r>
        <w:rPr>
          <w:color w:val="000000" w:themeColor="text1"/>
          <w:kern w:val="0"/>
          <w:sz w:val="24"/>
          <w:szCs w:val="24"/>
          <w:lang w:eastAsia="en-US"/>
        </w:rPr>
        <w:t>号平台现有</w:t>
      </w:r>
      <w:r>
        <w:rPr>
          <w:color w:val="000000" w:themeColor="text1"/>
          <w:kern w:val="0"/>
          <w:sz w:val="24"/>
          <w:szCs w:val="24"/>
          <w:lang w:eastAsia="en-US"/>
        </w:rPr>
        <w:t>4</w:t>
      </w:r>
      <w:r>
        <w:rPr>
          <w:color w:val="000000" w:themeColor="text1"/>
          <w:kern w:val="0"/>
          <w:sz w:val="24"/>
          <w:szCs w:val="24"/>
          <w:lang w:eastAsia="en-US"/>
        </w:rPr>
        <w:t>口气井（焦页</w:t>
      </w:r>
      <w:r>
        <w:rPr>
          <w:color w:val="000000" w:themeColor="text1"/>
          <w:kern w:val="0"/>
          <w:sz w:val="24"/>
          <w:szCs w:val="24"/>
          <w:lang w:eastAsia="en-US"/>
        </w:rPr>
        <w:t>90-1HF</w:t>
      </w:r>
      <w:r>
        <w:rPr>
          <w:color w:val="000000" w:themeColor="text1"/>
          <w:kern w:val="0"/>
          <w:sz w:val="24"/>
          <w:szCs w:val="24"/>
          <w:lang w:eastAsia="en-US"/>
        </w:rPr>
        <w:t>、焦页</w:t>
      </w:r>
      <w:r>
        <w:rPr>
          <w:color w:val="000000" w:themeColor="text1"/>
          <w:kern w:val="0"/>
          <w:sz w:val="24"/>
          <w:szCs w:val="24"/>
          <w:lang w:eastAsia="en-US"/>
        </w:rPr>
        <w:t>90-2HF</w:t>
      </w:r>
      <w:r>
        <w:rPr>
          <w:color w:val="000000" w:themeColor="text1"/>
          <w:kern w:val="0"/>
          <w:sz w:val="24"/>
          <w:szCs w:val="24"/>
          <w:lang w:eastAsia="en-US"/>
        </w:rPr>
        <w:t>、焦页</w:t>
      </w:r>
      <w:r>
        <w:rPr>
          <w:color w:val="000000" w:themeColor="text1"/>
          <w:kern w:val="0"/>
          <w:sz w:val="24"/>
          <w:szCs w:val="24"/>
          <w:lang w:eastAsia="en-US"/>
        </w:rPr>
        <w:t>90-3HF</w:t>
      </w:r>
      <w:r>
        <w:rPr>
          <w:color w:val="000000" w:themeColor="text1"/>
          <w:kern w:val="0"/>
          <w:sz w:val="24"/>
          <w:szCs w:val="24"/>
          <w:lang w:eastAsia="en-US"/>
        </w:rPr>
        <w:t>、焦页</w:t>
      </w:r>
      <w:r>
        <w:rPr>
          <w:color w:val="000000" w:themeColor="text1"/>
          <w:kern w:val="0"/>
          <w:sz w:val="24"/>
          <w:szCs w:val="24"/>
          <w:lang w:eastAsia="en-US"/>
        </w:rPr>
        <w:t>90-4HF</w:t>
      </w:r>
      <w:r>
        <w:rPr>
          <w:color w:val="000000" w:themeColor="text1"/>
          <w:kern w:val="0"/>
          <w:sz w:val="24"/>
          <w:szCs w:val="24"/>
          <w:lang w:eastAsia="en-US"/>
        </w:rPr>
        <w:t>），经</w:t>
      </w:r>
      <w:r>
        <w:rPr>
          <w:color w:val="000000" w:themeColor="text1"/>
          <w:kern w:val="0"/>
          <w:sz w:val="24"/>
          <w:szCs w:val="24"/>
          <w:lang w:eastAsia="en-US"/>
        </w:rPr>
        <w:t>4</w:t>
      </w:r>
      <w:r>
        <w:rPr>
          <w:color w:val="000000" w:themeColor="text1"/>
          <w:kern w:val="0"/>
          <w:sz w:val="24"/>
          <w:szCs w:val="24"/>
          <w:lang w:eastAsia="en-US"/>
        </w:rPr>
        <w:t>条采气管线去</w:t>
      </w:r>
      <w:r>
        <w:rPr>
          <w:color w:val="000000" w:themeColor="text1"/>
          <w:kern w:val="0"/>
          <w:sz w:val="24"/>
          <w:szCs w:val="24"/>
          <w:lang w:eastAsia="en-US"/>
        </w:rPr>
        <w:t>89#</w:t>
      </w:r>
      <w:r>
        <w:rPr>
          <w:color w:val="000000" w:themeColor="text1"/>
          <w:kern w:val="0"/>
          <w:sz w:val="24"/>
          <w:szCs w:val="24"/>
          <w:lang w:eastAsia="en-US"/>
        </w:rPr>
        <w:t>集气站处理，</w:t>
      </w:r>
      <w:r>
        <w:rPr>
          <w:color w:val="000000" w:themeColor="text1"/>
          <w:kern w:val="0"/>
          <w:sz w:val="24"/>
          <w:szCs w:val="24"/>
          <w:lang w:eastAsia="en-US"/>
        </w:rPr>
        <w:t>89</w:t>
      </w:r>
      <w:r>
        <w:rPr>
          <w:color w:val="000000" w:themeColor="text1"/>
          <w:kern w:val="0"/>
          <w:sz w:val="24"/>
          <w:szCs w:val="24"/>
          <w:lang w:eastAsia="en-US"/>
        </w:rPr>
        <w:t>号集气站现有</w:t>
      </w:r>
      <w:r>
        <w:rPr>
          <w:color w:val="000000" w:themeColor="text1"/>
          <w:kern w:val="0"/>
          <w:sz w:val="24"/>
          <w:szCs w:val="24"/>
          <w:lang w:eastAsia="en-US"/>
        </w:rPr>
        <w:t>3</w:t>
      </w:r>
      <w:r>
        <w:rPr>
          <w:color w:val="000000" w:themeColor="text1"/>
          <w:kern w:val="0"/>
          <w:sz w:val="24"/>
          <w:szCs w:val="24"/>
          <w:lang w:eastAsia="en-US"/>
        </w:rPr>
        <w:t>口井（焦页</w:t>
      </w:r>
      <w:r>
        <w:rPr>
          <w:color w:val="000000" w:themeColor="text1"/>
          <w:kern w:val="0"/>
          <w:sz w:val="24"/>
          <w:szCs w:val="24"/>
          <w:lang w:eastAsia="en-US"/>
        </w:rPr>
        <w:t>89-1HF</w:t>
      </w:r>
      <w:r>
        <w:rPr>
          <w:color w:val="000000" w:themeColor="text1"/>
          <w:kern w:val="0"/>
          <w:sz w:val="24"/>
          <w:szCs w:val="24"/>
          <w:lang w:eastAsia="en-US"/>
        </w:rPr>
        <w:t>、焦页</w:t>
      </w:r>
      <w:r>
        <w:rPr>
          <w:color w:val="000000" w:themeColor="text1"/>
          <w:kern w:val="0"/>
          <w:sz w:val="24"/>
          <w:szCs w:val="24"/>
          <w:lang w:eastAsia="en-US"/>
        </w:rPr>
        <w:t>89-2HF</w:t>
      </w:r>
      <w:r>
        <w:rPr>
          <w:color w:val="000000" w:themeColor="text1"/>
          <w:kern w:val="0"/>
          <w:sz w:val="24"/>
          <w:szCs w:val="24"/>
          <w:lang w:eastAsia="en-US"/>
        </w:rPr>
        <w:t>、焦页</w:t>
      </w:r>
      <w:r>
        <w:rPr>
          <w:color w:val="000000" w:themeColor="text1"/>
          <w:kern w:val="0"/>
          <w:sz w:val="24"/>
          <w:szCs w:val="24"/>
          <w:lang w:eastAsia="en-US"/>
        </w:rPr>
        <w:t>89-3HF</w:t>
      </w:r>
      <w:r>
        <w:rPr>
          <w:color w:val="000000" w:themeColor="text1"/>
          <w:kern w:val="0"/>
          <w:sz w:val="24"/>
          <w:szCs w:val="24"/>
          <w:lang w:eastAsia="en-US"/>
        </w:rPr>
        <w:t>）</w:t>
      </w:r>
    </w:p>
    <w:p w14:paraId="2693AD96"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rFonts w:hint="eastAsia"/>
          <w:color w:val="000000" w:themeColor="text1"/>
          <w:kern w:val="0"/>
          <w:sz w:val="24"/>
          <w:szCs w:val="24"/>
        </w:rPr>
        <w:t>）</w:t>
      </w:r>
      <w:r>
        <w:rPr>
          <w:color w:val="000000" w:themeColor="text1"/>
          <w:kern w:val="0"/>
          <w:sz w:val="24"/>
          <w:szCs w:val="24"/>
          <w:lang w:eastAsia="en-US"/>
        </w:rPr>
        <w:t>集气管网能力校核</w:t>
      </w:r>
    </w:p>
    <w:p w14:paraId="0A770A4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一期自然开采、上部气层和加密井、增压开采叠加产量在</w:t>
      </w:r>
      <w:r>
        <w:rPr>
          <w:color w:val="000000" w:themeColor="text1"/>
          <w:kern w:val="0"/>
          <w:sz w:val="24"/>
          <w:szCs w:val="24"/>
          <w:lang w:eastAsia="en-US"/>
        </w:rPr>
        <w:t>2023</w:t>
      </w:r>
      <w:r>
        <w:rPr>
          <w:color w:val="000000" w:themeColor="text1"/>
          <w:kern w:val="0"/>
          <w:sz w:val="24"/>
          <w:szCs w:val="24"/>
          <w:lang w:eastAsia="en-US"/>
        </w:rPr>
        <w:t>年达到</w:t>
      </w:r>
      <w:r>
        <w:rPr>
          <w:color w:val="000000" w:themeColor="text1"/>
          <w:kern w:val="0"/>
          <w:sz w:val="24"/>
          <w:szCs w:val="24"/>
          <w:lang w:eastAsia="en-US"/>
        </w:rPr>
        <w:t>60.3×10</w:t>
      </w:r>
      <w:r>
        <w:rPr>
          <w:color w:val="000000" w:themeColor="text1"/>
          <w:kern w:val="0"/>
          <w:sz w:val="24"/>
          <w:szCs w:val="24"/>
          <w:vertAlign w:val="superscript"/>
          <w:lang w:eastAsia="en-US"/>
        </w:rPr>
        <w:t>8</w:t>
      </w:r>
      <w:r>
        <w:rPr>
          <w:color w:val="000000" w:themeColor="text1"/>
          <w:kern w:val="0"/>
          <w:sz w:val="24"/>
          <w:szCs w:val="24"/>
          <w:lang w:eastAsia="en-US"/>
        </w:rPr>
        <w:t>m</w:t>
      </w:r>
      <w:r>
        <w:rPr>
          <w:color w:val="000000" w:themeColor="text1"/>
          <w:kern w:val="0"/>
          <w:sz w:val="24"/>
          <w:szCs w:val="24"/>
          <w:vertAlign w:val="superscript"/>
          <w:lang w:eastAsia="en-US"/>
        </w:rPr>
        <w:t>3</w:t>
      </w:r>
      <w:r>
        <w:rPr>
          <w:color w:val="000000" w:themeColor="text1"/>
          <w:kern w:val="0"/>
          <w:sz w:val="24"/>
          <w:szCs w:val="24"/>
          <w:lang w:eastAsia="en-US"/>
        </w:rPr>
        <w:t>，之后逐年稳产，焦石坝和江东区块乌江北累计建成</w:t>
      </w:r>
      <w:r>
        <w:rPr>
          <w:color w:val="000000" w:themeColor="text1"/>
          <w:kern w:val="0"/>
          <w:sz w:val="24"/>
          <w:szCs w:val="24"/>
          <w:lang w:eastAsia="en-US"/>
        </w:rPr>
        <w:t>65×10</w:t>
      </w:r>
      <w:r>
        <w:rPr>
          <w:color w:val="000000" w:themeColor="text1"/>
          <w:kern w:val="0"/>
          <w:sz w:val="24"/>
          <w:szCs w:val="24"/>
          <w:vertAlign w:val="superscript"/>
          <w:lang w:eastAsia="en-US"/>
        </w:rPr>
        <w:t>8</w:t>
      </w:r>
      <w:r>
        <w:rPr>
          <w:color w:val="000000" w:themeColor="text1"/>
          <w:kern w:val="0"/>
          <w:sz w:val="24"/>
          <w:szCs w:val="24"/>
          <w:lang w:eastAsia="en-US"/>
        </w:rPr>
        <w:t>m</w:t>
      </w:r>
      <w:r>
        <w:rPr>
          <w:color w:val="000000" w:themeColor="text1"/>
          <w:kern w:val="0"/>
          <w:sz w:val="24"/>
          <w:szCs w:val="24"/>
          <w:vertAlign w:val="superscript"/>
          <w:lang w:eastAsia="en-US"/>
        </w:rPr>
        <w:t>3</w:t>
      </w:r>
      <w:r>
        <w:rPr>
          <w:color w:val="000000" w:themeColor="text1"/>
          <w:kern w:val="0"/>
          <w:sz w:val="24"/>
          <w:szCs w:val="24"/>
          <w:lang w:eastAsia="en-US"/>
        </w:rPr>
        <w:t>/a</w:t>
      </w:r>
      <w:r>
        <w:rPr>
          <w:color w:val="000000" w:themeColor="text1"/>
          <w:kern w:val="0"/>
          <w:sz w:val="24"/>
          <w:szCs w:val="24"/>
          <w:lang w:eastAsia="en-US"/>
        </w:rPr>
        <w:t>的集输工程，可满足本次产能接入后整体集气要求。</w:t>
      </w:r>
    </w:p>
    <w:p w14:paraId="13D1A414"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2</w:t>
      </w:r>
      <w:r>
        <w:rPr>
          <w:rFonts w:hint="eastAsia"/>
          <w:color w:val="000000" w:themeColor="text1"/>
          <w:kern w:val="0"/>
          <w:sz w:val="24"/>
          <w:szCs w:val="24"/>
        </w:rPr>
        <w:t>）</w:t>
      </w:r>
      <w:r>
        <w:rPr>
          <w:color w:val="000000" w:themeColor="text1"/>
          <w:kern w:val="0"/>
          <w:sz w:val="24"/>
          <w:szCs w:val="24"/>
          <w:lang w:eastAsia="en-US"/>
        </w:rPr>
        <w:t>脱水站能力校核</w:t>
      </w:r>
    </w:p>
    <w:p w14:paraId="6C9050C8"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一期自然开采、开发调整、增压开采叠加峰值产量在</w:t>
      </w:r>
      <w:r>
        <w:rPr>
          <w:color w:val="000000" w:themeColor="text1"/>
          <w:kern w:val="0"/>
          <w:sz w:val="24"/>
          <w:szCs w:val="24"/>
          <w:lang w:eastAsia="en-US"/>
        </w:rPr>
        <w:t>2023</w:t>
      </w:r>
      <w:r>
        <w:rPr>
          <w:color w:val="000000" w:themeColor="text1"/>
          <w:kern w:val="0"/>
          <w:sz w:val="24"/>
          <w:szCs w:val="24"/>
          <w:lang w:eastAsia="en-US"/>
        </w:rPr>
        <w:t>年达到</w:t>
      </w:r>
      <w:r>
        <w:rPr>
          <w:color w:val="000000" w:themeColor="text1"/>
          <w:kern w:val="0"/>
          <w:sz w:val="24"/>
          <w:szCs w:val="24"/>
          <w:lang w:eastAsia="en-US"/>
        </w:rPr>
        <w:t>64.97×10</w:t>
      </w:r>
      <w:r>
        <w:rPr>
          <w:color w:val="000000" w:themeColor="text1"/>
          <w:kern w:val="0"/>
          <w:sz w:val="24"/>
          <w:szCs w:val="24"/>
          <w:vertAlign w:val="superscript"/>
          <w:lang w:eastAsia="en-US"/>
        </w:rPr>
        <w:t>8</w:t>
      </w:r>
      <w:r>
        <w:rPr>
          <w:color w:val="000000" w:themeColor="text1"/>
          <w:kern w:val="0"/>
          <w:sz w:val="24"/>
          <w:szCs w:val="24"/>
          <w:lang w:eastAsia="en-US"/>
        </w:rPr>
        <w:t>m</w:t>
      </w:r>
      <w:r>
        <w:rPr>
          <w:color w:val="000000" w:themeColor="text1"/>
          <w:kern w:val="0"/>
          <w:sz w:val="24"/>
          <w:szCs w:val="24"/>
          <w:vertAlign w:val="superscript"/>
          <w:lang w:eastAsia="en-US"/>
        </w:rPr>
        <w:t>3</w:t>
      </w:r>
      <w:r>
        <w:rPr>
          <w:color w:val="000000" w:themeColor="text1"/>
          <w:kern w:val="0"/>
          <w:sz w:val="24"/>
          <w:szCs w:val="24"/>
          <w:lang w:eastAsia="en-US"/>
        </w:rPr>
        <w:t>，焦石坝区块一期产建区已建成</w:t>
      </w:r>
      <w:r>
        <w:rPr>
          <w:color w:val="000000" w:themeColor="text1"/>
          <w:kern w:val="0"/>
          <w:sz w:val="24"/>
          <w:szCs w:val="24"/>
          <w:lang w:eastAsia="en-US"/>
        </w:rPr>
        <w:t>65×10</w:t>
      </w:r>
      <w:r>
        <w:rPr>
          <w:color w:val="000000" w:themeColor="text1"/>
          <w:kern w:val="0"/>
          <w:sz w:val="24"/>
          <w:szCs w:val="24"/>
          <w:vertAlign w:val="superscript"/>
          <w:lang w:eastAsia="en-US"/>
        </w:rPr>
        <w:t>8</w:t>
      </w:r>
      <w:r>
        <w:rPr>
          <w:color w:val="000000" w:themeColor="text1"/>
          <w:kern w:val="0"/>
          <w:sz w:val="24"/>
          <w:szCs w:val="24"/>
          <w:lang w:eastAsia="en-US"/>
        </w:rPr>
        <w:t>m</w:t>
      </w:r>
      <w:r>
        <w:rPr>
          <w:color w:val="000000" w:themeColor="text1"/>
          <w:kern w:val="0"/>
          <w:sz w:val="24"/>
          <w:szCs w:val="24"/>
          <w:vertAlign w:val="superscript"/>
          <w:lang w:eastAsia="en-US"/>
        </w:rPr>
        <w:t>3</w:t>
      </w:r>
      <w:r>
        <w:rPr>
          <w:color w:val="000000" w:themeColor="text1"/>
          <w:kern w:val="0"/>
          <w:sz w:val="24"/>
          <w:szCs w:val="24"/>
          <w:lang w:eastAsia="en-US"/>
        </w:rPr>
        <w:t>/a</w:t>
      </w:r>
      <w:r>
        <w:rPr>
          <w:color w:val="000000" w:themeColor="text1"/>
          <w:kern w:val="0"/>
          <w:sz w:val="24"/>
          <w:szCs w:val="24"/>
          <w:lang w:eastAsia="en-US"/>
        </w:rPr>
        <w:t>脱水处理规模（操作弹性</w:t>
      </w:r>
      <w:r>
        <w:rPr>
          <w:color w:val="000000" w:themeColor="text1"/>
          <w:kern w:val="0"/>
          <w:sz w:val="24"/>
          <w:szCs w:val="24"/>
          <w:lang w:eastAsia="en-US"/>
        </w:rPr>
        <w:t>20%</w:t>
      </w:r>
      <w:r>
        <w:rPr>
          <w:color w:val="000000" w:themeColor="text1"/>
          <w:kern w:val="0"/>
          <w:sz w:val="24"/>
          <w:szCs w:val="24"/>
          <w:lang w:eastAsia="en-US"/>
        </w:rPr>
        <w:t>～</w:t>
      </w:r>
      <w:r>
        <w:rPr>
          <w:color w:val="000000" w:themeColor="text1"/>
          <w:kern w:val="0"/>
          <w:sz w:val="24"/>
          <w:szCs w:val="24"/>
          <w:lang w:eastAsia="en-US"/>
        </w:rPr>
        <w:t>110%</w:t>
      </w:r>
      <w:r>
        <w:rPr>
          <w:color w:val="000000" w:themeColor="text1"/>
          <w:kern w:val="0"/>
          <w:sz w:val="24"/>
          <w:szCs w:val="24"/>
          <w:lang w:eastAsia="en-US"/>
        </w:rPr>
        <w:t>），可满足本次产能接入后整体脱水要求。</w:t>
      </w:r>
    </w:p>
    <w:p w14:paraId="7777E75D"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3</w:t>
      </w:r>
      <w:r>
        <w:rPr>
          <w:rFonts w:hint="eastAsia"/>
          <w:color w:val="000000" w:themeColor="text1"/>
          <w:kern w:val="0"/>
          <w:sz w:val="24"/>
          <w:szCs w:val="24"/>
        </w:rPr>
        <w:t>）</w:t>
      </w:r>
      <w:r>
        <w:rPr>
          <w:color w:val="000000" w:themeColor="text1"/>
          <w:kern w:val="0"/>
          <w:sz w:val="24"/>
          <w:szCs w:val="24"/>
          <w:lang w:eastAsia="en-US"/>
        </w:rPr>
        <w:t>电网能力校核</w:t>
      </w:r>
    </w:p>
    <w:p w14:paraId="4DF3CB6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lastRenderedPageBreak/>
        <w:t>涪陵页岩气田江东区块周边电力线路供电能力见表</w:t>
      </w:r>
      <w:r>
        <w:rPr>
          <w:rFonts w:hint="eastAsia"/>
          <w:color w:val="000000" w:themeColor="text1"/>
          <w:kern w:val="0"/>
          <w:sz w:val="24"/>
          <w:szCs w:val="24"/>
        </w:rPr>
        <w:t>2.6-3</w:t>
      </w:r>
      <w:r>
        <w:rPr>
          <w:color w:val="000000" w:themeColor="text1"/>
          <w:kern w:val="0"/>
          <w:sz w:val="24"/>
          <w:szCs w:val="24"/>
          <w:lang w:eastAsia="en-US"/>
        </w:rPr>
        <w:t>。本工程生产期间江东二线新增用电负荷约</w:t>
      </w:r>
      <w:r>
        <w:rPr>
          <w:color w:val="000000" w:themeColor="text1"/>
          <w:kern w:val="0"/>
          <w:sz w:val="24"/>
          <w:szCs w:val="24"/>
          <w:lang w:eastAsia="en-US"/>
        </w:rPr>
        <w:t>4kW</w:t>
      </w:r>
      <w:r>
        <w:rPr>
          <w:color w:val="000000" w:themeColor="text1"/>
          <w:kern w:val="0"/>
          <w:sz w:val="24"/>
          <w:szCs w:val="24"/>
          <w:lang w:eastAsia="en-US"/>
        </w:rPr>
        <w:t>。经校核，剩余负荷能满足平台生产新增负荷要求。</w:t>
      </w:r>
    </w:p>
    <w:p w14:paraId="1CCF088F"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2.6-3 </w:t>
      </w:r>
      <w:r>
        <w:rPr>
          <w:rFonts w:eastAsia="黑体"/>
          <w:color w:val="000000" w:themeColor="text1"/>
          <w:sz w:val="21"/>
          <w:szCs w:val="21"/>
          <w:lang w:eastAsia="en-US"/>
        </w:rPr>
        <w:t>涪陵页岩气田江东区块周边电力线路供电能力表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017"/>
        <w:gridCol w:w="2181"/>
        <w:gridCol w:w="2267"/>
        <w:gridCol w:w="1691"/>
        <w:gridCol w:w="994"/>
      </w:tblGrid>
      <w:tr w:rsidR="002E0859" w14:paraId="79E1CA6A" w14:textId="77777777">
        <w:trPr>
          <w:trHeight w:val="824"/>
        </w:trPr>
        <w:tc>
          <w:tcPr>
            <w:tcW w:w="1102" w:type="pct"/>
            <w:tcBorders>
              <w:tl2br w:val="nil"/>
              <w:tr2bl w:val="nil"/>
            </w:tcBorders>
            <w:vAlign w:val="center"/>
          </w:tcPr>
          <w:p w14:paraId="4D881D21"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线路名称</w:t>
            </w:r>
          </w:p>
        </w:tc>
        <w:tc>
          <w:tcPr>
            <w:tcW w:w="1191" w:type="pct"/>
            <w:tcBorders>
              <w:tl2br w:val="nil"/>
              <w:tr2bl w:val="nil"/>
            </w:tcBorders>
            <w:vAlign w:val="center"/>
          </w:tcPr>
          <w:p w14:paraId="79D26A41"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线路能带最大负荷</w:t>
            </w:r>
          </w:p>
          <w:p w14:paraId="184335B4"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(kW)</w:t>
            </w:r>
          </w:p>
        </w:tc>
        <w:tc>
          <w:tcPr>
            <w:tcW w:w="1238" w:type="pct"/>
            <w:tcBorders>
              <w:tl2br w:val="nil"/>
              <w:tr2bl w:val="nil"/>
            </w:tcBorders>
            <w:vAlign w:val="center"/>
          </w:tcPr>
          <w:p w14:paraId="656FF80E"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线路所带负荷</w:t>
            </w:r>
          </w:p>
          <w:p w14:paraId="138C1DBC"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w:t>
            </w:r>
            <w:r>
              <w:rPr>
                <w:color w:val="000000" w:themeColor="text1"/>
                <w:kern w:val="0"/>
                <w:sz w:val="21"/>
                <w:szCs w:val="21"/>
                <w:lang w:eastAsia="en-US"/>
              </w:rPr>
              <w:t>含增压</w:t>
            </w:r>
            <w:r>
              <w:rPr>
                <w:color w:val="000000" w:themeColor="text1"/>
                <w:kern w:val="0"/>
                <w:sz w:val="21"/>
                <w:szCs w:val="21"/>
                <w:lang w:eastAsia="en-US"/>
              </w:rPr>
              <w:t>)(kW)</w:t>
            </w:r>
          </w:p>
        </w:tc>
        <w:tc>
          <w:tcPr>
            <w:tcW w:w="923" w:type="pct"/>
            <w:tcBorders>
              <w:tl2br w:val="nil"/>
              <w:tr2bl w:val="nil"/>
            </w:tcBorders>
            <w:vAlign w:val="center"/>
          </w:tcPr>
          <w:p w14:paraId="015D7750"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线路能力余量</w:t>
            </w:r>
          </w:p>
          <w:p w14:paraId="79B6EC82"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(kW)</w:t>
            </w:r>
          </w:p>
        </w:tc>
        <w:tc>
          <w:tcPr>
            <w:tcW w:w="543" w:type="pct"/>
            <w:tcBorders>
              <w:tl2br w:val="nil"/>
              <w:tr2bl w:val="nil"/>
            </w:tcBorders>
            <w:vAlign w:val="center"/>
          </w:tcPr>
          <w:p w14:paraId="799C3D1F" w14:textId="77777777" w:rsidR="002E0859" w:rsidRDefault="00000000">
            <w:pPr>
              <w:spacing w:line="240" w:lineRule="auto"/>
              <w:ind w:firstLineChars="0" w:firstLine="0"/>
              <w:jc w:val="center"/>
              <w:rPr>
                <w:color w:val="000000" w:themeColor="text1"/>
                <w:kern w:val="0"/>
                <w:sz w:val="21"/>
                <w:szCs w:val="21"/>
                <w:lang w:eastAsia="en-US"/>
              </w:rPr>
            </w:pPr>
            <w:r>
              <w:rPr>
                <w:color w:val="000000" w:themeColor="text1"/>
                <w:kern w:val="0"/>
                <w:sz w:val="21"/>
                <w:szCs w:val="21"/>
                <w:lang w:eastAsia="en-US"/>
              </w:rPr>
              <w:t>备注</w:t>
            </w:r>
          </w:p>
        </w:tc>
      </w:tr>
      <w:tr w:rsidR="002E0859" w14:paraId="7B1A73CC" w14:textId="77777777">
        <w:trPr>
          <w:trHeight w:val="416"/>
        </w:trPr>
        <w:tc>
          <w:tcPr>
            <w:tcW w:w="1102" w:type="pct"/>
            <w:tcBorders>
              <w:tl2br w:val="nil"/>
              <w:tr2bl w:val="nil"/>
            </w:tcBorders>
            <w:vAlign w:val="center"/>
          </w:tcPr>
          <w:p w14:paraId="661F43F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江东二线</w:t>
            </w:r>
          </w:p>
        </w:tc>
        <w:tc>
          <w:tcPr>
            <w:tcW w:w="1191" w:type="pct"/>
            <w:tcBorders>
              <w:tl2br w:val="nil"/>
              <w:tr2bl w:val="nil"/>
            </w:tcBorders>
            <w:vAlign w:val="center"/>
          </w:tcPr>
          <w:p w14:paraId="587F0D2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6000</w:t>
            </w:r>
          </w:p>
        </w:tc>
        <w:tc>
          <w:tcPr>
            <w:tcW w:w="1238" w:type="pct"/>
            <w:tcBorders>
              <w:tl2br w:val="nil"/>
              <w:tr2bl w:val="nil"/>
            </w:tcBorders>
            <w:vAlign w:val="center"/>
          </w:tcPr>
          <w:p w14:paraId="1D289AB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3900</w:t>
            </w:r>
          </w:p>
        </w:tc>
        <w:tc>
          <w:tcPr>
            <w:tcW w:w="923" w:type="pct"/>
            <w:tcBorders>
              <w:tl2br w:val="nil"/>
              <w:tr2bl w:val="nil"/>
            </w:tcBorders>
            <w:vAlign w:val="center"/>
          </w:tcPr>
          <w:p w14:paraId="39C50B0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2100</w:t>
            </w:r>
          </w:p>
        </w:tc>
        <w:tc>
          <w:tcPr>
            <w:tcW w:w="543" w:type="pct"/>
            <w:tcBorders>
              <w:tl2br w:val="nil"/>
              <w:tr2bl w:val="nil"/>
            </w:tcBorders>
            <w:vAlign w:val="center"/>
          </w:tcPr>
          <w:p w14:paraId="574487C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40D95F62" w14:textId="77777777" w:rsidR="002E0859" w:rsidRDefault="00000000">
      <w:pPr>
        <w:spacing w:beforeLines="50" w:before="120" w:line="360" w:lineRule="auto"/>
        <w:ind w:firstLine="480"/>
        <w:rPr>
          <w:color w:val="000000" w:themeColor="text1"/>
          <w:kern w:val="0"/>
          <w:sz w:val="24"/>
          <w:szCs w:val="24"/>
          <w:lang w:eastAsia="en-US"/>
        </w:rPr>
      </w:pPr>
      <w:r>
        <w:rPr>
          <w:color w:val="000000" w:themeColor="text1"/>
          <w:kern w:val="0"/>
          <w:sz w:val="24"/>
          <w:szCs w:val="24"/>
          <w:lang w:eastAsia="en-US"/>
        </w:rPr>
        <w:t>4)</w:t>
      </w:r>
      <w:r>
        <w:rPr>
          <w:color w:val="000000" w:themeColor="text1"/>
          <w:kern w:val="0"/>
          <w:sz w:val="24"/>
          <w:szCs w:val="24"/>
          <w:lang w:eastAsia="en-US"/>
        </w:rPr>
        <w:t>通讯线路、道路、采气管理区</w:t>
      </w:r>
    </w:p>
    <w:p w14:paraId="6E2CF942"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本次开发调整可依托江东区块一期产能建设已建</w:t>
      </w:r>
      <w:r>
        <w:rPr>
          <w:color w:val="000000" w:themeColor="text1"/>
          <w:kern w:val="0"/>
          <w:sz w:val="24"/>
          <w:szCs w:val="24"/>
          <w:lang w:eastAsia="en-US"/>
        </w:rPr>
        <w:t>48</w:t>
      </w:r>
      <w:r>
        <w:rPr>
          <w:color w:val="000000" w:themeColor="text1"/>
          <w:kern w:val="0"/>
          <w:sz w:val="24"/>
          <w:szCs w:val="24"/>
          <w:lang w:eastAsia="en-US"/>
        </w:rPr>
        <w:t>芯通信环网、道路、采气管理一区和应急救援中心。</w:t>
      </w:r>
    </w:p>
    <w:p w14:paraId="4E633DD4"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综上，焦页</w:t>
      </w:r>
      <w:r>
        <w:rPr>
          <w:color w:val="000000" w:themeColor="text1"/>
          <w:kern w:val="0"/>
          <w:sz w:val="24"/>
          <w:szCs w:val="24"/>
          <w:lang w:eastAsia="en-US"/>
        </w:rPr>
        <w:t>90</w:t>
      </w:r>
      <w:r>
        <w:rPr>
          <w:color w:val="000000" w:themeColor="text1"/>
          <w:kern w:val="0"/>
          <w:sz w:val="24"/>
          <w:szCs w:val="24"/>
          <w:lang w:eastAsia="en-US"/>
        </w:rPr>
        <w:t>号评价井组</w:t>
      </w:r>
      <w:r>
        <w:rPr>
          <w:color w:val="000000" w:themeColor="text1"/>
          <w:kern w:val="0"/>
          <w:sz w:val="24"/>
          <w:szCs w:val="24"/>
          <w:lang w:eastAsia="en-US"/>
        </w:rPr>
        <w:t>1</w:t>
      </w:r>
      <w:r>
        <w:rPr>
          <w:color w:val="000000" w:themeColor="text1"/>
          <w:kern w:val="0"/>
          <w:sz w:val="24"/>
          <w:szCs w:val="24"/>
          <w:lang w:eastAsia="en-US"/>
        </w:rPr>
        <w:t>个扩建平台可以依托现有的集气管线、供水干线、脱水站、</w:t>
      </w:r>
      <w:r>
        <w:rPr>
          <w:color w:val="000000" w:themeColor="text1"/>
          <w:kern w:val="0"/>
          <w:sz w:val="24"/>
          <w:szCs w:val="24"/>
          <w:lang w:eastAsia="en-US"/>
        </w:rPr>
        <w:t>10kV</w:t>
      </w:r>
      <w:r>
        <w:rPr>
          <w:color w:val="000000" w:themeColor="text1"/>
          <w:kern w:val="0"/>
          <w:sz w:val="24"/>
          <w:szCs w:val="24"/>
          <w:lang w:eastAsia="en-US"/>
        </w:rPr>
        <w:t>供电线路、通讯线路、道路、采气管理一区、应急救援中心等设施，焦页</w:t>
      </w:r>
      <w:r>
        <w:rPr>
          <w:color w:val="000000" w:themeColor="text1"/>
          <w:kern w:val="0"/>
          <w:sz w:val="24"/>
          <w:szCs w:val="24"/>
          <w:lang w:eastAsia="en-US"/>
        </w:rPr>
        <w:t>90</w:t>
      </w:r>
      <w:r>
        <w:rPr>
          <w:color w:val="000000" w:themeColor="text1"/>
          <w:kern w:val="0"/>
          <w:sz w:val="24"/>
          <w:szCs w:val="24"/>
          <w:lang w:eastAsia="en-US"/>
        </w:rPr>
        <w:t>号评价井组可依托性统计见表</w:t>
      </w:r>
      <w:r>
        <w:rPr>
          <w:rFonts w:hint="eastAsia"/>
          <w:color w:val="000000" w:themeColor="text1"/>
          <w:kern w:val="0"/>
          <w:sz w:val="24"/>
          <w:szCs w:val="24"/>
        </w:rPr>
        <w:t>2.6-4</w:t>
      </w:r>
      <w:r>
        <w:rPr>
          <w:color w:val="000000" w:themeColor="text1"/>
          <w:kern w:val="0"/>
          <w:sz w:val="24"/>
          <w:szCs w:val="24"/>
          <w:lang w:eastAsia="en-US"/>
        </w:rPr>
        <w:t>。</w:t>
      </w:r>
    </w:p>
    <w:p w14:paraId="5047DABC"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2.6-</w:t>
      </w:r>
      <w:r>
        <w:rPr>
          <w:rFonts w:eastAsia="黑体"/>
          <w:color w:val="000000" w:themeColor="text1"/>
          <w:sz w:val="21"/>
          <w:szCs w:val="21"/>
          <w:lang w:eastAsia="en-US"/>
        </w:rPr>
        <w:t>4</w:t>
      </w:r>
      <w:r>
        <w:rPr>
          <w:rFonts w:eastAsia="黑体" w:hint="eastAsia"/>
          <w:color w:val="000000" w:themeColor="text1"/>
          <w:sz w:val="21"/>
          <w:szCs w:val="21"/>
        </w:rPr>
        <w:t xml:space="preserve"> </w:t>
      </w:r>
      <w:r>
        <w:rPr>
          <w:rFonts w:eastAsia="黑体"/>
          <w:color w:val="000000" w:themeColor="text1"/>
          <w:sz w:val="21"/>
          <w:szCs w:val="21"/>
          <w:lang w:eastAsia="en-US"/>
        </w:rPr>
        <w:t>焦页</w:t>
      </w:r>
      <w:r>
        <w:rPr>
          <w:rFonts w:eastAsia="黑体"/>
          <w:color w:val="000000" w:themeColor="text1"/>
          <w:sz w:val="21"/>
          <w:szCs w:val="21"/>
          <w:lang w:eastAsia="en-US"/>
        </w:rPr>
        <w:t>90</w:t>
      </w:r>
      <w:r>
        <w:rPr>
          <w:rFonts w:eastAsia="黑体"/>
          <w:color w:val="000000" w:themeColor="text1"/>
          <w:sz w:val="21"/>
          <w:szCs w:val="21"/>
          <w:lang w:eastAsia="en-US"/>
        </w:rPr>
        <w:t>号评价井组可依托性统计表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3831"/>
        <w:gridCol w:w="2891"/>
        <w:gridCol w:w="2428"/>
      </w:tblGrid>
      <w:tr w:rsidR="002E0859" w14:paraId="038E765A" w14:textId="77777777">
        <w:trPr>
          <w:trHeight w:val="23"/>
        </w:trPr>
        <w:tc>
          <w:tcPr>
            <w:tcW w:w="2093" w:type="pct"/>
            <w:tcBorders>
              <w:tl2br w:val="nil"/>
              <w:tr2bl w:val="nil"/>
            </w:tcBorders>
            <w:vAlign w:val="center"/>
          </w:tcPr>
          <w:p w14:paraId="6F9F4DA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项目</w:t>
            </w:r>
          </w:p>
        </w:tc>
        <w:tc>
          <w:tcPr>
            <w:tcW w:w="1579" w:type="pct"/>
            <w:tcBorders>
              <w:tl2br w:val="nil"/>
              <w:tr2bl w:val="nil"/>
            </w:tcBorders>
            <w:vAlign w:val="center"/>
          </w:tcPr>
          <w:p w14:paraId="4D72634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规模</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能力</w:t>
            </w:r>
          </w:p>
        </w:tc>
        <w:tc>
          <w:tcPr>
            <w:tcW w:w="1326" w:type="pct"/>
            <w:tcBorders>
              <w:tl2br w:val="nil"/>
              <w:tr2bl w:val="nil"/>
            </w:tcBorders>
            <w:vAlign w:val="center"/>
          </w:tcPr>
          <w:p w14:paraId="38572E0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可依托性</w:t>
            </w:r>
          </w:p>
        </w:tc>
      </w:tr>
      <w:tr w:rsidR="002E0859" w14:paraId="3FCBB51D" w14:textId="77777777">
        <w:trPr>
          <w:trHeight w:val="23"/>
        </w:trPr>
        <w:tc>
          <w:tcPr>
            <w:tcW w:w="2093" w:type="pct"/>
            <w:tcBorders>
              <w:tl2br w:val="nil"/>
              <w:tr2bl w:val="nil"/>
            </w:tcBorders>
            <w:vAlign w:val="center"/>
          </w:tcPr>
          <w:p w14:paraId="0B5F151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集气</w:t>
            </w:r>
          </w:p>
        </w:tc>
        <w:tc>
          <w:tcPr>
            <w:tcW w:w="1579" w:type="pct"/>
            <w:tcBorders>
              <w:tl2br w:val="nil"/>
              <w:tr2bl w:val="nil"/>
            </w:tcBorders>
            <w:vAlign w:val="center"/>
          </w:tcPr>
          <w:p w14:paraId="59B7F3C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65×10</w:t>
            </w:r>
            <w:r>
              <w:rPr>
                <w:rFonts w:hint="eastAsia"/>
                <w:snapToGrid w:val="0"/>
                <w:color w:val="000000" w:themeColor="text1"/>
                <w:spacing w:val="-1"/>
                <w:kern w:val="0"/>
                <w:sz w:val="21"/>
                <w:szCs w:val="21"/>
                <w:vertAlign w:val="superscript"/>
              </w:rPr>
              <w:t>8</w:t>
            </w:r>
            <w:r>
              <w:rPr>
                <w:snapToGrid w:val="0"/>
                <w:color w:val="000000" w:themeColor="text1"/>
                <w:spacing w:val="-1"/>
                <w:kern w:val="0"/>
                <w:sz w:val="21"/>
                <w:szCs w:val="21"/>
                <w:lang w:eastAsia="en-US"/>
              </w:rPr>
              <w:t>m</w:t>
            </w:r>
            <w:r>
              <w:rPr>
                <w:rFonts w:hint="eastAsia"/>
                <w:snapToGrid w:val="0"/>
                <w:color w:val="000000" w:themeColor="text1"/>
                <w:spacing w:val="-1"/>
                <w:kern w:val="0"/>
                <w:sz w:val="21"/>
                <w:szCs w:val="21"/>
                <w:vertAlign w:val="superscript"/>
              </w:rPr>
              <w:t>3</w:t>
            </w:r>
            <w:r>
              <w:rPr>
                <w:snapToGrid w:val="0"/>
                <w:color w:val="000000" w:themeColor="text1"/>
                <w:spacing w:val="-1"/>
                <w:kern w:val="0"/>
                <w:sz w:val="21"/>
                <w:szCs w:val="21"/>
                <w:lang w:eastAsia="en-US"/>
              </w:rPr>
              <w:t>/a</w:t>
            </w:r>
          </w:p>
        </w:tc>
        <w:tc>
          <w:tcPr>
            <w:tcW w:w="1326" w:type="pct"/>
            <w:tcBorders>
              <w:tl2br w:val="nil"/>
              <w:tr2bl w:val="nil"/>
            </w:tcBorders>
            <w:vAlign w:val="center"/>
          </w:tcPr>
          <w:p w14:paraId="010F375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21D35937" w14:textId="77777777">
        <w:trPr>
          <w:trHeight w:val="23"/>
        </w:trPr>
        <w:tc>
          <w:tcPr>
            <w:tcW w:w="2093" w:type="pct"/>
            <w:tcBorders>
              <w:tl2br w:val="nil"/>
              <w:tr2bl w:val="nil"/>
            </w:tcBorders>
            <w:vAlign w:val="center"/>
          </w:tcPr>
          <w:p w14:paraId="04EFFA9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脱水</w:t>
            </w:r>
          </w:p>
        </w:tc>
        <w:tc>
          <w:tcPr>
            <w:tcW w:w="1579" w:type="pct"/>
            <w:tcBorders>
              <w:tl2br w:val="nil"/>
              <w:tr2bl w:val="nil"/>
            </w:tcBorders>
            <w:vAlign w:val="center"/>
          </w:tcPr>
          <w:p w14:paraId="056C7A9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65×10</w:t>
            </w:r>
            <w:r>
              <w:rPr>
                <w:rFonts w:hint="eastAsia"/>
                <w:snapToGrid w:val="0"/>
                <w:color w:val="000000" w:themeColor="text1"/>
                <w:spacing w:val="-1"/>
                <w:kern w:val="0"/>
                <w:sz w:val="21"/>
                <w:szCs w:val="21"/>
                <w:vertAlign w:val="superscript"/>
              </w:rPr>
              <w:t>8</w:t>
            </w:r>
            <w:r>
              <w:rPr>
                <w:snapToGrid w:val="0"/>
                <w:color w:val="000000" w:themeColor="text1"/>
                <w:spacing w:val="-1"/>
                <w:kern w:val="0"/>
                <w:sz w:val="21"/>
                <w:szCs w:val="21"/>
                <w:lang w:eastAsia="en-US"/>
              </w:rPr>
              <w:t>m</w:t>
            </w:r>
            <w:r>
              <w:rPr>
                <w:rFonts w:hint="eastAsia"/>
                <w:snapToGrid w:val="0"/>
                <w:color w:val="000000" w:themeColor="text1"/>
                <w:spacing w:val="-1"/>
                <w:kern w:val="0"/>
                <w:sz w:val="21"/>
                <w:szCs w:val="21"/>
                <w:vertAlign w:val="superscript"/>
              </w:rPr>
              <w:t>3</w:t>
            </w:r>
            <w:r>
              <w:rPr>
                <w:snapToGrid w:val="0"/>
                <w:color w:val="000000" w:themeColor="text1"/>
                <w:spacing w:val="-1"/>
                <w:kern w:val="0"/>
                <w:sz w:val="21"/>
                <w:szCs w:val="21"/>
                <w:lang w:eastAsia="en-US"/>
              </w:rPr>
              <w:t>/a</w:t>
            </w:r>
          </w:p>
        </w:tc>
        <w:tc>
          <w:tcPr>
            <w:tcW w:w="1326" w:type="pct"/>
            <w:tcBorders>
              <w:tl2br w:val="nil"/>
              <w:tr2bl w:val="nil"/>
            </w:tcBorders>
            <w:vAlign w:val="center"/>
          </w:tcPr>
          <w:p w14:paraId="2DA804F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13017489" w14:textId="77777777">
        <w:trPr>
          <w:trHeight w:val="23"/>
        </w:trPr>
        <w:tc>
          <w:tcPr>
            <w:tcW w:w="2093" w:type="pct"/>
            <w:tcBorders>
              <w:tl2br w:val="nil"/>
              <w:tr2bl w:val="nil"/>
            </w:tcBorders>
            <w:vAlign w:val="center"/>
          </w:tcPr>
          <w:p w14:paraId="4412528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外输</w:t>
            </w:r>
          </w:p>
        </w:tc>
        <w:tc>
          <w:tcPr>
            <w:tcW w:w="1579" w:type="pct"/>
            <w:tcBorders>
              <w:tl2br w:val="nil"/>
              <w:tr2bl w:val="nil"/>
            </w:tcBorders>
            <w:vAlign w:val="center"/>
          </w:tcPr>
          <w:p w14:paraId="0DF4935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120×</w:t>
            </w:r>
            <w:r>
              <w:rPr>
                <w:snapToGrid w:val="0"/>
                <w:color w:val="000000" w:themeColor="text1"/>
                <w:spacing w:val="-1"/>
                <w:kern w:val="0"/>
                <w:sz w:val="21"/>
                <w:szCs w:val="21"/>
                <w:lang w:eastAsia="en-US"/>
              </w:rPr>
              <w:t>10</w:t>
            </w:r>
            <w:r>
              <w:rPr>
                <w:rFonts w:hint="eastAsia"/>
                <w:snapToGrid w:val="0"/>
                <w:color w:val="000000" w:themeColor="text1"/>
                <w:spacing w:val="-1"/>
                <w:kern w:val="0"/>
                <w:sz w:val="21"/>
                <w:szCs w:val="21"/>
                <w:vertAlign w:val="superscript"/>
              </w:rPr>
              <w:t>8</w:t>
            </w:r>
            <w:r>
              <w:rPr>
                <w:snapToGrid w:val="0"/>
                <w:color w:val="000000" w:themeColor="text1"/>
                <w:spacing w:val="-1"/>
                <w:kern w:val="0"/>
                <w:sz w:val="21"/>
                <w:szCs w:val="21"/>
                <w:lang w:eastAsia="en-US"/>
              </w:rPr>
              <w:t>m</w:t>
            </w:r>
            <w:r>
              <w:rPr>
                <w:rFonts w:hint="eastAsia"/>
                <w:snapToGrid w:val="0"/>
                <w:color w:val="000000" w:themeColor="text1"/>
                <w:spacing w:val="-1"/>
                <w:kern w:val="0"/>
                <w:sz w:val="21"/>
                <w:szCs w:val="21"/>
                <w:vertAlign w:val="superscript"/>
              </w:rPr>
              <w:t>3</w:t>
            </w:r>
            <w:r>
              <w:rPr>
                <w:snapToGrid w:val="0"/>
                <w:color w:val="000000" w:themeColor="text1"/>
                <w:spacing w:val="-1"/>
                <w:kern w:val="0"/>
                <w:sz w:val="21"/>
                <w:szCs w:val="21"/>
                <w:lang w:eastAsia="en-US"/>
              </w:rPr>
              <w:t>/a</w:t>
            </w:r>
          </w:p>
        </w:tc>
        <w:tc>
          <w:tcPr>
            <w:tcW w:w="1326" w:type="pct"/>
            <w:tcBorders>
              <w:tl2br w:val="nil"/>
              <w:tr2bl w:val="nil"/>
            </w:tcBorders>
            <w:vAlign w:val="center"/>
          </w:tcPr>
          <w:p w14:paraId="7AC5D82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42D620E7" w14:textId="77777777">
        <w:trPr>
          <w:trHeight w:val="23"/>
        </w:trPr>
        <w:tc>
          <w:tcPr>
            <w:tcW w:w="2093" w:type="pct"/>
            <w:tcBorders>
              <w:tl2br w:val="nil"/>
              <w:tr2bl w:val="nil"/>
            </w:tcBorders>
            <w:vAlign w:val="center"/>
          </w:tcPr>
          <w:p w14:paraId="39E059B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压裂供水</w:t>
            </w:r>
          </w:p>
        </w:tc>
        <w:tc>
          <w:tcPr>
            <w:tcW w:w="1579" w:type="pct"/>
            <w:tcBorders>
              <w:tl2br w:val="nil"/>
              <w:tr2bl w:val="nil"/>
            </w:tcBorders>
            <w:vAlign w:val="center"/>
          </w:tcPr>
          <w:p w14:paraId="6EDE0F2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rPr>
            </w:pPr>
            <w:r>
              <w:rPr>
                <w:snapToGrid w:val="0"/>
                <w:color w:val="000000" w:themeColor="text1"/>
                <w:spacing w:val="-2"/>
                <w:kern w:val="0"/>
                <w:position w:val="-1"/>
                <w:sz w:val="21"/>
                <w:szCs w:val="21"/>
                <w:lang w:eastAsia="en-US"/>
              </w:rPr>
              <w:t>35000m</w:t>
            </w:r>
            <w:r>
              <w:rPr>
                <w:rFonts w:hint="eastAsia"/>
                <w:snapToGrid w:val="0"/>
                <w:color w:val="000000" w:themeColor="text1"/>
                <w:spacing w:val="-2"/>
                <w:kern w:val="0"/>
                <w:position w:val="-1"/>
                <w:sz w:val="21"/>
                <w:szCs w:val="21"/>
                <w:vertAlign w:val="superscript"/>
              </w:rPr>
              <w:t>3</w:t>
            </w:r>
          </w:p>
        </w:tc>
        <w:tc>
          <w:tcPr>
            <w:tcW w:w="1326" w:type="pct"/>
            <w:tcBorders>
              <w:tl2br w:val="nil"/>
              <w:tr2bl w:val="nil"/>
            </w:tcBorders>
            <w:vAlign w:val="center"/>
          </w:tcPr>
          <w:p w14:paraId="57F73C6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615549A2" w14:textId="77777777">
        <w:trPr>
          <w:trHeight w:val="23"/>
        </w:trPr>
        <w:tc>
          <w:tcPr>
            <w:tcW w:w="2093" w:type="pct"/>
            <w:tcBorders>
              <w:tl2br w:val="nil"/>
              <w:tr2bl w:val="nil"/>
            </w:tcBorders>
            <w:vAlign w:val="center"/>
          </w:tcPr>
          <w:p w14:paraId="2BB908B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供电</w:t>
            </w:r>
          </w:p>
        </w:tc>
        <w:tc>
          <w:tcPr>
            <w:tcW w:w="1579" w:type="pct"/>
            <w:tcBorders>
              <w:tl2br w:val="nil"/>
              <w:tr2bl w:val="nil"/>
            </w:tcBorders>
            <w:vAlign w:val="center"/>
          </w:tcPr>
          <w:p w14:paraId="748F792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20+20MVA</w:t>
            </w:r>
          </w:p>
        </w:tc>
        <w:tc>
          <w:tcPr>
            <w:tcW w:w="1326" w:type="pct"/>
            <w:tcBorders>
              <w:tl2br w:val="nil"/>
              <w:tr2bl w:val="nil"/>
            </w:tcBorders>
            <w:vAlign w:val="center"/>
          </w:tcPr>
          <w:p w14:paraId="3F274A2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122538C7" w14:textId="77777777">
        <w:trPr>
          <w:trHeight w:val="23"/>
        </w:trPr>
        <w:tc>
          <w:tcPr>
            <w:tcW w:w="2093" w:type="pct"/>
            <w:tcBorders>
              <w:tl2br w:val="nil"/>
              <w:tr2bl w:val="nil"/>
            </w:tcBorders>
            <w:vAlign w:val="center"/>
          </w:tcPr>
          <w:p w14:paraId="1FF6A8E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通信</w:t>
            </w:r>
          </w:p>
        </w:tc>
        <w:tc>
          <w:tcPr>
            <w:tcW w:w="1579" w:type="pct"/>
            <w:tcBorders>
              <w:tl2br w:val="nil"/>
              <w:tr2bl w:val="nil"/>
            </w:tcBorders>
            <w:vAlign w:val="center"/>
          </w:tcPr>
          <w:p w14:paraId="54BAE36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48</w:t>
            </w:r>
            <w:r>
              <w:rPr>
                <w:snapToGrid w:val="0"/>
                <w:color w:val="000000" w:themeColor="text1"/>
                <w:spacing w:val="-4"/>
                <w:kern w:val="0"/>
                <w:sz w:val="21"/>
                <w:szCs w:val="21"/>
                <w:lang w:eastAsia="en-US"/>
              </w:rPr>
              <w:t>芯环网</w:t>
            </w:r>
          </w:p>
        </w:tc>
        <w:tc>
          <w:tcPr>
            <w:tcW w:w="1326" w:type="pct"/>
            <w:tcBorders>
              <w:tl2br w:val="nil"/>
              <w:tr2bl w:val="nil"/>
            </w:tcBorders>
            <w:vAlign w:val="center"/>
          </w:tcPr>
          <w:p w14:paraId="20B31B2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636F6F9E" w14:textId="77777777">
        <w:trPr>
          <w:trHeight w:val="23"/>
        </w:trPr>
        <w:tc>
          <w:tcPr>
            <w:tcW w:w="2093" w:type="pct"/>
            <w:tcBorders>
              <w:tl2br w:val="nil"/>
              <w:tr2bl w:val="nil"/>
            </w:tcBorders>
            <w:vAlign w:val="center"/>
          </w:tcPr>
          <w:p w14:paraId="38FFF81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道路</w:t>
            </w:r>
          </w:p>
        </w:tc>
        <w:tc>
          <w:tcPr>
            <w:tcW w:w="1579" w:type="pct"/>
            <w:tcBorders>
              <w:tl2br w:val="nil"/>
              <w:tr2bl w:val="nil"/>
            </w:tcBorders>
            <w:vAlign w:val="center"/>
          </w:tcPr>
          <w:p w14:paraId="4EDC92D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主干路</w:t>
            </w:r>
            <w:r>
              <w:rPr>
                <w:snapToGrid w:val="0"/>
                <w:color w:val="000000" w:themeColor="text1"/>
                <w:spacing w:val="-3"/>
                <w:kern w:val="0"/>
                <w:sz w:val="21"/>
                <w:szCs w:val="21"/>
                <w:lang w:eastAsia="en-US"/>
              </w:rPr>
              <w:t>44km</w:t>
            </w:r>
          </w:p>
        </w:tc>
        <w:tc>
          <w:tcPr>
            <w:tcW w:w="1326" w:type="pct"/>
            <w:tcBorders>
              <w:tl2br w:val="nil"/>
              <w:tr2bl w:val="nil"/>
            </w:tcBorders>
            <w:vAlign w:val="center"/>
          </w:tcPr>
          <w:p w14:paraId="7EFA4D2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0C905FBB" w14:textId="77777777">
        <w:trPr>
          <w:trHeight w:val="23"/>
        </w:trPr>
        <w:tc>
          <w:tcPr>
            <w:tcW w:w="2093" w:type="pct"/>
            <w:tcBorders>
              <w:tl2br w:val="nil"/>
              <w:tr2bl w:val="nil"/>
            </w:tcBorders>
            <w:vAlign w:val="center"/>
          </w:tcPr>
          <w:p w14:paraId="4519EA1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生产管理、维修</w:t>
            </w:r>
          </w:p>
        </w:tc>
        <w:tc>
          <w:tcPr>
            <w:tcW w:w="1579" w:type="pct"/>
            <w:tcBorders>
              <w:tl2br w:val="nil"/>
              <w:tr2bl w:val="nil"/>
            </w:tcBorders>
            <w:vAlign w:val="center"/>
          </w:tcPr>
          <w:p w14:paraId="0E378C6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position w:val="14"/>
                <w:sz w:val="21"/>
                <w:szCs w:val="21"/>
                <w:lang w:eastAsia="en-US"/>
              </w:rPr>
              <w:t>采气管理</w:t>
            </w:r>
            <w:r>
              <w:rPr>
                <w:rFonts w:hint="eastAsia"/>
                <w:snapToGrid w:val="0"/>
                <w:color w:val="000000" w:themeColor="text1"/>
                <w:spacing w:val="-1"/>
                <w:kern w:val="0"/>
                <w:position w:val="14"/>
                <w:sz w:val="21"/>
                <w:szCs w:val="21"/>
              </w:rPr>
              <w:t>三</w:t>
            </w:r>
            <w:r>
              <w:rPr>
                <w:snapToGrid w:val="0"/>
                <w:color w:val="000000" w:themeColor="text1"/>
                <w:spacing w:val="-1"/>
                <w:kern w:val="0"/>
                <w:position w:val="14"/>
                <w:sz w:val="21"/>
                <w:szCs w:val="21"/>
                <w:lang w:eastAsia="en-US"/>
              </w:rPr>
              <w:t>区基地和应急救</w:t>
            </w:r>
          </w:p>
          <w:p w14:paraId="0412A09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援中心</w:t>
            </w:r>
          </w:p>
        </w:tc>
        <w:tc>
          <w:tcPr>
            <w:tcW w:w="1326" w:type="pct"/>
            <w:tcBorders>
              <w:tl2br w:val="nil"/>
              <w:tr2bl w:val="nil"/>
            </w:tcBorders>
            <w:vAlign w:val="center"/>
          </w:tcPr>
          <w:p w14:paraId="59A791C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bl>
    <w:p w14:paraId="19B533A5"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井场布置及工艺设备</w:t>
      </w:r>
    </w:p>
    <w:p w14:paraId="578B08F2"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平面布置</w:t>
      </w:r>
    </w:p>
    <w:p w14:paraId="0BE31B1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293C9EE"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工艺流程及工艺参数</w:t>
      </w:r>
    </w:p>
    <w:p w14:paraId="1AB6714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64236A28"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主要设备设施</w:t>
      </w:r>
    </w:p>
    <w:p w14:paraId="3DAC6C6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1AC88105"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集输管道</w:t>
      </w:r>
    </w:p>
    <w:p w14:paraId="190A541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3C49B853"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主要工程量</w:t>
      </w:r>
    </w:p>
    <w:p w14:paraId="73310F2E" w14:textId="77777777" w:rsidR="002E0859" w:rsidRDefault="00000000">
      <w:pPr>
        <w:pStyle w:val="a0"/>
        <w:spacing w:line="360" w:lineRule="auto"/>
        <w:ind w:firstLine="480"/>
        <w:rPr>
          <w:color w:val="000000" w:themeColor="text1"/>
          <w:sz w:val="24"/>
          <w:szCs w:val="24"/>
        </w:rPr>
      </w:pPr>
      <w:bookmarkStart w:id="30" w:name="_Toc28911"/>
      <w:r>
        <w:rPr>
          <w:rFonts w:hint="eastAsia"/>
          <w:color w:val="000000" w:themeColor="text1"/>
          <w:sz w:val="24"/>
          <w:szCs w:val="24"/>
        </w:rPr>
        <w:lastRenderedPageBreak/>
        <w:t>涉及企业机密，不予公开。</w:t>
      </w:r>
    </w:p>
    <w:p w14:paraId="3C205F68" w14:textId="77777777" w:rsidR="002E0859" w:rsidRDefault="00000000">
      <w:pPr>
        <w:pStyle w:val="2"/>
        <w:keepNext w:val="0"/>
        <w:keepLines w:val="0"/>
        <w:spacing w:before="120" w:after="120" w:line="360" w:lineRule="auto"/>
        <w:jc w:val="center"/>
        <w:rPr>
          <w:color w:val="000000" w:themeColor="text1"/>
        </w:rPr>
      </w:pPr>
      <w:r>
        <w:rPr>
          <w:rFonts w:hint="eastAsia"/>
          <w:color w:val="000000" w:themeColor="text1"/>
        </w:rPr>
        <w:t>采出水处理</w:t>
      </w:r>
      <w:bookmarkEnd w:id="30"/>
    </w:p>
    <w:p w14:paraId="40F8F0D2"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采出水由管线输至暂存池暂存，平台采出水罐车拉运。</w:t>
      </w:r>
    </w:p>
    <w:p w14:paraId="293B928A" w14:textId="77777777" w:rsidR="002E0859" w:rsidRDefault="00000000">
      <w:pPr>
        <w:spacing w:line="360" w:lineRule="auto"/>
        <w:ind w:firstLine="472"/>
        <w:rPr>
          <w:color w:val="000000" w:themeColor="text1"/>
          <w:kern w:val="0"/>
          <w:sz w:val="24"/>
          <w:szCs w:val="24"/>
          <w:lang w:eastAsia="en-US"/>
        </w:rPr>
      </w:pPr>
      <w:r>
        <w:rPr>
          <w:rFonts w:ascii="宋体" w:hAnsi="宋体" w:cs="宋体"/>
          <w:snapToGrid w:val="0"/>
          <w:color w:val="000000" w:themeColor="text1"/>
          <w:spacing w:val="-2"/>
          <w:kern w:val="0"/>
          <w:sz w:val="24"/>
          <w:szCs w:val="24"/>
          <w:lang w:eastAsia="en-US"/>
        </w:rPr>
        <w:t>1</w:t>
      </w:r>
      <w:r>
        <w:rPr>
          <w:color w:val="000000" w:themeColor="text1"/>
          <w:kern w:val="0"/>
          <w:sz w:val="24"/>
          <w:szCs w:val="24"/>
          <w:lang w:eastAsia="en-US"/>
        </w:rPr>
        <w:t>）平台钻采期间井口返排液排至各平台污水池后，经处理回用于井口压裂。</w:t>
      </w:r>
    </w:p>
    <w:p w14:paraId="6D718156"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2</w:t>
      </w:r>
      <w:r>
        <w:rPr>
          <w:color w:val="000000" w:themeColor="text1"/>
          <w:kern w:val="0"/>
          <w:sz w:val="24"/>
          <w:szCs w:val="24"/>
          <w:lang w:eastAsia="en-US"/>
        </w:rPr>
        <w:t>）焦页</w:t>
      </w:r>
      <w:r>
        <w:rPr>
          <w:color w:val="000000" w:themeColor="text1"/>
          <w:kern w:val="0"/>
          <w:sz w:val="24"/>
          <w:szCs w:val="24"/>
          <w:lang w:eastAsia="en-US"/>
        </w:rPr>
        <w:t>90</w:t>
      </w:r>
      <w:r>
        <w:rPr>
          <w:color w:val="000000" w:themeColor="text1"/>
          <w:kern w:val="0"/>
          <w:sz w:val="24"/>
          <w:szCs w:val="24"/>
          <w:lang w:eastAsia="en-US"/>
        </w:rPr>
        <w:t>号平台新增</w:t>
      </w:r>
      <w:r>
        <w:rPr>
          <w:color w:val="000000" w:themeColor="text1"/>
          <w:kern w:val="0"/>
          <w:sz w:val="24"/>
          <w:szCs w:val="24"/>
          <w:lang w:eastAsia="en-US"/>
        </w:rPr>
        <w:t>2</w:t>
      </w:r>
      <w:r>
        <w:rPr>
          <w:color w:val="000000" w:themeColor="text1"/>
          <w:kern w:val="0"/>
          <w:sz w:val="24"/>
          <w:szCs w:val="24"/>
          <w:lang w:eastAsia="en-US"/>
        </w:rPr>
        <w:t>口井，经采气管线去焦页</w:t>
      </w:r>
      <w:r>
        <w:rPr>
          <w:color w:val="000000" w:themeColor="text1"/>
          <w:kern w:val="0"/>
          <w:sz w:val="24"/>
          <w:szCs w:val="24"/>
          <w:lang w:eastAsia="en-US"/>
        </w:rPr>
        <w:t>89</w:t>
      </w:r>
      <w:r>
        <w:rPr>
          <w:color w:val="000000" w:themeColor="text1"/>
          <w:kern w:val="0"/>
          <w:sz w:val="24"/>
          <w:szCs w:val="24"/>
          <w:lang w:eastAsia="en-US"/>
        </w:rPr>
        <w:t>集气站处理，生产期采出水经已建采出水泵站输送白涛产出水处理站或焦页</w:t>
      </w:r>
      <w:r>
        <w:rPr>
          <w:color w:val="000000" w:themeColor="text1"/>
          <w:kern w:val="0"/>
          <w:sz w:val="24"/>
          <w:szCs w:val="24"/>
          <w:lang w:eastAsia="en-US"/>
        </w:rPr>
        <w:t>51-3HF</w:t>
      </w:r>
      <w:r>
        <w:rPr>
          <w:color w:val="000000" w:themeColor="text1"/>
          <w:kern w:val="0"/>
          <w:sz w:val="24"/>
          <w:szCs w:val="24"/>
          <w:lang w:eastAsia="en-US"/>
        </w:rPr>
        <w:t>井无支撑压裂。</w:t>
      </w:r>
    </w:p>
    <w:p w14:paraId="367BABD7" w14:textId="4C0623C7" w:rsidR="002E0859" w:rsidRDefault="00000000">
      <w:pPr>
        <w:kinsoku w:val="0"/>
        <w:autoSpaceDE w:val="0"/>
        <w:autoSpaceDN w:val="0"/>
        <w:spacing w:afterLines="50" w:after="120"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图</w:t>
      </w:r>
      <w:r>
        <w:rPr>
          <w:rFonts w:eastAsia="黑体" w:hint="eastAsia"/>
          <w:color w:val="000000" w:themeColor="text1"/>
          <w:sz w:val="21"/>
          <w:szCs w:val="21"/>
        </w:rPr>
        <w:t xml:space="preserve">2.7-1 </w:t>
      </w:r>
      <w:r>
        <w:rPr>
          <w:rFonts w:eastAsia="黑体"/>
          <w:color w:val="000000" w:themeColor="text1"/>
          <w:sz w:val="21"/>
          <w:szCs w:val="21"/>
          <w:lang w:eastAsia="en-US"/>
        </w:rPr>
        <w:t>平台与采出水集中点相对位置图</w:t>
      </w:r>
    </w:p>
    <w:p w14:paraId="417C2AA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3</w:t>
      </w:r>
      <w:r>
        <w:rPr>
          <w:color w:val="000000" w:themeColor="text1"/>
          <w:kern w:val="0"/>
          <w:sz w:val="24"/>
          <w:szCs w:val="24"/>
          <w:lang w:eastAsia="en-US"/>
        </w:rPr>
        <w:t>）现有采出水系统处理能力校核：</w:t>
      </w:r>
    </w:p>
    <w:p w14:paraId="537D1073"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①</w:t>
      </w:r>
      <w:r>
        <w:rPr>
          <w:color w:val="000000" w:themeColor="text1"/>
          <w:kern w:val="0"/>
          <w:sz w:val="24"/>
          <w:szCs w:val="24"/>
          <w:lang w:eastAsia="en-US"/>
        </w:rPr>
        <w:t>本次</w:t>
      </w:r>
      <w:r>
        <w:rPr>
          <w:color w:val="000000" w:themeColor="text1"/>
          <w:kern w:val="0"/>
          <w:sz w:val="24"/>
          <w:szCs w:val="24"/>
          <w:lang w:eastAsia="en-US"/>
        </w:rPr>
        <w:t>2</w:t>
      </w:r>
      <w:r>
        <w:rPr>
          <w:color w:val="000000" w:themeColor="text1"/>
          <w:kern w:val="0"/>
          <w:sz w:val="24"/>
          <w:szCs w:val="24"/>
          <w:lang w:eastAsia="en-US"/>
        </w:rPr>
        <w:t>个平台产水量见下表。</w:t>
      </w:r>
    </w:p>
    <w:p w14:paraId="7FECE610"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2.7-1 </w:t>
      </w:r>
      <w:r>
        <w:rPr>
          <w:rFonts w:eastAsia="黑体"/>
          <w:color w:val="000000" w:themeColor="text1"/>
          <w:sz w:val="21"/>
          <w:szCs w:val="21"/>
          <w:lang w:eastAsia="en-US"/>
        </w:rPr>
        <w:t>平台产水量表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71"/>
        <w:gridCol w:w="1315"/>
        <w:gridCol w:w="1225"/>
        <w:gridCol w:w="1373"/>
        <w:gridCol w:w="1426"/>
        <w:gridCol w:w="1519"/>
        <w:gridCol w:w="1521"/>
      </w:tblGrid>
      <w:tr w:rsidR="002E0859" w14:paraId="70A4D25E" w14:textId="77777777">
        <w:trPr>
          <w:trHeight w:val="23"/>
        </w:trPr>
        <w:tc>
          <w:tcPr>
            <w:tcW w:w="421" w:type="pct"/>
            <w:tcBorders>
              <w:tl2br w:val="nil"/>
              <w:tr2bl w:val="nil"/>
            </w:tcBorders>
            <w:vAlign w:val="center"/>
          </w:tcPr>
          <w:p w14:paraId="3E42EF4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序号</w:t>
            </w:r>
          </w:p>
        </w:tc>
        <w:tc>
          <w:tcPr>
            <w:tcW w:w="718" w:type="pct"/>
            <w:tcBorders>
              <w:tl2br w:val="nil"/>
              <w:tr2bl w:val="nil"/>
            </w:tcBorders>
            <w:vAlign w:val="center"/>
          </w:tcPr>
          <w:p w14:paraId="28E2F74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平台名称</w:t>
            </w:r>
          </w:p>
        </w:tc>
        <w:tc>
          <w:tcPr>
            <w:tcW w:w="669" w:type="pct"/>
            <w:tcBorders>
              <w:tl2br w:val="nil"/>
              <w:tr2bl w:val="nil"/>
            </w:tcBorders>
            <w:vAlign w:val="center"/>
          </w:tcPr>
          <w:p w14:paraId="263508E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现有井数</w:t>
            </w:r>
          </w:p>
          <w:p w14:paraId="5BA362E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（口）</w:t>
            </w:r>
          </w:p>
        </w:tc>
        <w:tc>
          <w:tcPr>
            <w:tcW w:w="750" w:type="pct"/>
            <w:tcBorders>
              <w:tl2br w:val="nil"/>
              <w:tr2bl w:val="nil"/>
            </w:tcBorders>
            <w:vAlign w:val="center"/>
          </w:tcPr>
          <w:p w14:paraId="261621B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现有产水量</w:t>
            </w:r>
          </w:p>
          <w:p w14:paraId="3A18559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m³/d</w:t>
            </w:r>
            <w:r>
              <w:rPr>
                <w:snapToGrid w:val="0"/>
                <w:color w:val="000000" w:themeColor="text1"/>
                <w:kern w:val="0"/>
                <w:sz w:val="21"/>
                <w:szCs w:val="21"/>
                <w:lang w:eastAsia="en-US"/>
              </w:rPr>
              <w:t>）</w:t>
            </w:r>
          </w:p>
        </w:tc>
        <w:tc>
          <w:tcPr>
            <w:tcW w:w="777" w:type="pct"/>
            <w:tcBorders>
              <w:tl2br w:val="nil"/>
              <w:tr2bl w:val="nil"/>
            </w:tcBorders>
            <w:vAlign w:val="center"/>
          </w:tcPr>
          <w:p w14:paraId="5298D2E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本次扩建井</w:t>
            </w:r>
          </w:p>
          <w:p w14:paraId="4BDFDF9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数（口）</w:t>
            </w:r>
          </w:p>
        </w:tc>
        <w:tc>
          <w:tcPr>
            <w:tcW w:w="830" w:type="pct"/>
            <w:tcBorders>
              <w:tl2br w:val="nil"/>
              <w:tr2bl w:val="nil"/>
            </w:tcBorders>
            <w:vAlign w:val="center"/>
          </w:tcPr>
          <w:p w14:paraId="66910DA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新增产水量</w:t>
            </w:r>
          </w:p>
          <w:p w14:paraId="65C688A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m³/d</w:t>
            </w:r>
            <w:r>
              <w:rPr>
                <w:snapToGrid w:val="0"/>
                <w:color w:val="000000" w:themeColor="text1"/>
                <w:kern w:val="0"/>
                <w:sz w:val="21"/>
                <w:szCs w:val="21"/>
                <w:lang w:eastAsia="en-US"/>
              </w:rPr>
              <w:t>）</w:t>
            </w:r>
          </w:p>
        </w:tc>
        <w:tc>
          <w:tcPr>
            <w:tcW w:w="831" w:type="pct"/>
            <w:tcBorders>
              <w:tl2br w:val="nil"/>
              <w:tr2bl w:val="nil"/>
            </w:tcBorders>
            <w:vAlign w:val="center"/>
          </w:tcPr>
          <w:p w14:paraId="0C76451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产水量共计</w:t>
            </w:r>
          </w:p>
          <w:p w14:paraId="304560F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r>
              <w:rPr>
                <w:snapToGrid w:val="0"/>
                <w:color w:val="000000" w:themeColor="text1"/>
                <w:kern w:val="0"/>
                <w:sz w:val="21"/>
                <w:szCs w:val="21"/>
                <w:lang w:eastAsia="en-US"/>
              </w:rPr>
              <w:t>m³/d</w:t>
            </w:r>
            <w:r>
              <w:rPr>
                <w:snapToGrid w:val="0"/>
                <w:color w:val="000000" w:themeColor="text1"/>
                <w:kern w:val="0"/>
                <w:sz w:val="21"/>
                <w:szCs w:val="21"/>
                <w:lang w:eastAsia="en-US"/>
              </w:rPr>
              <w:t>）</w:t>
            </w:r>
          </w:p>
        </w:tc>
      </w:tr>
      <w:tr w:rsidR="002E0859" w14:paraId="3C6178EC" w14:textId="77777777">
        <w:trPr>
          <w:trHeight w:val="23"/>
        </w:trPr>
        <w:tc>
          <w:tcPr>
            <w:tcW w:w="421" w:type="pct"/>
            <w:tcBorders>
              <w:tl2br w:val="nil"/>
              <w:tr2bl w:val="nil"/>
            </w:tcBorders>
            <w:vAlign w:val="center"/>
          </w:tcPr>
          <w:p w14:paraId="7E2751A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718" w:type="pct"/>
            <w:tcBorders>
              <w:tl2br w:val="nil"/>
              <w:tr2bl w:val="nil"/>
            </w:tcBorders>
            <w:vAlign w:val="center"/>
          </w:tcPr>
          <w:p w14:paraId="4574C7C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焦页</w:t>
            </w:r>
            <w:r>
              <w:rPr>
                <w:snapToGrid w:val="0"/>
                <w:color w:val="000000" w:themeColor="text1"/>
                <w:kern w:val="0"/>
                <w:sz w:val="21"/>
                <w:szCs w:val="21"/>
                <w:lang w:eastAsia="en-US"/>
              </w:rPr>
              <w:t>90</w:t>
            </w:r>
            <w:r>
              <w:rPr>
                <w:snapToGrid w:val="0"/>
                <w:color w:val="000000" w:themeColor="text1"/>
                <w:kern w:val="0"/>
                <w:sz w:val="21"/>
                <w:szCs w:val="21"/>
                <w:lang w:eastAsia="en-US"/>
              </w:rPr>
              <w:t>号</w:t>
            </w:r>
          </w:p>
        </w:tc>
        <w:tc>
          <w:tcPr>
            <w:tcW w:w="669" w:type="pct"/>
            <w:tcBorders>
              <w:tl2br w:val="nil"/>
              <w:tr2bl w:val="nil"/>
            </w:tcBorders>
            <w:vAlign w:val="center"/>
          </w:tcPr>
          <w:p w14:paraId="2C2172E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750" w:type="pct"/>
            <w:tcBorders>
              <w:tl2br w:val="nil"/>
              <w:tr2bl w:val="nil"/>
            </w:tcBorders>
            <w:vAlign w:val="center"/>
          </w:tcPr>
          <w:p w14:paraId="1A424F6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29</w:t>
            </w:r>
          </w:p>
        </w:tc>
        <w:tc>
          <w:tcPr>
            <w:tcW w:w="777" w:type="pct"/>
            <w:tcBorders>
              <w:tl2br w:val="nil"/>
              <w:tr2bl w:val="nil"/>
            </w:tcBorders>
            <w:vAlign w:val="center"/>
          </w:tcPr>
          <w:p w14:paraId="7CEC03F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830" w:type="pct"/>
            <w:tcBorders>
              <w:tl2br w:val="nil"/>
              <w:tr2bl w:val="nil"/>
            </w:tcBorders>
            <w:vAlign w:val="center"/>
          </w:tcPr>
          <w:p w14:paraId="05602E3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16</w:t>
            </w:r>
          </w:p>
        </w:tc>
        <w:tc>
          <w:tcPr>
            <w:tcW w:w="831" w:type="pct"/>
            <w:tcBorders>
              <w:tl2br w:val="nil"/>
              <w:tr2bl w:val="nil"/>
            </w:tcBorders>
            <w:vAlign w:val="center"/>
          </w:tcPr>
          <w:p w14:paraId="55DA8D0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45</w:t>
            </w:r>
          </w:p>
        </w:tc>
      </w:tr>
      <w:tr w:rsidR="002E0859" w14:paraId="7B226EBE" w14:textId="77777777">
        <w:trPr>
          <w:trHeight w:val="23"/>
        </w:trPr>
        <w:tc>
          <w:tcPr>
            <w:tcW w:w="421" w:type="pct"/>
            <w:tcBorders>
              <w:tl2br w:val="nil"/>
              <w:tr2bl w:val="nil"/>
            </w:tcBorders>
            <w:vAlign w:val="center"/>
          </w:tcPr>
          <w:p w14:paraId="0268C9B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718" w:type="pct"/>
            <w:tcBorders>
              <w:tl2br w:val="nil"/>
              <w:tr2bl w:val="nil"/>
            </w:tcBorders>
            <w:vAlign w:val="center"/>
          </w:tcPr>
          <w:p w14:paraId="090FD62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焦页</w:t>
            </w:r>
            <w:r>
              <w:rPr>
                <w:snapToGrid w:val="0"/>
                <w:color w:val="000000" w:themeColor="text1"/>
                <w:kern w:val="0"/>
                <w:sz w:val="21"/>
                <w:szCs w:val="21"/>
                <w:lang w:eastAsia="en-US"/>
              </w:rPr>
              <w:t>89</w:t>
            </w:r>
            <w:r>
              <w:rPr>
                <w:snapToGrid w:val="0"/>
                <w:color w:val="000000" w:themeColor="text1"/>
                <w:kern w:val="0"/>
                <w:sz w:val="21"/>
                <w:szCs w:val="21"/>
                <w:lang w:eastAsia="en-US"/>
              </w:rPr>
              <w:t>号</w:t>
            </w:r>
          </w:p>
        </w:tc>
        <w:tc>
          <w:tcPr>
            <w:tcW w:w="669" w:type="pct"/>
            <w:tcBorders>
              <w:tl2br w:val="nil"/>
              <w:tr2bl w:val="nil"/>
            </w:tcBorders>
            <w:vAlign w:val="center"/>
          </w:tcPr>
          <w:p w14:paraId="3F97CAD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750" w:type="pct"/>
            <w:tcBorders>
              <w:tl2br w:val="nil"/>
              <w:tr2bl w:val="nil"/>
            </w:tcBorders>
            <w:vAlign w:val="center"/>
          </w:tcPr>
          <w:p w14:paraId="3D4CC8A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21</w:t>
            </w:r>
          </w:p>
        </w:tc>
        <w:tc>
          <w:tcPr>
            <w:tcW w:w="777" w:type="pct"/>
            <w:tcBorders>
              <w:tl2br w:val="nil"/>
              <w:tr2bl w:val="nil"/>
            </w:tcBorders>
            <w:vAlign w:val="center"/>
          </w:tcPr>
          <w:p w14:paraId="45BA683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c>
          <w:tcPr>
            <w:tcW w:w="830" w:type="pct"/>
            <w:tcBorders>
              <w:tl2br w:val="nil"/>
              <w:tr2bl w:val="nil"/>
            </w:tcBorders>
            <w:vAlign w:val="center"/>
          </w:tcPr>
          <w:p w14:paraId="1B3CCCA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c>
          <w:tcPr>
            <w:tcW w:w="831" w:type="pct"/>
            <w:tcBorders>
              <w:tl2br w:val="nil"/>
              <w:tr2bl w:val="nil"/>
            </w:tcBorders>
            <w:vAlign w:val="center"/>
          </w:tcPr>
          <w:p w14:paraId="06836E1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21</w:t>
            </w:r>
          </w:p>
        </w:tc>
      </w:tr>
      <w:tr w:rsidR="002E0859" w14:paraId="55FC3C15" w14:textId="77777777">
        <w:trPr>
          <w:trHeight w:val="23"/>
        </w:trPr>
        <w:tc>
          <w:tcPr>
            <w:tcW w:w="3337" w:type="pct"/>
            <w:gridSpan w:val="5"/>
            <w:tcBorders>
              <w:tl2br w:val="nil"/>
              <w:tr2bl w:val="nil"/>
            </w:tcBorders>
            <w:vAlign w:val="center"/>
          </w:tcPr>
          <w:p w14:paraId="72FF76C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合计</w:t>
            </w:r>
          </w:p>
        </w:tc>
        <w:tc>
          <w:tcPr>
            <w:tcW w:w="830" w:type="pct"/>
            <w:tcBorders>
              <w:tl2br w:val="nil"/>
              <w:tr2bl w:val="nil"/>
            </w:tcBorders>
            <w:vAlign w:val="center"/>
          </w:tcPr>
          <w:p w14:paraId="4D7D28A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16</w:t>
            </w:r>
          </w:p>
        </w:tc>
        <w:tc>
          <w:tcPr>
            <w:tcW w:w="831" w:type="pct"/>
            <w:tcBorders>
              <w:tl2br w:val="nil"/>
              <w:tr2bl w:val="nil"/>
            </w:tcBorders>
            <w:vAlign w:val="center"/>
          </w:tcPr>
          <w:p w14:paraId="558E7A7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66</w:t>
            </w:r>
          </w:p>
        </w:tc>
      </w:tr>
    </w:tbl>
    <w:p w14:paraId="4899D535" w14:textId="77777777" w:rsidR="002E0859" w:rsidRDefault="00000000">
      <w:pPr>
        <w:spacing w:beforeLines="50" w:before="120" w:line="360" w:lineRule="auto"/>
        <w:ind w:firstLine="480"/>
        <w:rPr>
          <w:color w:val="000000" w:themeColor="text1"/>
          <w:kern w:val="0"/>
          <w:sz w:val="24"/>
          <w:szCs w:val="24"/>
          <w:lang w:eastAsia="en-US"/>
        </w:rPr>
      </w:pPr>
      <w:r>
        <w:rPr>
          <w:color w:val="000000" w:themeColor="text1"/>
          <w:kern w:val="0"/>
          <w:sz w:val="24"/>
          <w:szCs w:val="24"/>
          <w:lang w:eastAsia="en-US"/>
        </w:rPr>
        <w:t>②</w:t>
      </w:r>
      <w:r>
        <w:rPr>
          <w:color w:val="000000" w:themeColor="text1"/>
          <w:kern w:val="0"/>
          <w:sz w:val="24"/>
          <w:szCs w:val="24"/>
          <w:lang w:eastAsia="en-US"/>
        </w:rPr>
        <w:t>焦页</w:t>
      </w:r>
      <w:r>
        <w:rPr>
          <w:color w:val="000000" w:themeColor="text1"/>
          <w:kern w:val="0"/>
          <w:sz w:val="24"/>
          <w:szCs w:val="24"/>
          <w:lang w:eastAsia="en-US"/>
        </w:rPr>
        <w:t>89</w:t>
      </w:r>
      <w:r>
        <w:rPr>
          <w:color w:val="000000" w:themeColor="text1"/>
          <w:kern w:val="0"/>
          <w:sz w:val="24"/>
          <w:szCs w:val="24"/>
          <w:lang w:eastAsia="en-US"/>
        </w:rPr>
        <w:t>号采出水集中点已建采出水外输泵参数：</w:t>
      </w:r>
      <w:r>
        <w:rPr>
          <w:color w:val="000000" w:themeColor="text1"/>
          <w:kern w:val="0"/>
          <w:sz w:val="24"/>
          <w:szCs w:val="24"/>
          <w:lang w:eastAsia="en-US"/>
        </w:rPr>
        <w:t>Q=15m³/h</w:t>
      </w:r>
      <w:r>
        <w:rPr>
          <w:rFonts w:hint="eastAsia"/>
          <w:color w:val="000000" w:themeColor="text1"/>
          <w:kern w:val="0"/>
          <w:sz w:val="24"/>
          <w:szCs w:val="24"/>
        </w:rPr>
        <w:t>，</w:t>
      </w:r>
      <w:r>
        <w:rPr>
          <w:color w:val="000000" w:themeColor="text1"/>
          <w:kern w:val="0"/>
          <w:sz w:val="24"/>
          <w:szCs w:val="24"/>
          <w:lang w:eastAsia="en-US"/>
        </w:rPr>
        <w:t>H=300m</w:t>
      </w:r>
      <w:r>
        <w:rPr>
          <w:color w:val="000000" w:themeColor="text1"/>
          <w:kern w:val="0"/>
          <w:sz w:val="24"/>
          <w:szCs w:val="24"/>
          <w:lang w:eastAsia="en-US"/>
        </w:rPr>
        <w:t>，满足新增采出水处理需求。</w:t>
      </w:r>
    </w:p>
    <w:p w14:paraId="50953B74" w14:textId="77777777" w:rsidR="002E0859" w:rsidRDefault="00000000">
      <w:pPr>
        <w:pStyle w:val="2"/>
        <w:keepNext w:val="0"/>
        <w:keepLines w:val="0"/>
        <w:spacing w:before="120" w:after="120" w:line="360" w:lineRule="auto"/>
        <w:jc w:val="center"/>
        <w:rPr>
          <w:color w:val="000000" w:themeColor="text1"/>
        </w:rPr>
      </w:pPr>
      <w:bookmarkStart w:id="31" w:name="_Toc20803"/>
      <w:r>
        <w:rPr>
          <w:rFonts w:hint="eastAsia"/>
          <w:color w:val="000000" w:themeColor="text1"/>
        </w:rPr>
        <w:t>公用工程及辅助生产设施</w:t>
      </w:r>
      <w:bookmarkEnd w:id="31"/>
    </w:p>
    <w:p w14:paraId="0816ABE2"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供配电</w:t>
      </w:r>
    </w:p>
    <w:p w14:paraId="68CCAF4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本工程配电设计内容包括：涪陵页岩气田江东区块焦页</w:t>
      </w:r>
      <w:r>
        <w:rPr>
          <w:color w:val="000000" w:themeColor="text1"/>
          <w:kern w:val="0"/>
          <w:sz w:val="24"/>
          <w:szCs w:val="24"/>
          <w:lang w:eastAsia="en-US"/>
        </w:rPr>
        <w:t>90</w:t>
      </w:r>
      <w:r>
        <w:rPr>
          <w:color w:val="000000" w:themeColor="text1"/>
          <w:kern w:val="0"/>
          <w:sz w:val="24"/>
          <w:szCs w:val="24"/>
          <w:lang w:eastAsia="en-US"/>
        </w:rPr>
        <w:t>号评价井组项目共</w:t>
      </w:r>
      <w:r>
        <w:rPr>
          <w:color w:val="000000" w:themeColor="text1"/>
          <w:kern w:val="0"/>
          <w:sz w:val="24"/>
          <w:szCs w:val="24"/>
          <w:lang w:eastAsia="en-US"/>
        </w:rPr>
        <w:t>1</w:t>
      </w:r>
      <w:r>
        <w:rPr>
          <w:color w:val="000000" w:themeColor="text1"/>
          <w:kern w:val="0"/>
          <w:sz w:val="24"/>
          <w:szCs w:val="24"/>
          <w:lang w:eastAsia="en-US"/>
        </w:rPr>
        <w:t>个扩建平台（焦页</w:t>
      </w:r>
      <w:r>
        <w:rPr>
          <w:color w:val="000000" w:themeColor="text1"/>
          <w:kern w:val="0"/>
          <w:sz w:val="24"/>
          <w:szCs w:val="24"/>
          <w:lang w:eastAsia="en-US"/>
        </w:rPr>
        <w:t>90</w:t>
      </w:r>
      <w:r>
        <w:rPr>
          <w:color w:val="000000" w:themeColor="text1"/>
          <w:kern w:val="0"/>
          <w:sz w:val="24"/>
          <w:szCs w:val="24"/>
          <w:lang w:eastAsia="en-US"/>
        </w:rPr>
        <w:t>号扩）工艺设备及配套设施供配电与防雷接地设计。</w:t>
      </w:r>
    </w:p>
    <w:p w14:paraId="0F6E11A4"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val="es-MX" w:eastAsia="en-US"/>
        </w:rPr>
        <w:t>1</w:t>
      </w:r>
      <w:r>
        <w:rPr>
          <w:rFonts w:hint="eastAsia"/>
          <w:color w:val="000000" w:themeColor="text1"/>
          <w:kern w:val="0"/>
          <w:sz w:val="24"/>
          <w:szCs w:val="24"/>
          <w:lang w:val="es-MX"/>
        </w:rPr>
        <w:t>、</w:t>
      </w:r>
      <w:r>
        <w:rPr>
          <w:color w:val="000000" w:themeColor="text1"/>
          <w:kern w:val="0"/>
          <w:sz w:val="24"/>
          <w:szCs w:val="24"/>
          <w:lang w:eastAsia="en-US"/>
        </w:rPr>
        <w:t>用电负荷</w:t>
      </w:r>
    </w:p>
    <w:p w14:paraId="0CA76CF0"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根据《气田集输设计规范》</w:t>
      </w:r>
      <w:r>
        <w:rPr>
          <w:rFonts w:hint="eastAsia"/>
          <w:color w:val="000000" w:themeColor="text1"/>
          <w:kern w:val="0"/>
          <w:sz w:val="24"/>
          <w:szCs w:val="24"/>
        </w:rPr>
        <w:t>（</w:t>
      </w:r>
      <w:r>
        <w:rPr>
          <w:color w:val="000000" w:themeColor="text1"/>
          <w:kern w:val="0"/>
          <w:sz w:val="24"/>
          <w:szCs w:val="24"/>
          <w:lang w:eastAsia="en-US"/>
        </w:rPr>
        <w:t>GB50349-2015</w:t>
      </w:r>
      <w:r>
        <w:rPr>
          <w:rFonts w:hint="eastAsia"/>
          <w:color w:val="000000" w:themeColor="text1"/>
          <w:kern w:val="0"/>
          <w:sz w:val="24"/>
          <w:szCs w:val="24"/>
        </w:rPr>
        <w:t>）</w:t>
      </w:r>
      <w:r>
        <w:rPr>
          <w:color w:val="000000" w:themeColor="text1"/>
          <w:kern w:val="0"/>
          <w:sz w:val="24"/>
          <w:szCs w:val="24"/>
          <w:lang w:eastAsia="en-US"/>
        </w:rPr>
        <w:t>，页岩气田工程集气站、集气平台用电负荷为二级负荷，通讯、仪表控制负荷为重要负荷，其它生产、生活辅助设施为三级负荷。</w:t>
      </w:r>
    </w:p>
    <w:p w14:paraId="0E0AFB0C"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本工程用电负荷主要分为</w:t>
      </w:r>
      <w:r>
        <w:rPr>
          <w:color w:val="000000" w:themeColor="text1"/>
          <w:kern w:val="0"/>
          <w:sz w:val="24"/>
          <w:szCs w:val="24"/>
          <w:lang w:eastAsia="en-US"/>
        </w:rPr>
        <w:t>3</w:t>
      </w:r>
      <w:r>
        <w:rPr>
          <w:color w:val="000000" w:themeColor="text1"/>
          <w:kern w:val="0"/>
          <w:sz w:val="24"/>
          <w:szCs w:val="24"/>
          <w:lang w:eastAsia="en-US"/>
        </w:rPr>
        <w:t>个部分：平台生产用电、钻井网电钻机和电驱压裂车组用电。</w:t>
      </w:r>
    </w:p>
    <w:p w14:paraId="564DB641"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①</w:t>
      </w:r>
      <w:r>
        <w:rPr>
          <w:color w:val="000000" w:themeColor="text1"/>
          <w:kern w:val="0"/>
          <w:sz w:val="24"/>
          <w:szCs w:val="24"/>
          <w:lang w:eastAsia="en-US"/>
        </w:rPr>
        <w:t>平台扩建及增压用电负荷统计</w:t>
      </w:r>
    </w:p>
    <w:p w14:paraId="7E55AC9B"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生产期间供电范围为本次焦页</w:t>
      </w:r>
      <w:r>
        <w:rPr>
          <w:color w:val="000000" w:themeColor="text1"/>
          <w:kern w:val="0"/>
          <w:sz w:val="24"/>
          <w:szCs w:val="24"/>
          <w:lang w:eastAsia="en-US"/>
        </w:rPr>
        <w:t>90</w:t>
      </w:r>
      <w:r>
        <w:rPr>
          <w:color w:val="000000" w:themeColor="text1"/>
          <w:kern w:val="0"/>
          <w:sz w:val="24"/>
          <w:szCs w:val="24"/>
          <w:lang w:eastAsia="en-US"/>
        </w:rPr>
        <w:t>号扩新增照明、仪控通信用电负荷，本工程生产期间</w:t>
      </w:r>
      <w:r>
        <w:rPr>
          <w:color w:val="000000" w:themeColor="text1"/>
          <w:kern w:val="0"/>
          <w:sz w:val="24"/>
          <w:szCs w:val="24"/>
          <w:lang w:eastAsia="en-US"/>
        </w:rPr>
        <w:t>220/380V</w:t>
      </w:r>
      <w:r>
        <w:rPr>
          <w:color w:val="000000" w:themeColor="text1"/>
          <w:kern w:val="0"/>
          <w:sz w:val="24"/>
          <w:szCs w:val="24"/>
          <w:lang w:eastAsia="en-US"/>
        </w:rPr>
        <w:t>用电负荷</w:t>
      </w:r>
      <w:r>
        <w:rPr>
          <w:color w:val="000000" w:themeColor="text1"/>
          <w:kern w:val="0"/>
          <w:sz w:val="24"/>
          <w:szCs w:val="24"/>
          <w:lang w:eastAsia="en-US"/>
        </w:rPr>
        <w:t>5kW</w:t>
      </w:r>
      <w:r>
        <w:rPr>
          <w:color w:val="000000" w:themeColor="text1"/>
          <w:kern w:val="0"/>
          <w:sz w:val="24"/>
          <w:szCs w:val="24"/>
          <w:lang w:eastAsia="en-US"/>
        </w:rPr>
        <w:t>。新增用电负荷统计见表</w:t>
      </w:r>
      <w:r>
        <w:rPr>
          <w:rFonts w:hint="eastAsia"/>
          <w:color w:val="000000" w:themeColor="text1"/>
          <w:kern w:val="0"/>
          <w:sz w:val="24"/>
          <w:szCs w:val="24"/>
        </w:rPr>
        <w:t>2.8-1</w:t>
      </w:r>
      <w:r>
        <w:rPr>
          <w:color w:val="000000" w:themeColor="text1"/>
          <w:kern w:val="0"/>
          <w:sz w:val="24"/>
          <w:szCs w:val="24"/>
          <w:lang w:eastAsia="en-US"/>
        </w:rPr>
        <w:t>。</w:t>
      </w:r>
    </w:p>
    <w:p w14:paraId="37CBC413"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lastRenderedPageBreak/>
        <w:t>表</w:t>
      </w:r>
      <w:r>
        <w:rPr>
          <w:rFonts w:eastAsia="黑体" w:hint="eastAsia"/>
          <w:color w:val="000000" w:themeColor="text1"/>
          <w:sz w:val="21"/>
          <w:szCs w:val="21"/>
        </w:rPr>
        <w:t xml:space="preserve">2.8-1 </w:t>
      </w:r>
      <w:r>
        <w:rPr>
          <w:rFonts w:eastAsia="黑体"/>
          <w:color w:val="000000" w:themeColor="text1"/>
          <w:sz w:val="21"/>
          <w:szCs w:val="21"/>
          <w:lang w:eastAsia="en-US"/>
        </w:rPr>
        <w:t>扩建平台用电负荷统计表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3000"/>
        <w:gridCol w:w="2719"/>
        <w:gridCol w:w="1654"/>
        <w:gridCol w:w="1777"/>
      </w:tblGrid>
      <w:tr w:rsidR="002E0859" w14:paraId="1F536E5A" w14:textId="77777777">
        <w:trPr>
          <w:trHeight w:val="23"/>
          <w:jc w:val="center"/>
        </w:trPr>
        <w:tc>
          <w:tcPr>
            <w:tcW w:w="1639" w:type="pct"/>
            <w:tcBorders>
              <w:tl2br w:val="nil"/>
              <w:tr2bl w:val="nil"/>
            </w:tcBorders>
            <w:vAlign w:val="center"/>
          </w:tcPr>
          <w:p w14:paraId="1F2DD9D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平台或集气站名称</w:t>
            </w:r>
          </w:p>
        </w:tc>
        <w:tc>
          <w:tcPr>
            <w:tcW w:w="1485" w:type="pct"/>
            <w:tcBorders>
              <w:tl2br w:val="nil"/>
              <w:tr2bl w:val="nil"/>
            </w:tcBorders>
            <w:vAlign w:val="center"/>
          </w:tcPr>
          <w:p w14:paraId="3D0B6EF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用电设施</w:t>
            </w:r>
          </w:p>
        </w:tc>
        <w:tc>
          <w:tcPr>
            <w:tcW w:w="904" w:type="pct"/>
            <w:tcBorders>
              <w:tl2br w:val="nil"/>
              <w:tr2bl w:val="nil"/>
            </w:tcBorders>
            <w:vAlign w:val="center"/>
          </w:tcPr>
          <w:p w14:paraId="7AABD8D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用电负荷</w:t>
            </w:r>
            <w:r>
              <w:rPr>
                <w:snapToGrid w:val="0"/>
                <w:color w:val="000000" w:themeColor="text1"/>
                <w:spacing w:val="-1"/>
                <w:kern w:val="0"/>
                <w:sz w:val="21"/>
                <w:szCs w:val="21"/>
                <w:lang w:eastAsia="en-US"/>
              </w:rPr>
              <w:t>(kW)</w:t>
            </w:r>
          </w:p>
        </w:tc>
        <w:tc>
          <w:tcPr>
            <w:tcW w:w="971" w:type="pct"/>
            <w:tcBorders>
              <w:tl2br w:val="nil"/>
              <w:tr2bl w:val="nil"/>
            </w:tcBorders>
            <w:vAlign w:val="center"/>
          </w:tcPr>
          <w:p w14:paraId="2DAB4A7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备注</w:t>
            </w:r>
          </w:p>
        </w:tc>
      </w:tr>
      <w:tr w:rsidR="002E0859" w14:paraId="57856DC1" w14:textId="77777777">
        <w:trPr>
          <w:trHeight w:val="23"/>
          <w:jc w:val="center"/>
        </w:trPr>
        <w:tc>
          <w:tcPr>
            <w:tcW w:w="1639" w:type="pct"/>
            <w:vMerge w:val="restart"/>
            <w:tcBorders>
              <w:tl2br w:val="nil"/>
              <w:tr2bl w:val="nil"/>
            </w:tcBorders>
            <w:vAlign w:val="center"/>
          </w:tcPr>
          <w:p w14:paraId="5EBD26F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焦页</w:t>
            </w:r>
            <w:r>
              <w:rPr>
                <w:snapToGrid w:val="0"/>
                <w:color w:val="000000" w:themeColor="text1"/>
                <w:spacing w:val="-4"/>
                <w:kern w:val="0"/>
                <w:sz w:val="21"/>
                <w:szCs w:val="21"/>
                <w:lang w:eastAsia="en-US"/>
              </w:rPr>
              <w:t>90</w:t>
            </w:r>
            <w:r>
              <w:rPr>
                <w:snapToGrid w:val="0"/>
                <w:color w:val="000000" w:themeColor="text1"/>
                <w:spacing w:val="-4"/>
                <w:kern w:val="0"/>
                <w:sz w:val="21"/>
                <w:szCs w:val="21"/>
                <w:lang w:eastAsia="en-US"/>
              </w:rPr>
              <w:t>号扩</w:t>
            </w:r>
          </w:p>
        </w:tc>
        <w:tc>
          <w:tcPr>
            <w:tcW w:w="1485" w:type="pct"/>
            <w:tcBorders>
              <w:tl2br w:val="nil"/>
              <w:tr2bl w:val="nil"/>
            </w:tcBorders>
            <w:vAlign w:val="center"/>
          </w:tcPr>
          <w:p w14:paraId="198DD63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仪控负荷</w:t>
            </w:r>
          </w:p>
        </w:tc>
        <w:tc>
          <w:tcPr>
            <w:tcW w:w="904" w:type="pct"/>
            <w:tcBorders>
              <w:tl2br w:val="nil"/>
              <w:tr2bl w:val="nil"/>
            </w:tcBorders>
            <w:vAlign w:val="center"/>
          </w:tcPr>
          <w:p w14:paraId="71608E3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w:t>
            </w:r>
          </w:p>
        </w:tc>
        <w:tc>
          <w:tcPr>
            <w:tcW w:w="971" w:type="pct"/>
            <w:tcBorders>
              <w:tl2br w:val="nil"/>
              <w:tr2bl w:val="nil"/>
            </w:tcBorders>
            <w:vAlign w:val="center"/>
          </w:tcPr>
          <w:p w14:paraId="203CCCB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220V</w:t>
            </w:r>
          </w:p>
        </w:tc>
      </w:tr>
      <w:tr w:rsidR="002E0859" w14:paraId="22E0244C" w14:textId="77777777">
        <w:trPr>
          <w:trHeight w:val="23"/>
          <w:jc w:val="center"/>
        </w:trPr>
        <w:tc>
          <w:tcPr>
            <w:tcW w:w="1639" w:type="pct"/>
            <w:vMerge/>
            <w:tcBorders>
              <w:tl2br w:val="nil"/>
              <w:tr2bl w:val="nil"/>
            </w:tcBorders>
            <w:vAlign w:val="center"/>
          </w:tcPr>
          <w:p w14:paraId="34D05B9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485" w:type="pct"/>
            <w:tcBorders>
              <w:tl2br w:val="nil"/>
              <w:tr2bl w:val="nil"/>
            </w:tcBorders>
            <w:vAlign w:val="center"/>
          </w:tcPr>
          <w:p w14:paraId="38562E2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加热炉</w:t>
            </w:r>
          </w:p>
        </w:tc>
        <w:tc>
          <w:tcPr>
            <w:tcW w:w="904" w:type="pct"/>
            <w:tcBorders>
              <w:tl2br w:val="nil"/>
              <w:tr2bl w:val="nil"/>
            </w:tcBorders>
            <w:vAlign w:val="center"/>
          </w:tcPr>
          <w:p w14:paraId="5D34A15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2.0</w:t>
            </w:r>
          </w:p>
        </w:tc>
        <w:tc>
          <w:tcPr>
            <w:tcW w:w="971" w:type="pct"/>
            <w:tcBorders>
              <w:tl2br w:val="nil"/>
              <w:tr2bl w:val="nil"/>
            </w:tcBorders>
            <w:vAlign w:val="center"/>
          </w:tcPr>
          <w:p w14:paraId="471F9D3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380V</w:t>
            </w:r>
          </w:p>
        </w:tc>
      </w:tr>
      <w:tr w:rsidR="002E0859" w14:paraId="3BB3F6FA" w14:textId="77777777">
        <w:trPr>
          <w:trHeight w:val="23"/>
          <w:jc w:val="center"/>
        </w:trPr>
        <w:tc>
          <w:tcPr>
            <w:tcW w:w="3124" w:type="pct"/>
            <w:gridSpan w:val="2"/>
            <w:tcBorders>
              <w:tl2br w:val="nil"/>
              <w:tr2bl w:val="nil"/>
            </w:tcBorders>
            <w:vAlign w:val="center"/>
          </w:tcPr>
          <w:p w14:paraId="0BDD4A1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rPr>
            </w:pPr>
            <w:r>
              <w:rPr>
                <w:snapToGrid w:val="0"/>
                <w:color w:val="000000" w:themeColor="text1"/>
                <w:spacing w:val="-2"/>
                <w:kern w:val="0"/>
                <w:sz w:val="21"/>
                <w:szCs w:val="21"/>
                <w:lang w:eastAsia="en-US"/>
              </w:rPr>
              <w:t>小计</w:t>
            </w:r>
            <w:r>
              <w:rPr>
                <w:rFonts w:hint="eastAsia"/>
                <w:snapToGrid w:val="0"/>
                <w:color w:val="000000" w:themeColor="text1"/>
                <w:spacing w:val="-2"/>
                <w:kern w:val="0"/>
                <w:sz w:val="21"/>
                <w:szCs w:val="21"/>
              </w:rPr>
              <w:t>（</w:t>
            </w:r>
            <w:r>
              <w:rPr>
                <w:snapToGrid w:val="0"/>
                <w:color w:val="000000" w:themeColor="text1"/>
                <w:spacing w:val="-2"/>
                <w:kern w:val="0"/>
                <w:sz w:val="21"/>
                <w:szCs w:val="21"/>
                <w:lang w:eastAsia="en-US"/>
              </w:rPr>
              <w:t>需要系数</w:t>
            </w:r>
            <w:r>
              <w:rPr>
                <w:snapToGrid w:val="0"/>
                <w:color w:val="000000" w:themeColor="text1"/>
                <w:spacing w:val="-2"/>
                <w:kern w:val="0"/>
                <w:sz w:val="21"/>
                <w:szCs w:val="21"/>
                <w:lang w:eastAsia="en-US"/>
              </w:rPr>
              <w:t>0.8</w:t>
            </w:r>
            <w:r>
              <w:rPr>
                <w:rFonts w:hint="eastAsia"/>
                <w:snapToGrid w:val="0"/>
                <w:color w:val="000000" w:themeColor="text1"/>
                <w:spacing w:val="-2"/>
                <w:kern w:val="0"/>
                <w:sz w:val="21"/>
                <w:szCs w:val="21"/>
              </w:rPr>
              <w:t>）</w:t>
            </w:r>
          </w:p>
        </w:tc>
        <w:tc>
          <w:tcPr>
            <w:tcW w:w="904" w:type="pct"/>
            <w:tcBorders>
              <w:tl2br w:val="nil"/>
              <w:tr2bl w:val="nil"/>
            </w:tcBorders>
            <w:vAlign w:val="center"/>
          </w:tcPr>
          <w:p w14:paraId="4370C72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2.4</w:t>
            </w:r>
          </w:p>
        </w:tc>
        <w:tc>
          <w:tcPr>
            <w:tcW w:w="971" w:type="pct"/>
            <w:tcBorders>
              <w:tl2br w:val="nil"/>
              <w:tr2bl w:val="nil"/>
            </w:tcBorders>
            <w:vAlign w:val="center"/>
          </w:tcPr>
          <w:p w14:paraId="5893DDE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0216A06D" w14:textId="77777777" w:rsidR="002E0859" w:rsidRDefault="00000000">
      <w:pPr>
        <w:spacing w:beforeLines="50" w:before="120" w:line="360" w:lineRule="auto"/>
        <w:ind w:firstLine="480"/>
        <w:rPr>
          <w:color w:val="000000" w:themeColor="text1"/>
          <w:kern w:val="0"/>
          <w:sz w:val="24"/>
          <w:szCs w:val="24"/>
          <w:lang w:eastAsia="en-US"/>
        </w:rPr>
      </w:pPr>
      <w:r>
        <w:rPr>
          <w:color w:val="000000" w:themeColor="text1"/>
          <w:kern w:val="0"/>
          <w:sz w:val="24"/>
          <w:szCs w:val="24"/>
          <w:lang w:eastAsia="en-US"/>
        </w:rPr>
        <w:t>②</w:t>
      </w:r>
      <w:r>
        <w:rPr>
          <w:color w:val="000000" w:themeColor="text1"/>
          <w:kern w:val="0"/>
          <w:sz w:val="24"/>
          <w:szCs w:val="24"/>
          <w:lang w:eastAsia="en-US"/>
        </w:rPr>
        <w:t>网电钻机用电：</w:t>
      </w:r>
    </w:p>
    <w:p w14:paraId="391533A4"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钻井期间，</w:t>
      </w:r>
      <w:r>
        <w:rPr>
          <w:color w:val="000000" w:themeColor="text1"/>
          <w:kern w:val="0"/>
          <w:sz w:val="24"/>
          <w:szCs w:val="24"/>
          <w:lang w:eastAsia="en-US"/>
        </w:rPr>
        <w:t>1</w:t>
      </w:r>
      <w:r>
        <w:rPr>
          <w:color w:val="000000" w:themeColor="text1"/>
          <w:kern w:val="0"/>
          <w:sz w:val="24"/>
          <w:szCs w:val="24"/>
          <w:lang w:eastAsia="en-US"/>
        </w:rPr>
        <w:t>部钻机同时运行，每部网电钻机用电功率约</w:t>
      </w:r>
      <w:r>
        <w:rPr>
          <w:color w:val="000000" w:themeColor="text1"/>
          <w:kern w:val="0"/>
          <w:sz w:val="24"/>
          <w:szCs w:val="24"/>
          <w:lang w:eastAsia="en-US"/>
        </w:rPr>
        <w:t>2500kW</w:t>
      </w:r>
      <w:r>
        <w:rPr>
          <w:color w:val="000000" w:themeColor="text1"/>
          <w:kern w:val="0"/>
          <w:sz w:val="24"/>
          <w:szCs w:val="24"/>
          <w:lang w:eastAsia="en-US"/>
        </w:rPr>
        <w:t>。用电负荷为：</w:t>
      </w:r>
      <w:r>
        <w:rPr>
          <w:color w:val="000000" w:themeColor="text1"/>
          <w:kern w:val="0"/>
          <w:sz w:val="24"/>
          <w:szCs w:val="24"/>
          <w:lang w:eastAsia="en-US"/>
        </w:rPr>
        <w:t>2500kW×1=2500kW</w:t>
      </w:r>
      <w:r>
        <w:rPr>
          <w:rFonts w:hint="eastAsia"/>
          <w:color w:val="000000" w:themeColor="text1"/>
          <w:kern w:val="0"/>
          <w:sz w:val="24"/>
          <w:szCs w:val="24"/>
        </w:rPr>
        <w:t>。</w:t>
      </w:r>
    </w:p>
    <w:p w14:paraId="7D6ADD57" w14:textId="77777777" w:rsidR="002E0859" w:rsidRDefault="00000000">
      <w:pPr>
        <w:spacing w:line="360" w:lineRule="auto"/>
        <w:ind w:firstLine="480"/>
        <w:rPr>
          <w:color w:val="000000" w:themeColor="text1"/>
          <w:kern w:val="0"/>
          <w:sz w:val="24"/>
          <w:szCs w:val="24"/>
          <w:lang w:eastAsia="en-US"/>
        </w:rPr>
      </w:pPr>
      <w:r>
        <w:rPr>
          <w:rFonts w:ascii="宋体" w:hAnsi="宋体" w:cs="宋体" w:hint="eastAsia"/>
          <w:color w:val="000000" w:themeColor="text1"/>
          <w:kern w:val="0"/>
          <w:sz w:val="24"/>
          <w:szCs w:val="24"/>
          <w:lang w:eastAsia="en-US"/>
        </w:rPr>
        <w:t>③</w:t>
      </w:r>
      <w:r>
        <w:rPr>
          <w:color w:val="000000" w:themeColor="text1"/>
          <w:kern w:val="0"/>
          <w:sz w:val="24"/>
          <w:szCs w:val="24"/>
          <w:lang w:eastAsia="en-US"/>
        </w:rPr>
        <w:t>电驱压裂车组用电：</w:t>
      </w:r>
    </w:p>
    <w:p w14:paraId="07BA3D62"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压裂时，</w:t>
      </w:r>
      <w:r>
        <w:rPr>
          <w:color w:val="000000" w:themeColor="text1"/>
          <w:kern w:val="0"/>
          <w:sz w:val="24"/>
          <w:szCs w:val="24"/>
          <w:lang w:eastAsia="en-US"/>
        </w:rPr>
        <w:t>1</w:t>
      </w:r>
      <w:r>
        <w:rPr>
          <w:color w:val="000000" w:themeColor="text1"/>
          <w:kern w:val="0"/>
          <w:sz w:val="24"/>
          <w:szCs w:val="24"/>
          <w:lang w:eastAsia="en-US"/>
        </w:rPr>
        <w:t>口井每天压裂</w:t>
      </w:r>
      <w:r>
        <w:rPr>
          <w:color w:val="000000" w:themeColor="text1"/>
          <w:kern w:val="0"/>
          <w:sz w:val="24"/>
          <w:szCs w:val="24"/>
          <w:lang w:eastAsia="en-US"/>
        </w:rPr>
        <w:t>1</w:t>
      </w:r>
      <w:r>
        <w:rPr>
          <w:color w:val="000000" w:themeColor="text1"/>
          <w:kern w:val="0"/>
          <w:sz w:val="24"/>
          <w:szCs w:val="24"/>
          <w:lang w:eastAsia="en-US"/>
        </w:rPr>
        <w:t>～</w:t>
      </w:r>
      <w:r>
        <w:rPr>
          <w:color w:val="000000" w:themeColor="text1"/>
          <w:kern w:val="0"/>
          <w:sz w:val="24"/>
          <w:szCs w:val="24"/>
          <w:lang w:eastAsia="en-US"/>
        </w:rPr>
        <w:t>2</w:t>
      </w:r>
      <w:r>
        <w:rPr>
          <w:color w:val="000000" w:themeColor="text1"/>
          <w:kern w:val="0"/>
          <w:sz w:val="24"/>
          <w:szCs w:val="24"/>
          <w:lang w:eastAsia="en-US"/>
        </w:rPr>
        <w:t>段，需要</w:t>
      </w:r>
      <w:r>
        <w:rPr>
          <w:color w:val="000000" w:themeColor="text1"/>
          <w:kern w:val="0"/>
          <w:sz w:val="24"/>
          <w:szCs w:val="24"/>
          <w:lang w:eastAsia="en-US"/>
        </w:rPr>
        <w:t>10</w:t>
      </w:r>
      <w:r>
        <w:rPr>
          <w:color w:val="000000" w:themeColor="text1"/>
          <w:kern w:val="0"/>
          <w:sz w:val="24"/>
          <w:szCs w:val="24"/>
          <w:lang w:eastAsia="en-US"/>
        </w:rPr>
        <w:t>台</w:t>
      </w:r>
      <w:r>
        <w:rPr>
          <w:color w:val="000000" w:themeColor="text1"/>
          <w:kern w:val="0"/>
          <w:sz w:val="24"/>
          <w:szCs w:val="24"/>
          <w:lang w:eastAsia="en-US"/>
        </w:rPr>
        <w:t>5000</w:t>
      </w:r>
      <w:r>
        <w:rPr>
          <w:color w:val="000000" w:themeColor="text1"/>
          <w:kern w:val="0"/>
          <w:sz w:val="24"/>
          <w:szCs w:val="24"/>
          <w:lang w:eastAsia="en-US"/>
        </w:rPr>
        <w:t>马力电驱泵压裂车</w:t>
      </w:r>
      <w:r>
        <w:rPr>
          <w:rFonts w:hint="eastAsia"/>
          <w:color w:val="000000" w:themeColor="text1"/>
          <w:kern w:val="0"/>
          <w:sz w:val="24"/>
          <w:szCs w:val="24"/>
        </w:rPr>
        <w:t>（</w:t>
      </w:r>
      <w:r>
        <w:rPr>
          <w:color w:val="000000" w:themeColor="text1"/>
          <w:kern w:val="0"/>
          <w:sz w:val="24"/>
          <w:szCs w:val="24"/>
          <w:lang w:eastAsia="en-US"/>
        </w:rPr>
        <w:t>5000</w:t>
      </w:r>
      <w:r>
        <w:rPr>
          <w:color w:val="000000" w:themeColor="text1"/>
          <w:kern w:val="0"/>
          <w:sz w:val="24"/>
          <w:szCs w:val="24"/>
          <w:lang w:eastAsia="en-US"/>
        </w:rPr>
        <w:t>马力电驱泵压裂车电功率</w:t>
      </w:r>
      <w:r>
        <w:rPr>
          <w:color w:val="000000" w:themeColor="text1"/>
          <w:kern w:val="0"/>
          <w:sz w:val="24"/>
          <w:szCs w:val="24"/>
          <w:lang w:eastAsia="en-US"/>
        </w:rPr>
        <w:t>3300kW/</w:t>
      </w:r>
      <w:r>
        <w:rPr>
          <w:color w:val="000000" w:themeColor="text1"/>
          <w:kern w:val="0"/>
          <w:sz w:val="24"/>
          <w:szCs w:val="24"/>
          <w:lang w:eastAsia="en-US"/>
        </w:rPr>
        <w:t>台</w:t>
      </w:r>
      <w:r>
        <w:rPr>
          <w:rFonts w:hint="eastAsia"/>
          <w:color w:val="000000" w:themeColor="text1"/>
          <w:kern w:val="0"/>
          <w:sz w:val="24"/>
          <w:szCs w:val="24"/>
        </w:rPr>
        <w:t>）</w:t>
      </w:r>
      <w:r>
        <w:rPr>
          <w:color w:val="000000" w:themeColor="text1"/>
          <w:kern w:val="0"/>
          <w:sz w:val="24"/>
          <w:szCs w:val="24"/>
          <w:lang w:eastAsia="en-US"/>
        </w:rPr>
        <w:t>或</w:t>
      </w:r>
      <w:r>
        <w:rPr>
          <w:color w:val="000000" w:themeColor="text1"/>
          <w:kern w:val="0"/>
          <w:sz w:val="24"/>
          <w:szCs w:val="24"/>
          <w:lang w:eastAsia="en-US"/>
        </w:rPr>
        <w:t>20</w:t>
      </w:r>
      <w:r>
        <w:rPr>
          <w:color w:val="000000" w:themeColor="text1"/>
          <w:kern w:val="0"/>
          <w:sz w:val="24"/>
          <w:szCs w:val="24"/>
          <w:lang w:eastAsia="en-US"/>
        </w:rPr>
        <w:t>台</w:t>
      </w:r>
      <w:r>
        <w:rPr>
          <w:color w:val="000000" w:themeColor="text1"/>
          <w:kern w:val="0"/>
          <w:sz w:val="24"/>
          <w:szCs w:val="24"/>
          <w:lang w:eastAsia="en-US"/>
        </w:rPr>
        <w:t>2500</w:t>
      </w:r>
      <w:r>
        <w:rPr>
          <w:color w:val="000000" w:themeColor="text1"/>
          <w:kern w:val="0"/>
          <w:sz w:val="24"/>
          <w:szCs w:val="24"/>
          <w:lang w:eastAsia="en-US"/>
        </w:rPr>
        <w:t>马力常规水力压裂车组。用电负荷为：</w:t>
      </w:r>
      <w:r>
        <w:rPr>
          <w:color w:val="000000" w:themeColor="text1"/>
          <w:kern w:val="0"/>
          <w:sz w:val="24"/>
          <w:szCs w:val="24"/>
          <w:lang w:eastAsia="en-US"/>
        </w:rPr>
        <w:t>3300kW×10=33000kW</w:t>
      </w:r>
      <w:r>
        <w:rPr>
          <w:rFonts w:hint="eastAsia"/>
          <w:color w:val="000000" w:themeColor="text1"/>
          <w:kern w:val="0"/>
          <w:sz w:val="24"/>
          <w:szCs w:val="24"/>
        </w:rPr>
        <w:t>。</w:t>
      </w:r>
    </w:p>
    <w:p w14:paraId="0ED185F0"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由于单井压裂由江汉工程公司总包，采用单井费用一口价结算，因此本工程不考虑压裂供电。</w:t>
      </w:r>
    </w:p>
    <w:p w14:paraId="170BF78C"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供电现状</w:t>
      </w:r>
    </w:p>
    <w:p w14:paraId="4124618B"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color w:val="000000" w:themeColor="text1"/>
          <w:kern w:val="0"/>
          <w:sz w:val="24"/>
          <w:szCs w:val="24"/>
          <w:lang w:eastAsia="en-US"/>
        </w:rPr>
        <w:t>、气田电网现状</w:t>
      </w:r>
    </w:p>
    <w:p w14:paraId="2BBEE75E"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江东区块内有</w:t>
      </w:r>
      <w:r>
        <w:rPr>
          <w:color w:val="000000" w:themeColor="text1"/>
          <w:kern w:val="0"/>
          <w:sz w:val="24"/>
          <w:szCs w:val="24"/>
          <w:lang w:eastAsia="en-US"/>
        </w:rPr>
        <w:t>10kV</w:t>
      </w:r>
      <w:r>
        <w:rPr>
          <w:color w:val="000000" w:themeColor="text1"/>
          <w:kern w:val="0"/>
          <w:sz w:val="24"/>
          <w:szCs w:val="24"/>
          <w:lang w:eastAsia="en-US"/>
        </w:rPr>
        <w:t>江油一线、江油二线、江油三线、江油四线、江东一线，江东二线，</w:t>
      </w:r>
      <w:r>
        <w:rPr>
          <w:color w:val="000000" w:themeColor="text1"/>
          <w:kern w:val="0"/>
          <w:sz w:val="24"/>
          <w:szCs w:val="24"/>
          <w:lang w:eastAsia="en-US"/>
        </w:rPr>
        <w:t>35kV</w:t>
      </w:r>
      <w:r>
        <w:rPr>
          <w:color w:val="000000" w:themeColor="text1"/>
          <w:kern w:val="0"/>
          <w:sz w:val="24"/>
          <w:szCs w:val="24"/>
          <w:lang w:eastAsia="en-US"/>
        </w:rPr>
        <w:t>中原线。具体负荷如下：</w:t>
      </w:r>
    </w:p>
    <w:p w14:paraId="55BEBAC4"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2.8-2 </w:t>
      </w:r>
      <w:r>
        <w:rPr>
          <w:rFonts w:eastAsia="黑体"/>
          <w:color w:val="000000" w:themeColor="text1"/>
          <w:sz w:val="21"/>
          <w:szCs w:val="21"/>
          <w:lang w:eastAsia="en-US"/>
        </w:rPr>
        <w:t>气田电网现状表</w:t>
      </w:r>
    </w:p>
    <w:tbl>
      <w:tblPr>
        <w:tblStyle w:val="TableNormal"/>
        <w:tblW w:w="9757"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859"/>
        <w:gridCol w:w="963"/>
        <w:gridCol w:w="848"/>
        <w:gridCol w:w="851"/>
        <w:gridCol w:w="848"/>
        <w:gridCol w:w="5388"/>
      </w:tblGrid>
      <w:tr w:rsidR="002E0859" w14:paraId="400F48AD" w14:textId="77777777">
        <w:trPr>
          <w:trHeight w:val="23"/>
          <w:tblHeader/>
          <w:jc w:val="center"/>
        </w:trPr>
        <w:tc>
          <w:tcPr>
            <w:tcW w:w="859" w:type="dxa"/>
            <w:tcBorders>
              <w:tl2br w:val="nil"/>
              <w:tr2bl w:val="nil"/>
            </w:tcBorders>
            <w:vAlign w:val="center"/>
          </w:tcPr>
          <w:p w14:paraId="110FE53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变电站</w:t>
            </w:r>
          </w:p>
          <w:p w14:paraId="29D8698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名称</w:t>
            </w:r>
          </w:p>
        </w:tc>
        <w:tc>
          <w:tcPr>
            <w:tcW w:w="963" w:type="dxa"/>
            <w:tcBorders>
              <w:tl2br w:val="nil"/>
              <w:tr2bl w:val="nil"/>
            </w:tcBorders>
            <w:vAlign w:val="center"/>
          </w:tcPr>
          <w:p w14:paraId="6E55735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设备名称</w:t>
            </w:r>
          </w:p>
        </w:tc>
        <w:tc>
          <w:tcPr>
            <w:tcW w:w="848" w:type="dxa"/>
            <w:tcBorders>
              <w:tl2br w:val="nil"/>
              <w:tr2bl w:val="nil"/>
            </w:tcBorders>
            <w:vAlign w:val="center"/>
          </w:tcPr>
          <w:p w14:paraId="5F37219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最大供</w:t>
            </w:r>
            <w:r>
              <w:rPr>
                <w:snapToGrid w:val="0"/>
                <w:color w:val="000000" w:themeColor="text1"/>
                <w:spacing w:val="13"/>
                <w:kern w:val="0"/>
                <w:sz w:val="21"/>
                <w:szCs w:val="21"/>
                <w:lang w:eastAsia="en-US"/>
              </w:rPr>
              <w:t>电能力</w:t>
            </w:r>
            <w:r>
              <w:rPr>
                <w:snapToGrid w:val="0"/>
                <w:color w:val="000000" w:themeColor="text1"/>
                <w:spacing w:val="-6"/>
                <w:kern w:val="0"/>
                <w:sz w:val="21"/>
                <w:szCs w:val="21"/>
                <w:lang w:eastAsia="en-US"/>
              </w:rPr>
              <w:t>（</w:t>
            </w:r>
            <w:r>
              <w:rPr>
                <w:snapToGrid w:val="0"/>
                <w:color w:val="000000" w:themeColor="text1"/>
                <w:spacing w:val="-6"/>
                <w:kern w:val="0"/>
                <w:sz w:val="21"/>
                <w:szCs w:val="21"/>
                <w:lang w:eastAsia="en-US"/>
              </w:rPr>
              <w:t>kVA</w:t>
            </w:r>
            <w:r>
              <w:rPr>
                <w:snapToGrid w:val="0"/>
                <w:color w:val="000000" w:themeColor="text1"/>
                <w:spacing w:val="-6"/>
                <w:kern w:val="0"/>
                <w:sz w:val="21"/>
                <w:szCs w:val="21"/>
                <w:lang w:eastAsia="en-US"/>
              </w:rPr>
              <w:t>）</w:t>
            </w:r>
          </w:p>
        </w:tc>
        <w:tc>
          <w:tcPr>
            <w:tcW w:w="851" w:type="dxa"/>
            <w:tcBorders>
              <w:tl2br w:val="nil"/>
              <w:tr2bl w:val="nil"/>
            </w:tcBorders>
            <w:vAlign w:val="center"/>
          </w:tcPr>
          <w:p w14:paraId="61101B8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5"/>
                <w:kern w:val="0"/>
                <w:sz w:val="21"/>
                <w:szCs w:val="21"/>
                <w:lang w:eastAsia="en-US"/>
              </w:rPr>
              <w:t>已用</w:t>
            </w:r>
            <w:r>
              <w:rPr>
                <w:snapToGrid w:val="0"/>
                <w:color w:val="000000" w:themeColor="text1"/>
                <w:spacing w:val="4"/>
                <w:kern w:val="0"/>
                <w:sz w:val="21"/>
                <w:szCs w:val="21"/>
                <w:lang w:eastAsia="en-US"/>
              </w:rPr>
              <w:t>负荷</w:t>
            </w:r>
            <w:r>
              <w:rPr>
                <w:snapToGrid w:val="0"/>
                <w:color w:val="000000" w:themeColor="text1"/>
                <w:spacing w:val="-9"/>
                <w:kern w:val="0"/>
                <w:sz w:val="21"/>
                <w:szCs w:val="21"/>
                <w:lang w:eastAsia="en-US"/>
              </w:rPr>
              <w:t>(kVA)</w:t>
            </w:r>
          </w:p>
        </w:tc>
        <w:tc>
          <w:tcPr>
            <w:tcW w:w="848" w:type="dxa"/>
            <w:tcBorders>
              <w:tl2br w:val="nil"/>
              <w:tr2bl w:val="nil"/>
            </w:tcBorders>
            <w:vAlign w:val="center"/>
          </w:tcPr>
          <w:p w14:paraId="41FD186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剩余</w:t>
            </w:r>
            <w:r>
              <w:rPr>
                <w:snapToGrid w:val="0"/>
                <w:color w:val="000000" w:themeColor="text1"/>
                <w:spacing w:val="4"/>
                <w:kern w:val="0"/>
                <w:sz w:val="21"/>
                <w:szCs w:val="21"/>
                <w:lang w:eastAsia="en-US"/>
              </w:rPr>
              <w:t>负荷</w:t>
            </w:r>
            <w:r>
              <w:rPr>
                <w:snapToGrid w:val="0"/>
                <w:color w:val="000000" w:themeColor="text1"/>
                <w:spacing w:val="-9"/>
                <w:kern w:val="0"/>
                <w:sz w:val="21"/>
                <w:szCs w:val="21"/>
                <w:lang w:eastAsia="en-US"/>
              </w:rPr>
              <w:t>(kVA)</w:t>
            </w:r>
          </w:p>
        </w:tc>
        <w:tc>
          <w:tcPr>
            <w:tcW w:w="5388" w:type="dxa"/>
            <w:tcBorders>
              <w:tl2br w:val="nil"/>
              <w:tr2bl w:val="nil"/>
            </w:tcBorders>
            <w:vAlign w:val="center"/>
          </w:tcPr>
          <w:p w14:paraId="259E2C1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所供站点</w:t>
            </w:r>
          </w:p>
        </w:tc>
      </w:tr>
      <w:tr w:rsidR="002E0859" w14:paraId="2AB70498" w14:textId="77777777">
        <w:trPr>
          <w:trHeight w:val="23"/>
          <w:jc w:val="center"/>
        </w:trPr>
        <w:tc>
          <w:tcPr>
            <w:tcW w:w="859" w:type="dxa"/>
            <w:vMerge w:val="restart"/>
            <w:tcBorders>
              <w:tl2br w:val="nil"/>
              <w:tr2bl w:val="nil"/>
            </w:tcBorders>
            <w:vAlign w:val="center"/>
          </w:tcPr>
          <w:p w14:paraId="2563DD2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110kV</w:t>
            </w:r>
            <w:r>
              <w:rPr>
                <w:snapToGrid w:val="0"/>
                <w:color w:val="000000" w:themeColor="text1"/>
                <w:spacing w:val="-4"/>
                <w:kern w:val="0"/>
                <w:sz w:val="21"/>
                <w:szCs w:val="21"/>
                <w:lang w:eastAsia="en-US"/>
              </w:rPr>
              <w:t>江</w:t>
            </w:r>
          </w:p>
          <w:p w14:paraId="032805E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汉变电</w:t>
            </w:r>
          </w:p>
          <w:p w14:paraId="31761AA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站</w:t>
            </w:r>
          </w:p>
        </w:tc>
        <w:tc>
          <w:tcPr>
            <w:tcW w:w="963" w:type="dxa"/>
            <w:tcBorders>
              <w:tl2br w:val="nil"/>
              <w:tr2bl w:val="nil"/>
            </w:tcBorders>
            <w:vAlign w:val="center"/>
          </w:tcPr>
          <w:p w14:paraId="1AE9159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1#</w:t>
            </w:r>
            <w:r>
              <w:rPr>
                <w:snapToGrid w:val="0"/>
                <w:color w:val="000000" w:themeColor="text1"/>
                <w:spacing w:val="-6"/>
                <w:kern w:val="0"/>
                <w:sz w:val="21"/>
                <w:szCs w:val="21"/>
                <w:lang w:eastAsia="en-US"/>
              </w:rPr>
              <w:t>主变</w:t>
            </w:r>
            <w:r>
              <w:rPr>
                <w:snapToGrid w:val="0"/>
                <w:color w:val="000000" w:themeColor="text1"/>
                <w:spacing w:val="-4"/>
                <w:kern w:val="0"/>
                <w:sz w:val="21"/>
                <w:szCs w:val="21"/>
                <w:lang w:eastAsia="en-US"/>
              </w:rPr>
              <w:t>（</w:t>
            </w:r>
            <w:r>
              <w:rPr>
                <w:snapToGrid w:val="0"/>
                <w:color w:val="000000" w:themeColor="text1"/>
                <w:spacing w:val="-4"/>
                <w:kern w:val="0"/>
                <w:sz w:val="21"/>
                <w:szCs w:val="21"/>
                <w:lang w:eastAsia="en-US"/>
              </w:rPr>
              <w:t>20MVA</w:t>
            </w:r>
            <w:r>
              <w:rPr>
                <w:snapToGrid w:val="0"/>
                <w:color w:val="000000" w:themeColor="text1"/>
                <w:spacing w:val="-4"/>
                <w:kern w:val="0"/>
                <w:sz w:val="21"/>
                <w:szCs w:val="21"/>
                <w:lang w:eastAsia="en-US"/>
              </w:rPr>
              <w:t>）</w:t>
            </w:r>
          </w:p>
        </w:tc>
        <w:tc>
          <w:tcPr>
            <w:tcW w:w="848" w:type="dxa"/>
            <w:tcBorders>
              <w:tl2br w:val="nil"/>
              <w:tr2bl w:val="nil"/>
            </w:tcBorders>
            <w:vAlign w:val="center"/>
          </w:tcPr>
          <w:p w14:paraId="7AEE370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20000</w:t>
            </w:r>
          </w:p>
        </w:tc>
        <w:tc>
          <w:tcPr>
            <w:tcW w:w="851" w:type="dxa"/>
            <w:tcBorders>
              <w:tl2br w:val="nil"/>
              <w:tr2bl w:val="nil"/>
            </w:tcBorders>
            <w:vAlign w:val="center"/>
          </w:tcPr>
          <w:p w14:paraId="1FC27E2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备用</w:t>
            </w:r>
          </w:p>
        </w:tc>
        <w:tc>
          <w:tcPr>
            <w:tcW w:w="848" w:type="dxa"/>
            <w:tcBorders>
              <w:tl2br w:val="nil"/>
              <w:tr2bl w:val="nil"/>
            </w:tcBorders>
            <w:vAlign w:val="center"/>
          </w:tcPr>
          <w:p w14:paraId="036DAFC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备用</w:t>
            </w:r>
          </w:p>
        </w:tc>
        <w:tc>
          <w:tcPr>
            <w:tcW w:w="5388" w:type="dxa"/>
            <w:tcBorders>
              <w:tl2br w:val="nil"/>
              <w:tr2bl w:val="nil"/>
            </w:tcBorders>
            <w:vAlign w:val="center"/>
          </w:tcPr>
          <w:p w14:paraId="21FE0FF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7BFE75B" w14:textId="77777777">
        <w:trPr>
          <w:trHeight w:val="23"/>
          <w:jc w:val="center"/>
        </w:trPr>
        <w:tc>
          <w:tcPr>
            <w:tcW w:w="859" w:type="dxa"/>
            <w:vMerge/>
            <w:tcBorders>
              <w:tl2br w:val="nil"/>
              <w:tr2bl w:val="nil"/>
            </w:tcBorders>
            <w:vAlign w:val="center"/>
          </w:tcPr>
          <w:p w14:paraId="4A3805D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62452C5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w:t>
            </w:r>
            <w:r>
              <w:rPr>
                <w:snapToGrid w:val="0"/>
                <w:color w:val="000000" w:themeColor="text1"/>
                <w:spacing w:val="-2"/>
                <w:kern w:val="0"/>
                <w:sz w:val="21"/>
                <w:szCs w:val="21"/>
                <w:lang w:eastAsia="en-US"/>
              </w:rPr>
              <w:t>主变</w:t>
            </w:r>
            <w:r>
              <w:rPr>
                <w:snapToGrid w:val="0"/>
                <w:color w:val="000000" w:themeColor="text1"/>
                <w:spacing w:val="-4"/>
                <w:kern w:val="0"/>
                <w:sz w:val="21"/>
                <w:szCs w:val="21"/>
                <w:lang w:eastAsia="en-US"/>
              </w:rPr>
              <w:t>（</w:t>
            </w:r>
            <w:r>
              <w:rPr>
                <w:snapToGrid w:val="0"/>
                <w:color w:val="000000" w:themeColor="text1"/>
                <w:spacing w:val="-4"/>
                <w:kern w:val="0"/>
                <w:sz w:val="21"/>
                <w:szCs w:val="21"/>
                <w:lang w:eastAsia="en-US"/>
              </w:rPr>
              <w:t>20MVA</w:t>
            </w:r>
            <w:r>
              <w:rPr>
                <w:snapToGrid w:val="0"/>
                <w:color w:val="000000" w:themeColor="text1"/>
                <w:spacing w:val="-4"/>
                <w:kern w:val="0"/>
                <w:sz w:val="21"/>
                <w:szCs w:val="21"/>
                <w:lang w:eastAsia="en-US"/>
              </w:rPr>
              <w:t>）</w:t>
            </w:r>
          </w:p>
        </w:tc>
        <w:tc>
          <w:tcPr>
            <w:tcW w:w="848" w:type="dxa"/>
            <w:tcBorders>
              <w:tl2br w:val="nil"/>
              <w:tr2bl w:val="nil"/>
            </w:tcBorders>
            <w:vAlign w:val="center"/>
          </w:tcPr>
          <w:p w14:paraId="12C430D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20000</w:t>
            </w:r>
          </w:p>
        </w:tc>
        <w:tc>
          <w:tcPr>
            <w:tcW w:w="851" w:type="dxa"/>
            <w:tcBorders>
              <w:tl2br w:val="nil"/>
              <w:tr2bl w:val="nil"/>
            </w:tcBorders>
            <w:vAlign w:val="center"/>
          </w:tcPr>
          <w:p w14:paraId="0B92C3B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13800</w:t>
            </w:r>
          </w:p>
        </w:tc>
        <w:tc>
          <w:tcPr>
            <w:tcW w:w="848" w:type="dxa"/>
            <w:tcBorders>
              <w:tl2br w:val="nil"/>
              <w:tr2bl w:val="nil"/>
            </w:tcBorders>
            <w:vAlign w:val="center"/>
          </w:tcPr>
          <w:p w14:paraId="186BC10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6200</w:t>
            </w:r>
          </w:p>
        </w:tc>
        <w:tc>
          <w:tcPr>
            <w:tcW w:w="5388" w:type="dxa"/>
            <w:tcBorders>
              <w:tl2br w:val="nil"/>
              <w:tr2bl w:val="nil"/>
            </w:tcBorders>
            <w:vAlign w:val="center"/>
          </w:tcPr>
          <w:p w14:paraId="78D969E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3F792FBC" w14:textId="77777777">
        <w:trPr>
          <w:trHeight w:val="23"/>
          <w:jc w:val="center"/>
        </w:trPr>
        <w:tc>
          <w:tcPr>
            <w:tcW w:w="859" w:type="dxa"/>
            <w:vMerge/>
            <w:tcBorders>
              <w:tl2br w:val="nil"/>
              <w:tr2bl w:val="nil"/>
            </w:tcBorders>
            <w:vAlign w:val="center"/>
          </w:tcPr>
          <w:p w14:paraId="281B696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3EA731A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p>
          <w:p w14:paraId="2F28344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江油一线</w:t>
            </w:r>
          </w:p>
        </w:tc>
        <w:tc>
          <w:tcPr>
            <w:tcW w:w="848" w:type="dxa"/>
            <w:tcBorders>
              <w:tl2br w:val="nil"/>
              <w:tr2bl w:val="nil"/>
            </w:tcBorders>
            <w:vAlign w:val="center"/>
          </w:tcPr>
          <w:p w14:paraId="346A372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4800</w:t>
            </w:r>
          </w:p>
        </w:tc>
        <w:tc>
          <w:tcPr>
            <w:tcW w:w="851" w:type="dxa"/>
            <w:tcBorders>
              <w:tl2br w:val="nil"/>
              <w:tr2bl w:val="nil"/>
            </w:tcBorders>
            <w:vAlign w:val="center"/>
          </w:tcPr>
          <w:p w14:paraId="69D27ED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2600</w:t>
            </w:r>
          </w:p>
        </w:tc>
        <w:tc>
          <w:tcPr>
            <w:tcW w:w="848" w:type="dxa"/>
            <w:tcBorders>
              <w:tl2br w:val="nil"/>
              <w:tr2bl w:val="nil"/>
            </w:tcBorders>
            <w:vAlign w:val="center"/>
          </w:tcPr>
          <w:p w14:paraId="4B59471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2200</w:t>
            </w:r>
          </w:p>
        </w:tc>
        <w:tc>
          <w:tcPr>
            <w:tcW w:w="5388" w:type="dxa"/>
            <w:tcBorders>
              <w:tl2br w:val="nil"/>
              <w:tr2bl w:val="nil"/>
            </w:tcBorders>
            <w:vAlign w:val="center"/>
          </w:tcPr>
          <w:p w14:paraId="3B0810C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27#</w:t>
            </w:r>
            <w:r>
              <w:rPr>
                <w:snapToGrid w:val="0"/>
                <w:color w:val="000000" w:themeColor="text1"/>
                <w:spacing w:val="-2"/>
                <w:kern w:val="0"/>
                <w:sz w:val="21"/>
                <w:szCs w:val="21"/>
                <w:lang w:eastAsia="en-US"/>
              </w:rPr>
              <w:t>东平台、</w:t>
            </w:r>
            <w:r>
              <w:rPr>
                <w:snapToGrid w:val="0"/>
                <w:color w:val="000000" w:themeColor="text1"/>
                <w:spacing w:val="-2"/>
                <w:kern w:val="0"/>
                <w:sz w:val="21"/>
                <w:szCs w:val="21"/>
                <w:lang w:eastAsia="en-US"/>
              </w:rPr>
              <w:t>28#</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29#</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32#</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30#</w:t>
            </w:r>
            <w:r>
              <w:rPr>
                <w:snapToGrid w:val="0"/>
                <w:color w:val="000000" w:themeColor="text1"/>
                <w:spacing w:val="-2"/>
                <w:kern w:val="0"/>
                <w:sz w:val="21"/>
                <w:szCs w:val="21"/>
                <w:lang w:eastAsia="en-US"/>
              </w:rPr>
              <w:t>东平台、</w:t>
            </w:r>
            <w:r>
              <w:rPr>
                <w:snapToGrid w:val="0"/>
                <w:color w:val="000000" w:themeColor="text1"/>
                <w:spacing w:val="-2"/>
                <w:kern w:val="0"/>
                <w:sz w:val="21"/>
                <w:szCs w:val="21"/>
                <w:lang w:eastAsia="en-US"/>
              </w:rPr>
              <w:t>42</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3#</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17#</w:t>
            </w:r>
            <w:r>
              <w:rPr>
                <w:snapToGrid w:val="0"/>
                <w:color w:val="000000" w:themeColor="text1"/>
                <w:spacing w:val="-3"/>
                <w:kern w:val="0"/>
                <w:sz w:val="21"/>
                <w:szCs w:val="21"/>
                <w:lang w:eastAsia="en-US"/>
              </w:rPr>
              <w:t>泥</w:t>
            </w:r>
            <w:r>
              <w:rPr>
                <w:snapToGrid w:val="0"/>
                <w:color w:val="000000" w:themeColor="text1"/>
                <w:spacing w:val="-8"/>
                <w:kern w:val="0"/>
                <w:sz w:val="21"/>
                <w:szCs w:val="21"/>
                <w:lang w:eastAsia="en-US"/>
              </w:rPr>
              <w:t>浆站、</w:t>
            </w:r>
            <w:r>
              <w:rPr>
                <w:snapToGrid w:val="0"/>
                <w:color w:val="000000" w:themeColor="text1"/>
                <w:spacing w:val="-8"/>
                <w:kern w:val="0"/>
                <w:sz w:val="21"/>
                <w:szCs w:val="21"/>
                <w:lang w:eastAsia="en-US"/>
              </w:rPr>
              <w:t>17#</w:t>
            </w:r>
            <w:r>
              <w:rPr>
                <w:snapToGrid w:val="0"/>
                <w:color w:val="000000" w:themeColor="text1"/>
                <w:spacing w:val="-8"/>
                <w:kern w:val="0"/>
                <w:sz w:val="21"/>
                <w:szCs w:val="21"/>
                <w:lang w:eastAsia="en-US"/>
              </w:rPr>
              <w:t>平台、</w:t>
            </w:r>
            <w:r>
              <w:rPr>
                <w:snapToGrid w:val="0"/>
                <w:color w:val="000000" w:themeColor="text1"/>
                <w:spacing w:val="-8"/>
                <w:kern w:val="0"/>
                <w:sz w:val="21"/>
                <w:szCs w:val="21"/>
                <w:lang w:eastAsia="en-US"/>
              </w:rPr>
              <w:t>16#</w:t>
            </w:r>
            <w:r>
              <w:rPr>
                <w:snapToGrid w:val="0"/>
                <w:color w:val="000000" w:themeColor="text1"/>
                <w:spacing w:val="-8"/>
                <w:kern w:val="0"/>
                <w:sz w:val="21"/>
                <w:szCs w:val="21"/>
                <w:lang w:eastAsia="en-US"/>
              </w:rPr>
              <w:t>、</w:t>
            </w:r>
            <w:r>
              <w:rPr>
                <w:snapToGrid w:val="0"/>
                <w:color w:val="000000" w:themeColor="text1"/>
                <w:spacing w:val="-8"/>
                <w:kern w:val="0"/>
                <w:sz w:val="21"/>
                <w:szCs w:val="21"/>
                <w:lang w:eastAsia="en-US"/>
              </w:rPr>
              <w:t>33#</w:t>
            </w:r>
            <w:r>
              <w:rPr>
                <w:snapToGrid w:val="0"/>
                <w:color w:val="000000" w:themeColor="text1"/>
                <w:spacing w:val="-8"/>
                <w:kern w:val="0"/>
                <w:sz w:val="21"/>
                <w:szCs w:val="21"/>
                <w:lang w:eastAsia="en-US"/>
              </w:rPr>
              <w:t>平台、</w:t>
            </w:r>
            <w:r>
              <w:rPr>
                <w:snapToGrid w:val="0"/>
                <w:color w:val="000000" w:themeColor="text1"/>
                <w:spacing w:val="-8"/>
                <w:kern w:val="0"/>
                <w:sz w:val="21"/>
                <w:szCs w:val="21"/>
                <w:lang w:eastAsia="en-US"/>
              </w:rPr>
              <w:t>31#</w:t>
            </w:r>
            <w:r>
              <w:rPr>
                <w:snapToGrid w:val="0"/>
                <w:color w:val="000000" w:themeColor="text1"/>
                <w:spacing w:val="-8"/>
                <w:kern w:val="0"/>
                <w:sz w:val="21"/>
                <w:szCs w:val="21"/>
                <w:lang w:eastAsia="en-US"/>
              </w:rPr>
              <w:t>集气站</w:t>
            </w:r>
          </w:p>
        </w:tc>
      </w:tr>
      <w:tr w:rsidR="002E0859" w14:paraId="6F206DC6" w14:textId="77777777">
        <w:trPr>
          <w:trHeight w:val="23"/>
          <w:jc w:val="center"/>
        </w:trPr>
        <w:tc>
          <w:tcPr>
            <w:tcW w:w="859" w:type="dxa"/>
            <w:vMerge/>
            <w:tcBorders>
              <w:tl2br w:val="nil"/>
              <w:tr2bl w:val="nil"/>
            </w:tcBorders>
            <w:vAlign w:val="center"/>
          </w:tcPr>
          <w:p w14:paraId="2729200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6FBE997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p>
          <w:p w14:paraId="7E132E4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江油二线</w:t>
            </w:r>
          </w:p>
        </w:tc>
        <w:tc>
          <w:tcPr>
            <w:tcW w:w="848" w:type="dxa"/>
            <w:tcBorders>
              <w:tl2br w:val="nil"/>
              <w:tr2bl w:val="nil"/>
            </w:tcBorders>
            <w:vAlign w:val="center"/>
          </w:tcPr>
          <w:p w14:paraId="40E3E40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4800</w:t>
            </w:r>
          </w:p>
        </w:tc>
        <w:tc>
          <w:tcPr>
            <w:tcW w:w="851" w:type="dxa"/>
            <w:tcBorders>
              <w:tl2br w:val="nil"/>
              <w:tr2bl w:val="nil"/>
            </w:tcBorders>
            <w:vAlign w:val="center"/>
          </w:tcPr>
          <w:p w14:paraId="01AF2F2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4300</w:t>
            </w:r>
          </w:p>
        </w:tc>
        <w:tc>
          <w:tcPr>
            <w:tcW w:w="848" w:type="dxa"/>
            <w:tcBorders>
              <w:tl2br w:val="nil"/>
              <w:tr2bl w:val="nil"/>
            </w:tcBorders>
            <w:vAlign w:val="center"/>
          </w:tcPr>
          <w:p w14:paraId="38B1439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500</w:t>
            </w:r>
          </w:p>
        </w:tc>
        <w:tc>
          <w:tcPr>
            <w:tcW w:w="5388" w:type="dxa"/>
            <w:tcBorders>
              <w:tl2br w:val="nil"/>
              <w:tr2bl w:val="nil"/>
            </w:tcBorders>
            <w:vAlign w:val="center"/>
          </w:tcPr>
          <w:p w14:paraId="0379B4F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1"/>
                <w:kern w:val="0"/>
                <w:sz w:val="21"/>
                <w:szCs w:val="21"/>
                <w:lang w:eastAsia="en-US"/>
              </w:rPr>
              <w:t>27#</w:t>
            </w:r>
            <w:r>
              <w:rPr>
                <w:snapToGrid w:val="0"/>
                <w:color w:val="000000" w:themeColor="text1"/>
                <w:spacing w:val="-11"/>
                <w:kern w:val="0"/>
                <w:sz w:val="21"/>
                <w:szCs w:val="21"/>
                <w:lang w:eastAsia="en-US"/>
              </w:rPr>
              <w:t>、</w:t>
            </w:r>
            <w:r>
              <w:rPr>
                <w:snapToGrid w:val="0"/>
                <w:color w:val="000000" w:themeColor="text1"/>
                <w:spacing w:val="-11"/>
                <w:kern w:val="0"/>
                <w:sz w:val="21"/>
                <w:szCs w:val="21"/>
                <w:lang w:eastAsia="en-US"/>
              </w:rPr>
              <w:t>21#</w:t>
            </w:r>
            <w:r>
              <w:rPr>
                <w:snapToGrid w:val="0"/>
                <w:color w:val="000000" w:themeColor="text1"/>
                <w:spacing w:val="-11"/>
                <w:kern w:val="0"/>
                <w:sz w:val="21"/>
                <w:szCs w:val="21"/>
                <w:lang w:eastAsia="en-US"/>
              </w:rPr>
              <w:t>、</w:t>
            </w:r>
            <w:r>
              <w:rPr>
                <w:snapToGrid w:val="0"/>
                <w:color w:val="000000" w:themeColor="text1"/>
                <w:spacing w:val="-11"/>
                <w:kern w:val="0"/>
                <w:sz w:val="21"/>
                <w:szCs w:val="21"/>
                <w:lang w:eastAsia="en-US"/>
              </w:rPr>
              <w:t>21#</w:t>
            </w:r>
            <w:r>
              <w:rPr>
                <w:snapToGrid w:val="0"/>
                <w:color w:val="000000" w:themeColor="text1"/>
                <w:spacing w:val="-11"/>
                <w:kern w:val="0"/>
                <w:sz w:val="21"/>
                <w:szCs w:val="21"/>
                <w:lang w:eastAsia="en-US"/>
              </w:rPr>
              <w:t>西平台、</w:t>
            </w:r>
            <w:r>
              <w:rPr>
                <w:snapToGrid w:val="0"/>
                <w:color w:val="000000" w:themeColor="text1"/>
                <w:spacing w:val="-11"/>
                <w:kern w:val="0"/>
                <w:sz w:val="21"/>
                <w:szCs w:val="21"/>
                <w:lang w:eastAsia="en-US"/>
              </w:rPr>
              <w:t>22#</w:t>
            </w:r>
            <w:r>
              <w:rPr>
                <w:snapToGrid w:val="0"/>
                <w:color w:val="000000" w:themeColor="text1"/>
                <w:spacing w:val="-11"/>
                <w:kern w:val="0"/>
                <w:sz w:val="21"/>
                <w:szCs w:val="21"/>
                <w:lang w:eastAsia="en-US"/>
              </w:rPr>
              <w:t>平台、</w:t>
            </w:r>
            <w:r>
              <w:rPr>
                <w:snapToGrid w:val="0"/>
                <w:color w:val="000000" w:themeColor="text1"/>
                <w:spacing w:val="-11"/>
                <w:kern w:val="0"/>
                <w:sz w:val="21"/>
                <w:szCs w:val="21"/>
                <w:lang w:eastAsia="en-US"/>
              </w:rPr>
              <w:t>23#</w:t>
            </w:r>
            <w:r>
              <w:rPr>
                <w:snapToGrid w:val="0"/>
                <w:color w:val="000000" w:themeColor="text1"/>
                <w:spacing w:val="-11"/>
                <w:kern w:val="0"/>
                <w:sz w:val="21"/>
                <w:szCs w:val="21"/>
                <w:lang w:eastAsia="en-US"/>
              </w:rPr>
              <w:t>、</w:t>
            </w:r>
            <w:r>
              <w:rPr>
                <w:snapToGrid w:val="0"/>
                <w:color w:val="000000" w:themeColor="text1"/>
                <w:spacing w:val="-11"/>
                <w:kern w:val="0"/>
                <w:sz w:val="21"/>
                <w:szCs w:val="21"/>
                <w:lang w:eastAsia="en-US"/>
              </w:rPr>
              <w:t>23#</w:t>
            </w:r>
            <w:r>
              <w:rPr>
                <w:snapToGrid w:val="0"/>
                <w:color w:val="000000" w:themeColor="text1"/>
                <w:spacing w:val="-12"/>
                <w:kern w:val="0"/>
                <w:sz w:val="21"/>
                <w:szCs w:val="21"/>
                <w:lang w:eastAsia="en-US"/>
              </w:rPr>
              <w:t>东、</w:t>
            </w:r>
            <w:r>
              <w:rPr>
                <w:snapToGrid w:val="0"/>
                <w:color w:val="000000" w:themeColor="text1"/>
                <w:spacing w:val="-12"/>
                <w:kern w:val="0"/>
                <w:sz w:val="21"/>
                <w:szCs w:val="21"/>
                <w:lang w:eastAsia="en-US"/>
              </w:rPr>
              <w:t>23#</w:t>
            </w:r>
            <w:r>
              <w:rPr>
                <w:snapToGrid w:val="0"/>
                <w:color w:val="000000" w:themeColor="text1"/>
                <w:spacing w:val="-12"/>
                <w:kern w:val="0"/>
                <w:sz w:val="21"/>
                <w:szCs w:val="21"/>
                <w:lang w:eastAsia="en-US"/>
              </w:rPr>
              <w:t>北平台、</w:t>
            </w:r>
            <w:r>
              <w:rPr>
                <w:snapToGrid w:val="0"/>
                <w:color w:val="000000" w:themeColor="text1"/>
                <w:spacing w:val="-13"/>
                <w:kern w:val="0"/>
                <w:sz w:val="21"/>
                <w:szCs w:val="21"/>
                <w:lang w:eastAsia="en-US"/>
              </w:rPr>
              <w:t>2#</w:t>
            </w:r>
            <w:r>
              <w:rPr>
                <w:snapToGrid w:val="0"/>
                <w:color w:val="000000" w:themeColor="text1"/>
                <w:spacing w:val="-13"/>
                <w:kern w:val="0"/>
                <w:sz w:val="21"/>
                <w:szCs w:val="21"/>
                <w:lang w:eastAsia="en-US"/>
              </w:rPr>
              <w:t>、</w:t>
            </w:r>
            <w:r>
              <w:rPr>
                <w:snapToGrid w:val="0"/>
                <w:color w:val="000000" w:themeColor="text1"/>
                <w:spacing w:val="-13"/>
                <w:kern w:val="0"/>
                <w:sz w:val="21"/>
                <w:szCs w:val="21"/>
                <w:lang w:eastAsia="en-US"/>
              </w:rPr>
              <w:t>2#</w:t>
            </w:r>
            <w:r>
              <w:rPr>
                <w:snapToGrid w:val="0"/>
                <w:color w:val="000000" w:themeColor="text1"/>
                <w:spacing w:val="-13"/>
                <w:kern w:val="0"/>
                <w:sz w:val="21"/>
                <w:szCs w:val="21"/>
                <w:lang w:eastAsia="en-US"/>
              </w:rPr>
              <w:t>东、</w:t>
            </w:r>
            <w:r>
              <w:rPr>
                <w:snapToGrid w:val="0"/>
                <w:color w:val="000000" w:themeColor="text1"/>
                <w:spacing w:val="-13"/>
                <w:kern w:val="0"/>
                <w:sz w:val="21"/>
                <w:szCs w:val="21"/>
                <w:lang w:eastAsia="en-US"/>
              </w:rPr>
              <w:t>13#</w:t>
            </w:r>
            <w:r>
              <w:rPr>
                <w:snapToGrid w:val="0"/>
                <w:color w:val="000000" w:themeColor="text1"/>
                <w:spacing w:val="-13"/>
                <w:kern w:val="0"/>
                <w:sz w:val="21"/>
                <w:szCs w:val="21"/>
                <w:lang w:eastAsia="en-US"/>
              </w:rPr>
              <w:t>增压、</w:t>
            </w:r>
            <w:r>
              <w:rPr>
                <w:snapToGrid w:val="0"/>
                <w:color w:val="000000" w:themeColor="text1"/>
                <w:spacing w:val="-13"/>
                <w:kern w:val="0"/>
                <w:sz w:val="21"/>
                <w:szCs w:val="21"/>
                <w:lang w:eastAsia="en-US"/>
              </w:rPr>
              <w:t>13#</w:t>
            </w:r>
            <w:r>
              <w:rPr>
                <w:snapToGrid w:val="0"/>
                <w:color w:val="000000" w:themeColor="text1"/>
                <w:spacing w:val="-13"/>
                <w:kern w:val="0"/>
                <w:sz w:val="21"/>
                <w:szCs w:val="21"/>
                <w:lang w:eastAsia="en-US"/>
              </w:rPr>
              <w:t>东平台、</w:t>
            </w:r>
            <w:r>
              <w:rPr>
                <w:snapToGrid w:val="0"/>
                <w:color w:val="000000" w:themeColor="text1"/>
                <w:spacing w:val="-13"/>
                <w:kern w:val="0"/>
                <w:sz w:val="21"/>
                <w:szCs w:val="21"/>
                <w:lang w:eastAsia="en-US"/>
              </w:rPr>
              <w:t>13#</w:t>
            </w:r>
            <w:r>
              <w:rPr>
                <w:snapToGrid w:val="0"/>
                <w:color w:val="000000" w:themeColor="text1"/>
                <w:spacing w:val="-13"/>
                <w:kern w:val="0"/>
                <w:sz w:val="21"/>
                <w:szCs w:val="21"/>
                <w:lang w:eastAsia="en-US"/>
              </w:rPr>
              <w:t>、</w:t>
            </w:r>
            <w:r>
              <w:rPr>
                <w:snapToGrid w:val="0"/>
                <w:color w:val="000000" w:themeColor="text1"/>
                <w:spacing w:val="-13"/>
                <w:kern w:val="0"/>
                <w:sz w:val="21"/>
                <w:szCs w:val="21"/>
                <w:lang w:eastAsia="en-US"/>
              </w:rPr>
              <w:t>11#</w:t>
            </w:r>
            <w:r>
              <w:rPr>
                <w:snapToGrid w:val="0"/>
                <w:color w:val="000000" w:themeColor="text1"/>
                <w:spacing w:val="-13"/>
                <w:kern w:val="0"/>
                <w:sz w:val="21"/>
                <w:szCs w:val="21"/>
                <w:lang w:eastAsia="en-US"/>
              </w:rPr>
              <w:t>西平台、二级泵</w:t>
            </w:r>
            <w:r>
              <w:rPr>
                <w:snapToGrid w:val="0"/>
                <w:color w:val="000000" w:themeColor="text1"/>
                <w:spacing w:val="-12"/>
                <w:kern w:val="0"/>
                <w:sz w:val="21"/>
                <w:szCs w:val="21"/>
                <w:lang w:eastAsia="en-US"/>
              </w:rPr>
              <w:t>站、</w:t>
            </w:r>
            <w:r>
              <w:rPr>
                <w:snapToGrid w:val="0"/>
                <w:color w:val="000000" w:themeColor="text1"/>
                <w:spacing w:val="-12"/>
                <w:kern w:val="0"/>
                <w:sz w:val="21"/>
                <w:szCs w:val="21"/>
                <w:lang w:eastAsia="en-US"/>
              </w:rPr>
              <w:t>11#</w:t>
            </w:r>
            <w:r>
              <w:rPr>
                <w:snapToGrid w:val="0"/>
                <w:color w:val="000000" w:themeColor="text1"/>
                <w:spacing w:val="-12"/>
                <w:kern w:val="0"/>
                <w:sz w:val="21"/>
                <w:szCs w:val="21"/>
                <w:lang w:eastAsia="en-US"/>
              </w:rPr>
              <w:t>、</w:t>
            </w:r>
            <w:r>
              <w:rPr>
                <w:snapToGrid w:val="0"/>
                <w:color w:val="000000" w:themeColor="text1"/>
                <w:spacing w:val="-12"/>
                <w:kern w:val="0"/>
                <w:sz w:val="21"/>
                <w:szCs w:val="21"/>
                <w:lang w:eastAsia="en-US"/>
              </w:rPr>
              <w:t>11#</w:t>
            </w:r>
            <w:r>
              <w:rPr>
                <w:snapToGrid w:val="0"/>
                <w:color w:val="000000" w:themeColor="text1"/>
                <w:spacing w:val="-12"/>
                <w:kern w:val="0"/>
                <w:sz w:val="21"/>
                <w:szCs w:val="21"/>
                <w:lang w:eastAsia="en-US"/>
              </w:rPr>
              <w:t>北、</w:t>
            </w:r>
            <w:r>
              <w:rPr>
                <w:snapToGrid w:val="0"/>
                <w:color w:val="000000" w:themeColor="text1"/>
                <w:spacing w:val="-12"/>
                <w:kern w:val="0"/>
                <w:sz w:val="21"/>
                <w:szCs w:val="21"/>
                <w:lang w:eastAsia="en-US"/>
              </w:rPr>
              <w:t>11#</w:t>
            </w:r>
            <w:r>
              <w:rPr>
                <w:snapToGrid w:val="0"/>
                <w:color w:val="000000" w:themeColor="text1"/>
                <w:spacing w:val="-12"/>
                <w:kern w:val="0"/>
                <w:sz w:val="21"/>
                <w:szCs w:val="21"/>
                <w:lang w:eastAsia="en-US"/>
              </w:rPr>
              <w:t>东、</w:t>
            </w:r>
            <w:r>
              <w:rPr>
                <w:snapToGrid w:val="0"/>
                <w:color w:val="000000" w:themeColor="text1"/>
                <w:spacing w:val="-12"/>
                <w:kern w:val="0"/>
                <w:sz w:val="21"/>
                <w:szCs w:val="21"/>
                <w:lang w:eastAsia="en-US"/>
              </w:rPr>
              <w:t>20#</w:t>
            </w:r>
            <w:r>
              <w:rPr>
                <w:snapToGrid w:val="0"/>
                <w:color w:val="000000" w:themeColor="text1"/>
                <w:spacing w:val="-12"/>
                <w:kern w:val="0"/>
                <w:sz w:val="21"/>
                <w:szCs w:val="21"/>
                <w:lang w:eastAsia="en-US"/>
              </w:rPr>
              <w:t>、</w:t>
            </w:r>
            <w:r>
              <w:rPr>
                <w:snapToGrid w:val="0"/>
                <w:color w:val="000000" w:themeColor="text1"/>
                <w:spacing w:val="-12"/>
                <w:kern w:val="0"/>
                <w:sz w:val="21"/>
                <w:szCs w:val="21"/>
                <w:lang w:eastAsia="en-US"/>
              </w:rPr>
              <w:t>9#</w:t>
            </w:r>
            <w:r>
              <w:rPr>
                <w:snapToGrid w:val="0"/>
                <w:color w:val="000000" w:themeColor="text1"/>
                <w:spacing w:val="-12"/>
                <w:kern w:val="0"/>
                <w:sz w:val="21"/>
                <w:szCs w:val="21"/>
                <w:lang w:eastAsia="en-US"/>
              </w:rPr>
              <w:t>西、</w:t>
            </w:r>
            <w:r>
              <w:rPr>
                <w:snapToGrid w:val="0"/>
                <w:color w:val="000000" w:themeColor="text1"/>
                <w:spacing w:val="-12"/>
                <w:kern w:val="0"/>
                <w:sz w:val="21"/>
                <w:szCs w:val="21"/>
                <w:lang w:eastAsia="en-US"/>
              </w:rPr>
              <w:t>1#</w:t>
            </w:r>
            <w:r>
              <w:rPr>
                <w:snapToGrid w:val="0"/>
                <w:color w:val="000000" w:themeColor="text1"/>
                <w:spacing w:val="-12"/>
                <w:kern w:val="0"/>
                <w:sz w:val="21"/>
                <w:szCs w:val="21"/>
                <w:lang w:eastAsia="en-US"/>
              </w:rPr>
              <w:t>阀室、</w:t>
            </w:r>
            <w:r>
              <w:rPr>
                <w:snapToGrid w:val="0"/>
                <w:color w:val="000000" w:themeColor="text1"/>
                <w:spacing w:val="-12"/>
                <w:kern w:val="0"/>
                <w:sz w:val="21"/>
                <w:szCs w:val="21"/>
                <w:lang w:eastAsia="en-US"/>
              </w:rPr>
              <w:t>30#</w:t>
            </w:r>
            <w:r>
              <w:rPr>
                <w:snapToGrid w:val="0"/>
                <w:color w:val="000000" w:themeColor="text1"/>
                <w:spacing w:val="-12"/>
                <w:kern w:val="0"/>
                <w:sz w:val="21"/>
                <w:szCs w:val="21"/>
                <w:lang w:eastAsia="en-US"/>
              </w:rPr>
              <w:t>集</w:t>
            </w:r>
            <w:r>
              <w:rPr>
                <w:snapToGrid w:val="0"/>
                <w:color w:val="000000" w:themeColor="text1"/>
                <w:spacing w:val="-13"/>
                <w:kern w:val="0"/>
                <w:sz w:val="21"/>
                <w:szCs w:val="21"/>
                <w:lang w:eastAsia="en-US"/>
              </w:rPr>
              <w:t>气站</w:t>
            </w:r>
          </w:p>
        </w:tc>
      </w:tr>
      <w:tr w:rsidR="002E0859" w14:paraId="2885ADD6" w14:textId="77777777">
        <w:trPr>
          <w:trHeight w:val="23"/>
          <w:jc w:val="center"/>
        </w:trPr>
        <w:tc>
          <w:tcPr>
            <w:tcW w:w="859" w:type="dxa"/>
            <w:vMerge/>
            <w:tcBorders>
              <w:tl2br w:val="nil"/>
              <w:tr2bl w:val="nil"/>
            </w:tcBorders>
            <w:vAlign w:val="center"/>
          </w:tcPr>
          <w:p w14:paraId="4A20436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52C6DDF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p>
          <w:p w14:paraId="323F6B1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江油三线</w:t>
            </w:r>
          </w:p>
        </w:tc>
        <w:tc>
          <w:tcPr>
            <w:tcW w:w="848" w:type="dxa"/>
            <w:tcBorders>
              <w:tl2br w:val="nil"/>
              <w:tr2bl w:val="nil"/>
            </w:tcBorders>
            <w:vAlign w:val="center"/>
          </w:tcPr>
          <w:p w14:paraId="45FBF09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4800</w:t>
            </w:r>
          </w:p>
        </w:tc>
        <w:tc>
          <w:tcPr>
            <w:tcW w:w="851" w:type="dxa"/>
            <w:tcBorders>
              <w:tl2br w:val="nil"/>
              <w:tr2bl w:val="nil"/>
            </w:tcBorders>
            <w:vAlign w:val="center"/>
          </w:tcPr>
          <w:p w14:paraId="6D4A13F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4000</w:t>
            </w:r>
          </w:p>
        </w:tc>
        <w:tc>
          <w:tcPr>
            <w:tcW w:w="848" w:type="dxa"/>
            <w:tcBorders>
              <w:tl2br w:val="nil"/>
              <w:tr2bl w:val="nil"/>
            </w:tcBorders>
            <w:vAlign w:val="center"/>
          </w:tcPr>
          <w:p w14:paraId="4DECEAA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800</w:t>
            </w:r>
          </w:p>
        </w:tc>
        <w:tc>
          <w:tcPr>
            <w:tcW w:w="5388" w:type="dxa"/>
            <w:tcBorders>
              <w:tl2br w:val="nil"/>
              <w:tr2bl w:val="nil"/>
            </w:tcBorders>
            <w:vAlign w:val="center"/>
          </w:tcPr>
          <w:p w14:paraId="14F2251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9"/>
                <w:kern w:val="0"/>
                <w:sz w:val="21"/>
                <w:szCs w:val="21"/>
                <w:lang w:eastAsia="en-US"/>
              </w:rPr>
              <w:t>39#</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39#</w:t>
            </w:r>
            <w:r>
              <w:rPr>
                <w:snapToGrid w:val="0"/>
                <w:color w:val="000000" w:themeColor="text1"/>
                <w:spacing w:val="-9"/>
                <w:kern w:val="0"/>
                <w:sz w:val="21"/>
                <w:szCs w:val="21"/>
                <w:lang w:eastAsia="en-US"/>
              </w:rPr>
              <w:t>东平台、</w:t>
            </w:r>
            <w:r>
              <w:rPr>
                <w:snapToGrid w:val="0"/>
                <w:color w:val="000000" w:themeColor="text1"/>
                <w:spacing w:val="-9"/>
                <w:kern w:val="0"/>
                <w:sz w:val="21"/>
                <w:szCs w:val="21"/>
                <w:lang w:eastAsia="en-US"/>
              </w:rPr>
              <w:t>39#</w:t>
            </w:r>
            <w:r>
              <w:rPr>
                <w:snapToGrid w:val="0"/>
                <w:color w:val="000000" w:themeColor="text1"/>
                <w:spacing w:val="-9"/>
                <w:kern w:val="0"/>
                <w:sz w:val="21"/>
                <w:szCs w:val="21"/>
                <w:lang w:eastAsia="en-US"/>
              </w:rPr>
              <w:t>生活、</w:t>
            </w:r>
            <w:r>
              <w:rPr>
                <w:snapToGrid w:val="0"/>
                <w:color w:val="000000" w:themeColor="text1"/>
                <w:spacing w:val="-9"/>
                <w:kern w:val="0"/>
                <w:sz w:val="21"/>
                <w:szCs w:val="21"/>
                <w:lang w:eastAsia="en-US"/>
              </w:rPr>
              <w:t>40#</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4</w:t>
            </w:r>
            <w:r>
              <w:rPr>
                <w:snapToGrid w:val="0"/>
                <w:color w:val="000000" w:themeColor="text1"/>
                <w:spacing w:val="-10"/>
                <w:kern w:val="0"/>
                <w:sz w:val="21"/>
                <w:szCs w:val="21"/>
                <w:lang w:eastAsia="en-US"/>
              </w:rPr>
              <w:t>1#</w:t>
            </w:r>
            <w:r>
              <w:rPr>
                <w:snapToGrid w:val="0"/>
                <w:color w:val="000000" w:themeColor="text1"/>
                <w:spacing w:val="-10"/>
                <w:kern w:val="0"/>
                <w:sz w:val="21"/>
                <w:szCs w:val="21"/>
                <w:lang w:eastAsia="en-US"/>
              </w:rPr>
              <w:t>平台、</w:t>
            </w:r>
            <w:r>
              <w:rPr>
                <w:snapToGrid w:val="0"/>
                <w:color w:val="000000" w:themeColor="text1"/>
                <w:spacing w:val="-10"/>
                <w:kern w:val="0"/>
                <w:sz w:val="21"/>
                <w:szCs w:val="21"/>
                <w:lang w:eastAsia="en-US"/>
              </w:rPr>
              <w:t>48#</w:t>
            </w:r>
            <w:r>
              <w:rPr>
                <w:snapToGrid w:val="0"/>
                <w:color w:val="000000" w:themeColor="text1"/>
                <w:spacing w:val="-10"/>
                <w:kern w:val="0"/>
                <w:sz w:val="21"/>
                <w:szCs w:val="21"/>
                <w:lang w:eastAsia="en-US"/>
              </w:rPr>
              <w:t>、</w:t>
            </w:r>
            <w:r>
              <w:rPr>
                <w:snapToGrid w:val="0"/>
                <w:color w:val="000000" w:themeColor="text1"/>
                <w:spacing w:val="-10"/>
                <w:kern w:val="0"/>
                <w:sz w:val="21"/>
                <w:szCs w:val="21"/>
                <w:lang w:eastAsia="en-US"/>
              </w:rPr>
              <w:t>54#</w:t>
            </w:r>
            <w:r>
              <w:rPr>
                <w:snapToGrid w:val="0"/>
                <w:color w:val="000000" w:themeColor="text1"/>
                <w:spacing w:val="-10"/>
                <w:kern w:val="0"/>
                <w:sz w:val="21"/>
                <w:szCs w:val="21"/>
                <w:lang w:eastAsia="en-US"/>
              </w:rPr>
              <w:t>、</w:t>
            </w:r>
            <w:r>
              <w:rPr>
                <w:snapToGrid w:val="0"/>
                <w:color w:val="000000" w:themeColor="text1"/>
                <w:spacing w:val="-10"/>
                <w:kern w:val="0"/>
                <w:sz w:val="21"/>
                <w:szCs w:val="21"/>
                <w:lang w:eastAsia="en-US"/>
              </w:rPr>
              <w:t>54#</w:t>
            </w:r>
            <w:r>
              <w:rPr>
                <w:snapToGrid w:val="0"/>
                <w:color w:val="000000" w:themeColor="text1"/>
                <w:spacing w:val="-9"/>
                <w:kern w:val="0"/>
                <w:sz w:val="21"/>
                <w:szCs w:val="21"/>
                <w:lang w:eastAsia="en-US"/>
              </w:rPr>
              <w:t>增压、</w:t>
            </w:r>
            <w:r>
              <w:rPr>
                <w:snapToGrid w:val="0"/>
                <w:color w:val="000000" w:themeColor="text1"/>
                <w:spacing w:val="-9"/>
                <w:kern w:val="0"/>
                <w:sz w:val="21"/>
                <w:szCs w:val="21"/>
                <w:lang w:eastAsia="en-US"/>
              </w:rPr>
              <w:t>54#</w:t>
            </w:r>
            <w:r>
              <w:rPr>
                <w:snapToGrid w:val="0"/>
                <w:color w:val="000000" w:themeColor="text1"/>
                <w:spacing w:val="-9"/>
                <w:kern w:val="0"/>
                <w:sz w:val="21"/>
                <w:szCs w:val="21"/>
                <w:lang w:eastAsia="en-US"/>
              </w:rPr>
              <w:t>产出水、</w:t>
            </w:r>
            <w:r>
              <w:rPr>
                <w:snapToGrid w:val="0"/>
                <w:color w:val="000000" w:themeColor="text1"/>
                <w:spacing w:val="-9"/>
                <w:kern w:val="0"/>
                <w:sz w:val="21"/>
                <w:szCs w:val="21"/>
                <w:lang w:eastAsia="en-US"/>
              </w:rPr>
              <w:t>49#</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46#</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4#</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45#</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45#</w:t>
            </w:r>
            <w:r>
              <w:rPr>
                <w:snapToGrid w:val="0"/>
                <w:color w:val="000000" w:themeColor="text1"/>
                <w:spacing w:val="-9"/>
                <w:kern w:val="0"/>
                <w:sz w:val="21"/>
                <w:szCs w:val="21"/>
                <w:lang w:eastAsia="en-US"/>
              </w:rPr>
              <w:t>平台、</w:t>
            </w:r>
            <w:r>
              <w:rPr>
                <w:snapToGrid w:val="0"/>
                <w:color w:val="000000" w:themeColor="text1"/>
                <w:spacing w:val="-9"/>
                <w:kern w:val="0"/>
                <w:sz w:val="21"/>
                <w:szCs w:val="21"/>
                <w:lang w:eastAsia="en-US"/>
              </w:rPr>
              <w:t>53#</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3#</w:t>
            </w:r>
            <w:r>
              <w:rPr>
                <w:snapToGrid w:val="0"/>
                <w:color w:val="000000" w:themeColor="text1"/>
                <w:spacing w:val="-7"/>
                <w:kern w:val="0"/>
                <w:sz w:val="21"/>
                <w:szCs w:val="21"/>
                <w:lang w:eastAsia="en-US"/>
              </w:rPr>
              <w:t>阀室、</w:t>
            </w:r>
            <w:r>
              <w:rPr>
                <w:snapToGrid w:val="0"/>
                <w:color w:val="000000" w:themeColor="text1"/>
                <w:spacing w:val="-7"/>
                <w:kern w:val="0"/>
                <w:sz w:val="21"/>
                <w:szCs w:val="21"/>
                <w:lang w:eastAsia="en-US"/>
              </w:rPr>
              <w:t>57#</w:t>
            </w:r>
            <w:r>
              <w:rPr>
                <w:snapToGrid w:val="0"/>
                <w:color w:val="000000" w:themeColor="text1"/>
                <w:spacing w:val="-7"/>
                <w:kern w:val="0"/>
                <w:sz w:val="21"/>
                <w:szCs w:val="21"/>
                <w:lang w:eastAsia="en-US"/>
              </w:rPr>
              <w:t>平台、</w:t>
            </w:r>
            <w:r>
              <w:rPr>
                <w:snapToGrid w:val="0"/>
                <w:color w:val="000000" w:themeColor="text1"/>
                <w:spacing w:val="-7"/>
                <w:kern w:val="0"/>
                <w:sz w:val="21"/>
                <w:szCs w:val="21"/>
                <w:lang w:eastAsia="en-US"/>
              </w:rPr>
              <w:t>57#</w:t>
            </w:r>
            <w:r>
              <w:rPr>
                <w:snapToGrid w:val="0"/>
                <w:color w:val="000000" w:themeColor="text1"/>
                <w:spacing w:val="-7"/>
                <w:kern w:val="0"/>
                <w:sz w:val="21"/>
                <w:szCs w:val="21"/>
                <w:lang w:eastAsia="en-US"/>
              </w:rPr>
              <w:t>集气站</w:t>
            </w:r>
          </w:p>
        </w:tc>
      </w:tr>
      <w:tr w:rsidR="002E0859" w14:paraId="13C6EC51" w14:textId="77777777">
        <w:trPr>
          <w:trHeight w:val="23"/>
          <w:jc w:val="center"/>
        </w:trPr>
        <w:tc>
          <w:tcPr>
            <w:tcW w:w="859" w:type="dxa"/>
            <w:vMerge/>
            <w:tcBorders>
              <w:tl2br w:val="nil"/>
              <w:tr2bl w:val="nil"/>
            </w:tcBorders>
            <w:vAlign w:val="center"/>
          </w:tcPr>
          <w:p w14:paraId="2B6AB35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376F378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p>
          <w:p w14:paraId="40B2C40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江油四线</w:t>
            </w:r>
          </w:p>
        </w:tc>
        <w:tc>
          <w:tcPr>
            <w:tcW w:w="848" w:type="dxa"/>
            <w:tcBorders>
              <w:tl2br w:val="nil"/>
              <w:tr2bl w:val="nil"/>
            </w:tcBorders>
            <w:vAlign w:val="center"/>
          </w:tcPr>
          <w:p w14:paraId="25166BE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4800</w:t>
            </w:r>
          </w:p>
        </w:tc>
        <w:tc>
          <w:tcPr>
            <w:tcW w:w="851" w:type="dxa"/>
            <w:tcBorders>
              <w:tl2br w:val="nil"/>
              <w:tr2bl w:val="nil"/>
            </w:tcBorders>
            <w:vAlign w:val="center"/>
          </w:tcPr>
          <w:p w14:paraId="6835407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3300</w:t>
            </w:r>
          </w:p>
        </w:tc>
        <w:tc>
          <w:tcPr>
            <w:tcW w:w="848" w:type="dxa"/>
            <w:tcBorders>
              <w:tl2br w:val="nil"/>
              <w:tr2bl w:val="nil"/>
            </w:tcBorders>
            <w:vAlign w:val="center"/>
          </w:tcPr>
          <w:p w14:paraId="5DF7427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1500</w:t>
            </w:r>
          </w:p>
        </w:tc>
        <w:tc>
          <w:tcPr>
            <w:tcW w:w="5388" w:type="dxa"/>
            <w:tcBorders>
              <w:tl2br w:val="nil"/>
              <w:tr2bl w:val="nil"/>
            </w:tcBorders>
            <w:vAlign w:val="center"/>
          </w:tcPr>
          <w:p w14:paraId="71BDA74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26#</w:t>
            </w:r>
            <w:r>
              <w:rPr>
                <w:snapToGrid w:val="0"/>
                <w:color w:val="000000" w:themeColor="text1"/>
                <w:spacing w:val="-5"/>
                <w:kern w:val="0"/>
                <w:sz w:val="21"/>
                <w:szCs w:val="21"/>
                <w:lang w:eastAsia="en-US"/>
              </w:rPr>
              <w:t>西、</w:t>
            </w:r>
            <w:r>
              <w:rPr>
                <w:snapToGrid w:val="0"/>
                <w:color w:val="000000" w:themeColor="text1"/>
                <w:spacing w:val="-5"/>
                <w:kern w:val="0"/>
                <w:sz w:val="21"/>
                <w:szCs w:val="21"/>
                <w:lang w:eastAsia="en-US"/>
              </w:rPr>
              <w:t>24#</w:t>
            </w:r>
            <w:r>
              <w:rPr>
                <w:snapToGrid w:val="0"/>
                <w:color w:val="000000" w:themeColor="text1"/>
                <w:spacing w:val="-5"/>
                <w:kern w:val="0"/>
                <w:sz w:val="21"/>
                <w:szCs w:val="21"/>
                <w:lang w:eastAsia="en-US"/>
              </w:rPr>
              <w:t>、</w:t>
            </w:r>
            <w:r>
              <w:rPr>
                <w:snapToGrid w:val="0"/>
                <w:color w:val="000000" w:themeColor="text1"/>
                <w:spacing w:val="-5"/>
                <w:kern w:val="0"/>
                <w:sz w:val="21"/>
                <w:szCs w:val="21"/>
                <w:lang w:eastAsia="en-US"/>
              </w:rPr>
              <w:t>26#</w:t>
            </w:r>
            <w:r>
              <w:rPr>
                <w:snapToGrid w:val="0"/>
                <w:color w:val="000000" w:themeColor="text1"/>
                <w:spacing w:val="-5"/>
                <w:kern w:val="0"/>
                <w:sz w:val="21"/>
                <w:szCs w:val="21"/>
                <w:lang w:eastAsia="en-US"/>
              </w:rPr>
              <w:t>、</w:t>
            </w:r>
            <w:r>
              <w:rPr>
                <w:snapToGrid w:val="0"/>
                <w:color w:val="000000" w:themeColor="text1"/>
                <w:spacing w:val="-5"/>
                <w:kern w:val="0"/>
                <w:sz w:val="21"/>
                <w:szCs w:val="21"/>
                <w:lang w:eastAsia="en-US"/>
              </w:rPr>
              <w:t>34#</w:t>
            </w:r>
            <w:r>
              <w:rPr>
                <w:snapToGrid w:val="0"/>
                <w:color w:val="000000" w:themeColor="text1"/>
                <w:spacing w:val="-5"/>
                <w:kern w:val="0"/>
                <w:sz w:val="21"/>
                <w:szCs w:val="21"/>
                <w:lang w:eastAsia="en-US"/>
              </w:rPr>
              <w:t>、</w:t>
            </w:r>
            <w:r>
              <w:rPr>
                <w:snapToGrid w:val="0"/>
                <w:color w:val="000000" w:themeColor="text1"/>
                <w:spacing w:val="-5"/>
                <w:kern w:val="0"/>
                <w:sz w:val="21"/>
                <w:szCs w:val="21"/>
                <w:lang w:eastAsia="en-US"/>
              </w:rPr>
              <w:t>44#</w:t>
            </w:r>
          </w:p>
        </w:tc>
      </w:tr>
      <w:tr w:rsidR="002E0859" w14:paraId="20E6C0E7" w14:textId="77777777">
        <w:trPr>
          <w:trHeight w:val="23"/>
          <w:jc w:val="center"/>
        </w:trPr>
        <w:tc>
          <w:tcPr>
            <w:tcW w:w="859" w:type="dxa"/>
            <w:vMerge/>
            <w:tcBorders>
              <w:tl2br w:val="nil"/>
              <w:tr2bl w:val="nil"/>
            </w:tcBorders>
            <w:vAlign w:val="center"/>
          </w:tcPr>
          <w:p w14:paraId="5164A8C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1DABD3D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r>
              <w:rPr>
                <w:snapToGrid w:val="0"/>
                <w:color w:val="000000" w:themeColor="text1"/>
                <w:spacing w:val="-5"/>
                <w:kern w:val="0"/>
                <w:sz w:val="21"/>
                <w:szCs w:val="21"/>
                <w:lang w:eastAsia="en-US"/>
              </w:rPr>
              <w:t>江东</w:t>
            </w:r>
          </w:p>
          <w:p w14:paraId="63EA375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联络线</w:t>
            </w:r>
          </w:p>
        </w:tc>
        <w:tc>
          <w:tcPr>
            <w:tcW w:w="848" w:type="dxa"/>
            <w:tcBorders>
              <w:tl2br w:val="nil"/>
              <w:tr2bl w:val="nil"/>
            </w:tcBorders>
            <w:vAlign w:val="center"/>
          </w:tcPr>
          <w:p w14:paraId="2B590D5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4800</w:t>
            </w:r>
          </w:p>
        </w:tc>
        <w:tc>
          <w:tcPr>
            <w:tcW w:w="851" w:type="dxa"/>
            <w:tcBorders>
              <w:tl2br w:val="nil"/>
              <w:tr2bl w:val="nil"/>
            </w:tcBorders>
            <w:vAlign w:val="center"/>
          </w:tcPr>
          <w:p w14:paraId="1260D60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1300</w:t>
            </w:r>
          </w:p>
        </w:tc>
        <w:tc>
          <w:tcPr>
            <w:tcW w:w="848" w:type="dxa"/>
            <w:tcBorders>
              <w:tl2br w:val="nil"/>
              <w:tr2bl w:val="nil"/>
            </w:tcBorders>
            <w:vAlign w:val="center"/>
          </w:tcPr>
          <w:p w14:paraId="27FFE98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3500</w:t>
            </w:r>
          </w:p>
        </w:tc>
        <w:tc>
          <w:tcPr>
            <w:tcW w:w="5388" w:type="dxa"/>
            <w:tcBorders>
              <w:tl2br w:val="nil"/>
              <w:tr2bl w:val="nil"/>
            </w:tcBorders>
            <w:vAlign w:val="center"/>
          </w:tcPr>
          <w:p w14:paraId="1FAF3DE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8"/>
                <w:kern w:val="0"/>
                <w:sz w:val="21"/>
                <w:szCs w:val="21"/>
                <w:lang w:eastAsia="en-US"/>
              </w:rPr>
              <w:t>2#</w:t>
            </w:r>
            <w:r>
              <w:rPr>
                <w:snapToGrid w:val="0"/>
                <w:color w:val="000000" w:themeColor="text1"/>
                <w:spacing w:val="-8"/>
                <w:kern w:val="0"/>
                <w:sz w:val="21"/>
                <w:szCs w:val="21"/>
                <w:lang w:eastAsia="en-US"/>
              </w:rPr>
              <w:t>阀室、</w:t>
            </w:r>
            <w:r>
              <w:rPr>
                <w:snapToGrid w:val="0"/>
                <w:color w:val="000000" w:themeColor="text1"/>
                <w:spacing w:val="-8"/>
                <w:kern w:val="0"/>
                <w:sz w:val="21"/>
                <w:szCs w:val="21"/>
                <w:lang w:eastAsia="en-US"/>
              </w:rPr>
              <w:t>34#</w:t>
            </w:r>
            <w:r>
              <w:rPr>
                <w:snapToGrid w:val="0"/>
                <w:color w:val="000000" w:themeColor="text1"/>
                <w:spacing w:val="-8"/>
                <w:kern w:val="0"/>
                <w:sz w:val="21"/>
                <w:szCs w:val="21"/>
                <w:lang w:eastAsia="en-US"/>
              </w:rPr>
              <w:t>、</w:t>
            </w:r>
            <w:r>
              <w:rPr>
                <w:snapToGrid w:val="0"/>
                <w:color w:val="000000" w:themeColor="text1"/>
                <w:spacing w:val="-8"/>
                <w:kern w:val="0"/>
                <w:sz w:val="21"/>
                <w:szCs w:val="21"/>
                <w:lang w:eastAsia="en-US"/>
              </w:rPr>
              <w:t>36#</w:t>
            </w:r>
            <w:r>
              <w:rPr>
                <w:snapToGrid w:val="0"/>
                <w:color w:val="000000" w:themeColor="text1"/>
                <w:spacing w:val="-8"/>
                <w:kern w:val="0"/>
                <w:sz w:val="21"/>
                <w:szCs w:val="21"/>
                <w:lang w:eastAsia="en-US"/>
              </w:rPr>
              <w:t>、</w:t>
            </w:r>
            <w:r>
              <w:rPr>
                <w:snapToGrid w:val="0"/>
                <w:color w:val="000000" w:themeColor="text1"/>
                <w:spacing w:val="-8"/>
                <w:kern w:val="0"/>
                <w:sz w:val="21"/>
                <w:szCs w:val="21"/>
                <w:lang w:eastAsia="en-US"/>
              </w:rPr>
              <w:t>37#</w:t>
            </w:r>
            <w:r>
              <w:rPr>
                <w:snapToGrid w:val="0"/>
                <w:color w:val="000000" w:themeColor="text1"/>
                <w:spacing w:val="-8"/>
                <w:kern w:val="0"/>
                <w:sz w:val="21"/>
                <w:szCs w:val="21"/>
                <w:lang w:eastAsia="en-US"/>
              </w:rPr>
              <w:t>产出水、</w:t>
            </w:r>
            <w:r>
              <w:rPr>
                <w:snapToGrid w:val="0"/>
                <w:color w:val="000000" w:themeColor="text1"/>
                <w:spacing w:val="-8"/>
                <w:kern w:val="0"/>
                <w:sz w:val="21"/>
                <w:szCs w:val="21"/>
                <w:lang w:eastAsia="en-US"/>
              </w:rPr>
              <w:t>37</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w:t>
            </w:r>
            <w:r>
              <w:rPr>
                <w:snapToGrid w:val="0"/>
                <w:color w:val="000000" w:themeColor="text1"/>
                <w:spacing w:val="-9"/>
                <w:kern w:val="0"/>
                <w:sz w:val="21"/>
                <w:szCs w:val="21"/>
                <w:lang w:eastAsia="en-US"/>
              </w:rPr>
              <w:t>44#</w:t>
            </w:r>
            <w:r>
              <w:rPr>
                <w:snapToGrid w:val="0"/>
                <w:color w:val="000000" w:themeColor="text1"/>
                <w:spacing w:val="-9"/>
                <w:kern w:val="0"/>
                <w:sz w:val="21"/>
                <w:szCs w:val="21"/>
                <w:lang w:eastAsia="en-US"/>
              </w:rPr>
              <w:t>平台、</w:t>
            </w:r>
            <w:r>
              <w:rPr>
                <w:snapToGrid w:val="0"/>
                <w:color w:val="000000" w:themeColor="text1"/>
                <w:spacing w:val="-9"/>
                <w:kern w:val="0"/>
                <w:sz w:val="21"/>
                <w:szCs w:val="21"/>
                <w:lang w:eastAsia="en-US"/>
              </w:rPr>
              <w:t>44#</w:t>
            </w:r>
            <w:r>
              <w:rPr>
                <w:snapToGrid w:val="0"/>
                <w:color w:val="000000" w:themeColor="text1"/>
                <w:spacing w:val="-9"/>
                <w:kern w:val="0"/>
                <w:sz w:val="21"/>
                <w:szCs w:val="21"/>
                <w:lang w:eastAsia="en-US"/>
              </w:rPr>
              <w:t>产出水、</w:t>
            </w:r>
            <w:r>
              <w:rPr>
                <w:snapToGrid w:val="0"/>
                <w:color w:val="000000" w:themeColor="text1"/>
                <w:spacing w:val="-7"/>
                <w:kern w:val="0"/>
                <w:sz w:val="21"/>
                <w:szCs w:val="21"/>
                <w:lang w:eastAsia="en-US"/>
              </w:rPr>
              <w:t>44#</w:t>
            </w:r>
            <w:r>
              <w:rPr>
                <w:snapToGrid w:val="0"/>
                <w:color w:val="000000" w:themeColor="text1"/>
                <w:spacing w:val="-7"/>
                <w:kern w:val="0"/>
                <w:sz w:val="21"/>
                <w:szCs w:val="21"/>
                <w:lang w:eastAsia="en-US"/>
              </w:rPr>
              <w:t>、</w:t>
            </w:r>
            <w:r>
              <w:rPr>
                <w:snapToGrid w:val="0"/>
                <w:color w:val="000000" w:themeColor="text1"/>
                <w:spacing w:val="-7"/>
                <w:kern w:val="0"/>
                <w:sz w:val="21"/>
                <w:szCs w:val="21"/>
                <w:lang w:eastAsia="en-US"/>
              </w:rPr>
              <w:t>47#</w:t>
            </w:r>
            <w:r>
              <w:rPr>
                <w:snapToGrid w:val="0"/>
                <w:color w:val="000000" w:themeColor="text1"/>
                <w:spacing w:val="-7"/>
                <w:kern w:val="0"/>
                <w:sz w:val="21"/>
                <w:szCs w:val="21"/>
                <w:lang w:eastAsia="en-US"/>
              </w:rPr>
              <w:t>、</w:t>
            </w:r>
            <w:r>
              <w:rPr>
                <w:snapToGrid w:val="0"/>
                <w:color w:val="000000" w:themeColor="text1"/>
                <w:spacing w:val="-7"/>
                <w:kern w:val="0"/>
                <w:sz w:val="21"/>
                <w:szCs w:val="21"/>
                <w:lang w:eastAsia="en-US"/>
              </w:rPr>
              <w:t>47#</w:t>
            </w:r>
            <w:r>
              <w:rPr>
                <w:snapToGrid w:val="0"/>
                <w:color w:val="000000" w:themeColor="text1"/>
                <w:spacing w:val="-7"/>
                <w:kern w:val="0"/>
                <w:sz w:val="21"/>
                <w:szCs w:val="21"/>
                <w:lang w:eastAsia="en-US"/>
              </w:rPr>
              <w:t>产出水、</w:t>
            </w:r>
            <w:r>
              <w:rPr>
                <w:snapToGrid w:val="0"/>
                <w:color w:val="000000" w:themeColor="text1"/>
                <w:spacing w:val="-7"/>
                <w:kern w:val="0"/>
                <w:sz w:val="21"/>
                <w:szCs w:val="21"/>
                <w:lang w:eastAsia="en-US"/>
              </w:rPr>
              <w:t>52#</w:t>
            </w:r>
            <w:r>
              <w:rPr>
                <w:snapToGrid w:val="0"/>
                <w:color w:val="000000" w:themeColor="text1"/>
                <w:spacing w:val="-7"/>
                <w:kern w:val="0"/>
                <w:sz w:val="21"/>
                <w:szCs w:val="21"/>
                <w:lang w:eastAsia="en-US"/>
              </w:rPr>
              <w:t>、</w:t>
            </w:r>
            <w:r>
              <w:rPr>
                <w:snapToGrid w:val="0"/>
                <w:color w:val="000000" w:themeColor="text1"/>
                <w:spacing w:val="-7"/>
                <w:kern w:val="0"/>
                <w:sz w:val="21"/>
                <w:szCs w:val="21"/>
                <w:lang w:eastAsia="en-US"/>
              </w:rPr>
              <w:t>51#</w:t>
            </w:r>
            <w:r>
              <w:rPr>
                <w:snapToGrid w:val="0"/>
                <w:color w:val="000000" w:themeColor="text1"/>
                <w:spacing w:val="-7"/>
                <w:kern w:val="0"/>
                <w:sz w:val="21"/>
                <w:szCs w:val="21"/>
                <w:lang w:eastAsia="en-US"/>
              </w:rPr>
              <w:t>、</w:t>
            </w:r>
            <w:r>
              <w:rPr>
                <w:snapToGrid w:val="0"/>
                <w:color w:val="000000" w:themeColor="text1"/>
                <w:spacing w:val="-7"/>
                <w:kern w:val="0"/>
                <w:sz w:val="21"/>
                <w:szCs w:val="21"/>
                <w:lang w:eastAsia="en-US"/>
              </w:rPr>
              <w:t>38#</w:t>
            </w:r>
            <w:r>
              <w:rPr>
                <w:snapToGrid w:val="0"/>
                <w:color w:val="000000" w:themeColor="text1"/>
                <w:spacing w:val="-7"/>
                <w:kern w:val="0"/>
                <w:sz w:val="21"/>
                <w:szCs w:val="21"/>
                <w:lang w:eastAsia="en-US"/>
              </w:rPr>
              <w:t>、</w:t>
            </w:r>
            <w:r>
              <w:rPr>
                <w:snapToGrid w:val="0"/>
                <w:color w:val="000000" w:themeColor="text1"/>
                <w:spacing w:val="-7"/>
                <w:kern w:val="0"/>
                <w:sz w:val="21"/>
                <w:szCs w:val="21"/>
                <w:lang w:eastAsia="en-US"/>
              </w:rPr>
              <w:t>50#</w:t>
            </w:r>
            <w:r>
              <w:rPr>
                <w:snapToGrid w:val="0"/>
                <w:color w:val="000000" w:themeColor="text1"/>
                <w:spacing w:val="-7"/>
                <w:kern w:val="0"/>
                <w:sz w:val="21"/>
                <w:szCs w:val="21"/>
                <w:lang w:eastAsia="en-US"/>
              </w:rPr>
              <w:t>、</w:t>
            </w:r>
            <w:r>
              <w:rPr>
                <w:snapToGrid w:val="0"/>
                <w:color w:val="000000" w:themeColor="text1"/>
                <w:spacing w:val="-7"/>
                <w:kern w:val="0"/>
                <w:sz w:val="21"/>
                <w:szCs w:val="21"/>
                <w:lang w:eastAsia="en-US"/>
              </w:rPr>
              <w:t>52#</w:t>
            </w:r>
            <w:r>
              <w:rPr>
                <w:snapToGrid w:val="0"/>
                <w:color w:val="000000" w:themeColor="text1"/>
                <w:spacing w:val="-7"/>
                <w:kern w:val="0"/>
                <w:sz w:val="21"/>
                <w:szCs w:val="21"/>
                <w:lang w:eastAsia="en-US"/>
              </w:rPr>
              <w:t>平台、</w:t>
            </w:r>
            <w:r>
              <w:rPr>
                <w:snapToGrid w:val="0"/>
                <w:color w:val="000000" w:themeColor="text1"/>
                <w:spacing w:val="-7"/>
                <w:kern w:val="0"/>
                <w:sz w:val="21"/>
                <w:szCs w:val="21"/>
                <w:lang w:eastAsia="en-US"/>
              </w:rPr>
              <w:t>88#</w:t>
            </w:r>
            <w:r>
              <w:rPr>
                <w:snapToGrid w:val="0"/>
                <w:color w:val="000000" w:themeColor="text1"/>
                <w:spacing w:val="-3"/>
                <w:kern w:val="0"/>
                <w:sz w:val="21"/>
                <w:szCs w:val="21"/>
                <w:lang w:eastAsia="en-US"/>
              </w:rPr>
              <w:t>产出水、</w:t>
            </w:r>
            <w:r>
              <w:rPr>
                <w:snapToGrid w:val="0"/>
                <w:color w:val="000000" w:themeColor="text1"/>
                <w:spacing w:val="-3"/>
                <w:kern w:val="0"/>
                <w:sz w:val="21"/>
                <w:szCs w:val="21"/>
                <w:lang w:eastAsia="en-US"/>
              </w:rPr>
              <w:t>88#</w:t>
            </w:r>
            <w:r>
              <w:rPr>
                <w:snapToGrid w:val="0"/>
                <w:color w:val="000000" w:themeColor="text1"/>
                <w:spacing w:val="-3"/>
                <w:kern w:val="0"/>
                <w:sz w:val="21"/>
                <w:szCs w:val="21"/>
                <w:lang w:eastAsia="en-US"/>
              </w:rPr>
              <w:t>平台</w:t>
            </w:r>
          </w:p>
        </w:tc>
      </w:tr>
      <w:tr w:rsidR="002E0859" w14:paraId="78085388" w14:textId="77777777">
        <w:trPr>
          <w:trHeight w:val="23"/>
          <w:jc w:val="center"/>
        </w:trPr>
        <w:tc>
          <w:tcPr>
            <w:tcW w:w="859" w:type="dxa"/>
            <w:vMerge w:val="restart"/>
            <w:tcBorders>
              <w:tl2br w:val="nil"/>
              <w:tr2bl w:val="nil"/>
            </w:tcBorders>
            <w:vAlign w:val="center"/>
          </w:tcPr>
          <w:p w14:paraId="4F832CA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35kV</w:t>
            </w:r>
            <w:r>
              <w:rPr>
                <w:snapToGrid w:val="0"/>
                <w:color w:val="000000" w:themeColor="text1"/>
                <w:spacing w:val="-3"/>
                <w:kern w:val="0"/>
                <w:sz w:val="21"/>
                <w:szCs w:val="21"/>
                <w:lang w:eastAsia="en-US"/>
              </w:rPr>
              <w:t>光</w:t>
            </w:r>
            <w:r>
              <w:rPr>
                <w:snapToGrid w:val="0"/>
                <w:color w:val="000000" w:themeColor="text1"/>
                <w:spacing w:val="-2"/>
                <w:kern w:val="0"/>
                <w:sz w:val="21"/>
                <w:szCs w:val="21"/>
                <w:lang w:eastAsia="en-US"/>
              </w:rPr>
              <w:lastRenderedPageBreak/>
              <w:t>华变电</w:t>
            </w:r>
            <w:r>
              <w:rPr>
                <w:snapToGrid w:val="0"/>
                <w:color w:val="000000" w:themeColor="text1"/>
                <w:kern w:val="0"/>
                <w:sz w:val="21"/>
                <w:szCs w:val="21"/>
                <w:lang w:eastAsia="en-US"/>
              </w:rPr>
              <w:t>站</w:t>
            </w:r>
          </w:p>
        </w:tc>
        <w:tc>
          <w:tcPr>
            <w:tcW w:w="963" w:type="dxa"/>
            <w:tcBorders>
              <w:tl2br w:val="nil"/>
              <w:tr2bl w:val="nil"/>
            </w:tcBorders>
            <w:vAlign w:val="center"/>
          </w:tcPr>
          <w:p w14:paraId="7655724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lastRenderedPageBreak/>
              <w:t>1#</w:t>
            </w:r>
            <w:r>
              <w:rPr>
                <w:snapToGrid w:val="0"/>
                <w:color w:val="000000" w:themeColor="text1"/>
                <w:spacing w:val="-6"/>
                <w:kern w:val="0"/>
                <w:sz w:val="21"/>
                <w:szCs w:val="21"/>
                <w:lang w:eastAsia="en-US"/>
              </w:rPr>
              <w:t>主变</w:t>
            </w:r>
            <w:r>
              <w:rPr>
                <w:snapToGrid w:val="0"/>
                <w:color w:val="000000" w:themeColor="text1"/>
                <w:spacing w:val="-4"/>
                <w:kern w:val="0"/>
                <w:sz w:val="21"/>
                <w:szCs w:val="21"/>
                <w:lang w:eastAsia="en-US"/>
              </w:rPr>
              <w:t>（</w:t>
            </w:r>
            <w:r>
              <w:rPr>
                <w:snapToGrid w:val="0"/>
                <w:color w:val="000000" w:themeColor="text1"/>
                <w:spacing w:val="-4"/>
                <w:kern w:val="0"/>
                <w:sz w:val="21"/>
                <w:szCs w:val="21"/>
                <w:lang w:eastAsia="en-US"/>
              </w:rPr>
              <w:lastRenderedPageBreak/>
              <w:t>10MVA</w:t>
            </w:r>
            <w:r>
              <w:rPr>
                <w:snapToGrid w:val="0"/>
                <w:color w:val="000000" w:themeColor="text1"/>
                <w:spacing w:val="-4"/>
                <w:kern w:val="0"/>
                <w:sz w:val="21"/>
                <w:szCs w:val="21"/>
                <w:lang w:eastAsia="en-US"/>
              </w:rPr>
              <w:t>）</w:t>
            </w:r>
          </w:p>
        </w:tc>
        <w:tc>
          <w:tcPr>
            <w:tcW w:w="848" w:type="dxa"/>
            <w:tcBorders>
              <w:tl2br w:val="nil"/>
              <w:tr2bl w:val="nil"/>
            </w:tcBorders>
            <w:vAlign w:val="center"/>
          </w:tcPr>
          <w:p w14:paraId="470E566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lastRenderedPageBreak/>
              <w:t>10000</w:t>
            </w:r>
          </w:p>
        </w:tc>
        <w:tc>
          <w:tcPr>
            <w:tcW w:w="851" w:type="dxa"/>
            <w:tcBorders>
              <w:tl2br w:val="nil"/>
              <w:tr2bl w:val="nil"/>
            </w:tcBorders>
            <w:vAlign w:val="center"/>
          </w:tcPr>
          <w:p w14:paraId="0C14847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备用</w:t>
            </w:r>
          </w:p>
        </w:tc>
        <w:tc>
          <w:tcPr>
            <w:tcW w:w="848" w:type="dxa"/>
            <w:tcBorders>
              <w:tl2br w:val="nil"/>
              <w:tr2bl w:val="nil"/>
            </w:tcBorders>
            <w:vAlign w:val="center"/>
          </w:tcPr>
          <w:p w14:paraId="0A2A3F5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备用</w:t>
            </w:r>
          </w:p>
        </w:tc>
        <w:tc>
          <w:tcPr>
            <w:tcW w:w="5388" w:type="dxa"/>
            <w:tcBorders>
              <w:tl2br w:val="nil"/>
              <w:tr2bl w:val="nil"/>
            </w:tcBorders>
            <w:vAlign w:val="center"/>
          </w:tcPr>
          <w:p w14:paraId="11CCC75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647A21F" w14:textId="77777777">
        <w:trPr>
          <w:trHeight w:val="23"/>
          <w:jc w:val="center"/>
        </w:trPr>
        <w:tc>
          <w:tcPr>
            <w:tcW w:w="859" w:type="dxa"/>
            <w:vMerge/>
            <w:tcBorders>
              <w:tl2br w:val="nil"/>
              <w:tr2bl w:val="nil"/>
            </w:tcBorders>
            <w:vAlign w:val="center"/>
          </w:tcPr>
          <w:p w14:paraId="72797D11"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39BFEE5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w:t>
            </w:r>
            <w:r>
              <w:rPr>
                <w:snapToGrid w:val="0"/>
                <w:color w:val="000000" w:themeColor="text1"/>
                <w:spacing w:val="-2"/>
                <w:kern w:val="0"/>
                <w:sz w:val="21"/>
                <w:szCs w:val="21"/>
                <w:lang w:eastAsia="en-US"/>
              </w:rPr>
              <w:t>主变</w:t>
            </w:r>
            <w:r>
              <w:rPr>
                <w:snapToGrid w:val="0"/>
                <w:color w:val="000000" w:themeColor="text1"/>
                <w:spacing w:val="-4"/>
                <w:kern w:val="0"/>
                <w:sz w:val="21"/>
                <w:szCs w:val="21"/>
                <w:lang w:eastAsia="en-US"/>
              </w:rPr>
              <w:t>（</w:t>
            </w:r>
            <w:r>
              <w:rPr>
                <w:snapToGrid w:val="0"/>
                <w:color w:val="000000" w:themeColor="text1"/>
                <w:spacing w:val="-4"/>
                <w:kern w:val="0"/>
                <w:sz w:val="21"/>
                <w:szCs w:val="21"/>
                <w:lang w:eastAsia="en-US"/>
              </w:rPr>
              <w:t>10MVA</w:t>
            </w:r>
            <w:r>
              <w:rPr>
                <w:snapToGrid w:val="0"/>
                <w:color w:val="000000" w:themeColor="text1"/>
                <w:spacing w:val="-4"/>
                <w:kern w:val="0"/>
                <w:sz w:val="21"/>
                <w:szCs w:val="21"/>
                <w:lang w:eastAsia="en-US"/>
              </w:rPr>
              <w:t>）</w:t>
            </w:r>
          </w:p>
        </w:tc>
        <w:tc>
          <w:tcPr>
            <w:tcW w:w="848" w:type="dxa"/>
            <w:tcBorders>
              <w:tl2br w:val="nil"/>
              <w:tr2bl w:val="nil"/>
            </w:tcBorders>
            <w:vAlign w:val="center"/>
          </w:tcPr>
          <w:p w14:paraId="1327282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10000</w:t>
            </w:r>
          </w:p>
        </w:tc>
        <w:tc>
          <w:tcPr>
            <w:tcW w:w="851" w:type="dxa"/>
            <w:tcBorders>
              <w:tl2br w:val="nil"/>
              <w:tr2bl w:val="nil"/>
            </w:tcBorders>
            <w:vAlign w:val="center"/>
          </w:tcPr>
          <w:p w14:paraId="603BD12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3400</w:t>
            </w:r>
          </w:p>
        </w:tc>
        <w:tc>
          <w:tcPr>
            <w:tcW w:w="848" w:type="dxa"/>
            <w:tcBorders>
              <w:tl2br w:val="nil"/>
              <w:tr2bl w:val="nil"/>
            </w:tcBorders>
            <w:vAlign w:val="center"/>
          </w:tcPr>
          <w:p w14:paraId="71D4C55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6600</w:t>
            </w:r>
          </w:p>
        </w:tc>
        <w:tc>
          <w:tcPr>
            <w:tcW w:w="5388" w:type="dxa"/>
            <w:tcBorders>
              <w:tl2br w:val="nil"/>
              <w:tr2bl w:val="nil"/>
            </w:tcBorders>
            <w:vAlign w:val="center"/>
          </w:tcPr>
          <w:p w14:paraId="0AA2E56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3C1B04EA" w14:textId="77777777">
        <w:trPr>
          <w:trHeight w:val="23"/>
          <w:jc w:val="center"/>
        </w:trPr>
        <w:tc>
          <w:tcPr>
            <w:tcW w:w="859" w:type="dxa"/>
            <w:vMerge/>
            <w:tcBorders>
              <w:tl2br w:val="nil"/>
              <w:tr2bl w:val="nil"/>
            </w:tcBorders>
            <w:vAlign w:val="center"/>
          </w:tcPr>
          <w:p w14:paraId="252342D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54C8528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r>
              <w:rPr>
                <w:snapToGrid w:val="0"/>
                <w:color w:val="000000" w:themeColor="text1"/>
                <w:spacing w:val="-5"/>
                <w:kern w:val="0"/>
                <w:sz w:val="21"/>
                <w:szCs w:val="21"/>
                <w:lang w:eastAsia="en-US"/>
              </w:rPr>
              <w:t>江东一线</w:t>
            </w:r>
          </w:p>
        </w:tc>
        <w:tc>
          <w:tcPr>
            <w:tcW w:w="848" w:type="dxa"/>
            <w:tcBorders>
              <w:tl2br w:val="nil"/>
              <w:tr2bl w:val="nil"/>
            </w:tcBorders>
            <w:vAlign w:val="center"/>
          </w:tcPr>
          <w:p w14:paraId="2412DAC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6000</w:t>
            </w:r>
          </w:p>
        </w:tc>
        <w:tc>
          <w:tcPr>
            <w:tcW w:w="851" w:type="dxa"/>
            <w:tcBorders>
              <w:tl2br w:val="nil"/>
              <w:tr2bl w:val="nil"/>
            </w:tcBorders>
            <w:vAlign w:val="center"/>
          </w:tcPr>
          <w:p w14:paraId="025F3CE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2100</w:t>
            </w:r>
          </w:p>
        </w:tc>
        <w:tc>
          <w:tcPr>
            <w:tcW w:w="848" w:type="dxa"/>
            <w:tcBorders>
              <w:tl2br w:val="nil"/>
              <w:tr2bl w:val="nil"/>
            </w:tcBorders>
            <w:vAlign w:val="center"/>
          </w:tcPr>
          <w:p w14:paraId="1AAFA65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3900</w:t>
            </w:r>
          </w:p>
        </w:tc>
        <w:tc>
          <w:tcPr>
            <w:tcW w:w="5388" w:type="dxa"/>
            <w:tcBorders>
              <w:tl2br w:val="nil"/>
              <w:tr2bl w:val="nil"/>
            </w:tcBorders>
            <w:vAlign w:val="center"/>
          </w:tcPr>
          <w:p w14:paraId="5F8CEAD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85#</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85#</w:t>
            </w:r>
            <w:r>
              <w:rPr>
                <w:snapToGrid w:val="0"/>
                <w:color w:val="000000" w:themeColor="text1"/>
                <w:spacing w:val="-2"/>
                <w:kern w:val="0"/>
                <w:sz w:val="21"/>
                <w:szCs w:val="21"/>
                <w:lang w:eastAsia="en-US"/>
              </w:rPr>
              <w:t>产出水、</w:t>
            </w:r>
            <w:r>
              <w:rPr>
                <w:snapToGrid w:val="0"/>
                <w:color w:val="000000" w:themeColor="text1"/>
                <w:spacing w:val="-2"/>
                <w:kern w:val="0"/>
                <w:sz w:val="21"/>
                <w:szCs w:val="21"/>
                <w:lang w:eastAsia="en-US"/>
              </w:rPr>
              <w:t>19#</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18#</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18#</w:t>
            </w:r>
            <w:r>
              <w:rPr>
                <w:snapToGrid w:val="0"/>
                <w:color w:val="000000" w:themeColor="text1"/>
                <w:spacing w:val="-2"/>
                <w:kern w:val="0"/>
                <w:sz w:val="21"/>
                <w:szCs w:val="21"/>
                <w:lang w:eastAsia="en-US"/>
              </w:rPr>
              <w:t>东、</w:t>
            </w:r>
            <w:r>
              <w:rPr>
                <w:snapToGrid w:val="0"/>
                <w:color w:val="000000" w:themeColor="text1"/>
                <w:spacing w:val="-2"/>
                <w:kern w:val="0"/>
                <w:sz w:val="21"/>
                <w:szCs w:val="21"/>
                <w:lang w:eastAsia="en-US"/>
              </w:rPr>
              <w:t>6#</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6#B</w:t>
            </w:r>
            <w:r>
              <w:rPr>
                <w:snapToGrid w:val="0"/>
                <w:color w:val="000000" w:themeColor="text1"/>
                <w:spacing w:val="-2"/>
                <w:kern w:val="0"/>
                <w:sz w:val="21"/>
                <w:szCs w:val="21"/>
                <w:lang w:eastAsia="en-US"/>
              </w:rPr>
              <w:t>、</w:t>
            </w:r>
            <w:r>
              <w:rPr>
                <w:snapToGrid w:val="0"/>
                <w:color w:val="000000" w:themeColor="text1"/>
                <w:spacing w:val="-2"/>
                <w:kern w:val="0"/>
                <w:sz w:val="21"/>
                <w:szCs w:val="21"/>
                <w:lang w:eastAsia="en-US"/>
              </w:rPr>
              <w:t>6</w:t>
            </w:r>
            <w:r>
              <w:rPr>
                <w:snapToGrid w:val="0"/>
                <w:color w:val="000000" w:themeColor="text1"/>
                <w:spacing w:val="-3"/>
                <w:kern w:val="0"/>
                <w:sz w:val="21"/>
                <w:szCs w:val="21"/>
                <w:lang w:eastAsia="en-US"/>
              </w:rPr>
              <w:t>6#</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66#</w:t>
            </w:r>
            <w:r>
              <w:rPr>
                <w:snapToGrid w:val="0"/>
                <w:color w:val="000000" w:themeColor="text1"/>
                <w:spacing w:val="-8"/>
                <w:kern w:val="0"/>
                <w:sz w:val="21"/>
                <w:szCs w:val="21"/>
                <w:lang w:eastAsia="en-US"/>
              </w:rPr>
              <w:t>东、</w:t>
            </w:r>
            <w:r>
              <w:rPr>
                <w:snapToGrid w:val="0"/>
                <w:color w:val="000000" w:themeColor="text1"/>
                <w:spacing w:val="-8"/>
                <w:kern w:val="0"/>
                <w:sz w:val="21"/>
                <w:szCs w:val="21"/>
                <w:lang w:eastAsia="en-US"/>
              </w:rPr>
              <w:t>5#</w:t>
            </w:r>
            <w:r>
              <w:rPr>
                <w:snapToGrid w:val="0"/>
                <w:color w:val="000000" w:themeColor="text1"/>
                <w:spacing w:val="-8"/>
                <w:kern w:val="0"/>
                <w:sz w:val="21"/>
                <w:szCs w:val="21"/>
                <w:lang w:eastAsia="en-US"/>
              </w:rPr>
              <w:t>平台、</w:t>
            </w:r>
            <w:r>
              <w:rPr>
                <w:snapToGrid w:val="0"/>
                <w:color w:val="000000" w:themeColor="text1"/>
                <w:spacing w:val="-8"/>
                <w:kern w:val="0"/>
                <w:sz w:val="21"/>
                <w:szCs w:val="21"/>
                <w:lang w:eastAsia="en-US"/>
              </w:rPr>
              <w:t>5#</w:t>
            </w:r>
            <w:r>
              <w:rPr>
                <w:snapToGrid w:val="0"/>
                <w:color w:val="000000" w:themeColor="text1"/>
                <w:spacing w:val="-8"/>
                <w:kern w:val="0"/>
                <w:sz w:val="21"/>
                <w:szCs w:val="21"/>
                <w:lang w:eastAsia="en-US"/>
              </w:rPr>
              <w:t>集气站</w:t>
            </w:r>
          </w:p>
        </w:tc>
      </w:tr>
      <w:tr w:rsidR="002E0859" w14:paraId="0AC8AE55" w14:textId="77777777">
        <w:trPr>
          <w:trHeight w:val="23"/>
          <w:jc w:val="center"/>
        </w:trPr>
        <w:tc>
          <w:tcPr>
            <w:tcW w:w="859" w:type="dxa"/>
            <w:vMerge/>
            <w:tcBorders>
              <w:tl2br w:val="nil"/>
              <w:tr2bl w:val="nil"/>
            </w:tcBorders>
            <w:vAlign w:val="center"/>
          </w:tcPr>
          <w:p w14:paraId="73985CA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3728204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10kV</w:t>
            </w:r>
            <w:r>
              <w:rPr>
                <w:snapToGrid w:val="0"/>
                <w:color w:val="000000" w:themeColor="text1"/>
                <w:spacing w:val="-5"/>
                <w:kern w:val="0"/>
                <w:sz w:val="21"/>
                <w:szCs w:val="21"/>
                <w:lang w:eastAsia="en-US"/>
              </w:rPr>
              <w:t>江东</w:t>
            </w:r>
            <w:r>
              <w:rPr>
                <w:snapToGrid w:val="0"/>
                <w:color w:val="000000" w:themeColor="text1"/>
                <w:spacing w:val="-3"/>
                <w:kern w:val="0"/>
                <w:sz w:val="21"/>
                <w:szCs w:val="21"/>
                <w:lang w:eastAsia="en-US"/>
              </w:rPr>
              <w:t>二线</w:t>
            </w:r>
          </w:p>
        </w:tc>
        <w:tc>
          <w:tcPr>
            <w:tcW w:w="848" w:type="dxa"/>
            <w:tcBorders>
              <w:tl2br w:val="nil"/>
              <w:tr2bl w:val="nil"/>
            </w:tcBorders>
            <w:vAlign w:val="center"/>
          </w:tcPr>
          <w:p w14:paraId="196A3B8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6000</w:t>
            </w:r>
          </w:p>
        </w:tc>
        <w:tc>
          <w:tcPr>
            <w:tcW w:w="851" w:type="dxa"/>
            <w:tcBorders>
              <w:tl2br w:val="nil"/>
              <w:tr2bl w:val="nil"/>
            </w:tcBorders>
            <w:vAlign w:val="center"/>
          </w:tcPr>
          <w:p w14:paraId="1B7967D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2900</w:t>
            </w:r>
          </w:p>
        </w:tc>
        <w:tc>
          <w:tcPr>
            <w:tcW w:w="848" w:type="dxa"/>
            <w:tcBorders>
              <w:tl2br w:val="nil"/>
              <w:tr2bl w:val="nil"/>
            </w:tcBorders>
            <w:vAlign w:val="center"/>
          </w:tcPr>
          <w:p w14:paraId="1B91110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3100</w:t>
            </w:r>
          </w:p>
        </w:tc>
        <w:tc>
          <w:tcPr>
            <w:tcW w:w="5388" w:type="dxa"/>
            <w:tcBorders>
              <w:tl2br w:val="nil"/>
              <w:tr2bl w:val="nil"/>
            </w:tcBorders>
            <w:vAlign w:val="center"/>
          </w:tcPr>
          <w:p w14:paraId="2747DBD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70#</w:t>
            </w:r>
            <w:r>
              <w:rPr>
                <w:snapToGrid w:val="0"/>
                <w:color w:val="000000" w:themeColor="text1"/>
                <w:spacing w:val="-5"/>
                <w:kern w:val="0"/>
                <w:sz w:val="21"/>
                <w:szCs w:val="21"/>
                <w:lang w:eastAsia="en-US"/>
              </w:rPr>
              <w:t>、</w:t>
            </w:r>
            <w:r>
              <w:rPr>
                <w:snapToGrid w:val="0"/>
                <w:color w:val="000000" w:themeColor="text1"/>
                <w:spacing w:val="-5"/>
                <w:kern w:val="0"/>
                <w:sz w:val="21"/>
                <w:szCs w:val="21"/>
                <w:lang w:eastAsia="en-US"/>
              </w:rPr>
              <w:t>69#</w:t>
            </w:r>
            <w:r>
              <w:rPr>
                <w:snapToGrid w:val="0"/>
                <w:color w:val="000000" w:themeColor="text1"/>
                <w:spacing w:val="-5"/>
                <w:kern w:val="0"/>
                <w:sz w:val="21"/>
                <w:szCs w:val="21"/>
                <w:lang w:eastAsia="en-US"/>
              </w:rPr>
              <w:t>、</w:t>
            </w:r>
            <w:r>
              <w:rPr>
                <w:snapToGrid w:val="0"/>
                <w:color w:val="000000" w:themeColor="text1"/>
                <w:spacing w:val="-5"/>
                <w:kern w:val="0"/>
                <w:sz w:val="21"/>
                <w:szCs w:val="21"/>
                <w:lang w:eastAsia="en-US"/>
              </w:rPr>
              <w:t>69#</w:t>
            </w:r>
            <w:r>
              <w:rPr>
                <w:snapToGrid w:val="0"/>
                <w:color w:val="000000" w:themeColor="text1"/>
                <w:spacing w:val="-5"/>
                <w:kern w:val="0"/>
                <w:sz w:val="21"/>
                <w:szCs w:val="21"/>
                <w:lang w:eastAsia="en-US"/>
              </w:rPr>
              <w:t>产出水、</w:t>
            </w:r>
            <w:r>
              <w:rPr>
                <w:snapToGrid w:val="0"/>
                <w:color w:val="000000" w:themeColor="text1"/>
                <w:spacing w:val="-5"/>
                <w:kern w:val="0"/>
                <w:sz w:val="21"/>
                <w:szCs w:val="21"/>
                <w:lang w:eastAsia="en-US"/>
              </w:rPr>
              <w:t>84#</w:t>
            </w:r>
            <w:r>
              <w:rPr>
                <w:snapToGrid w:val="0"/>
                <w:color w:val="000000" w:themeColor="text1"/>
                <w:spacing w:val="-5"/>
                <w:kern w:val="0"/>
                <w:sz w:val="21"/>
                <w:szCs w:val="21"/>
                <w:lang w:eastAsia="en-US"/>
              </w:rPr>
              <w:t>、</w:t>
            </w:r>
            <w:r>
              <w:rPr>
                <w:snapToGrid w:val="0"/>
                <w:color w:val="000000" w:themeColor="text1"/>
                <w:spacing w:val="-5"/>
                <w:kern w:val="0"/>
                <w:sz w:val="21"/>
                <w:szCs w:val="21"/>
                <w:lang w:eastAsia="en-US"/>
              </w:rPr>
              <w:t>86#</w:t>
            </w:r>
            <w:r>
              <w:rPr>
                <w:snapToGrid w:val="0"/>
                <w:color w:val="000000" w:themeColor="text1"/>
                <w:spacing w:val="-5"/>
                <w:kern w:val="0"/>
                <w:sz w:val="21"/>
                <w:szCs w:val="21"/>
                <w:lang w:eastAsia="en-US"/>
              </w:rPr>
              <w:t>集气站、</w:t>
            </w:r>
            <w:r>
              <w:rPr>
                <w:snapToGrid w:val="0"/>
                <w:color w:val="000000" w:themeColor="text1"/>
                <w:spacing w:val="-5"/>
                <w:kern w:val="0"/>
                <w:sz w:val="21"/>
                <w:szCs w:val="21"/>
                <w:lang w:eastAsia="en-US"/>
              </w:rPr>
              <w:t>84#</w:t>
            </w:r>
            <w:r>
              <w:rPr>
                <w:snapToGrid w:val="0"/>
                <w:color w:val="000000" w:themeColor="text1"/>
                <w:spacing w:val="-5"/>
                <w:kern w:val="0"/>
                <w:sz w:val="21"/>
                <w:szCs w:val="21"/>
                <w:lang w:eastAsia="en-US"/>
              </w:rPr>
              <w:t>站网钻、</w:t>
            </w:r>
            <w:r>
              <w:rPr>
                <w:snapToGrid w:val="0"/>
                <w:color w:val="000000" w:themeColor="text1"/>
                <w:spacing w:val="-5"/>
                <w:kern w:val="0"/>
                <w:sz w:val="21"/>
                <w:szCs w:val="21"/>
                <w:lang w:eastAsia="en-US"/>
              </w:rPr>
              <w:t>69#</w:t>
            </w:r>
            <w:r>
              <w:rPr>
                <w:snapToGrid w:val="0"/>
                <w:color w:val="000000" w:themeColor="text1"/>
                <w:spacing w:val="-2"/>
                <w:kern w:val="0"/>
                <w:sz w:val="21"/>
                <w:szCs w:val="21"/>
                <w:lang w:eastAsia="en-US"/>
              </w:rPr>
              <w:t>站网钻</w:t>
            </w:r>
          </w:p>
        </w:tc>
      </w:tr>
      <w:tr w:rsidR="002E0859" w14:paraId="47DFDA40" w14:textId="77777777">
        <w:trPr>
          <w:trHeight w:val="23"/>
          <w:jc w:val="center"/>
        </w:trPr>
        <w:tc>
          <w:tcPr>
            <w:tcW w:w="859" w:type="dxa"/>
            <w:vMerge/>
            <w:tcBorders>
              <w:tl2br w:val="nil"/>
              <w:tr2bl w:val="nil"/>
            </w:tcBorders>
            <w:vAlign w:val="center"/>
          </w:tcPr>
          <w:p w14:paraId="4FD4985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963" w:type="dxa"/>
            <w:tcBorders>
              <w:tl2br w:val="nil"/>
              <w:tr2bl w:val="nil"/>
            </w:tcBorders>
            <w:vAlign w:val="center"/>
          </w:tcPr>
          <w:p w14:paraId="29E53AE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35kV</w:t>
            </w:r>
            <w:r>
              <w:rPr>
                <w:snapToGrid w:val="0"/>
                <w:color w:val="000000" w:themeColor="text1"/>
                <w:spacing w:val="-6"/>
                <w:kern w:val="0"/>
                <w:sz w:val="21"/>
                <w:szCs w:val="21"/>
                <w:lang w:eastAsia="en-US"/>
              </w:rPr>
              <w:t>中原</w:t>
            </w:r>
            <w:r>
              <w:rPr>
                <w:snapToGrid w:val="0"/>
                <w:color w:val="000000" w:themeColor="text1"/>
                <w:kern w:val="0"/>
                <w:sz w:val="21"/>
                <w:szCs w:val="21"/>
                <w:lang w:eastAsia="en-US"/>
              </w:rPr>
              <w:t>线</w:t>
            </w:r>
          </w:p>
        </w:tc>
        <w:tc>
          <w:tcPr>
            <w:tcW w:w="848" w:type="dxa"/>
            <w:tcBorders>
              <w:tl2br w:val="nil"/>
              <w:tr2bl w:val="nil"/>
            </w:tcBorders>
            <w:vAlign w:val="center"/>
          </w:tcPr>
          <w:p w14:paraId="5A11FFC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15000</w:t>
            </w:r>
          </w:p>
        </w:tc>
        <w:tc>
          <w:tcPr>
            <w:tcW w:w="851" w:type="dxa"/>
            <w:tcBorders>
              <w:tl2br w:val="nil"/>
              <w:tr2bl w:val="nil"/>
            </w:tcBorders>
            <w:vAlign w:val="center"/>
          </w:tcPr>
          <w:p w14:paraId="7F8DFD7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7000</w:t>
            </w:r>
          </w:p>
        </w:tc>
        <w:tc>
          <w:tcPr>
            <w:tcW w:w="848" w:type="dxa"/>
            <w:tcBorders>
              <w:tl2br w:val="nil"/>
              <w:tr2bl w:val="nil"/>
            </w:tcBorders>
            <w:vAlign w:val="center"/>
          </w:tcPr>
          <w:p w14:paraId="054169F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8000</w:t>
            </w:r>
          </w:p>
        </w:tc>
        <w:tc>
          <w:tcPr>
            <w:tcW w:w="5388" w:type="dxa"/>
            <w:tcBorders>
              <w:tl2br w:val="nil"/>
              <w:tr2bl w:val="nil"/>
            </w:tcBorders>
            <w:vAlign w:val="center"/>
          </w:tcPr>
          <w:p w14:paraId="398BEBB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5#</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14#</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16#</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18#</w:t>
            </w:r>
            <w:r>
              <w:rPr>
                <w:snapToGrid w:val="0"/>
                <w:color w:val="000000" w:themeColor="text1"/>
                <w:spacing w:val="-3"/>
                <w:kern w:val="0"/>
                <w:sz w:val="21"/>
                <w:szCs w:val="21"/>
                <w:lang w:eastAsia="en-US"/>
              </w:rPr>
              <w:t>东、</w:t>
            </w:r>
            <w:r>
              <w:rPr>
                <w:snapToGrid w:val="0"/>
                <w:color w:val="000000" w:themeColor="text1"/>
                <w:spacing w:val="-3"/>
                <w:kern w:val="0"/>
                <w:sz w:val="21"/>
                <w:szCs w:val="21"/>
                <w:lang w:eastAsia="en-US"/>
              </w:rPr>
              <w:t>19#</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21#</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26#</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37#</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69#</w:t>
            </w:r>
            <w:r>
              <w:rPr>
                <w:snapToGrid w:val="0"/>
                <w:color w:val="000000" w:themeColor="text1"/>
                <w:spacing w:val="-3"/>
                <w:kern w:val="0"/>
                <w:sz w:val="21"/>
                <w:szCs w:val="21"/>
                <w:lang w:eastAsia="en-US"/>
              </w:rPr>
              <w:t>、</w:t>
            </w:r>
            <w:r>
              <w:rPr>
                <w:snapToGrid w:val="0"/>
                <w:color w:val="000000" w:themeColor="text1"/>
                <w:spacing w:val="-3"/>
                <w:kern w:val="0"/>
                <w:sz w:val="21"/>
                <w:szCs w:val="21"/>
                <w:lang w:eastAsia="en-US"/>
              </w:rPr>
              <w:t>93#</w:t>
            </w:r>
          </w:p>
        </w:tc>
      </w:tr>
    </w:tbl>
    <w:p w14:paraId="71C4973F" w14:textId="77777777" w:rsidR="002E0859" w:rsidRDefault="00000000">
      <w:pPr>
        <w:spacing w:beforeLines="50" w:before="120" w:line="360" w:lineRule="auto"/>
        <w:ind w:firstLine="480"/>
        <w:rPr>
          <w:color w:val="000000" w:themeColor="text1"/>
          <w:kern w:val="0"/>
          <w:sz w:val="24"/>
          <w:szCs w:val="24"/>
          <w:lang w:eastAsia="en-US"/>
        </w:rPr>
      </w:pPr>
      <w:r>
        <w:rPr>
          <w:color w:val="000000" w:themeColor="text1"/>
          <w:kern w:val="0"/>
          <w:sz w:val="24"/>
          <w:szCs w:val="24"/>
          <w:lang w:eastAsia="en-US"/>
        </w:rPr>
        <w:t>2</w:t>
      </w:r>
      <w:r>
        <w:rPr>
          <w:color w:val="000000" w:themeColor="text1"/>
          <w:kern w:val="0"/>
          <w:sz w:val="24"/>
          <w:szCs w:val="24"/>
          <w:lang w:eastAsia="en-US"/>
        </w:rPr>
        <w:t>、周边变电站及电力线路供电能力现状</w:t>
      </w:r>
    </w:p>
    <w:p w14:paraId="1DEB4F7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10kV</w:t>
      </w:r>
      <w:r>
        <w:rPr>
          <w:color w:val="000000" w:themeColor="text1"/>
          <w:kern w:val="0"/>
          <w:sz w:val="24"/>
          <w:szCs w:val="24"/>
          <w:lang w:eastAsia="en-US"/>
        </w:rPr>
        <w:t>江东二线：已经建至</w:t>
      </w:r>
      <w:r>
        <w:rPr>
          <w:color w:val="000000" w:themeColor="text1"/>
          <w:kern w:val="0"/>
          <w:sz w:val="24"/>
          <w:szCs w:val="24"/>
          <w:lang w:eastAsia="en-US"/>
        </w:rPr>
        <w:t>90</w:t>
      </w:r>
      <w:r>
        <w:rPr>
          <w:color w:val="000000" w:themeColor="text1"/>
          <w:kern w:val="0"/>
          <w:sz w:val="24"/>
          <w:szCs w:val="24"/>
          <w:lang w:eastAsia="en-US"/>
        </w:rPr>
        <w:t>号平台，剩余负荷为</w:t>
      </w:r>
      <w:r>
        <w:rPr>
          <w:color w:val="000000" w:themeColor="text1"/>
          <w:kern w:val="0"/>
          <w:sz w:val="24"/>
          <w:szCs w:val="24"/>
          <w:lang w:eastAsia="en-US"/>
        </w:rPr>
        <w:t>3100kVA</w:t>
      </w:r>
      <w:r>
        <w:rPr>
          <w:color w:val="000000" w:themeColor="text1"/>
          <w:kern w:val="0"/>
          <w:sz w:val="24"/>
          <w:szCs w:val="24"/>
          <w:lang w:eastAsia="en-US"/>
        </w:rPr>
        <w:t>，无法满足</w:t>
      </w:r>
      <w:r>
        <w:rPr>
          <w:color w:val="000000" w:themeColor="text1"/>
          <w:kern w:val="0"/>
          <w:sz w:val="24"/>
          <w:szCs w:val="24"/>
          <w:lang w:eastAsia="en-US"/>
        </w:rPr>
        <w:t>1</w:t>
      </w:r>
      <w:r>
        <w:rPr>
          <w:color w:val="000000" w:themeColor="text1"/>
          <w:kern w:val="0"/>
          <w:sz w:val="24"/>
          <w:szCs w:val="24"/>
          <w:lang w:eastAsia="en-US"/>
        </w:rPr>
        <w:t>部钻机供电。</w:t>
      </w:r>
    </w:p>
    <w:p w14:paraId="67543A3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35kV</w:t>
      </w:r>
      <w:r>
        <w:rPr>
          <w:color w:val="000000" w:themeColor="text1"/>
          <w:kern w:val="0"/>
          <w:sz w:val="24"/>
          <w:szCs w:val="24"/>
          <w:lang w:eastAsia="en-US"/>
        </w:rPr>
        <w:t>中原线：已经建至</w:t>
      </w:r>
      <w:r>
        <w:rPr>
          <w:color w:val="000000" w:themeColor="text1"/>
          <w:kern w:val="0"/>
          <w:sz w:val="24"/>
          <w:szCs w:val="24"/>
          <w:lang w:eastAsia="en-US"/>
        </w:rPr>
        <w:t>89</w:t>
      </w:r>
      <w:r>
        <w:rPr>
          <w:color w:val="000000" w:themeColor="text1"/>
          <w:kern w:val="0"/>
          <w:sz w:val="24"/>
          <w:szCs w:val="24"/>
          <w:lang w:eastAsia="en-US"/>
        </w:rPr>
        <w:t>号平台，距离</w:t>
      </w:r>
      <w:r>
        <w:rPr>
          <w:color w:val="000000" w:themeColor="text1"/>
          <w:kern w:val="0"/>
          <w:sz w:val="24"/>
          <w:szCs w:val="24"/>
          <w:lang w:eastAsia="en-US"/>
        </w:rPr>
        <w:t>90</w:t>
      </w:r>
      <w:r>
        <w:rPr>
          <w:color w:val="000000" w:themeColor="text1"/>
          <w:kern w:val="0"/>
          <w:sz w:val="24"/>
          <w:szCs w:val="24"/>
          <w:lang w:eastAsia="en-US"/>
        </w:rPr>
        <w:t>号平台约</w:t>
      </w:r>
      <w:r>
        <w:rPr>
          <w:color w:val="000000" w:themeColor="text1"/>
          <w:kern w:val="0"/>
          <w:sz w:val="24"/>
          <w:szCs w:val="24"/>
          <w:lang w:eastAsia="en-US"/>
        </w:rPr>
        <w:t>500</w:t>
      </w:r>
      <w:r>
        <w:rPr>
          <w:color w:val="000000" w:themeColor="text1"/>
          <w:kern w:val="0"/>
          <w:sz w:val="24"/>
          <w:szCs w:val="24"/>
          <w:lang w:eastAsia="en-US"/>
        </w:rPr>
        <w:t>米，剩余负荷为</w:t>
      </w:r>
      <w:r>
        <w:rPr>
          <w:color w:val="000000" w:themeColor="text1"/>
          <w:kern w:val="0"/>
          <w:sz w:val="24"/>
          <w:szCs w:val="24"/>
          <w:lang w:eastAsia="en-US"/>
        </w:rPr>
        <w:t>8000kVA</w:t>
      </w:r>
      <w:r>
        <w:rPr>
          <w:color w:val="000000" w:themeColor="text1"/>
          <w:kern w:val="0"/>
          <w:sz w:val="24"/>
          <w:szCs w:val="24"/>
          <w:lang w:eastAsia="en-US"/>
        </w:rPr>
        <w:t>，最大满足</w:t>
      </w:r>
      <w:r>
        <w:rPr>
          <w:color w:val="000000" w:themeColor="text1"/>
          <w:kern w:val="0"/>
          <w:sz w:val="24"/>
          <w:szCs w:val="24"/>
          <w:lang w:eastAsia="en-US"/>
        </w:rPr>
        <w:t>4</w:t>
      </w:r>
      <w:r>
        <w:rPr>
          <w:color w:val="000000" w:themeColor="text1"/>
          <w:kern w:val="0"/>
          <w:sz w:val="24"/>
          <w:szCs w:val="24"/>
          <w:lang w:eastAsia="en-US"/>
        </w:rPr>
        <w:t>部钻机同时供电。</w:t>
      </w:r>
    </w:p>
    <w:p w14:paraId="2549E304"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35kV</w:t>
      </w:r>
      <w:r>
        <w:rPr>
          <w:color w:val="000000" w:themeColor="text1"/>
          <w:kern w:val="0"/>
          <w:sz w:val="24"/>
          <w:szCs w:val="24"/>
          <w:lang w:eastAsia="en-US"/>
        </w:rPr>
        <w:t>宏华二线：已建至</w:t>
      </w:r>
      <w:r>
        <w:rPr>
          <w:color w:val="000000" w:themeColor="text1"/>
          <w:kern w:val="0"/>
          <w:sz w:val="24"/>
          <w:szCs w:val="24"/>
          <w:lang w:eastAsia="en-US"/>
        </w:rPr>
        <w:t>89</w:t>
      </w:r>
      <w:r>
        <w:rPr>
          <w:color w:val="000000" w:themeColor="text1"/>
          <w:kern w:val="0"/>
          <w:sz w:val="24"/>
          <w:szCs w:val="24"/>
          <w:lang w:eastAsia="en-US"/>
        </w:rPr>
        <w:t>号平台，距离</w:t>
      </w:r>
      <w:r>
        <w:rPr>
          <w:color w:val="000000" w:themeColor="text1"/>
          <w:kern w:val="0"/>
          <w:sz w:val="24"/>
          <w:szCs w:val="24"/>
          <w:lang w:eastAsia="en-US"/>
        </w:rPr>
        <w:t>90</w:t>
      </w:r>
      <w:r>
        <w:rPr>
          <w:color w:val="000000" w:themeColor="text1"/>
          <w:kern w:val="0"/>
          <w:sz w:val="24"/>
          <w:szCs w:val="24"/>
          <w:lang w:eastAsia="en-US"/>
        </w:rPr>
        <w:t>号平台约</w:t>
      </w:r>
      <w:r>
        <w:rPr>
          <w:color w:val="000000" w:themeColor="text1"/>
          <w:kern w:val="0"/>
          <w:sz w:val="24"/>
          <w:szCs w:val="24"/>
          <w:lang w:eastAsia="en-US"/>
        </w:rPr>
        <w:t>800</w:t>
      </w:r>
      <w:r>
        <w:rPr>
          <w:color w:val="000000" w:themeColor="text1"/>
          <w:kern w:val="0"/>
          <w:sz w:val="24"/>
          <w:szCs w:val="24"/>
          <w:lang w:eastAsia="en-US"/>
        </w:rPr>
        <w:t>米，可满足全电驱压裂供电需求。具体见图</w:t>
      </w:r>
      <w:r>
        <w:rPr>
          <w:rFonts w:hint="eastAsia"/>
          <w:color w:val="000000" w:themeColor="text1"/>
          <w:kern w:val="0"/>
          <w:sz w:val="24"/>
          <w:szCs w:val="24"/>
        </w:rPr>
        <w:t>2.8</w:t>
      </w:r>
      <w:r>
        <w:rPr>
          <w:color w:val="000000" w:themeColor="text1"/>
          <w:kern w:val="0"/>
          <w:sz w:val="24"/>
          <w:szCs w:val="24"/>
          <w:lang w:eastAsia="en-US"/>
        </w:rPr>
        <w:t>-</w:t>
      </w:r>
      <w:r>
        <w:rPr>
          <w:rFonts w:hint="eastAsia"/>
          <w:color w:val="000000" w:themeColor="text1"/>
          <w:kern w:val="0"/>
          <w:sz w:val="24"/>
          <w:szCs w:val="24"/>
        </w:rPr>
        <w:t>1</w:t>
      </w:r>
      <w:r>
        <w:rPr>
          <w:color w:val="000000" w:themeColor="text1"/>
          <w:kern w:val="0"/>
          <w:sz w:val="24"/>
          <w:szCs w:val="24"/>
          <w:lang w:eastAsia="en-US"/>
        </w:rPr>
        <w:t>：</w:t>
      </w:r>
    </w:p>
    <w:p w14:paraId="1E96C92D" w14:textId="2355D173" w:rsidR="002E0859" w:rsidRDefault="00000000">
      <w:pPr>
        <w:pStyle w:val="a4"/>
        <w:jc w:val="center"/>
        <w:rPr>
          <w:rFonts w:ascii="Times New Roman" w:eastAsia="黑体"/>
          <w:color w:val="000000" w:themeColor="text1"/>
          <w:szCs w:val="21"/>
          <w:lang w:eastAsia="en-US"/>
        </w:rPr>
      </w:pPr>
      <w:r>
        <w:rPr>
          <w:rFonts w:ascii="Times New Roman" w:eastAsia="黑体"/>
          <w:color w:val="000000" w:themeColor="text1"/>
          <w:szCs w:val="21"/>
          <w:lang w:eastAsia="en-US"/>
        </w:rPr>
        <w:t>图</w:t>
      </w:r>
      <w:r>
        <w:rPr>
          <w:rFonts w:ascii="Times New Roman" w:eastAsia="黑体" w:hint="eastAsia"/>
          <w:color w:val="000000" w:themeColor="text1"/>
          <w:szCs w:val="21"/>
        </w:rPr>
        <w:t>2.8</w:t>
      </w:r>
      <w:r>
        <w:rPr>
          <w:rFonts w:ascii="Times New Roman" w:eastAsia="黑体"/>
          <w:color w:val="000000" w:themeColor="text1"/>
          <w:szCs w:val="21"/>
          <w:lang w:eastAsia="en-US"/>
        </w:rPr>
        <w:t>-</w:t>
      </w:r>
      <w:r>
        <w:rPr>
          <w:rFonts w:ascii="Times New Roman" w:eastAsia="黑体"/>
          <w:color w:val="000000" w:themeColor="text1"/>
          <w:szCs w:val="21"/>
          <w:lang w:val="es-MX"/>
        </w:rPr>
        <w:t>1</w:t>
      </w:r>
      <w:r>
        <w:rPr>
          <w:rFonts w:ascii="Times New Roman" w:eastAsia="黑体" w:hint="eastAsia"/>
          <w:color w:val="000000" w:themeColor="text1"/>
          <w:szCs w:val="21"/>
        </w:rPr>
        <w:t xml:space="preserve"> </w:t>
      </w:r>
      <w:r>
        <w:rPr>
          <w:rFonts w:ascii="Times New Roman" w:eastAsia="黑体"/>
          <w:color w:val="000000" w:themeColor="text1"/>
          <w:szCs w:val="21"/>
          <w:lang w:eastAsia="en-US"/>
        </w:rPr>
        <w:t>电力线路走向示意图</w:t>
      </w:r>
    </w:p>
    <w:p w14:paraId="19B08A1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3</w:t>
      </w:r>
      <w:r>
        <w:rPr>
          <w:color w:val="000000" w:themeColor="text1"/>
          <w:kern w:val="0"/>
          <w:sz w:val="24"/>
          <w:szCs w:val="24"/>
          <w:lang w:eastAsia="en-US"/>
        </w:rPr>
        <w:t>、平台、集气站供电现状：</w:t>
      </w:r>
    </w:p>
    <w:p w14:paraId="24AE0D1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正常生产期间，焦页</w:t>
      </w:r>
      <w:r>
        <w:rPr>
          <w:color w:val="000000" w:themeColor="text1"/>
          <w:kern w:val="0"/>
          <w:sz w:val="24"/>
          <w:szCs w:val="24"/>
          <w:lang w:eastAsia="en-US"/>
        </w:rPr>
        <w:t>90</w:t>
      </w:r>
      <w:r>
        <w:rPr>
          <w:color w:val="000000" w:themeColor="text1"/>
          <w:kern w:val="0"/>
          <w:sz w:val="24"/>
          <w:szCs w:val="24"/>
          <w:lang w:eastAsia="en-US"/>
        </w:rPr>
        <w:t>号扩均已建完善的低压供电系统，满足新增负荷需求。新增设备电源均从站内原有低压系统引出。</w:t>
      </w:r>
    </w:p>
    <w:p w14:paraId="4438ED71"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4</w:t>
      </w:r>
      <w:r>
        <w:rPr>
          <w:rFonts w:hint="eastAsia"/>
          <w:color w:val="000000" w:themeColor="text1"/>
          <w:kern w:val="0"/>
          <w:sz w:val="24"/>
          <w:szCs w:val="24"/>
        </w:rPr>
        <w:t>、</w:t>
      </w:r>
      <w:r>
        <w:rPr>
          <w:color w:val="000000" w:themeColor="text1"/>
          <w:kern w:val="0"/>
          <w:sz w:val="24"/>
          <w:szCs w:val="24"/>
          <w:lang w:eastAsia="en-US"/>
        </w:rPr>
        <w:t>钻井期间供电</w:t>
      </w:r>
    </w:p>
    <w:p w14:paraId="56F9E9D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90</w:t>
      </w:r>
      <w:r>
        <w:rPr>
          <w:color w:val="000000" w:themeColor="text1"/>
          <w:kern w:val="0"/>
          <w:sz w:val="24"/>
          <w:szCs w:val="24"/>
          <w:lang w:eastAsia="en-US"/>
        </w:rPr>
        <w:t>号平台附近已有</w:t>
      </w:r>
      <w:r>
        <w:rPr>
          <w:color w:val="000000" w:themeColor="text1"/>
          <w:kern w:val="0"/>
          <w:sz w:val="24"/>
          <w:szCs w:val="24"/>
          <w:lang w:eastAsia="en-US"/>
        </w:rPr>
        <w:t>10kV</w:t>
      </w:r>
      <w:r>
        <w:rPr>
          <w:color w:val="000000" w:themeColor="text1"/>
          <w:kern w:val="0"/>
          <w:sz w:val="24"/>
          <w:szCs w:val="24"/>
          <w:lang w:eastAsia="en-US"/>
        </w:rPr>
        <w:t>江东二线和</w:t>
      </w:r>
      <w:r>
        <w:rPr>
          <w:color w:val="000000" w:themeColor="text1"/>
          <w:kern w:val="0"/>
          <w:sz w:val="24"/>
          <w:szCs w:val="24"/>
          <w:lang w:eastAsia="en-US"/>
        </w:rPr>
        <w:t>35kV</w:t>
      </w:r>
      <w:r>
        <w:rPr>
          <w:color w:val="000000" w:themeColor="text1"/>
          <w:kern w:val="0"/>
          <w:sz w:val="24"/>
          <w:szCs w:val="24"/>
          <w:lang w:eastAsia="en-US"/>
        </w:rPr>
        <w:t>中原线架设至平台周边，供电负荷情况如下：</w:t>
      </w:r>
    </w:p>
    <w:p w14:paraId="4C8C6BCA"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2.8</w:t>
      </w:r>
      <w:r>
        <w:rPr>
          <w:rFonts w:eastAsia="黑体"/>
          <w:color w:val="000000" w:themeColor="text1"/>
          <w:sz w:val="21"/>
          <w:szCs w:val="21"/>
          <w:lang w:eastAsia="en-US"/>
        </w:rPr>
        <w:t>-</w:t>
      </w:r>
      <w:r>
        <w:rPr>
          <w:rFonts w:eastAsia="黑体"/>
          <w:color w:val="000000" w:themeColor="text1"/>
          <w:sz w:val="21"/>
          <w:szCs w:val="21"/>
          <w:lang w:val="es-MX" w:eastAsia="en-US"/>
        </w:rPr>
        <w:t>3</w:t>
      </w:r>
      <w:r>
        <w:rPr>
          <w:rFonts w:eastAsia="黑体"/>
          <w:color w:val="000000" w:themeColor="text1"/>
          <w:sz w:val="21"/>
          <w:szCs w:val="21"/>
          <w:lang w:eastAsia="en-US"/>
        </w:rPr>
        <w:t>90</w:t>
      </w:r>
      <w:r>
        <w:rPr>
          <w:rFonts w:eastAsia="黑体"/>
          <w:color w:val="000000" w:themeColor="text1"/>
          <w:sz w:val="21"/>
          <w:szCs w:val="21"/>
          <w:lang w:eastAsia="en-US"/>
        </w:rPr>
        <w:t>号平台电网现状表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966"/>
        <w:gridCol w:w="1927"/>
        <w:gridCol w:w="2622"/>
        <w:gridCol w:w="2635"/>
      </w:tblGrid>
      <w:tr w:rsidR="002E0859" w14:paraId="4AFCD2F8" w14:textId="77777777">
        <w:trPr>
          <w:trHeight w:val="23"/>
        </w:trPr>
        <w:tc>
          <w:tcPr>
            <w:tcW w:w="1074" w:type="pct"/>
            <w:tcBorders>
              <w:tl2br w:val="nil"/>
              <w:tr2bl w:val="nil"/>
            </w:tcBorders>
            <w:vAlign w:val="center"/>
          </w:tcPr>
          <w:p w14:paraId="4210154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供电线路</w:t>
            </w:r>
          </w:p>
        </w:tc>
        <w:tc>
          <w:tcPr>
            <w:tcW w:w="1053" w:type="pct"/>
            <w:tcBorders>
              <w:tl2br w:val="nil"/>
              <w:tr2bl w:val="nil"/>
            </w:tcBorders>
            <w:vAlign w:val="center"/>
          </w:tcPr>
          <w:p w14:paraId="7E0DFA8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剩余负荷</w:t>
            </w:r>
          </w:p>
          <w:p w14:paraId="7951A2F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9"/>
                <w:kern w:val="0"/>
                <w:sz w:val="21"/>
                <w:szCs w:val="21"/>
                <w:lang w:eastAsia="en-US"/>
              </w:rPr>
              <w:t>(kW)</w:t>
            </w:r>
          </w:p>
        </w:tc>
        <w:tc>
          <w:tcPr>
            <w:tcW w:w="1432" w:type="pct"/>
            <w:tcBorders>
              <w:tl2br w:val="nil"/>
              <w:tr2bl w:val="nil"/>
            </w:tcBorders>
            <w:vAlign w:val="center"/>
          </w:tcPr>
          <w:p w14:paraId="4BE5393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负荷需求</w:t>
            </w:r>
          </w:p>
          <w:p w14:paraId="33D1C7D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9"/>
                <w:kern w:val="0"/>
                <w:sz w:val="21"/>
                <w:szCs w:val="21"/>
                <w:lang w:eastAsia="en-US"/>
              </w:rPr>
              <w:t>(kW)</w:t>
            </w:r>
          </w:p>
        </w:tc>
        <w:tc>
          <w:tcPr>
            <w:tcW w:w="1439" w:type="pct"/>
            <w:tcBorders>
              <w:tl2br w:val="nil"/>
              <w:tr2bl w:val="nil"/>
            </w:tcBorders>
            <w:vAlign w:val="center"/>
          </w:tcPr>
          <w:p w14:paraId="11EBF4B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新建</w:t>
            </w:r>
            <w:r>
              <w:rPr>
                <w:snapToGrid w:val="0"/>
                <w:color w:val="000000" w:themeColor="text1"/>
                <w:spacing w:val="-4"/>
                <w:kern w:val="0"/>
                <w:sz w:val="21"/>
                <w:szCs w:val="21"/>
                <w:lang w:eastAsia="en-US"/>
              </w:rPr>
              <w:t>35kV</w:t>
            </w:r>
          </w:p>
          <w:p w14:paraId="2418157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线路长度</w:t>
            </w:r>
          </w:p>
        </w:tc>
      </w:tr>
      <w:tr w:rsidR="002E0859" w14:paraId="23D5E339" w14:textId="77777777">
        <w:trPr>
          <w:trHeight w:val="23"/>
        </w:trPr>
        <w:tc>
          <w:tcPr>
            <w:tcW w:w="1074" w:type="pct"/>
            <w:tcBorders>
              <w:tl2br w:val="nil"/>
              <w:tr2bl w:val="nil"/>
            </w:tcBorders>
            <w:vAlign w:val="center"/>
          </w:tcPr>
          <w:p w14:paraId="6036524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江东二线</w:t>
            </w:r>
          </w:p>
        </w:tc>
        <w:tc>
          <w:tcPr>
            <w:tcW w:w="1053" w:type="pct"/>
            <w:tcBorders>
              <w:tl2br w:val="nil"/>
              <w:tr2bl w:val="nil"/>
            </w:tcBorders>
            <w:vAlign w:val="center"/>
          </w:tcPr>
          <w:p w14:paraId="1EFF53F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2100</w:t>
            </w:r>
          </w:p>
        </w:tc>
        <w:tc>
          <w:tcPr>
            <w:tcW w:w="1432" w:type="pct"/>
            <w:tcBorders>
              <w:tl2br w:val="nil"/>
              <w:tr2bl w:val="nil"/>
            </w:tcBorders>
            <w:vAlign w:val="center"/>
          </w:tcPr>
          <w:p w14:paraId="44462E2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2500</w:t>
            </w:r>
          </w:p>
        </w:tc>
        <w:tc>
          <w:tcPr>
            <w:tcW w:w="1439" w:type="pct"/>
            <w:tcBorders>
              <w:tl2br w:val="nil"/>
              <w:tr2bl w:val="nil"/>
            </w:tcBorders>
            <w:vAlign w:val="center"/>
          </w:tcPr>
          <w:p w14:paraId="5366A50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0A399DF4" w14:textId="77777777">
        <w:trPr>
          <w:trHeight w:val="23"/>
        </w:trPr>
        <w:tc>
          <w:tcPr>
            <w:tcW w:w="1074" w:type="pct"/>
            <w:tcBorders>
              <w:tl2br w:val="nil"/>
              <w:tr2bl w:val="nil"/>
            </w:tcBorders>
            <w:vAlign w:val="center"/>
          </w:tcPr>
          <w:p w14:paraId="5F7AC7D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6"/>
                <w:kern w:val="0"/>
                <w:sz w:val="21"/>
                <w:szCs w:val="21"/>
                <w:lang w:eastAsia="en-US"/>
              </w:rPr>
              <w:t>中原线</w:t>
            </w:r>
          </w:p>
        </w:tc>
        <w:tc>
          <w:tcPr>
            <w:tcW w:w="1053" w:type="pct"/>
            <w:tcBorders>
              <w:tl2br w:val="nil"/>
              <w:tr2bl w:val="nil"/>
            </w:tcBorders>
            <w:vAlign w:val="center"/>
          </w:tcPr>
          <w:p w14:paraId="04515D8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8000</w:t>
            </w:r>
          </w:p>
        </w:tc>
        <w:tc>
          <w:tcPr>
            <w:tcW w:w="1432" w:type="pct"/>
            <w:tcBorders>
              <w:tl2br w:val="nil"/>
              <w:tr2bl w:val="nil"/>
            </w:tcBorders>
            <w:vAlign w:val="center"/>
          </w:tcPr>
          <w:p w14:paraId="407E808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2500</w:t>
            </w:r>
          </w:p>
        </w:tc>
        <w:tc>
          <w:tcPr>
            <w:tcW w:w="1439" w:type="pct"/>
            <w:tcBorders>
              <w:tl2br w:val="nil"/>
              <w:tr2bl w:val="nil"/>
            </w:tcBorders>
            <w:vAlign w:val="center"/>
          </w:tcPr>
          <w:p w14:paraId="5016800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0.6</w:t>
            </w:r>
          </w:p>
        </w:tc>
      </w:tr>
    </w:tbl>
    <w:p w14:paraId="5F6D4938" w14:textId="77777777" w:rsidR="002E0859" w:rsidRDefault="00000000">
      <w:pPr>
        <w:spacing w:beforeLines="50" w:before="120" w:line="360" w:lineRule="auto"/>
        <w:ind w:firstLine="480"/>
        <w:rPr>
          <w:color w:val="000000" w:themeColor="text1"/>
          <w:kern w:val="0"/>
          <w:sz w:val="24"/>
          <w:szCs w:val="24"/>
          <w:lang w:eastAsia="en-US"/>
        </w:rPr>
      </w:pPr>
      <w:r>
        <w:rPr>
          <w:color w:val="000000" w:themeColor="text1"/>
          <w:kern w:val="0"/>
          <w:sz w:val="24"/>
          <w:szCs w:val="24"/>
          <w:lang w:eastAsia="en-US"/>
        </w:rPr>
        <w:t>因此采用</w:t>
      </w:r>
      <w:r>
        <w:rPr>
          <w:color w:val="000000" w:themeColor="text1"/>
          <w:kern w:val="0"/>
          <w:sz w:val="24"/>
          <w:szCs w:val="24"/>
          <w:lang w:eastAsia="en-US"/>
        </w:rPr>
        <w:t>35kV</w:t>
      </w:r>
      <w:r>
        <w:rPr>
          <w:color w:val="000000" w:themeColor="text1"/>
          <w:kern w:val="0"/>
          <w:sz w:val="24"/>
          <w:szCs w:val="24"/>
          <w:lang w:eastAsia="en-US"/>
        </w:rPr>
        <w:t>中原线供电，需新建</w:t>
      </w:r>
      <w:r>
        <w:rPr>
          <w:color w:val="000000" w:themeColor="text1"/>
          <w:kern w:val="0"/>
          <w:sz w:val="24"/>
          <w:szCs w:val="24"/>
          <w:lang w:eastAsia="en-US"/>
        </w:rPr>
        <w:t>35kV</w:t>
      </w:r>
      <w:r>
        <w:rPr>
          <w:color w:val="000000" w:themeColor="text1"/>
          <w:kern w:val="0"/>
          <w:sz w:val="24"/>
          <w:szCs w:val="24"/>
          <w:lang w:eastAsia="en-US"/>
        </w:rPr>
        <w:t>线路</w:t>
      </w:r>
      <w:r>
        <w:rPr>
          <w:color w:val="000000" w:themeColor="text1"/>
          <w:kern w:val="0"/>
          <w:sz w:val="24"/>
          <w:szCs w:val="24"/>
          <w:lang w:eastAsia="en-US"/>
        </w:rPr>
        <w:t>0.6km</w:t>
      </w:r>
      <w:r>
        <w:rPr>
          <w:color w:val="000000" w:themeColor="text1"/>
          <w:kern w:val="0"/>
          <w:sz w:val="24"/>
          <w:szCs w:val="24"/>
          <w:lang w:eastAsia="en-US"/>
        </w:rPr>
        <w:t>。具体见图</w:t>
      </w:r>
      <w:r>
        <w:rPr>
          <w:rFonts w:hint="eastAsia"/>
          <w:color w:val="000000" w:themeColor="text1"/>
          <w:kern w:val="0"/>
          <w:sz w:val="24"/>
          <w:szCs w:val="24"/>
        </w:rPr>
        <w:t>2.8-2</w:t>
      </w:r>
      <w:r>
        <w:rPr>
          <w:color w:val="000000" w:themeColor="text1"/>
          <w:kern w:val="0"/>
          <w:sz w:val="24"/>
          <w:szCs w:val="24"/>
          <w:lang w:eastAsia="en-US"/>
        </w:rPr>
        <w:t>：</w:t>
      </w:r>
    </w:p>
    <w:p w14:paraId="7E9ED04B" w14:textId="2297599E" w:rsidR="002E0859" w:rsidRDefault="00000000">
      <w:pPr>
        <w:ind w:firstLine="420"/>
        <w:jc w:val="center"/>
        <w:rPr>
          <w:rFonts w:eastAsia="黑体"/>
          <w:color w:val="000000" w:themeColor="text1"/>
          <w:kern w:val="0"/>
          <w:sz w:val="21"/>
          <w:szCs w:val="21"/>
          <w:lang w:eastAsia="en-US"/>
        </w:rPr>
      </w:pPr>
      <w:r>
        <w:rPr>
          <w:rFonts w:eastAsia="黑体"/>
          <w:color w:val="000000" w:themeColor="text1"/>
          <w:kern w:val="0"/>
          <w:sz w:val="21"/>
          <w:szCs w:val="21"/>
          <w:lang w:eastAsia="en-US"/>
        </w:rPr>
        <w:t>图</w:t>
      </w:r>
      <w:r>
        <w:rPr>
          <w:rFonts w:eastAsia="黑体" w:hint="eastAsia"/>
          <w:color w:val="000000" w:themeColor="text1"/>
          <w:kern w:val="0"/>
          <w:sz w:val="21"/>
          <w:szCs w:val="21"/>
        </w:rPr>
        <w:t xml:space="preserve">2.8-2 </w:t>
      </w:r>
      <w:r>
        <w:rPr>
          <w:rFonts w:eastAsia="黑体"/>
          <w:color w:val="000000" w:themeColor="text1"/>
          <w:kern w:val="0"/>
          <w:sz w:val="21"/>
          <w:szCs w:val="21"/>
          <w:lang w:eastAsia="en-US"/>
        </w:rPr>
        <w:t>90</w:t>
      </w:r>
      <w:r>
        <w:rPr>
          <w:rFonts w:eastAsia="黑体"/>
          <w:color w:val="000000" w:themeColor="text1"/>
          <w:kern w:val="0"/>
          <w:sz w:val="21"/>
          <w:szCs w:val="21"/>
          <w:lang w:eastAsia="en-US"/>
        </w:rPr>
        <w:t>号平台</w:t>
      </w:r>
      <w:r>
        <w:rPr>
          <w:rFonts w:eastAsia="黑体"/>
          <w:color w:val="000000" w:themeColor="text1"/>
          <w:kern w:val="0"/>
          <w:sz w:val="21"/>
          <w:szCs w:val="21"/>
          <w:lang w:eastAsia="en-US"/>
        </w:rPr>
        <w:t>35kV</w:t>
      </w:r>
      <w:r>
        <w:rPr>
          <w:rFonts w:eastAsia="黑体"/>
          <w:color w:val="000000" w:themeColor="text1"/>
          <w:kern w:val="0"/>
          <w:sz w:val="21"/>
          <w:szCs w:val="21"/>
          <w:lang w:eastAsia="en-US"/>
        </w:rPr>
        <w:t>架空线路示意图</w:t>
      </w:r>
    </w:p>
    <w:p w14:paraId="2DA9BD1E"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5</w:t>
      </w:r>
      <w:r>
        <w:rPr>
          <w:rFonts w:hint="eastAsia"/>
          <w:color w:val="000000" w:themeColor="text1"/>
          <w:kern w:val="0"/>
          <w:sz w:val="24"/>
          <w:szCs w:val="24"/>
        </w:rPr>
        <w:t>、</w:t>
      </w:r>
      <w:r>
        <w:rPr>
          <w:color w:val="000000" w:themeColor="text1"/>
          <w:kern w:val="0"/>
          <w:sz w:val="24"/>
          <w:szCs w:val="24"/>
          <w:lang w:eastAsia="en-US"/>
        </w:rPr>
        <w:t>压裂期间供电</w:t>
      </w:r>
    </w:p>
    <w:p w14:paraId="63C8E2B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由于单井压裂由江汉工程公司总包，采用单井费用一口价结算，因此本工程不考虑压裂供电。</w:t>
      </w:r>
    </w:p>
    <w:p w14:paraId="2CAE76E0"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lastRenderedPageBreak/>
        <w:t>6</w:t>
      </w:r>
      <w:r>
        <w:rPr>
          <w:rFonts w:hint="eastAsia"/>
          <w:color w:val="000000" w:themeColor="text1"/>
          <w:kern w:val="0"/>
          <w:sz w:val="24"/>
          <w:szCs w:val="24"/>
        </w:rPr>
        <w:t>、</w:t>
      </w:r>
      <w:r>
        <w:rPr>
          <w:rFonts w:hint="eastAsia"/>
          <w:color w:val="000000" w:themeColor="text1"/>
          <w:kern w:val="0"/>
          <w:sz w:val="24"/>
          <w:szCs w:val="24"/>
          <w:lang w:eastAsia="en-US"/>
        </w:rPr>
        <w:t>生产期间供电方案</w:t>
      </w:r>
    </w:p>
    <w:p w14:paraId="3C133489"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lang w:eastAsia="en-US"/>
        </w:rPr>
        <w:t>正常生产期间，焦页</w:t>
      </w:r>
      <w:r>
        <w:rPr>
          <w:rFonts w:hint="eastAsia"/>
          <w:color w:val="000000" w:themeColor="text1"/>
          <w:kern w:val="0"/>
          <w:sz w:val="24"/>
          <w:szCs w:val="24"/>
          <w:lang w:eastAsia="en-US"/>
        </w:rPr>
        <w:t>90</w:t>
      </w:r>
      <w:r>
        <w:rPr>
          <w:rFonts w:hint="eastAsia"/>
          <w:color w:val="000000" w:themeColor="text1"/>
          <w:kern w:val="0"/>
          <w:sz w:val="24"/>
          <w:szCs w:val="24"/>
          <w:lang w:eastAsia="en-US"/>
        </w:rPr>
        <w:t>号扩均已建完善的低压供电系统，满足新增负荷需求。新增设备电源均从站内原有低压系统引出。</w:t>
      </w:r>
    </w:p>
    <w:p w14:paraId="47D33859"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7</w:t>
      </w:r>
      <w:r>
        <w:rPr>
          <w:rFonts w:hint="eastAsia"/>
          <w:color w:val="000000" w:themeColor="text1"/>
          <w:kern w:val="0"/>
          <w:sz w:val="24"/>
          <w:szCs w:val="24"/>
        </w:rPr>
        <w:t>、</w:t>
      </w:r>
      <w:r>
        <w:rPr>
          <w:color w:val="000000" w:themeColor="text1"/>
          <w:kern w:val="0"/>
          <w:sz w:val="24"/>
          <w:szCs w:val="24"/>
          <w:lang w:eastAsia="en-US"/>
        </w:rPr>
        <w:t>防雷、防静电及接地</w:t>
      </w:r>
    </w:p>
    <w:p w14:paraId="0D257A3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各站场、平台内建筑物的防雷措施严格按照国标《建筑物防雷设计规范》</w:t>
      </w:r>
      <w:r>
        <w:rPr>
          <w:rFonts w:hint="eastAsia"/>
          <w:color w:val="000000" w:themeColor="text1"/>
          <w:kern w:val="0"/>
          <w:sz w:val="24"/>
          <w:szCs w:val="24"/>
        </w:rPr>
        <w:t>（</w:t>
      </w:r>
      <w:r>
        <w:rPr>
          <w:color w:val="000000" w:themeColor="text1"/>
          <w:kern w:val="0"/>
          <w:sz w:val="24"/>
          <w:szCs w:val="24"/>
          <w:lang w:eastAsia="en-US"/>
        </w:rPr>
        <w:t>GB50057-2010</w:t>
      </w:r>
      <w:r>
        <w:rPr>
          <w:rFonts w:hint="eastAsia"/>
          <w:color w:val="000000" w:themeColor="text1"/>
          <w:kern w:val="0"/>
          <w:sz w:val="24"/>
          <w:szCs w:val="24"/>
        </w:rPr>
        <w:t>）</w:t>
      </w:r>
      <w:r>
        <w:rPr>
          <w:color w:val="000000" w:themeColor="text1"/>
          <w:kern w:val="0"/>
          <w:sz w:val="24"/>
          <w:szCs w:val="24"/>
          <w:lang w:eastAsia="en-US"/>
        </w:rPr>
        <w:t>的规定执行。</w:t>
      </w:r>
    </w:p>
    <w:p w14:paraId="71CF29B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低压配电系统的接地型式采用</w:t>
      </w:r>
      <w:r>
        <w:rPr>
          <w:color w:val="000000" w:themeColor="text1"/>
          <w:kern w:val="0"/>
          <w:sz w:val="24"/>
          <w:szCs w:val="24"/>
          <w:lang w:eastAsia="en-US"/>
        </w:rPr>
        <w:t>TN</w:t>
      </w:r>
      <w:r>
        <w:rPr>
          <w:color w:val="000000" w:themeColor="text1"/>
          <w:kern w:val="0"/>
          <w:sz w:val="24"/>
          <w:szCs w:val="24"/>
          <w:lang w:eastAsia="en-US"/>
        </w:rPr>
        <w:t>－</w:t>
      </w:r>
      <w:r>
        <w:rPr>
          <w:color w:val="000000" w:themeColor="text1"/>
          <w:kern w:val="0"/>
          <w:sz w:val="24"/>
          <w:szCs w:val="24"/>
          <w:lang w:eastAsia="en-US"/>
        </w:rPr>
        <w:t>S</w:t>
      </w:r>
      <w:r>
        <w:rPr>
          <w:color w:val="000000" w:themeColor="text1"/>
          <w:kern w:val="0"/>
          <w:sz w:val="24"/>
          <w:szCs w:val="24"/>
          <w:lang w:eastAsia="en-US"/>
        </w:rPr>
        <w:t>系统，在供配电系统的电源端安装与设备耐压水平相适应的过电压</w:t>
      </w:r>
      <w:r>
        <w:rPr>
          <w:rFonts w:hint="eastAsia"/>
          <w:color w:val="000000" w:themeColor="text1"/>
          <w:kern w:val="0"/>
          <w:sz w:val="24"/>
          <w:szCs w:val="24"/>
        </w:rPr>
        <w:t>（</w:t>
      </w:r>
      <w:r>
        <w:rPr>
          <w:color w:val="000000" w:themeColor="text1"/>
          <w:kern w:val="0"/>
          <w:sz w:val="24"/>
          <w:szCs w:val="24"/>
          <w:lang w:eastAsia="en-US"/>
        </w:rPr>
        <w:t>电涌</w:t>
      </w:r>
      <w:r>
        <w:rPr>
          <w:rFonts w:hint="eastAsia"/>
          <w:color w:val="000000" w:themeColor="text1"/>
          <w:kern w:val="0"/>
          <w:sz w:val="24"/>
          <w:szCs w:val="24"/>
        </w:rPr>
        <w:t>）</w:t>
      </w:r>
      <w:r>
        <w:rPr>
          <w:color w:val="000000" w:themeColor="text1"/>
          <w:kern w:val="0"/>
          <w:sz w:val="24"/>
          <w:szCs w:val="24"/>
          <w:lang w:eastAsia="en-US"/>
        </w:rPr>
        <w:t>保护器。电气设备的下列金属部分，均应可靠接地：配电屏、配电箱的框架；互感器的二次绕组；配电装置的金属构架及靠近带电部分的金属围栏和金属门等；电力电缆接线盒、终端盒的外壳，电缆的外皮、穿线的钢管等的金属部分。</w:t>
      </w:r>
    </w:p>
    <w:p w14:paraId="338003C2"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露天布置的天然气钢制设备、容器做防雷防静电接地。直径大于或等于</w:t>
      </w:r>
      <w:r>
        <w:rPr>
          <w:color w:val="000000" w:themeColor="text1"/>
          <w:kern w:val="0"/>
          <w:sz w:val="24"/>
          <w:szCs w:val="24"/>
          <w:lang w:eastAsia="en-US"/>
        </w:rPr>
        <w:t>2.5m</w:t>
      </w:r>
      <w:r>
        <w:rPr>
          <w:color w:val="000000" w:themeColor="text1"/>
          <w:kern w:val="0"/>
          <w:sz w:val="24"/>
          <w:szCs w:val="24"/>
          <w:lang w:eastAsia="en-US"/>
        </w:rPr>
        <w:t>及容积大于或等于</w:t>
      </w:r>
      <w:r>
        <w:rPr>
          <w:color w:val="000000" w:themeColor="text1"/>
          <w:kern w:val="0"/>
          <w:sz w:val="24"/>
          <w:szCs w:val="24"/>
          <w:lang w:eastAsia="en-US"/>
        </w:rPr>
        <w:t>50m</w:t>
      </w:r>
      <w:r>
        <w:rPr>
          <w:color w:val="000000" w:themeColor="text1"/>
          <w:kern w:val="0"/>
          <w:sz w:val="24"/>
          <w:szCs w:val="24"/>
          <w:vertAlign w:val="superscript"/>
          <w:lang w:eastAsia="en-US"/>
        </w:rPr>
        <w:t>3</w:t>
      </w:r>
      <w:r>
        <w:rPr>
          <w:color w:val="000000" w:themeColor="text1"/>
          <w:kern w:val="0"/>
          <w:sz w:val="24"/>
          <w:szCs w:val="24"/>
          <w:lang w:eastAsia="en-US"/>
        </w:rPr>
        <w:t>的设备，其接地点不应少于</w:t>
      </w:r>
      <w:r>
        <w:rPr>
          <w:color w:val="000000" w:themeColor="text1"/>
          <w:kern w:val="0"/>
          <w:sz w:val="24"/>
          <w:szCs w:val="24"/>
          <w:lang w:eastAsia="en-US"/>
        </w:rPr>
        <w:t>2</w:t>
      </w:r>
      <w:r>
        <w:rPr>
          <w:color w:val="000000" w:themeColor="text1"/>
          <w:kern w:val="0"/>
          <w:sz w:val="24"/>
          <w:szCs w:val="24"/>
          <w:lang w:eastAsia="en-US"/>
        </w:rPr>
        <w:t>处。地上或管沟内敷设的金属管道在进出装置或设施处、管道分支处等设防静电接地装置。长距离无分支管道应每隔</w:t>
      </w:r>
      <w:r>
        <w:rPr>
          <w:color w:val="000000" w:themeColor="text1"/>
          <w:kern w:val="0"/>
          <w:sz w:val="24"/>
          <w:szCs w:val="24"/>
          <w:lang w:eastAsia="en-US"/>
        </w:rPr>
        <w:t>200m</w:t>
      </w:r>
      <w:r>
        <w:rPr>
          <w:color w:val="000000" w:themeColor="text1"/>
          <w:kern w:val="0"/>
          <w:sz w:val="24"/>
          <w:szCs w:val="24"/>
          <w:lang w:eastAsia="en-US"/>
        </w:rPr>
        <w:t>接地一次。平行管道净距小于</w:t>
      </w:r>
      <w:r>
        <w:rPr>
          <w:color w:val="000000" w:themeColor="text1"/>
          <w:kern w:val="0"/>
          <w:sz w:val="24"/>
          <w:szCs w:val="24"/>
          <w:lang w:eastAsia="en-US"/>
        </w:rPr>
        <w:t>100mm</w:t>
      </w:r>
      <w:r>
        <w:rPr>
          <w:color w:val="000000" w:themeColor="text1"/>
          <w:kern w:val="0"/>
          <w:sz w:val="24"/>
          <w:szCs w:val="24"/>
          <w:lang w:eastAsia="en-US"/>
        </w:rPr>
        <w:t>时，应每隔</w:t>
      </w:r>
      <w:r>
        <w:rPr>
          <w:color w:val="000000" w:themeColor="text1"/>
          <w:kern w:val="0"/>
          <w:sz w:val="24"/>
          <w:szCs w:val="24"/>
          <w:lang w:eastAsia="en-US"/>
        </w:rPr>
        <w:t>20m</w:t>
      </w:r>
      <w:r>
        <w:rPr>
          <w:color w:val="000000" w:themeColor="text1"/>
          <w:kern w:val="0"/>
          <w:sz w:val="24"/>
          <w:szCs w:val="24"/>
          <w:lang w:eastAsia="en-US"/>
        </w:rPr>
        <w:t>跨接；当管道交叉净距小于</w:t>
      </w:r>
      <w:r>
        <w:rPr>
          <w:color w:val="000000" w:themeColor="text1"/>
          <w:kern w:val="0"/>
          <w:sz w:val="24"/>
          <w:szCs w:val="24"/>
          <w:lang w:eastAsia="en-US"/>
        </w:rPr>
        <w:t>100mm</w:t>
      </w:r>
      <w:r>
        <w:rPr>
          <w:color w:val="000000" w:themeColor="text1"/>
          <w:kern w:val="0"/>
          <w:sz w:val="24"/>
          <w:szCs w:val="24"/>
          <w:lang w:eastAsia="en-US"/>
        </w:rPr>
        <w:t>应做跨接。各阀门</w:t>
      </w:r>
      <w:r>
        <w:rPr>
          <w:rFonts w:hint="eastAsia"/>
          <w:color w:val="000000" w:themeColor="text1"/>
          <w:kern w:val="0"/>
          <w:sz w:val="24"/>
          <w:szCs w:val="24"/>
        </w:rPr>
        <w:t>（</w:t>
      </w:r>
      <w:r>
        <w:rPr>
          <w:color w:val="000000" w:themeColor="text1"/>
          <w:kern w:val="0"/>
          <w:sz w:val="24"/>
          <w:szCs w:val="24"/>
          <w:lang w:eastAsia="en-US"/>
        </w:rPr>
        <w:t>螺栓连接少于</w:t>
      </w:r>
      <w:r>
        <w:rPr>
          <w:color w:val="000000" w:themeColor="text1"/>
          <w:kern w:val="0"/>
          <w:sz w:val="24"/>
          <w:szCs w:val="24"/>
          <w:lang w:eastAsia="en-US"/>
        </w:rPr>
        <w:t>5</w:t>
      </w:r>
      <w:r>
        <w:rPr>
          <w:color w:val="000000" w:themeColor="text1"/>
          <w:kern w:val="0"/>
          <w:sz w:val="24"/>
          <w:szCs w:val="24"/>
          <w:lang w:eastAsia="en-US"/>
        </w:rPr>
        <w:t>处</w:t>
      </w:r>
      <w:r>
        <w:rPr>
          <w:rFonts w:hint="eastAsia"/>
          <w:color w:val="000000" w:themeColor="text1"/>
          <w:kern w:val="0"/>
          <w:sz w:val="24"/>
          <w:szCs w:val="24"/>
        </w:rPr>
        <w:t>）</w:t>
      </w:r>
      <w:r>
        <w:rPr>
          <w:color w:val="000000" w:themeColor="text1"/>
          <w:kern w:val="0"/>
          <w:sz w:val="24"/>
          <w:szCs w:val="24"/>
          <w:lang w:eastAsia="en-US"/>
        </w:rPr>
        <w:t>间应采用</w:t>
      </w:r>
      <w:r>
        <w:rPr>
          <w:color w:val="000000" w:themeColor="text1"/>
          <w:kern w:val="0"/>
          <w:sz w:val="24"/>
          <w:szCs w:val="24"/>
          <w:lang w:eastAsia="en-US"/>
        </w:rPr>
        <w:t>BVR-6mm</w:t>
      </w:r>
      <w:r>
        <w:rPr>
          <w:color w:val="000000" w:themeColor="text1"/>
          <w:kern w:val="0"/>
          <w:sz w:val="24"/>
          <w:szCs w:val="24"/>
          <w:vertAlign w:val="superscript"/>
          <w:lang w:eastAsia="en-US"/>
        </w:rPr>
        <w:t>2</w:t>
      </w:r>
      <w:r>
        <w:rPr>
          <w:color w:val="000000" w:themeColor="text1"/>
          <w:kern w:val="0"/>
          <w:sz w:val="24"/>
          <w:szCs w:val="24"/>
          <w:lang w:eastAsia="en-US"/>
        </w:rPr>
        <w:t>多股铜芯软导线做跨接。长金属物的弯头、阀门、法兰盘等连接处的过渡电阻大于</w:t>
      </w:r>
      <w:r>
        <w:rPr>
          <w:color w:val="000000" w:themeColor="text1"/>
          <w:kern w:val="0"/>
          <w:sz w:val="24"/>
          <w:szCs w:val="24"/>
          <w:lang w:eastAsia="en-US"/>
        </w:rPr>
        <w:t>0.03Ω</w:t>
      </w:r>
      <w:r>
        <w:rPr>
          <w:color w:val="000000" w:themeColor="text1"/>
          <w:kern w:val="0"/>
          <w:sz w:val="24"/>
          <w:szCs w:val="24"/>
          <w:lang w:eastAsia="en-US"/>
        </w:rPr>
        <w:t>时，连接处应跨接。跨接材料采用</w:t>
      </w:r>
      <w:r>
        <w:rPr>
          <w:color w:val="000000" w:themeColor="text1"/>
          <w:kern w:val="0"/>
          <w:sz w:val="24"/>
          <w:szCs w:val="24"/>
          <w:lang w:eastAsia="en-US"/>
        </w:rPr>
        <w:t>BVR-16mm</w:t>
      </w:r>
      <w:r>
        <w:rPr>
          <w:color w:val="000000" w:themeColor="text1"/>
          <w:kern w:val="0"/>
          <w:sz w:val="24"/>
          <w:szCs w:val="24"/>
          <w:vertAlign w:val="superscript"/>
          <w:lang w:eastAsia="en-US"/>
        </w:rPr>
        <w:t>2</w:t>
      </w:r>
      <w:r>
        <w:rPr>
          <w:color w:val="000000" w:themeColor="text1"/>
          <w:kern w:val="0"/>
          <w:sz w:val="24"/>
          <w:szCs w:val="24"/>
          <w:lang w:eastAsia="en-US"/>
        </w:rPr>
        <w:t>多股铜芯软导线。各阀门</w:t>
      </w:r>
      <w:r>
        <w:rPr>
          <w:rFonts w:hint="eastAsia"/>
          <w:color w:val="000000" w:themeColor="text1"/>
          <w:kern w:val="0"/>
          <w:sz w:val="24"/>
          <w:szCs w:val="24"/>
        </w:rPr>
        <w:t>（</w:t>
      </w:r>
      <w:r>
        <w:rPr>
          <w:color w:val="000000" w:themeColor="text1"/>
          <w:kern w:val="0"/>
          <w:sz w:val="24"/>
          <w:szCs w:val="24"/>
          <w:lang w:eastAsia="en-US"/>
        </w:rPr>
        <w:t>螺栓连接少于</w:t>
      </w:r>
      <w:r>
        <w:rPr>
          <w:color w:val="000000" w:themeColor="text1"/>
          <w:kern w:val="0"/>
          <w:sz w:val="24"/>
          <w:szCs w:val="24"/>
          <w:lang w:eastAsia="en-US"/>
        </w:rPr>
        <w:t>5</w:t>
      </w:r>
      <w:r>
        <w:rPr>
          <w:color w:val="000000" w:themeColor="text1"/>
          <w:kern w:val="0"/>
          <w:sz w:val="24"/>
          <w:szCs w:val="24"/>
          <w:lang w:eastAsia="en-US"/>
        </w:rPr>
        <w:t>处</w:t>
      </w:r>
      <w:r>
        <w:rPr>
          <w:rFonts w:hint="eastAsia"/>
          <w:color w:val="000000" w:themeColor="text1"/>
          <w:kern w:val="0"/>
          <w:sz w:val="24"/>
          <w:szCs w:val="24"/>
        </w:rPr>
        <w:t>）</w:t>
      </w:r>
      <w:r>
        <w:rPr>
          <w:color w:val="000000" w:themeColor="text1"/>
          <w:kern w:val="0"/>
          <w:sz w:val="24"/>
          <w:szCs w:val="24"/>
          <w:lang w:eastAsia="en-US"/>
        </w:rPr>
        <w:t>间应采用</w:t>
      </w:r>
      <w:r>
        <w:rPr>
          <w:color w:val="000000" w:themeColor="text1"/>
          <w:kern w:val="0"/>
          <w:sz w:val="24"/>
          <w:szCs w:val="24"/>
          <w:lang w:eastAsia="en-US"/>
        </w:rPr>
        <w:t>BVR-16mm</w:t>
      </w:r>
      <w:r>
        <w:rPr>
          <w:color w:val="000000" w:themeColor="text1"/>
          <w:kern w:val="0"/>
          <w:sz w:val="24"/>
          <w:szCs w:val="24"/>
          <w:vertAlign w:val="superscript"/>
          <w:lang w:eastAsia="en-US"/>
        </w:rPr>
        <w:t>2</w:t>
      </w:r>
      <w:r>
        <w:rPr>
          <w:color w:val="000000" w:themeColor="text1"/>
          <w:kern w:val="0"/>
          <w:sz w:val="24"/>
          <w:szCs w:val="24"/>
          <w:lang w:eastAsia="en-US"/>
        </w:rPr>
        <w:t>多股铜芯软导线做跨接。</w:t>
      </w:r>
    </w:p>
    <w:p w14:paraId="511CFED2"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站场所有的电气设备接地、仪表接地、防雷、防静电接地相连构成统一的接地网；接地极采用镀锌角钢接地极，间距不小于</w:t>
      </w:r>
      <w:r>
        <w:rPr>
          <w:color w:val="000000" w:themeColor="text1"/>
          <w:kern w:val="0"/>
          <w:sz w:val="24"/>
          <w:szCs w:val="24"/>
          <w:lang w:eastAsia="en-US"/>
        </w:rPr>
        <w:t>5m</w:t>
      </w:r>
      <w:r>
        <w:rPr>
          <w:color w:val="000000" w:themeColor="text1"/>
          <w:kern w:val="0"/>
          <w:sz w:val="24"/>
          <w:szCs w:val="24"/>
          <w:lang w:eastAsia="en-US"/>
        </w:rPr>
        <w:t>；接地线采用</w:t>
      </w:r>
      <w:r>
        <w:rPr>
          <w:color w:val="000000" w:themeColor="text1"/>
          <w:kern w:val="0"/>
          <w:sz w:val="24"/>
          <w:szCs w:val="24"/>
          <w:lang w:eastAsia="en-US"/>
        </w:rPr>
        <w:t>-40X4</w:t>
      </w:r>
      <w:r>
        <w:rPr>
          <w:color w:val="000000" w:themeColor="text1"/>
          <w:kern w:val="0"/>
          <w:sz w:val="24"/>
          <w:szCs w:val="24"/>
          <w:lang w:eastAsia="en-US"/>
        </w:rPr>
        <w:t>镀锌扁钢；接地装置埋深</w:t>
      </w:r>
      <w:r>
        <w:rPr>
          <w:color w:val="000000" w:themeColor="text1"/>
          <w:kern w:val="0"/>
          <w:sz w:val="24"/>
          <w:szCs w:val="24"/>
          <w:lang w:eastAsia="en-US"/>
        </w:rPr>
        <w:t>1m</w:t>
      </w:r>
      <w:r>
        <w:rPr>
          <w:color w:val="000000" w:themeColor="text1"/>
          <w:kern w:val="0"/>
          <w:sz w:val="24"/>
          <w:szCs w:val="24"/>
          <w:lang w:eastAsia="en-US"/>
        </w:rPr>
        <w:t>；接地电阻</w:t>
      </w:r>
      <w:r>
        <w:rPr>
          <w:color w:val="000000" w:themeColor="text1"/>
          <w:kern w:val="0"/>
          <w:sz w:val="24"/>
          <w:szCs w:val="24"/>
          <w:lang w:eastAsia="en-US"/>
        </w:rPr>
        <w:t>R≤4Ω</w:t>
      </w:r>
      <w:r>
        <w:rPr>
          <w:color w:val="000000" w:themeColor="text1"/>
          <w:kern w:val="0"/>
          <w:sz w:val="24"/>
          <w:szCs w:val="24"/>
          <w:lang w:eastAsia="en-US"/>
        </w:rPr>
        <w:t>。当接地电阻无法满足要求时，应补打接地极。</w:t>
      </w:r>
    </w:p>
    <w:p w14:paraId="606893DB"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8</w:t>
      </w:r>
      <w:r>
        <w:rPr>
          <w:rFonts w:hint="eastAsia"/>
          <w:color w:val="000000" w:themeColor="text1"/>
          <w:kern w:val="0"/>
          <w:sz w:val="24"/>
          <w:szCs w:val="24"/>
        </w:rPr>
        <w:t>、</w:t>
      </w:r>
      <w:r>
        <w:rPr>
          <w:color w:val="000000" w:themeColor="text1"/>
          <w:kern w:val="0"/>
          <w:sz w:val="24"/>
          <w:szCs w:val="24"/>
          <w:lang w:eastAsia="en-US"/>
        </w:rPr>
        <w:t>主要工程量</w:t>
      </w:r>
    </w:p>
    <w:p w14:paraId="26FD2309"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2.8</w:t>
      </w:r>
      <w:r>
        <w:rPr>
          <w:rFonts w:eastAsia="黑体"/>
          <w:color w:val="000000" w:themeColor="text1"/>
          <w:sz w:val="21"/>
          <w:szCs w:val="21"/>
          <w:lang w:eastAsia="en-US"/>
        </w:rPr>
        <w:t>-</w:t>
      </w:r>
      <w:r>
        <w:rPr>
          <w:rFonts w:eastAsia="黑体" w:hint="eastAsia"/>
          <w:color w:val="000000" w:themeColor="text1"/>
          <w:sz w:val="21"/>
          <w:szCs w:val="21"/>
        </w:rPr>
        <w:t xml:space="preserve">4 </w:t>
      </w:r>
      <w:r>
        <w:rPr>
          <w:rFonts w:eastAsia="黑体"/>
          <w:color w:val="000000" w:themeColor="text1"/>
          <w:sz w:val="21"/>
          <w:szCs w:val="21"/>
          <w:lang w:eastAsia="en-US"/>
        </w:rPr>
        <w:t>电气主</w:t>
      </w:r>
      <w:r>
        <w:rPr>
          <w:rFonts w:eastAsia="黑体" w:hint="eastAsia"/>
          <w:color w:val="000000" w:themeColor="text1"/>
          <w:sz w:val="21"/>
          <w:szCs w:val="21"/>
        </w:rPr>
        <w:t>、</w:t>
      </w:r>
      <w:r>
        <w:rPr>
          <w:rFonts w:eastAsia="黑体"/>
          <w:color w:val="000000" w:themeColor="text1"/>
          <w:sz w:val="21"/>
          <w:szCs w:val="21"/>
          <w:lang w:eastAsia="en-US"/>
        </w:rPr>
        <w:t>要工程量表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881"/>
        <w:gridCol w:w="5068"/>
        <w:gridCol w:w="1043"/>
        <w:gridCol w:w="1034"/>
        <w:gridCol w:w="1124"/>
      </w:tblGrid>
      <w:tr w:rsidR="002E0859" w14:paraId="2C79567F" w14:textId="77777777">
        <w:trPr>
          <w:trHeight w:val="402"/>
          <w:jc w:val="center"/>
        </w:trPr>
        <w:tc>
          <w:tcPr>
            <w:tcW w:w="481" w:type="pct"/>
            <w:tcBorders>
              <w:tl2br w:val="nil"/>
              <w:tr2bl w:val="nil"/>
            </w:tcBorders>
            <w:vAlign w:val="center"/>
          </w:tcPr>
          <w:p w14:paraId="5835C80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序号</w:t>
            </w:r>
          </w:p>
        </w:tc>
        <w:tc>
          <w:tcPr>
            <w:tcW w:w="2767" w:type="pct"/>
            <w:tcBorders>
              <w:tl2br w:val="nil"/>
              <w:tr2bl w:val="nil"/>
            </w:tcBorders>
            <w:vAlign w:val="center"/>
          </w:tcPr>
          <w:p w14:paraId="224720B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名称及规格</w:t>
            </w:r>
          </w:p>
        </w:tc>
        <w:tc>
          <w:tcPr>
            <w:tcW w:w="570" w:type="pct"/>
            <w:tcBorders>
              <w:tl2br w:val="nil"/>
              <w:tr2bl w:val="nil"/>
            </w:tcBorders>
            <w:vAlign w:val="center"/>
          </w:tcPr>
          <w:p w14:paraId="1DBDD49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单位</w:t>
            </w:r>
          </w:p>
        </w:tc>
        <w:tc>
          <w:tcPr>
            <w:tcW w:w="565" w:type="pct"/>
            <w:tcBorders>
              <w:tl2br w:val="nil"/>
              <w:tr2bl w:val="nil"/>
            </w:tcBorders>
            <w:vAlign w:val="center"/>
          </w:tcPr>
          <w:p w14:paraId="169221E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数量</w:t>
            </w:r>
          </w:p>
        </w:tc>
        <w:tc>
          <w:tcPr>
            <w:tcW w:w="614" w:type="pct"/>
            <w:tcBorders>
              <w:tl2br w:val="nil"/>
              <w:tr2bl w:val="nil"/>
            </w:tcBorders>
            <w:vAlign w:val="center"/>
          </w:tcPr>
          <w:p w14:paraId="7F2AEAA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备注</w:t>
            </w:r>
          </w:p>
        </w:tc>
      </w:tr>
      <w:tr w:rsidR="002E0859" w14:paraId="0B14F906" w14:textId="77777777">
        <w:trPr>
          <w:trHeight w:val="396"/>
          <w:jc w:val="center"/>
        </w:trPr>
        <w:tc>
          <w:tcPr>
            <w:tcW w:w="481" w:type="pct"/>
            <w:tcBorders>
              <w:tl2br w:val="nil"/>
              <w:tr2bl w:val="nil"/>
            </w:tcBorders>
            <w:vAlign w:val="center"/>
          </w:tcPr>
          <w:p w14:paraId="45F81EC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position w:val="-4"/>
                <w:sz w:val="21"/>
                <w:szCs w:val="21"/>
                <w:lang w:eastAsia="en-US"/>
              </w:rPr>
              <w:t>一</w:t>
            </w:r>
          </w:p>
        </w:tc>
        <w:tc>
          <w:tcPr>
            <w:tcW w:w="2767" w:type="pct"/>
            <w:tcBorders>
              <w:tl2br w:val="nil"/>
              <w:tr2bl w:val="nil"/>
            </w:tcBorders>
            <w:vAlign w:val="center"/>
          </w:tcPr>
          <w:p w14:paraId="5AC18D8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焦页</w:t>
            </w:r>
            <w:r>
              <w:rPr>
                <w:snapToGrid w:val="0"/>
                <w:color w:val="000000" w:themeColor="text1"/>
                <w:spacing w:val="-5"/>
                <w:kern w:val="0"/>
                <w:sz w:val="21"/>
                <w:szCs w:val="21"/>
                <w:lang w:eastAsia="en-US"/>
              </w:rPr>
              <w:t>90</w:t>
            </w:r>
            <w:r>
              <w:rPr>
                <w:snapToGrid w:val="0"/>
                <w:color w:val="000000" w:themeColor="text1"/>
                <w:spacing w:val="-5"/>
                <w:kern w:val="0"/>
                <w:sz w:val="21"/>
                <w:szCs w:val="21"/>
                <w:lang w:eastAsia="en-US"/>
              </w:rPr>
              <w:t>号平台</w:t>
            </w:r>
          </w:p>
        </w:tc>
        <w:tc>
          <w:tcPr>
            <w:tcW w:w="570" w:type="pct"/>
            <w:tcBorders>
              <w:tl2br w:val="nil"/>
              <w:tr2bl w:val="nil"/>
            </w:tcBorders>
            <w:vAlign w:val="center"/>
          </w:tcPr>
          <w:p w14:paraId="4E609BE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65" w:type="pct"/>
            <w:tcBorders>
              <w:tl2br w:val="nil"/>
              <w:tr2bl w:val="nil"/>
            </w:tcBorders>
            <w:vAlign w:val="center"/>
          </w:tcPr>
          <w:p w14:paraId="6B4A283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614" w:type="pct"/>
            <w:tcBorders>
              <w:tl2br w:val="nil"/>
              <w:tr2bl w:val="nil"/>
            </w:tcBorders>
            <w:vAlign w:val="center"/>
          </w:tcPr>
          <w:p w14:paraId="16F689E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9C70BB7" w14:textId="77777777">
        <w:trPr>
          <w:trHeight w:val="395"/>
          <w:jc w:val="center"/>
        </w:trPr>
        <w:tc>
          <w:tcPr>
            <w:tcW w:w="481" w:type="pct"/>
            <w:tcBorders>
              <w:tl2br w:val="nil"/>
              <w:tr2bl w:val="nil"/>
            </w:tcBorders>
            <w:vAlign w:val="center"/>
          </w:tcPr>
          <w:p w14:paraId="3EA2250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767" w:type="pct"/>
            <w:tcBorders>
              <w:tl2br w:val="nil"/>
              <w:tr2bl w:val="nil"/>
            </w:tcBorders>
            <w:vAlign w:val="center"/>
          </w:tcPr>
          <w:p w14:paraId="6D748E0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35kV</w:t>
            </w:r>
            <w:r>
              <w:rPr>
                <w:snapToGrid w:val="0"/>
                <w:color w:val="000000" w:themeColor="text1"/>
                <w:spacing w:val="-1"/>
                <w:kern w:val="0"/>
                <w:sz w:val="21"/>
                <w:szCs w:val="21"/>
                <w:lang w:eastAsia="en-US"/>
              </w:rPr>
              <w:t>架空线路</w:t>
            </w:r>
            <w:r>
              <w:rPr>
                <w:snapToGrid w:val="0"/>
                <w:color w:val="000000" w:themeColor="text1"/>
                <w:spacing w:val="-1"/>
                <w:kern w:val="0"/>
                <w:sz w:val="21"/>
                <w:szCs w:val="21"/>
                <w:lang w:eastAsia="en-US"/>
              </w:rPr>
              <w:t>LGJ-185</w:t>
            </w:r>
          </w:p>
        </w:tc>
        <w:tc>
          <w:tcPr>
            <w:tcW w:w="570" w:type="pct"/>
            <w:tcBorders>
              <w:tl2br w:val="nil"/>
              <w:tr2bl w:val="nil"/>
            </w:tcBorders>
            <w:vAlign w:val="center"/>
          </w:tcPr>
          <w:p w14:paraId="2B79C41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km</w:t>
            </w:r>
          </w:p>
        </w:tc>
        <w:tc>
          <w:tcPr>
            <w:tcW w:w="565" w:type="pct"/>
            <w:tcBorders>
              <w:tl2br w:val="nil"/>
              <w:tr2bl w:val="nil"/>
            </w:tcBorders>
            <w:vAlign w:val="center"/>
          </w:tcPr>
          <w:p w14:paraId="7964718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0.6</w:t>
            </w:r>
          </w:p>
        </w:tc>
        <w:tc>
          <w:tcPr>
            <w:tcW w:w="614" w:type="pct"/>
            <w:tcBorders>
              <w:tl2br w:val="nil"/>
              <w:tr2bl w:val="nil"/>
            </w:tcBorders>
            <w:vAlign w:val="center"/>
          </w:tcPr>
          <w:p w14:paraId="1D63693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0D803C1" w14:textId="77777777">
        <w:trPr>
          <w:trHeight w:val="395"/>
          <w:jc w:val="center"/>
        </w:trPr>
        <w:tc>
          <w:tcPr>
            <w:tcW w:w="481" w:type="pct"/>
            <w:tcBorders>
              <w:tl2br w:val="nil"/>
              <w:tr2bl w:val="nil"/>
            </w:tcBorders>
            <w:vAlign w:val="center"/>
          </w:tcPr>
          <w:p w14:paraId="3419249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767" w:type="pct"/>
            <w:tcBorders>
              <w:tl2br w:val="nil"/>
              <w:tr2bl w:val="nil"/>
            </w:tcBorders>
            <w:vAlign w:val="center"/>
          </w:tcPr>
          <w:p w14:paraId="439D04F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电力电缆</w:t>
            </w:r>
            <w:r>
              <w:rPr>
                <w:snapToGrid w:val="0"/>
                <w:color w:val="000000" w:themeColor="text1"/>
                <w:spacing w:val="-1"/>
                <w:kern w:val="0"/>
                <w:sz w:val="21"/>
                <w:szCs w:val="21"/>
                <w:lang w:eastAsia="en-US"/>
              </w:rPr>
              <w:t>ZR-YJV22-0.6/1kV</w:t>
            </w:r>
            <w:r>
              <w:rPr>
                <w:snapToGrid w:val="0"/>
                <w:color w:val="000000" w:themeColor="text1"/>
                <w:spacing w:val="-2"/>
                <w:kern w:val="0"/>
                <w:sz w:val="21"/>
                <w:szCs w:val="21"/>
                <w:lang w:eastAsia="en-US"/>
              </w:rPr>
              <w:t>4×4</w:t>
            </w:r>
          </w:p>
        </w:tc>
        <w:tc>
          <w:tcPr>
            <w:tcW w:w="570" w:type="pct"/>
            <w:tcBorders>
              <w:tl2br w:val="nil"/>
              <w:tr2bl w:val="nil"/>
            </w:tcBorders>
            <w:vAlign w:val="center"/>
          </w:tcPr>
          <w:p w14:paraId="79D4C20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7224BD9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200</w:t>
            </w:r>
          </w:p>
        </w:tc>
        <w:tc>
          <w:tcPr>
            <w:tcW w:w="614" w:type="pct"/>
            <w:tcBorders>
              <w:tl2br w:val="nil"/>
              <w:tr2bl w:val="nil"/>
            </w:tcBorders>
            <w:vAlign w:val="center"/>
          </w:tcPr>
          <w:p w14:paraId="068A407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711B7AE0" w14:textId="77777777">
        <w:trPr>
          <w:trHeight w:val="395"/>
          <w:jc w:val="center"/>
        </w:trPr>
        <w:tc>
          <w:tcPr>
            <w:tcW w:w="481" w:type="pct"/>
            <w:tcBorders>
              <w:tl2br w:val="nil"/>
              <w:tr2bl w:val="nil"/>
            </w:tcBorders>
            <w:vAlign w:val="center"/>
          </w:tcPr>
          <w:p w14:paraId="7A14B38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2767" w:type="pct"/>
            <w:tcBorders>
              <w:tl2br w:val="nil"/>
              <w:tr2bl w:val="nil"/>
            </w:tcBorders>
            <w:vAlign w:val="center"/>
          </w:tcPr>
          <w:p w14:paraId="0737B5D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电力电缆</w:t>
            </w:r>
            <w:r>
              <w:rPr>
                <w:snapToGrid w:val="0"/>
                <w:color w:val="000000" w:themeColor="text1"/>
                <w:spacing w:val="-1"/>
                <w:kern w:val="0"/>
                <w:sz w:val="21"/>
                <w:szCs w:val="21"/>
                <w:lang w:eastAsia="en-US"/>
              </w:rPr>
              <w:t>NH-YJV22-0.6/1kV</w:t>
            </w:r>
            <w:r>
              <w:rPr>
                <w:snapToGrid w:val="0"/>
                <w:color w:val="000000" w:themeColor="text1"/>
                <w:spacing w:val="-2"/>
                <w:kern w:val="0"/>
                <w:sz w:val="21"/>
                <w:szCs w:val="21"/>
                <w:lang w:eastAsia="en-US"/>
              </w:rPr>
              <w:t>3×4</w:t>
            </w:r>
          </w:p>
        </w:tc>
        <w:tc>
          <w:tcPr>
            <w:tcW w:w="570" w:type="pct"/>
            <w:tcBorders>
              <w:tl2br w:val="nil"/>
              <w:tr2bl w:val="nil"/>
            </w:tcBorders>
            <w:vAlign w:val="center"/>
          </w:tcPr>
          <w:p w14:paraId="7F477A8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7434783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200</w:t>
            </w:r>
          </w:p>
        </w:tc>
        <w:tc>
          <w:tcPr>
            <w:tcW w:w="614" w:type="pct"/>
            <w:tcBorders>
              <w:tl2br w:val="nil"/>
              <w:tr2bl w:val="nil"/>
            </w:tcBorders>
            <w:vAlign w:val="center"/>
          </w:tcPr>
          <w:p w14:paraId="1BF3C00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7A1BC4E3" w14:textId="77777777">
        <w:trPr>
          <w:trHeight w:val="395"/>
          <w:jc w:val="center"/>
        </w:trPr>
        <w:tc>
          <w:tcPr>
            <w:tcW w:w="481" w:type="pct"/>
            <w:tcBorders>
              <w:tl2br w:val="nil"/>
              <w:tr2bl w:val="nil"/>
            </w:tcBorders>
            <w:vAlign w:val="center"/>
          </w:tcPr>
          <w:p w14:paraId="4645E08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2767" w:type="pct"/>
            <w:tcBorders>
              <w:tl2br w:val="nil"/>
              <w:tr2bl w:val="nil"/>
            </w:tcBorders>
            <w:vAlign w:val="center"/>
          </w:tcPr>
          <w:p w14:paraId="01C29BE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热镀锌角钢</w:t>
            </w:r>
            <w:r>
              <w:rPr>
                <w:snapToGrid w:val="0"/>
                <w:color w:val="000000" w:themeColor="text1"/>
                <w:spacing w:val="-1"/>
                <w:kern w:val="0"/>
                <w:sz w:val="21"/>
                <w:szCs w:val="21"/>
                <w:lang w:eastAsia="en-US"/>
              </w:rPr>
              <w:t>L50x5x2500</w:t>
            </w:r>
          </w:p>
        </w:tc>
        <w:tc>
          <w:tcPr>
            <w:tcW w:w="570" w:type="pct"/>
            <w:tcBorders>
              <w:tl2br w:val="nil"/>
              <w:tr2bl w:val="nil"/>
            </w:tcBorders>
            <w:vAlign w:val="center"/>
          </w:tcPr>
          <w:p w14:paraId="21E34A4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根</w:t>
            </w:r>
          </w:p>
        </w:tc>
        <w:tc>
          <w:tcPr>
            <w:tcW w:w="565" w:type="pct"/>
            <w:tcBorders>
              <w:tl2br w:val="nil"/>
              <w:tr2bl w:val="nil"/>
            </w:tcBorders>
            <w:vAlign w:val="center"/>
          </w:tcPr>
          <w:p w14:paraId="27A648F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20</w:t>
            </w:r>
          </w:p>
        </w:tc>
        <w:tc>
          <w:tcPr>
            <w:tcW w:w="614" w:type="pct"/>
            <w:tcBorders>
              <w:tl2br w:val="nil"/>
              <w:tr2bl w:val="nil"/>
            </w:tcBorders>
            <w:vAlign w:val="center"/>
          </w:tcPr>
          <w:p w14:paraId="3149DFC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77F1682" w14:textId="77777777">
        <w:trPr>
          <w:trHeight w:val="400"/>
          <w:jc w:val="center"/>
        </w:trPr>
        <w:tc>
          <w:tcPr>
            <w:tcW w:w="481" w:type="pct"/>
            <w:tcBorders>
              <w:tl2br w:val="nil"/>
              <w:tr2bl w:val="nil"/>
            </w:tcBorders>
            <w:vAlign w:val="center"/>
          </w:tcPr>
          <w:p w14:paraId="165D3D9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5</w:t>
            </w:r>
          </w:p>
        </w:tc>
        <w:tc>
          <w:tcPr>
            <w:tcW w:w="2767" w:type="pct"/>
            <w:tcBorders>
              <w:tl2br w:val="nil"/>
              <w:tr2bl w:val="nil"/>
            </w:tcBorders>
            <w:vAlign w:val="center"/>
          </w:tcPr>
          <w:p w14:paraId="1211815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热镀锌扁钢</w:t>
            </w:r>
            <w:r>
              <w:rPr>
                <w:snapToGrid w:val="0"/>
                <w:color w:val="000000" w:themeColor="text1"/>
                <w:spacing w:val="-1"/>
                <w:kern w:val="0"/>
                <w:sz w:val="21"/>
                <w:szCs w:val="21"/>
                <w:lang w:eastAsia="en-US"/>
              </w:rPr>
              <w:t>-40×4</w:t>
            </w:r>
          </w:p>
        </w:tc>
        <w:tc>
          <w:tcPr>
            <w:tcW w:w="570" w:type="pct"/>
            <w:tcBorders>
              <w:tl2br w:val="nil"/>
              <w:tr2bl w:val="nil"/>
            </w:tcBorders>
            <w:vAlign w:val="center"/>
          </w:tcPr>
          <w:p w14:paraId="449B76C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1B29063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200</w:t>
            </w:r>
          </w:p>
        </w:tc>
        <w:tc>
          <w:tcPr>
            <w:tcW w:w="614" w:type="pct"/>
            <w:tcBorders>
              <w:tl2br w:val="nil"/>
              <w:tr2bl w:val="nil"/>
            </w:tcBorders>
            <w:vAlign w:val="center"/>
          </w:tcPr>
          <w:p w14:paraId="0FE035D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518F4E0B"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自动控制</w:t>
      </w:r>
    </w:p>
    <w:p w14:paraId="01B1ED84"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color w:val="000000" w:themeColor="text1"/>
          <w:kern w:val="0"/>
          <w:sz w:val="24"/>
          <w:szCs w:val="24"/>
          <w:lang w:eastAsia="en-US"/>
        </w:rPr>
        <w:t>、产能建设部分</w:t>
      </w:r>
    </w:p>
    <w:p w14:paraId="21F19B8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一期产能建设工程采用以数字化和</w:t>
      </w:r>
      <w:r>
        <w:rPr>
          <w:color w:val="000000" w:themeColor="text1"/>
          <w:kern w:val="0"/>
          <w:sz w:val="24"/>
          <w:szCs w:val="24"/>
          <w:lang w:eastAsia="en-US"/>
        </w:rPr>
        <w:t>SCADA</w:t>
      </w:r>
      <w:r>
        <w:rPr>
          <w:color w:val="000000" w:themeColor="text1"/>
          <w:kern w:val="0"/>
          <w:sz w:val="24"/>
          <w:szCs w:val="24"/>
          <w:lang w:eastAsia="en-US"/>
        </w:rPr>
        <w:t>系统为核心的生产指挥控制系统，为四级控制方式。</w:t>
      </w:r>
    </w:p>
    <w:p w14:paraId="4CE92559"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第一级为涪陵页岩气指挥中心</w:t>
      </w:r>
      <w:r>
        <w:rPr>
          <w:rFonts w:hint="eastAsia"/>
          <w:color w:val="000000" w:themeColor="text1"/>
          <w:kern w:val="0"/>
          <w:sz w:val="24"/>
          <w:szCs w:val="24"/>
        </w:rPr>
        <w:t>（</w:t>
      </w:r>
      <w:r>
        <w:rPr>
          <w:color w:val="000000" w:themeColor="text1"/>
          <w:kern w:val="0"/>
          <w:sz w:val="24"/>
          <w:szCs w:val="24"/>
          <w:lang w:eastAsia="en-US"/>
        </w:rPr>
        <w:t>涪陵页岩气田产能建设一期工程</w:t>
      </w:r>
      <w:r>
        <w:rPr>
          <w:rFonts w:hint="eastAsia"/>
          <w:color w:val="000000" w:themeColor="text1"/>
          <w:kern w:val="0"/>
          <w:sz w:val="24"/>
          <w:szCs w:val="24"/>
        </w:rPr>
        <w:t>）：</w:t>
      </w:r>
      <w:r>
        <w:rPr>
          <w:color w:val="000000" w:themeColor="text1"/>
          <w:kern w:val="0"/>
          <w:sz w:val="24"/>
          <w:szCs w:val="24"/>
          <w:lang w:eastAsia="en-US"/>
        </w:rPr>
        <w:t>是数字化中心，采用空间地理信息与虚拟现实软件平台技术，实现数字化生产管理调度；</w:t>
      </w:r>
    </w:p>
    <w:p w14:paraId="274AAFDC"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第二级为调度中心控制级：采用</w:t>
      </w:r>
      <w:r>
        <w:rPr>
          <w:color w:val="000000" w:themeColor="text1"/>
          <w:kern w:val="0"/>
          <w:sz w:val="24"/>
          <w:szCs w:val="24"/>
          <w:lang w:eastAsia="en-US"/>
        </w:rPr>
        <w:t>SCADA</w:t>
      </w:r>
      <w:r>
        <w:rPr>
          <w:color w:val="000000" w:themeColor="text1"/>
          <w:kern w:val="0"/>
          <w:sz w:val="24"/>
          <w:szCs w:val="24"/>
          <w:lang w:eastAsia="en-US"/>
        </w:rPr>
        <w:t>系统对页岩气田进行远程监控</w:t>
      </w:r>
      <w:r>
        <w:rPr>
          <w:rFonts w:hint="eastAsia"/>
          <w:color w:val="000000" w:themeColor="text1"/>
          <w:kern w:val="0"/>
          <w:sz w:val="24"/>
          <w:szCs w:val="24"/>
        </w:rPr>
        <w:t>，</w:t>
      </w:r>
      <w:r>
        <w:rPr>
          <w:color w:val="000000" w:themeColor="text1"/>
          <w:kern w:val="0"/>
          <w:sz w:val="24"/>
          <w:szCs w:val="24"/>
          <w:lang w:eastAsia="en-US"/>
        </w:rPr>
        <w:t>实现生产统一调度管理</w:t>
      </w:r>
      <w:r>
        <w:rPr>
          <w:rFonts w:hint="eastAsia"/>
          <w:color w:val="000000" w:themeColor="text1"/>
          <w:kern w:val="0"/>
          <w:sz w:val="24"/>
          <w:szCs w:val="24"/>
        </w:rPr>
        <w:t>；</w:t>
      </w:r>
    </w:p>
    <w:p w14:paraId="77494D4E"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第三级为站场控制级：由</w:t>
      </w:r>
      <w:r>
        <w:rPr>
          <w:color w:val="000000" w:themeColor="text1"/>
          <w:kern w:val="0"/>
          <w:sz w:val="24"/>
          <w:szCs w:val="24"/>
          <w:lang w:eastAsia="en-US"/>
        </w:rPr>
        <w:t>RTU</w:t>
      </w:r>
      <w:r>
        <w:rPr>
          <w:color w:val="000000" w:themeColor="text1"/>
          <w:kern w:val="0"/>
          <w:sz w:val="24"/>
          <w:szCs w:val="24"/>
          <w:lang w:eastAsia="en-US"/>
        </w:rPr>
        <w:t>、过程控制系统</w:t>
      </w:r>
      <w:r>
        <w:rPr>
          <w:color w:val="000000" w:themeColor="text1"/>
          <w:kern w:val="0"/>
          <w:sz w:val="24"/>
          <w:szCs w:val="24"/>
          <w:lang w:eastAsia="en-US"/>
        </w:rPr>
        <w:t>PLC</w:t>
      </w:r>
      <w:r>
        <w:rPr>
          <w:color w:val="000000" w:themeColor="text1"/>
          <w:kern w:val="0"/>
          <w:sz w:val="24"/>
          <w:szCs w:val="24"/>
          <w:lang w:eastAsia="en-US"/>
        </w:rPr>
        <w:t>、安全控制系统</w:t>
      </w:r>
      <w:r>
        <w:rPr>
          <w:color w:val="000000" w:themeColor="text1"/>
          <w:kern w:val="0"/>
          <w:sz w:val="24"/>
          <w:szCs w:val="24"/>
          <w:lang w:eastAsia="en-US"/>
        </w:rPr>
        <w:t>PLC</w:t>
      </w:r>
      <w:r>
        <w:rPr>
          <w:color w:val="000000" w:themeColor="text1"/>
          <w:kern w:val="0"/>
          <w:sz w:val="24"/>
          <w:szCs w:val="24"/>
          <w:lang w:eastAsia="en-US"/>
        </w:rPr>
        <w:t>和</w:t>
      </w:r>
      <w:r>
        <w:rPr>
          <w:color w:val="000000" w:themeColor="text1"/>
          <w:kern w:val="0"/>
          <w:sz w:val="24"/>
          <w:szCs w:val="24"/>
          <w:lang w:eastAsia="en-US"/>
        </w:rPr>
        <w:t>ESD</w:t>
      </w:r>
      <w:r>
        <w:rPr>
          <w:color w:val="000000" w:themeColor="text1"/>
          <w:kern w:val="0"/>
          <w:sz w:val="24"/>
          <w:szCs w:val="24"/>
          <w:lang w:eastAsia="en-US"/>
        </w:rPr>
        <w:t>远程</w:t>
      </w:r>
      <w:r>
        <w:rPr>
          <w:color w:val="000000" w:themeColor="text1"/>
          <w:kern w:val="0"/>
          <w:sz w:val="24"/>
          <w:szCs w:val="24"/>
          <w:lang w:eastAsia="en-US"/>
        </w:rPr>
        <w:t>I/O</w:t>
      </w:r>
      <w:r>
        <w:rPr>
          <w:color w:val="000000" w:themeColor="text1"/>
          <w:kern w:val="0"/>
          <w:sz w:val="24"/>
          <w:szCs w:val="24"/>
          <w:lang w:eastAsia="en-US"/>
        </w:rPr>
        <w:t>等站控系统实现</w:t>
      </w:r>
      <w:r>
        <w:rPr>
          <w:rFonts w:hint="eastAsia"/>
          <w:color w:val="000000" w:themeColor="text1"/>
          <w:kern w:val="0"/>
          <w:sz w:val="24"/>
          <w:szCs w:val="24"/>
        </w:rPr>
        <w:t>；</w:t>
      </w:r>
    </w:p>
    <w:p w14:paraId="5227A6F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第四级为就地控制级：由现场仪表、控制阀门等设施实现。</w:t>
      </w:r>
    </w:p>
    <w:p w14:paraId="563E294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本工程根据工艺流程和平面布置情况，本次自动控制系统方案依托一期产能建设工程各井口采气平台及集气站原有控制系统控制结构方式。</w:t>
      </w:r>
    </w:p>
    <w:p w14:paraId="29C25BD1"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主要检测参数</w:t>
      </w:r>
    </w:p>
    <w:p w14:paraId="20491E4B"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rFonts w:hint="eastAsia"/>
          <w:color w:val="000000" w:themeColor="text1"/>
          <w:kern w:val="0"/>
          <w:sz w:val="24"/>
          <w:szCs w:val="24"/>
        </w:rPr>
        <w:t>）</w:t>
      </w:r>
      <w:r>
        <w:rPr>
          <w:color w:val="000000" w:themeColor="text1"/>
          <w:kern w:val="0"/>
          <w:sz w:val="24"/>
          <w:szCs w:val="24"/>
          <w:lang w:eastAsia="en-US"/>
        </w:rPr>
        <w:t>焦页</w:t>
      </w:r>
      <w:r>
        <w:rPr>
          <w:color w:val="000000" w:themeColor="text1"/>
          <w:kern w:val="0"/>
          <w:sz w:val="24"/>
          <w:szCs w:val="24"/>
          <w:lang w:eastAsia="en-US"/>
        </w:rPr>
        <w:t>90</w:t>
      </w:r>
      <w:r>
        <w:rPr>
          <w:color w:val="000000" w:themeColor="text1"/>
          <w:kern w:val="0"/>
          <w:sz w:val="24"/>
          <w:szCs w:val="24"/>
          <w:lang w:eastAsia="en-US"/>
        </w:rPr>
        <w:t>号平台</w:t>
      </w:r>
    </w:p>
    <w:p w14:paraId="301BF40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焦页</w:t>
      </w:r>
      <w:r>
        <w:rPr>
          <w:color w:val="000000" w:themeColor="text1"/>
          <w:kern w:val="0"/>
          <w:sz w:val="24"/>
          <w:szCs w:val="24"/>
          <w:lang w:eastAsia="en-US"/>
        </w:rPr>
        <w:t>90</w:t>
      </w:r>
      <w:r>
        <w:rPr>
          <w:color w:val="000000" w:themeColor="text1"/>
          <w:kern w:val="0"/>
          <w:sz w:val="24"/>
          <w:szCs w:val="24"/>
          <w:lang w:eastAsia="en-US"/>
        </w:rPr>
        <w:t>号平台新部署</w:t>
      </w:r>
      <w:r>
        <w:rPr>
          <w:color w:val="000000" w:themeColor="text1"/>
          <w:kern w:val="0"/>
          <w:sz w:val="24"/>
          <w:szCs w:val="24"/>
          <w:lang w:eastAsia="en-US"/>
        </w:rPr>
        <w:t>2</w:t>
      </w:r>
      <w:r>
        <w:rPr>
          <w:color w:val="000000" w:themeColor="text1"/>
          <w:kern w:val="0"/>
          <w:sz w:val="24"/>
          <w:szCs w:val="24"/>
          <w:lang w:eastAsia="en-US"/>
        </w:rPr>
        <w:t>口井，利旧</w:t>
      </w:r>
      <w:r>
        <w:rPr>
          <w:color w:val="000000" w:themeColor="text1"/>
          <w:kern w:val="0"/>
          <w:sz w:val="24"/>
          <w:szCs w:val="24"/>
          <w:lang w:eastAsia="en-US"/>
        </w:rPr>
        <w:t>1</w:t>
      </w:r>
      <w:r>
        <w:rPr>
          <w:color w:val="000000" w:themeColor="text1"/>
          <w:kern w:val="0"/>
          <w:sz w:val="24"/>
          <w:szCs w:val="24"/>
          <w:lang w:eastAsia="en-US"/>
        </w:rPr>
        <w:t>具水套加热炉橇、新增</w:t>
      </w:r>
      <w:r>
        <w:rPr>
          <w:color w:val="000000" w:themeColor="text1"/>
          <w:kern w:val="0"/>
          <w:sz w:val="24"/>
          <w:szCs w:val="24"/>
          <w:lang w:eastAsia="en-US"/>
        </w:rPr>
        <w:t>2</w:t>
      </w:r>
      <w:r>
        <w:rPr>
          <w:color w:val="000000" w:themeColor="text1"/>
          <w:kern w:val="0"/>
          <w:sz w:val="24"/>
          <w:szCs w:val="24"/>
          <w:lang w:eastAsia="en-US"/>
        </w:rPr>
        <w:t>台两相流量计</w:t>
      </w:r>
      <w:r>
        <w:rPr>
          <w:rFonts w:hint="eastAsia"/>
          <w:color w:val="000000" w:themeColor="text1"/>
          <w:kern w:val="0"/>
          <w:sz w:val="24"/>
          <w:szCs w:val="24"/>
        </w:rPr>
        <w:t>，</w:t>
      </w:r>
      <w:r>
        <w:rPr>
          <w:color w:val="000000" w:themeColor="text1"/>
          <w:kern w:val="0"/>
          <w:sz w:val="24"/>
          <w:szCs w:val="24"/>
          <w:lang w:eastAsia="en-US"/>
        </w:rPr>
        <w:t>以上设备信息接入机柜预留点位，对系统进行软件组态扩容，最终完成对本工程工艺生产设</w:t>
      </w:r>
    </w:p>
    <w:p w14:paraId="3B6D3650"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lang w:eastAsia="en-US"/>
        </w:rPr>
        <w:t>井口采气平台监控内容</w:t>
      </w:r>
    </w:p>
    <w:p w14:paraId="67C97460"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①</w:t>
      </w:r>
      <w:r>
        <w:rPr>
          <w:color w:val="000000" w:themeColor="text1"/>
          <w:kern w:val="0"/>
          <w:sz w:val="24"/>
          <w:szCs w:val="24"/>
          <w:lang w:eastAsia="en-US"/>
        </w:rPr>
        <w:t>井口压力、井口温度、井口套管压力；</w:t>
      </w:r>
    </w:p>
    <w:p w14:paraId="3682747F"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②</w:t>
      </w:r>
      <w:r>
        <w:rPr>
          <w:color w:val="000000" w:themeColor="text1"/>
          <w:kern w:val="0"/>
          <w:sz w:val="24"/>
          <w:szCs w:val="24"/>
          <w:lang w:eastAsia="en-US"/>
        </w:rPr>
        <w:t>智能开关井系统数据采集；</w:t>
      </w:r>
    </w:p>
    <w:p w14:paraId="45BBFC03"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③</w:t>
      </w:r>
      <w:r>
        <w:rPr>
          <w:color w:val="000000" w:themeColor="text1"/>
          <w:kern w:val="0"/>
          <w:sz w:val="24"/>
          <w:szCs w:val="24"/>
          <w:lang w:eastAsia="en-US"/>
        </w:rPr>
        <w:t>井口可燃气体显示报警；</w:t>
      </w:r>
    </w:p>
    <w:p w14:paraId="57BFCAB1"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④</w:t>
      </w:r>
      <w:r>
        <w:rPr>
          <w:color w:val="000000" w:themeColor="text1"/>
          <w:kern w:val="0"/>
          <w:sz w:val="24"/>
          <w:szCs w:val="24"/>
          <w:lang w:eastAsia="en-US"/>
        </w:rPr>
        <w:t>智能开关井系统：紧急切断功能和调节功能。</w:t>
      </w:r>
    </w:p>
    <w:p w14:paraId="73CFCCB4"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计量分离区远传检测部分</w:t>
      </w:r>
    </w:p>
    <w:p w14:paraId="05ECFE8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①</w:t>
      </w:r>
      <w:r>
        <w:rPr>
          <w:color w:val="000000" w:themeColor="text1"/>
          <w:kern w:val="0"/>
          <w:sz w:val="24"/>
          <w:szCs w:val="24"/>
          <w:lang w:eastAsia="en-US"/>
        </w:rPr>
        <w:t>计量分离器橇仪表由橇块厂家自带数据上传；</w:t>
      </w:r>
    </w:p>
    <w:p w14:paraId="6FECE1CC"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②</w:t>
      </w:r>
      <w:r>
        <w:rPr>
          <w:color w:val="000000" w:themeColor="text1"/>
          <w:kern w:val="0"/>
          <w:sz w:val="24"/>
          <w:szCs w:val="24"/>
          <w:lang w:eastAsia="en-US"/>
        </w:rPr>
        <w:t>站内两相流量检测；</w:t>
      </w:r>
    </w:p>
    <w:p w14:paraId="6D9F32C3"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③</w:t>
      </w:r>
      <w:r>
        <w:rPr>
          <w:color w:val="000000" w:themeColor="text1"/>
          <w:kern w:val="0"/>
          <w:sz w:val="24"/>
          <w:szCs w:val="24"/>
          <w:lang w:eastAsia="en-US"/>
        </w:rPr>
        <w:t>装置区可燃气体显示报警。</w:t>
      </w:r>
    </w:p>
    <w:p w14:paraId="0F6B5329"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3</w:t>
      </w:r>
      <w:r>
        <w:rPr>
          <w:rFonts w:hint="eastAsia"/>
          <w:color w:val="000000" w:themeColor="text1"/>
          <w:kern w:val="0"/>
          <w:sz w:val="24"/>
          <w:szCs w:val="24"/>
        </w:rPr>
        <w:t>、</w:t>
      </w:r>
      <w:r>
        <w:rPr>
          <w:color w:val="000000" w:themeColor="text1"/>
          <w:kern w:val="0"/>
          <w:sz w:val="24"/>
          <w:szCs w:val="24"/>
          <w:lang w:eastAsia="en-US"/>
        </w:rPr>
        <w:t>主要仪表选型</w:t>
      </w:r>
    </w:p>
    <w:p w14:paraId="23620A29"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检测控制仪表是采集工艺过程变量、执行站控系统控制命令的关键环节，是整个系</w:t>
      </w:r>
      <w:r>
        <w:rPr>
          <w:color w:val="000000" w:themeColor="text1"/>
          <w:kern w:val="0"/>
          <w:sz w:val="24"/>
          <w:szCs w:val="24"/>
          <w:lang w:eastAsia="en-US"/>
        </w:rPr>
        <w:lastRenderedPageBreak/>
        <w:t>统安全可靠运行的重要因素。因此选择仪表必须能满足其所需的精确度要求，满足其所处位置的压力等级、温度和防爆等级的要求。</w:t>
      </w:r>
    </w:p>
    <w:p w14:paraId="032C9E91"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lang w:eastAsia="en-US"/>
        </w:rPr>
        <w:t>远传仪表一般选用电动仪表，电动变送器为智能型，其输出信号为</w:t>
      </w:r>
      <w:r>
        <w:rPr>
          <w:color w:val="000000" w:themeColor="text1"/>
          <w:kern w:val="0"/>
          <w:sz w:val="24"/>
          <w:szCs w:val="24"/>
          <w:lang w:eastAsia="en-US"/>
        </w:rPr>
        <w:t>4</w:t>
      </w:r>
      <w:r>
        <w:rPr>
          <w:color w:val="000000" w:themeColor="text1"/>
          <w:kern w:val="0"/>
          <w:sz w:val="24"/>
          <w:szCs w:val="24"/>
          <w:lang w:eastAsia="en-US"/>
        </w:rPr>
        <w:t>～</w:t>
      </w:r>
      <w:r>
        <w:rPr>
          <w:color w:val="000000" w:themeColor="text1"/>
          <w:kern w:val="0"/>
          <w:sz w:val="24"/>
          <w:szCs w:val="24"/>
          <w:lang w:eastAsia="en-US"/>
        </w:rPr>
        <w:t>20mA</w:t>
      </w:r>
      <w:r>
        <w:rPr>
          <w:rFonts w:hint="eastAsia"/>
          <w:color w:val="000000" w:themeColor="text1"/>
          <w:kern w:val="0"/>
          <w:sz w:val="24"/>
          <w:szCs w:val="24"/>
        </w:rPr>
        <w:t>（</w:t>
      </w:r>
      <w:r>
        <w:rPr>
          <w:color w:val="000000" w:themeColor="text1"/>
          <w:kern w:val="0"/>
          <w:sz w:val="24"/>
          <w:szCs w:val="24"/>
          <w:lang w:eastAsia="en-US"/>
        </w:rPr>
        <w:t>HART</w:t>
      </w:r>
      <w:r>
        <w:rPr>
          <w:color w:val="000000" w:themeColor="text1"/>
          <w:kern w:val="0"/>
          <w:sz w:val="24"/>
          <w:szCs w:val="24"/>
          <w:lang w:eastAsia="en-US"/>
        </w:rPr>
        <w:t>通信协议，二线制</w:t>
      </w:r>
      <w:r>
        <w:rPr>
          <w:rFonts w:hint="eastAsia"/>
          <w:color w:val="000000" w:themeColor="text1"/>
          <w:kern w:val="0"/>
          <w:sz w:val="24"/>
          <w:szCs w:val="24"/>
        </w:rPr>
        <w:t>）</w:t>
      </w:r>
      <w:r>
        <w:rPr>
          <w:color w:val="000000" w:themeColor="text1"/>
          <w:kern w:val="0"/>
          <w:sz w:val="24"/>
          <w:szCs w:val="24"/>
          <w:lang w:eastAsia="en-US"/>
        </w:rPr>
        <w:t>。</w:t>
      </w:r>
    </w:p>
    <w:p w14:paraId="61CBC1B8"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开关型仪表的输出采用无源接点，接点类型为</w:t>
      </w:r>
      <w:r>
        <w:rPr>
          <w:color w:val="000000" w:themeColor="text1"/>
          <w:kern w:val="0"/>
          <w:sz w:val="24"/>
          <w:szCs w:val="24"/>
          <w:lang w:eastAsia="en-US"/>
        </w:rPr>
        <w:t>DPDT</w:t>
      </w:r>
      <w:r>
        <w:rPr>
          <w:color w:val="000000" w:themeColor="text1"/>
          <w:kern w:val="0"/>
          <w:sz w:val="24"/>
          <w:szCs w:val="24"/>
          <w:lang w:eastAsia="en-US"/>
        </w:rPr>
        <w:t>。</w:t>
      </w:r>
    </w:p>
    <w:p w14:paraId="60D38DA8"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3</w:t>
      </w:r>
      <w:r>
        <w:rPr>
          <w:rFonts w:hint="eastAsia"/>
          <w:color w:val="000000" w:themeColor="text1"/>
          <w:kern w:val="0"/>
          <w:sz w:val="24"/>
          <w:szCs w:val="24"/>
        </w:rPr>
        <w:t>）</w:t>
      </w:r>
      <w:r>
        <w:rPr>
          <w:color w:val="000000" w:themeColor="text1"/>
          <w:kern w:val="0"/>
          <w:sz w:val="24"/>
          <w:szCs w:val="24"/>
          <w:lang w:eastAsia="en-US"/>
        </w:rPr>
        <w:t>温度远传采用一体化智能温度变送器</w:t>
      </w:r>
      <w:r>
        <w:rPr>
          <w:rFonts w:hint="eastAsia"/>
          <w:color w:val="000000" w:themeColor="text1"/>
          <w:kern w:val="0"/>
          <w:sz w:val="24"/>
          <w:szCs w:val="24"/>
        </w:rPr>
        <w:t>（</w:t>
      </w:r>
      <w:r>
        <w:rPr>
          <w:color w:val="000000" w:themeColor="text1"/>
          <w:kern w:val="0"/>
          <w:sz w:val="24"/>
          <w:szCs w:val="24"/>
          <w:lang w:eastAsia="en-US"/>
        </w:rPr>
        <w:t>检测元件为</w:t>
      </w:r>
      <w:r>
        <w:rPr>
          <w:color w:val="000000" w:themeColor="text1"/>
          <w:kern w:val="0"/>
          <w:sz w:val="24"/>
          <w:szCs w:val="24"/>
          <w:lang w:eastAsia="en-US"/>
        </w:rPr>
        <w:t>Pt100</w:t>
      </w:r>
      <w:r>
        <w:rPr>
          <w:color w:val="000000" w:themeColor="text1"/>
          <w:kern w:val="0"/>
          <w:sz w:val="24"/>
          <w:szCs w:val="24"/>
          <w:lang w:eastAsia="en-US"/>
        </w:rPr>
        <w:t>的铂热电阻</w:t>
      </w:r>
      <w:r>
        <w:rPr>
          <w:rFonts w:hint="eastAsia"/>
          <w:color w:val="000000" w:themeColor="text1"/>
          <w:kern w:val="0"/>
          <w:sz w:val="24"/>
          <w:szCs w:val="24"/>
        </w:rPr>
        <w:t>）</w:t>
      </w:r>
      <w:r>
        <w:rPr>
          <w:color w:val="000000" w:themeColor="text1"/>
          <w:kern w:val="0"/>
          <w:sz w:val="24"/>
          <w:szCs w:val="24"/>
          <w:lang w:eastAsia="en-US"/>
        </w:rPr>
        <w:t>。</w:t>
      </w:r>
    </w:p>
    <w:p w14:paraId="2EEE4065"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4</w:t>
      </w:r>
      <w:r>
        <w:rPr>
          <w:rFonts w:hint="eastAsia"/>
          <w:color w:val="000000" w:themeColor="text1"/>
          <w:kern w:val="0"/>
          <w:sz w:val="24"/>
          <w:szCs w:val="24"/>
        </w:rPr>
        <w:t>）</w:t>
      </w:r>
      <w:r>
        <w:rPr>
          <w:color w:val="000000" w:themeColor="text1"/>
          <w:kern w:val="0"/>
          <w:sz w:val="24"/>
          <w:szCs w:val="24"/>
          <w:lang w:eastAsia="en-US"/>
        </w:rPr>
        <w:t>压力远传采用智能型压力变送器。</w:t>
      </w:r>
    </w:p>
    <w:p w14:paraId="05293EC8"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5</w:t>
      </w:r>
      <w:r>
        <w:rPr>
          <w:rFonts w:hint="eastAsia"/>
          <w:color w:val="000000" w:themeColor="text1"/>
          <w:kern w:val="0"/>
          <w:sz w:val="24"/>
          <w:szCs w:val="24"/>
        </w:rPr>
        <w:t>）</w:t>
      </w:r>
      <w:r>
        <w:rPr>
          <w:color w:val="000000" w:themeColor="text1"/>
          <w:kern w:val="0"/>
          <w:sz w:val="24"/>
          <w:szCs w:val="24"/>
          <w:lang w:eastAsia="en-US"/>
        </w:rPr>
        <w:t>井口</w:t>
      </w:r>
      <w:r>
        <w:rPr>
          <w:color w:val="000000" w:themeColor="text1"/>
          <w:kern w:val="0"/>
          <w:sz w:val="24"/>
          <w:szCs w:val="24"/>
          <w:lang w:eastAsia="en-US"/>
        </w:rPr>
        <w:t>SSV</w:t>
      </w:r>
      <w:r>
        <w:rPr>
          <w:color w:val="000000" w:themeColor="text1"/>
          <w:kern w:val="0"/>
          <w:sz w:val="24"/>
          <w:szCs w:val="24"/>
          <w:lang w:eastAsia="en-US"/>
        </w:rPr>
        <w:t>阀选用智能开关井系统（切断调节一体式）。</w:t>
      </w:r>
    </w:p>
    <w:p w14:paraId="1A5A3B33"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6</w:t>
      </w:r>
      <w:r>
        <w:rPr>
          <w:rFonts w:hint="eastAsia"/>
          <w:color w:val="000000" w:themeColor="text1"/>
          <w:kern w:val="0"/>
          <w:sz w:val="24"/>
          <w:szCs w:val="24"/>
        </w:rPr>
        <w:t>）</w:t>
      </w:r>
      <w:r>
        <w:rPr>
          <w:color w:val="000000" w:themeColor="text1"/>
          <w:kern w:val="0"/>
          <w:sz w:val="24"/>
          <w:szCs w:val="24"/>
          <w:lang w:eastAsia="en-US"/>
        </w:rPr>
        <w:t>可燃气体检测装置：装置区采用红外点式可燃气体探测器。</w:t>
      </w:r>
    </w:p>
    <w:p w14:paraId="129DE461"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7</w:t>
      </w:r>
      <w:r>
        <w:rPr>
          <w:rFonts w:hint="eastAsia"/>
          <w:color w:val="000000" w:themeColor="text1"/>
          <w:kern w:val="0"/>
          <w:sz w:val="24"/>
          <w:szCs w:val="24"/>
        </w:rPr>
        <w:t>）</w:t>
      </w:r>
      <w:r>
        <w:rPr>
          <w:color w:val="000000" w:themeColor="text1"/>
          <w:kern w:val="0"/>
          <w:sz w:val="24"/>
          <w:szCs w:val="24"/>
          <w:lang w:eastAsia="en-US"/>
        </w:rPr>
        <w:t>单井口计量采用湿气多相流量计。</w:t>
      </w:r>
    </w:p>
    <w:p w14:paraId="4E4F1057"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8</w:t>
      </w:r>
      <w:r>
        <w:rPr>
          <w:rFonts w:hint="eastAsia"/>
          <w:color w:val="000000" w:themeColor="text1"/>
          <w:kern w:val="0"/>
          <w:sz w:val="24"/>
          <w:szCs w:val="24"/>
        </w:rPr>
        <w:t>）</w:t>
      </w:r>
      <w:r>
        <w:rPr>
          <w:color w:val="000000" w:themeColor="text1"/>
          <w:kern w:val="0"/>
          <w:sz w:val="24"/>
          <w:szCs w:val="24"/>
          <w:lang w:eastAsia="en-US"/>
        </w:rPr>
        <w:t>防爆和防护等级：仪表的防爆类型和防护等级根据国家有关爆炸和火灾危险场所电气装置设计规范等规范的规定，按照仪表安装场所的爆炸危险类别、范围、组别确定防爆和防护等级。</w:t>
      </w:r>
    </w:p>
    <w:p w14:paraId="4A32AECC"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处于爆炸危险性场所的电动仪表及电气设备一般按隔爆型设计，电气设备和电气连接一般按</w:t>
      </w:r>
      <w:r>
        <w:rPr>
          <w:color w:val="000000" w:themeColor="text1"/>
          <w:kern w:val="0"/>
          <w:sz w:val="24"/>
          <w:szCs w:val="24"/>
          <w:lang w:eastAsia="en-US"/>
        </w:rPr>
        <w:t>“GB/T3836”</w:t>
      </w:r>
      <w:r>
        <w:rPr>
          <w:color w:val="000000" w:themeColor="text1"/>
          <w:kern w:val="0"/>
          <w:sz w:val="24"/>
          <w:szCs w:val="24"/>
          <w:lang w:eastAsia="en-US"/>
        </w:rPr>
        <w:t>规定的爆炸危险性区域</w:t>
      </w:r>
      <w:r>
        <w:rPr>
          <w:color w:val="000000" w:themeColor="text1"/>
          <w:kern w:val="0"/>
          <w:sz w:val="24"/>
          <w:szCs w:val="24"/>
          <w:lang w:eastAsia="en-US"/>
        </w:rPr>
        <w:t>2</w:t>
      </w:r>
      <w:r>
        <w:rPr>
          <w:color w:val="000000" w:themeColor="text1"/>
          <w:kern w:val="0"/>
          <w:sz w:val="24"/>
          <w:szCs w:val="24"/>
          <w:lang w:eastAsia="en-US"/>
        </w:rPr>
        <w:t>区选型设计。所选用的电气设备必须具有公认的权威机构颁发的符合有关标准的防爆合格证书。防爆等级：不低于</w:t>
      </w:r>
      <w:r>
        <w:rPr>
          <w:color w:val="000000" w:themeColor="text1"/>
          <w:kern w:val="0"/>
          <w:sz w:val="24"/>
          <w:szCs w:val="24"/>
          <w:lang w:eastAsia="en-US"/>
        </w:rPr>
        <w:t>ExdbⅡBT4Gb</w:t>
      </w:r>
      <w:r>
        <w:rPr>
          <w:color w:val="000000" w:themeColor="text1"/>
          <w:kern w:val="0"/>
          <w:sz w:val="24"/>
          <w:szCs w:val="24"/>
          <w:lang w:eastAsia="en-US"/>
        </w:rPr>
        <w:t>；防护等级：室外不低于</w:t>
      </w:r>
      <w:r>
        <w:rPr>
          <w:color w:val="000000" w:themeColor="text1"/>
          <w:kern w:val="0"/>
          <w:sz w:val="24"/>
          <w:szCs w:val="24"/>
          <w:lang w:eastAsia="en-US"/>
        </w:rPr>
        <w:t>IP65</w:t>
      </w:r>
      <w:r>
        <w:rPr>
          <w:color w:val="000000" w:themeColor="text1"/>
          <w:kern w:val="0"/>
          <w:sz w:val="24"/>
          <w:szCs w:val="24"/>
          <w:lang w:eastAsia="en-US"/>
        </w:rPr>
        <w:t>。</w:t>
      </w:r>
    </w:p>
    <w:p w14:paraId="1568B61B"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9</w:t>
      </w:r>
      <w:r>
        <w:rPr>
          <w:rFonts w:hint="eastAsia"/>
          <w:color w:val="000000" w:themeColor="text1"/>
          <w:kern w:val="0"/>
          <w:sz w:val="24"/>
          <w:szCs w:val="24"/>
        </w:rPr>
        <w:t>）</w:t>
      </w:r>
      <w:r>
        <w:rPr>
          <w:color w:val="000000" w:themeColor="text1"/>
          <w:kern w:val="0"/>
          <w:sz w:val="24"/>
          <w:szCs w:val="24"/>
          <w:lang w:eastAsia="en-US"/>
        </w:rPr>
        <w:t>防电涌保护</w:t>
      </w:r>
    </w:p>
    <w:p w14:paraId="6D1EF628"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现场变送器仪表和可燃气体探测器首先接防浪涌保护器</w:t>
      </w:r>
      <w:r>
        <w:rPr>
          <w:rFonts w:hint="eastAsia"/>
          <w:color w:val="000000" w:themeColor="text1"/>
          <w:kern w:val="0"/>
          <w:sz w:val="24"/>
          <w:szCs w:val="24"/>
        </w:rPr>
        <w:t>（</w:t>
      </w:r>
      <w:r>
        <w:rPr>
          <w:color w:val="000000" w:themeColor="text1"/>
          <w:kern w:val="0"/>
          <w:sz w:val="24"/>
          <w:szCs w:val="24"/>
          <w:lang w:eastAsia="en-US"/>
        </w:rPr>
        <w:t>SPD</w:t>
      </w:r>
      <w:r>
        <w:rPr>
          <w:rFonts w:hint="eastAsia"/>
          <w:color w:val="000000" w:themeColor="text1"/>
          <w:kern w:val="0"/>
          <w:sz w:val="24"/>
          <w:szCs w:val="24"/>
        </w:rPr>
        <w:t>）</w:t>
      </w:r>
      <w:r>
        <w:rPr>
          <w:color w:val="000000" w:themeColor="text1"/>
          <w:kern w:val="0"/>
          <w:sz w:val="24"/>
          <w:szCs w:val="24"/>
          <w:lang w:eastAsia="en-US"/>
        </w:rPr>
        <w:t>；</w:t>
      </w:r>
      <w:r>
        <w:rPr>
          <w:color w:val="000000" w:themeColor="text1"/>
          <w:kern w:val="0"/>
          <w:sz w:val="24"/>
          <w:szCs w:val="24"/>
          <w:lang w:eastAsia="en-US"/>
        </w:rPr>
        <w:t>SPD</w:t>
      </w:r>
      <w:r>
        <w:rPr>
          <w:color w:val="000000" w:themeColor="text1"/>
          <w:kern w:val="0"/>
          <w:sz w:val="24"/>
          <w:szCs w:val="24"/>
          <w:lang w:eastAsia="en-US"/>
        </w:rPr>
        <w:t>技术要求如下：</w:t>
      </w:r>
      <w:r>
        <w:rPr>
          <w:color w:val="000000" w:themeColor="text1"/>
          <w:kern w:val="0"/>
          <w:sz w:val="24"/>
          <w:szCs w:val="24"/>
          <w:lang w:eastAsia="en-US"/>
        </w:rPr>
        <w:t>SPD</w:t>
      </w:r>
      <w:r>
        <w:rPr>
          <w:color w:val="000000" w:themeColor="text1"/>
          <w:kern w:val="0"/>
          <w:sz w:val="24"/>
          <w:szCs w:val="24"/>
          <w:lang w:eastAsia="en-US"/>
        </w:rPr>
        <w:t>应满足下列标准和规范：</w:t>
      </w:r>
    </w:p>
    <w:p w14:paraId="57D66041"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GB/T18802.1</w:t>
      </w:r>
      <w:r>
        <w:rPr>
          <w:color w:val="000000" w:themeColor="text1"/>
          <w:kern w:val="0"/>
          <w:sz w:val="24"/>
          <w:szCs w:val="24"/>
          <w:lang w:eastAsia="en-US"/>
        </w:rPr>
        <w:t>低压配电系统的电涌保护器</w:t>
      </w:r>
      <w:r>
        <w:rPr>
          <w:rFonts w:hint="eastAsia"/>
          <w:color w:val="000000" w:themeColor="text1"/>
          <w:kern w:val="0"/>
          <w:sz w:val="24"/>
          <w:szCs w:val="24"/>
        </w:rPr>
        <w:t>（</w:t>
      </w:r>
      <w:r>
        <w:rPr>
          <w:color w:val="000000" w:themeColor="text1"/>
          <w:kern w:val="0"/>
          <w:sz w:val="24"/>
          <w:szCs w:val="24"/>
          <w:lang w:eastAsia="en-US"/>
        </w:rPr>
        <w:t>SPD</w:t>
      </w:r>
      <w:r>
        <w:rPr>
          <w:rFonts w:hint="eastAsia"/>
          <w:color w:val="000000" w:themeColor="text1"/>
          <w:kern w:val="0"/>
          <w:sz w:val="24"/>
          <w:szCs w:val="24"/>
        </w:rPr>
        <w:t>）</w:t>
      </w:r>
      <w:r>
        <w:rPr>
          <w:color w:val="000000" w:themeColor="text1"/>
          <w:kern w:val="0"/>
          <w:sz w:val="24"/>
          <w:szCs w:val="24"/>
          <w:lang w:eastAsia="en-US"/>
        </w:rPr>
        <w:t>第</w:t>
      </w:r>
      <w:r>
        <w:rPr>
          <w:color w:val="000000" w:themeColor="text1"/>
          <w:kern w:val="0"/>
          <w:sz w:val="24"/>
          <w:szCs w:val="24"/>
          <w:lang w:eastAsia="en-US"/>
        </w:rPr>
        <w:t>1</w:t>
      </w:r>
      <w:r>
        <w:rPr>
          <w:color w:val="000000" w:themeColor="text1"/>
          <w:kern w:val="0"/>
          <w:sz w:val="24"/>
          <w:szCs w:val="24"/>
          <w:lang w:eastAsia="en-US"/>
        </w:rPr>
        <w:t>部分</w:t>
      </w:r>
      <w:r>
        <w:rPr>
          <w:color w:val="000000" w:themeColor="text1"/>
          <w:kern w:val="0"/>
          <w:sz w:val="24"/>
          <w:szCs w:val="24"/>
          <w:lang w:eastAsia="en-US"/>
        </w:rPr>
        <w:t>:</w:t>
      </w:r>
      <w:r>
        <w:rPr>
          <w:color w:val="000000" w:themeColor="text1"/>
          <w:kern w:val="0"/>
          <w:sz w:val="24"/>
          <w:szCs w:val="24"/>
          <w:lang w:eastAsia="en-US"/>
        </w:rPr>
        <w:t>性能要求和试验方法。</w:t>
      </w:r>
      <w:r>
        <w:rPr>
          <w:color w:val="000000" w:themeColor="text1"/>
          <w:kern w:val="0"/>
          <w:sz w:val="24"/>
          <w:szCs w:val="24"/>
          <w:lang w:eastAsia="en-US"/>
        </w:rPr>
        <w:t>GB/T18802.12</w:t>
      </w:r>
      <w:r>
        <w:rPr>
          <w:color w:val="000000" w:themeColor="text1"/>
          <w:kern w:val="0"/>
          <w:sz w:val="24"/>
          <w:szCs w:val="24"/>
          <w:lang w:eastAsia="en-US"/>
        </w:rPr>
        <w:t>低压配电系统的电涌保护器</w:t>
      </w:r>
      <w:r>
        <w:rPr>
          <w:rFonts w:hint="eastAsia"/>
          <w:color w:val="000000" w:themeColor="text1"/>
          <w:kern w:val="0"/>
          <w:sz w:val="24"/>
          <w:szCs w:val="24"/>
        </w:rPr>
        <w:t>（</w:t>
      </w:r>
      <w:r>
        <w:rPr>
          <w:color w:val="000000" w:themeColor="text1"/>
          <w:kern w:val="0"/>
          <w:sz w:val="24"/>
          <w:szCs w:val="24"/>
          <w:lang w:eastAsia="en-US"/>
        </w:rPr>
        <w:t>SPD</w:t>
      </w:r>
      <w:r>
        <w:rPr>
          <w:rFonts w:hint="eastAsia"/>
          <w:color w:val="000000" w:themeColor="text1"/>
          <w:kern w:val="0"/>
          <w:sz w:val="24"/>
          <w:szCs w:val="24"/>
        </w:rPr>
        <w:t>）</w:t>
      </w:r>
      <w:r>
        <w:rPr>
          <w:color w:val="000000" w:themeColor="text1"/>
          <w:kern w:val="0"/>
          <w:sz w:val="24"/>
          <w:szCs w:val="24"/>
          <w:lang w:eastAsia="en-US"/>
        </w:rPr>
        <w:t>第</w:t>
      </w:r>
      <w:r>
        <w:rPr>
          <w:color w:val="000000" w:themeColor="text1"/>
          <w:kern w:val="0"/>
          <w:sz w:val="24"/>
          <w:szCs w:val="24"/>
          <w:lang w:eastAsia="en-US"/>
        </w:rPr>
        <w:t>12</w:t>
      </w:r>
      <w:r>
        <w:rPr>
          <w:color w:val="000000" w:themeColor="text1"/>
          <w:kern w:val="0"/>
          <w:sz w:val="24"/>
          <w:szCs w:val="24"/>
          <w:lang w:eastAsia="en-US"/>
        </w:rPr>
        <w:t>部分</w:t>
      </w:r>
      <w:r>
        <w:rPr>
          <w:color w:val="000000" w:themeColor="text1"/>
          <w:kern w:val="0"/>
          <w:sz w:val="24"/>
          <w:szCs w:val="24"/>
          <w:lang w:eastAsia="en-US"/>
        </w:rPr>
        <w:t>:</w:t>
      </w:r>
      <w:r>
        <w:rPr>
          <w:color w:val="000000" w:themeColor="text1"/>
          <w:kern w:val="0"/>
          <w:sz w:val="24"/>
          <w:szCs w:val="24"/>
          <w:lang w:eastAsia="en-US"/>
        </w:rPr>
        <w:t>选择和使用。</w:t>
      </w:r>
      <w:r>
        <w:rPr>
          <w:color w:val="000000" w:themeColor="text1"/>
          <w:kern w:val="0"/>
          <w:sz w:val="24"/>
          <w:szCs w:val="24"/>
          <w:lang w:eastAsia="en-US"/>
        </w:rPr>
        <w:t>GB/T18802.22</w:t>
      </w:r>
      <w:r>
        <w:rPr>
          <w:color w:val="000000" w:themeColor="text1"/>
          <w:kern w:val="0"/>
          <w:sz w:val="24"/>
          <w:szCs w:val="24"/>
          <w:lang w:eastAsia="en-US"/>
        </w:rPr>
        <w:t>低压电涌保护器第</w:t>
      </w:r>
      <w:r>
        <w:rPr>
          <w:color w:val="000000" w:themeColor="text1"/>
          <w:kern w:val="0"/>
          <w:sz w:val="24"/>
          <w:szCs w:val="24"/>
          <w:lang w:eastAsia="en-US"/>
        </w:rPr>
        <w:t>22</w:t>
      </w:r>
      <w:r>
        <w:rPr>
          <w:color w:val="000000" w:themeColor="text1"/>
          <w:kern w:val="0"/>
          <w:sz w:val="24"/>
          <w:szCs w:val="24"/>
          <w:lang w:eastAsia="en-US"/>
        </w:rPr>
        <w:t>部分</w:t>
      </w:r>
      <w:r>
        <w:rPr>
          <w:color w:val="000000" w:themeColor="text1"/>
          <w:kern w:val="0"/>
          <w:sz w:val="24"/>
          <w:szCs w:val="24"/>
          <w:lang w:eastAsia="en-US"/>
        </w:rPr>
        <w:t>:</w:t>
      </w:r>
      <w:r>
        <w:rPr>
          <w:color w:val="000000" w:themeColor="text1"/>
          <w:kern w:val="0"/>
          <w:sz w:val="24"/>
          <w:szCs w:val="24"/>
          <w:lang w:eastAsia="en-US"/>
        </w:rPr>
        <w:t>电信和信号网络的电涌保护器</w:t>
      </w:r>
      <w:r>
        <w:rPr>
          <w:rFonts w:hint="eastAsia"/>
          <w:color w:val="000000" w:themeColor="text1"/>
          <w:kern w:val="0"/>
          <w:sz w:val="24"/>
          <w:szCs w:val="24"/>
        </w:rPr>
        <w:t>（</w:t>
      </w:r>
      <w:r>
        <w:rPr>
          <w:color w:val="000000" w:themeColor="text1"/>
          <w:kern w:val="0"/>
          <w:sz w:val="24"/>
          <w:szCs w:val="24"/>
          <w:lang w:eastAsia="en-US"/>
        </w:rPr>
        <w:t>SPD</w:t>
      </w:r>
      <w:r>
        <w:rPr>
          <w:rFonts w:hint="eastAsia"/>
          <w:color w:val="000000" w:themeColor="text1"/>
          <w:kern w:val="0"/>
          <w:sz w:val="24"/>
          <w:szCs w:val="24"/>
        </w:rPr>
        <w:t>）</w:t>
      </w:r>
      <w:r>
        <w:rPr>
          <w:color w:val="000000" w:themeColor="text1"/>
          <w:kern w:val="0"/>
          <w:sz w:val="24"/>
          <w:szCs w:val="24"/>
          <w:lang w:eastAsia="en-US"/>
        </w:rPr>
        <w:t>选择和使用导则。仪表信号</w:t>
      </w:r>
      <w:r>
        <w:rPr>
          <w:color w:val="000000" w:themeColor="text1"/>
          <w:kern w:val="0"/>
          <w:sz w:val="24"/>
          <w:szCs w:val="24"/>
          <w:lang w:eastAsia="en-US"/>
        </w:rPr>
        <w:t>SPD</w:t>
      </w:r>
      <w:r>
        <w:rPr>
          <w:color w:val="000000" w:themeColor="text1"/>
          <w:kern w:val="0"/>
          <w:sz w:val="24"/>
          <w:szCs w:val="24"/>
          <w:lang w:eastAsia="en-US"/>
        </w:rPr>
        <w:t>技术要求：</w:t>
      </w:r>
    </w:p>
    <w:p w14:paraId="5637840A"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最大标称放电电流不低于：室内</w:t>
      </w:r>
      <w:r>
        <w:rPr>
          <w:color w:val="000000" w:themeColor="text1"/>
          <w:kern w:val="0"/>
          <w:sz w:val="24"/>
          <w:szCs w:val="24"/>
          <w:lang w:eastAsia="en-US"/>
        </w:rPr>
        <w:t>5kA/</w:t>
      </w:r>
      <w:r>
        <w:rPr>
          <w:color w:val="000000" w:themeColor="text1"/>
          <w:kern w:val="0"/>
          <w:sz w:val="24"/>
          <w:szCs w:val="24"/>
          <w:lang w:eastAsia="en-US"/>
        </w:rPr>
        <w:t>线</w:t>
      </w:r>
      <w:r>
        <w:rPr>
          <w:rFonts w:hint="eastAsia"/>
          <w:color w:val="000000" w:themeColor="text1"/>
          <w:kern w:val="0"/>
          <w:sz w:val="24"/>
          <w:szCs w:val="24"/>
        </w:rPr>
        <w:t>（</w:t>
      </w:r>
      <w:r>
        <w:rPr>
          <w:color w:val="000000" w:themeColor="text1"/>
          <w:kern w:val="0"/>
          <w:sz w:val="24"/>
          <w:szCs w:val="24"/>
          <w:lang w:eastAsia="en-US"/>
        </w:rPr>
        <w:t>8/20µs</w:t>
      </w:r>
      <w:r>
        <w:rPr>
          <w:rFonts w:hint="eastAsia"/>
          <w:color w:val="000000" w:themeColor="text1"/>
          <w:kern w:val="0"/>
          <w:sz w:val="24"/>
          <w:szCs w:val="24"/>
        </w:rPr>
        <w:t>）</w:t>
      </w:r>
      <w:r>
        <w:rPr>
          <w:color w:val="000000" w:themeColor="text1"/>
          <w:kern w:val="0"/>
          <w:sz w:val="24"/>
          <w:szCs w:val="24"/>
          <w:lang w:eastAsia="en-US"/>
        </w:rPr>
        <w:t>、室外</w:t>
      </w:r>
      <w:r>
        <w:rPr>
          <w:color w:val="000000" w:themeColor="text1"/>
          <w:kern w:val="0"/>
          <w:sz w:val="24"/>
          <w:szCs w:val="24"/>
          <w:lang w:eastAsia="en-US"/>
        </w:rPr>
        <w:t>10kA/</w:t>
      </w:r>
      <w:r>
        <w:rPr>
          <w:color w:val="000000" w:themeColor="text1"/>
          <w:kern w:val="0"/>
          <w:sz w:val="24"/>
          <w:szCs w:val="24"/>
          <w:lang w:eastAsia="en-US"/>
        </w:rPr>
        <w:t>线</w:t>
      </w:r>
      <w:r>
        <w:rPr>
          <w:rFonts w:hint="eastAsia"/>
          <w:color w:val="000000" w:themeColor="text1"/>
          <w:kern w:val="0"/>
          <w:sz w:val="24"/>
          <w:szCs w:val="24"/>
        </w:rPr>
        <w:t>（</w:t>
      </w:r>
      <w:r>
        <w:rPr>
          <w:color w:val="000000" w:themeColor="text1"/>
          <w:kern w:val="0"/>
          <w:sz w:val="24"/>
          <w:szCs w:val="24"/>
          <w:lang w:eastAsia="en-US"/>
        </w:rPr>
        <w:t>8/20µs</w:t>
      </w:r>
      <w:r>
        <w:rPr>
          <w:rFonts w:hint="eastAsia"/>
          <w:color w:val="000000" w:themeColor="text1"/>
          <w:kern w:val="0"/>
          <w:sz w:val="24"/>
          <w:szCs w:val="24"/>
        </w:rPr>
        <w:t>）</w:t>
      </w:r>
      <w:r>
        <w:rPr>
          <w:color w:val="000000" w:themeColor="text1"/>
          <w:kern w:val="0"/>
          <w:sz w:val="24"/>
          <w:szCs w:val="24"/>
          <w:lang w:eastAsia="en-US"/>
        </w:rPr>
        <w:t>；</w:t>
      </w:r>
    </w:p>
    <w:p w14:paraId="2AD15916"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响应时间小于</w:t>
      </w:r>
      <w:r>
        <w:rPr>
          <w:color w:val="000000" w:themeColor="text1"/>
          <w:kern w:val="0"/>
          <w:sz w:val="24"/>
          <w:szCs w:val="24"/>
          <w:lang w:eastAsia="en-US"/>
        </w:rPr>
        <w:t>5ns</w:t>
      </w:r>
      <w:r>
        <w:rPr>
          <w:color w:val="000000" w:themeColor="text1"/>
          <w:kern w:val="0"/>
          <w:sz w:val="24"/>
          <w:szCs w:val="24"/>
          <w:lang w:eastAsia="en-US"/>
        </w:rPr>
        <w:t>；</w:t>
      </w:r>
    </w:p>
    <w:p w14:paraId="3C53789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持续运行电压不小于</w:t>
      </w:r>
      <w:r>
        <w:rPr>
          <w:color w:val="000000" w:themeColor="text1"/>
          <w:kern w:val="0"/>
          <w:sz w:val="24"/>
          <w:szCs w:val="24"/>
          <w:lang w:eastAsia="en-US"/>
        </w:rPr>
        <w:t>30V</w:t>
      </w:r>
      <w:r>
        <w:rPr>
          <w:color w:val="000000" w:themeColor="text1"/>
          <w:kern w:val="0"/>
          <w:sz w:val="24"/>
          <w:szCs w:val="24"/>
          <w:lang w:eastAsia="en-US"/>
        </w:rPr>
        <w:t>；</w:t>
      </w:r>
    </w:p>
    <w:p w14:paraId="6945D2EE"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•RS232/422/485</w:t>
      </w:r>
      <w:r>
        <w:rPr>
          <w:color w:val="000000" w:themeColor="text1"/>
          <w:kern w:val="0"/>
          <w:sz w:val="24"/>
          <w:szCs w:val="24"/>
          <w:lang w:eastAsia="en-US"/>
        </w:rPr>
        <w:t>通信端口限制电压</w:t>
      </w:r>
      <w:r>
        <w:rPr>
          <w:color w:val="000000" w:themeColor="text1"/>
          <w:kern w:val="0"/>
          <w:sz w:val="24"/>
          <w:szCs w:val="24"/>
          <w:lang w:eastAsia="en-US"/>
        </w:rPr>
        <w:t>≤12V</w:t>
      </w:r>
      <w:r>
        <w:rPr>
          <w:color w:val="000000" w:themeColor="text1"/>
          <w:kern w:val="0"/>
          <w:sz w:val="24"/>
          <w:szCs w:val="24"/>
          <w:lang w:eastAsia="en-US"/>
        </w:rPr>
        <w:t>，其它限制电压</w:t>
      </w:r>
      <w:r>
        <w:rPr>
          <w:color w:val="000000" w:themeColor="text1"/>
          <w:kern w:val="0"/>
          <w:sz w:val="24"/>
          <w:szCs w:val="24"/>
          <w:lang w:eastAsia="en-US"/>
        </w:rPr>
        <w:t>≤60V</w:t>
      </w:r>
      <w:r>
        <w:rPr>
          <w:rFonts w:hint="eastAsia"/>
          <w:color w:val="000000" w:themeColor="text1"/>
          <w:kern w:val="0"/>
          <w:sz w:val="24"/>
          <w:szCs w:val="24"/>
        </w:rPr>
        <w:t>（</w:t>
      </w:r>
      <w:r>
        <w:rPr>
          <w:color w:val="000000" w:themeColor="text1"/>
          <w:kern w:val="0"/>
          <w:sz w:val="24"/>
          <w:szCs w:val="24"/>
          <w:lang w:eastAsia="en-US"/>
        </w:rPr>
        <w:t>线</w:t>
      </w:r>
      <w:r>
        <w:rPr>
          <w:color w:val="000000" w:themeColor="text1"/>
          <w:kern w:val="0"/>
          <w:sz w:val="24"/>
          <w:szCs w:val="24"/>
          <w:lang w:eastAsia="en-US"/>
        </w:rPr>
        <w:t>-</w:t>
      </w:r>
      <w:r>
        <w:rPr>
          <w:color w:val="000000" w:themeColor="text1"/>
          <w:kern w:val="0"/>
          <w:sz w:val="24"/>
          <w:szCs w:val="24"/>
          <w:lang w:eastAsia="en-US"/>
        </w:rPr>
        <w:t>线、线</w:t>
      </w:r>
      <w:r>
        <w:rPr>
          <w:color w:val="000000" w:themeColor="text1"/>
          <w:kern w:val="0"/>
          <w:sz w:val="24"/>
          <w:szCs w:val="24"/>
          <w:lang w:eastAsia="en-US"/>
        </w:rPr>
        <w:t>-</w:t>
      </w:r>
      <w:r>
        <w:rPr>
          <w:color w:val="000000" w:themeColor="text1"/>
          <w:kern w:val="0"/>
          <w:sz w:val="24"/>
          <w:szCs w:val="24"/>
          <w:lang w:eastAsia="en-US"/>
        </w:rPr>
        <w:t>地</w:t>
      </w:r>
      <w:r>
        <w:rPr>
          <w:rFonts w:hint="eastAsia"/>
          <w:color w:val="000000" w:themeColor="text1"/>
          <w:kern w:val="0"/>
          <w:sz w:val="24"/>
          <w:szCs w:val="24"/>
        </w:rPr>
        <w:t>）（</w:t>
      </w:r>
      <w:r>
        <w:rPr>
          <w:color w:val="000000" w:themeColor="text1"/>
          <w:kern w:val="0"/>
          <w:sz w:val="24"/>
          <w:szCs w:val="24"/>
          <w:lang w:eastAsia="en-US"/>
        </w:rPr>
        <w:t>8/20µs</w:t>
      </w:r>
      <w:r>
        <w:rPr>
          <w:color w:val="000000" w:themeColor="text1"/>
          <w:kern w:val="0"/>
          <w:sz w:val="24"/>
          <w:szCs w:val="24"/>
          <w:lang w:eastAsia="en-US"/>
        </w:rPr>
        <w:t>组合波形</w:t>
      </w:r>
      <w:r>
        <w:rPr>
          <w:rFonts w:hint="eastAsia"/>
          <w:color w:val="000000" w:themeColor="text1"/>
          <w:kern w:val="0"/>
          <w:sz w:val="24"/>
          <w:szCs w:val="24"/>
        </w:rPr>
        <w:t>）</w:t>
      </w:r>
      <w:r>
        <w:rPr>
          <w:color w:val="000000" w:themeColor="text1"/>
          <w:kern w:val="0"/>
          <w:sz w:val="24"/>
          <w:szCs w:val="24"/>
          <w:lang w:eastAsia="en-US"/>
        </w:rPr>
        <w:t>；</w:t>
      </w:r>
    </w:p>
    <w:p w14:paraId="36B9D66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应同时具有线</w:t>
      </w:r>
      <w:r>
        <w:rPr>
          <w:color w:val="000000" w:themeColor="text1"/>
          <w:kern w:val="0"/>
          <w:sz w:val="24"/>
          <w:szCs w:val="24"/>
          <w:lang w:eastAsia="en-US"/>
        </w:rPr>
        <w:t>-</w:t>
      </w:r>
      <w:r>
        <w:rPr>
          <w:color w:val="000000" w:themeColor="text1"/>
          <w:kern w:val="0"/>
          <w:sz w:val="24"/>
          <w:szCs w:val="24"/>
          <w:lang w:eastAsia="en-US"/>
        </w:rPr>
        <w:t>线间、线</w:t>
      </w:r>
      <w:r>
        <w:rPr>
          <w:color w:val="000000" w:themeColor="text1"/>
          <w:kern w:val="0"/>
          <w:sz w:val="24"/>
          <w:szCs w:val="24"/>
          <w:lang w:eastAsia="en-US"/>
        </w:rPr>
        <w:t>-</w:t>
      </w:r>
      <w:r>
        <w:rPr>
          <w:color w:val="000000" w:themeColor="text1"/>
          <w:kern w:val="0"/>
          <w:sz w:val="24"/>
          <w:szCs w:val="24"/>
          <w:lang w:eastAsia="en-US"/>
        </w:rPr>
        <w:t>地间保护功能；</w:t>
      </w:r>
    </w:p>
    <w:p w14:paraId="1262A3AE"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lastRenderedPageBreak/>
        <w:t>•</w:t>
      </w:r>
      <w:r>
        <w:rPr>
          <w:color w:val="000000" w:themeColor="text1"/>
          <w:kern w:val="0"/>
          <w:sz w:val="24"/>
          <w:szCs w:val="24"/>
          <w:lang w:eastAsia="en-US"/>
        </w:rPr>
        <w:t>机柜或接线箱内</w:t>
      </w:r>
      <w:r>
        <w:rPr>
          <w:color w:val="000000" w:themeColor="text1"/>
          <w:kern w:val="0"/>
          <w:sz w:val="24"/>
          <w:szCs w:val="24"/>
          <w:lang w:eastAsia="en-US"/>
        </w:rPr>
        <w:t>SPD</w:t>
      </w:r>
      <w:r>
        <w:rPr>
          <w:color w:val="000000" w:themeColor="text1"/>
          <w:kern w:val="0"/>
          <w:sz w:val="24"/>
          <w:szCs w:val="24"/>
          <w:lang w:eastAsia="en-US"/>
        </w:rPr>
        <w:t>为导轨式安装，保护接地可与导轨可靠连接。</w:t>
      </w:r>
    </w:p>
    <w:p w14:paraId="6D2E0C8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现场变送器需另外置式防浪涌保护器，防浪涌保护器连接于变送器的第二个进线口。当变送器只有一个进线口的仪表采用连接型防浪涌保护器或使用防爆三通接头进行安装。</w:t>
      </w:r>
    </w:p>
    <w:p w14:paraId="1AA34101"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4</w:t>
      </w:r>
      <w:r>
        <w:rPr>
          <w:rFonts w:hint="eastAsia"/>
          <w:color w:val="000000" w:themeColor="text1"/>
          <w:kern w:val="0"/>
          <w:sz w:val="24"/>
          <w:szCs w:val="24"/>
        </w:rPr>
        <w:t>、</w:t>
      </w:r>
      <w:r>
        <w:rPr>
          <w:color w:val="000000" w:themeColor="text1"/>
          <w:kern w:val="0"/>
          <w:sz w:val="24"/>
          <w:szCs w:val="24"/>
          <w:lang w:eastAsia="en-US"/>
        </w:rPr>
        <w:t>防雷及接地</w:t>
      </w:r>
    </w:p>
    <w:p w14:paraId="0401926B"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为保证设备安全和系统的可靠，在本工程新增检测仪表信号接口、新增控制系统和现有控制系统扩容的所有</w:t>
      </w:r>
      <w:r>
        <w:rPr>
          <w:color w:val="000000" w:themeColor="text1"/>
          <w:kern w:val="0"/>
          <w:sz w:val="24"/>
          <w:szCs w:val="24"/>
          <w:lang w:eastAsia="en-US"/>
        </w:rPr>
        <w:t>I/0</w:t>
      </w:r>
      <w:r>
        <w:rPr>
          <w:color w:val="000000" w:themeColor="text1"/>
          <w:kern w:val="0"/>
          <w:sz w:val="24"/>
          <w:szCs w:val="24"/>
          <w:lang w:eastAsia="en-US"/>
        </w:rPr>
        <w:t>点等有可能将感应雷电引起高压引入系统的部位，采取防护措施，避免雷电感应造成的设备损坏。现场变送器仪表和可燃气体探测器及控制系统机柜均设置防浪涌保护器。现场变送器需设置外置式防浪涌保护器，防浪涌保护器连接于变送器的第二个进线口。当变送器只有一个进线口的仪表采用连接型防浪涌保护器或使用防爆三通接头进行安装。</w:t>
      </w:r>
    </w:p>
    <w:p w14:paraId="4B5AB82F"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保护接地、工作接地和防雷接地分别接入到公用接地网，接地联结电阻小于</w:t>
      </w:r>
      <w:r>
        <w:rPr>
          <w:color w:val="000000" w:themeColor="text1"/>
          <w:kern w:val="0"/>
          <w:sz w:val="24"/>
          <w:szCs w:val="24"/>
          <w:lang w:eastAsia="en-US"/>
        </w:rPr>
        <w:t>1Ω</w:t>
      </w:r>
      <w:r>
        <w:rPr>
          <w:rFonts w:hint="eastAsia"/>
          <w:color w:val="000000" w:themeColor="text1"/>
          <w:kern w:val="0"/>
          <w:sz w:val="24"/>
          <w:szCs w:val="24"/>
        </w:rPr>
        <w:t>，</w:t>
      </w:r>
      <w:r>
        <w:rPr>
          <w:color w:val="000000" w:themeColor="text1"/>
          <w:kern w:val="0"/>
          <w:sz w:val="24"/>
          <w:szCs w:val="24"/>
          <w:lang w:eastAsia="en-US"/>
        </w:rPr>
        <w:t>接地电阻小于或等于</w:t>
      </w:r>
      <w:r>
        <w:rPr>
          <w:color w:val="000000" w:themeColor="text1"/>
          <w:kern w:val="0"/>
          <w:sz w:val="24"/>
          <w:szCs w:val="24"/>
          <w:lang w:eastAsia="en-US"/>
        </w:rPr>
        <w:t>4Ω</w:t>
      </w:r>
      <w:r>
        <w:rPr>
          <w:color w:val="000000" w:themeColor="text1"/>
          <w:kern w:val="0"/>
          <w:sz w:val="24"/>
          <w:szCs w:val="24"/>
          <w:lang w:eastAsia="en-US"/>
        </w:rPr>
        <w:t>。</w:t>
      </w:r>
    </w:p>
    <w:p w14:paraId="7258CE72" w14:textId="77777777" w:rsidR="002E0859" w:rsidRDefault="00000000">
      <w:pPr>
        <w:widowControl/>
        <w:kinsoku w:val="0"/>
        <w:topLinePunct w:val="0"/>
        <w:autoSpaceDE w:val="0"/>
        <w:autoSpaceDN w:val="0"/>
        <w:spacing w:line="240" w:lineRule="auto"/>
        <w:ind w:firstLineChars="0" w:firstLine="0"/>
        <w:jc w:val="left"/>
        <w:textAlignment w:val="baseline"/>
        <w:rPr>
          <w:rFonts w:ascii="宋体" w:hAnsi="宋体" w:cs="宋体"/>
          <w:snapToGrid w:val="0"/>
          <w:color w:val="000000" w:themeColor="text1"/>
          <w:kern w:val="0"/>
          <w:sz w:val="24"/>
          <w:szCs w:val="24"/>
          <w:lang w:eastAsia="en-US"/>
        </w:rPr>
      </w:pPr>
      <w:r>
        <w:rPr>
          <w:rFonts w:hint="eastAsia"/>
          <w:color w:val="000000" w:themeColor="text1"/>
          <w:kern w:val="0"/>
          <w:sz w:val="24"/>
          <w:szCs w:val="24"/>
        </w:rPr>
        <w:t>5</w:t>
      </w:r>
      <w:r>
        <w:rPr>
          <w:rFonts w:hint="eastAsia"/>
          <w:color w:val="000000" w:themeColor="text1"/>
          <w:kern w:val="0"/>
          <w:sz w:val="24"/>
          <w:szCs w:val="24"/>
        </w:rPr>
        <w:t>、</w:t>
      </w:r>
      <w:r>
        <w:rPr>
          <w:color w:val="000000" w:themeColor="text1"/>
          <w:kern w:val="0"/>
          <w:sz w:val="24"/>
          <w:szCs w:val="24"/>
          <w:lang w:eastAsia="en-US"/>
        </w:rPr>
        <w:t>主要</w:t>
      </w:r>
      <w:r>
        <w:rPr>
          <w:rFonts w:ascii="宋体" w:hAnsi="宋体" w:cs="宋体"/>
          <w:snapToGrid w:val="0"/>
          <w:color w:val="000000" w:themeColor="text1"/>
          <w:spacing w:val="-1"/>
          <w:kern w:val="0"/>
          <w:sz w:val="24"/>
          <w:szCs w:val="24"/>
          <w:lang w:eastAsia="en-US"/>
        </w:rPr>
        <w:t>工程量</w:t>
      </w:r>
    </w:p>
    <w:p w14:paraId="53F4D06B"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2.8-5 </w:t>
      </w:r>
      <w:r>
        <w:rPr>
          <w:rFonts w:eastAsia="黑体"/>
          <w:color w:val="000000" w:themeColor="text1"/>
          <w:sz w:val="21"/>
          <w:szCs w:val="21"/>
          <w:lang w:eastAsia="en-US"/>
        </w:rPr>
        <w:t>自控部分主要工程量表</w:t>
      </w:r>
    </w:p>
    <w:tbl>
      <w:tblPr>
        <w:tblStyle w:val="TableNormal"/>
        <w:tblW w:w="8917" w:type="dxa"/>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921"/>
        <w:gridCol w:w="4734"/>
        <w:gridCol w:w="1103"/>
        <w:gridCol w:w="1003"/>
        <w:gridCol w:w="1156"/>
      </w:tblGrid>
      <w:tr w:rsidR="002E0859" w14:paraId="2F709304" w14:textId="77777777">
        <w:trPr>
          <w:trHeight w:val="23"/>
        </w:trPr>
        <w:tc>
          <w:tcPr>
            <w:tcW w:w="921" w:type="dxa"/>
            <w:tcBorders>
              <w:tl2br w:val="nil"/>
              <w:tr2bl w:val="nil"/>
            </w:tcBorders>
            <w:vAlign w:val="center"/>
          </w:tcPr>
          <w:p w14:paraId="71EC6D0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序号</w:t>
            </w:r>
          </w:p>
        </w:tc>
        <w:tc>
          <w:tcPr>
            <w:tcW w:w="4734" w:type="dxa"/>
            <w:tcBorders>
              <w:tl2br w:val="nil"/>
              <w:tr2bl w:val="nil"/>
            </w:tcBorders>
            <w:vAlign w:val="center"/>
          </w:tcPr>
          <w:p w14:paraId="161F0B9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名称</w:t>
            </w:r>
          </w:p>
        </w:tc>
        <w:tc>
          <w:tcPr>
            <w:tcW w:w="1103" w:type="dxa"/>
            <w:tcBorders>
              <w:tl2br w:val="nil"/>
              <w:tr2bl w:val="nil"/>
            </w:tcBorders>
            <w:vAlign w:val="center"/>
          </w:tcPr>
          <w:p w14:paraId="400D8C3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单位</w:t>
            </w:r>
          </w:p>
        </w:tc>
        <w:tc>
          <w:tcPr>
            <w:tcW w:w="1003" w:type="dxa"/>
            <w:tcBorders>
              <w:tl2br w:val="nil"/>
              <w:tr2bl w:val="nil"/>
            </w:tcBorders>
            <w:vAlign w:val="center"/>
          </w:tcPr>
          <w:p w14:paraId="62C9997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数量</w:t>
            </w:r>
          </w:p>
        </w:tc>
        <w:tc>
          <w:tcPr>
            <w:tcW w:w="1156" w:type="dxa"/>
            <w:tcBorders>
              <w:tl2br w:val="nil"/>
              <w:tr2bl w:val="nil"/>
            </w:tcBorders>
            <w:vAlign w:val="center"/>
          </w:tcPr>
          <w:p w14:paraId="6B12130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备注</w:t>
            </w:r>
          </w:p>
        </w:tc>
      </w:tr>
      <w:tr w:rsidR="002E0859" w14:paraId="26C26863" w14:textId="77777777">
        <w:trPr>
          <w:trHeight w:val="23"/>
        </w:trPr>
        <w:tc>
          <w:tcPr>
            <w:tcW w:w="921" w:type="dxa"/>
            <w:tcBorders>
              <w:tl2br w:val="nil"/>
              <w:tr2bl w:val="nil"/>
            </w:tcBorders>
            <w:vAlign w:val="center"/>
          </w:tcPr>
          <w:p w14:paraId="0CC4BF0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position w:val="-4"/>
                <w:sz w:val="21"/>
                <w:szCs w:val="21"/>
                <w:lang w:eastAsia="en-US"/>
                <w14:textOutline w14:w="3835" w14:cap="flat" w14:cmpd="sng" w14:algn="ctr">
                  <w14:solidFill>
                    <w14:srgbClr w14:val="000000"/>
                  </w14:solidFill>
                  <w14:prstDash w14:val="solid"/>
                  <w14:miter w14:lim="0"/>
                </w14:textOutline>
              </w:rPr>
              <w:t>一</w:t>
            </w:r>
          </w:p>
        </w:tc>
        <w:tc>
          <w:tcPr>
            <w:tcW w:w="4734" w:type="dxa"/>
            <w:tcBorders>
              <w:tl2br w:val="nil"/>
              <w:tr2bl w:val="nil"/>
            </w:tcBorders>
            <w:vAlign w:val="center"/>
          </w:tcPr>
          <w:p w14:paraId="72E0EFF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90</w:t>
            </w:r>
            <w:r>
              <w:rPr>
                <w:snapToGrid w:val="0"/>
                <w:color w:val="000000" w:themeColor="text1"/>
                <w:spacing w:val="-2"/>
                <w:kern w:val="0"/>
                <w:sz w:val="21"/>
                <w:szCs w:val="21"/>
                <w:lang w:eastAsia="en-US"/>
              </w:rPr>
              <w:t>号平台（扩</w:t>
            </w:r>
            <w:r>
              <w:rPr>
                <w:snapToGrid w:val="0"/>
                <w:color w:val="000000" w:themeColor="text1"/>
                <w:spacing w:val="-2"/>
                <w:kern w:val="0"/>
                <w:sz w:val="21"/>
                <w:szCs w:val="21"/>
                <w:lang w:eastAsia="en-US"/>
              </w:rPr>
              <w:t>2</w:t>
            </w:r>
            <w:r>
              <w:rPr>
                <w:snapToGrid w:val="0"/>
                <w:color w:val="000000" w:themeColor="text1"/>
                <w:spacing w:val="-2"/>
                <w:kern w:val="0"/>
                <w:sz w:val="21"/>
                <w:szCs w:val="21"/>
                <w:lang w:eastAsia="en-US"/>
              </w:rPr>
              <w:t>口井）</w:t>
            </w:r>
          </w:p>
        </w:tc>
        <w:tc>
          <w:tcPr>
            <w:tcW w:w="1103" w:type="dxa"/>
            <w:tcBorders>
              <w:tl2br w:val="nil"/>
              <w:tr2bl w:val="nil"/>
            </w:tcBorders>
            <w:vAlign w:val="center"/>
          </w:tcPr>
          <w:p w14:paraId="3A63C08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003" w:type="dxa"/>
            <w:tcBorders>
              <w:tl2br w:val="nil"/>
              <w:tr2bl w:val="nil"/>
            </w:tcBorders>
            <w:vAlign w:val="center"/>
          </w:tcPr>
          <w:p w14:paraId="1FDF0D5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156" w:type="dxa"/>
            <w:tcBorders>
              <w:tl2br w:val="nil"/>
              <w:tr2bl w:val="nil"/>
            </w:tcBorders>
            <w:vAlign w:val="center"/>
          </w:tcPr>
          <w:p w14:paraId="4B0F587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DF58780" w14:textId="77777777">
        <w:trPr>
          <w:trHeight w:val="23"/>
        </w:trPr>
        <w:tc>
          <w:tcPr>
            <w:tcW w:w="921" w:type="dxa"/>
            <w:tcBorders>
              <w:tl2br w:val="nil"/>
              <w:tr2bl w:val="nil"/>
            </w:tcBorders>
            <w:vAlign w:val="center"/>
          </w:tcPr>
          <w:p w14:paraId="0B2B618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4734" w:type="dxa"/>
            <w:tcBorders>
              <w:tl2br w:val="nil"/>
              <w:tr2bl w:val="nil"/>
            </w:tcBorders>
            <w:vAlign w:val="center"/>
          </w:tcPr>
          <w:p w14:paraId="1A4A31E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压力表（</w:t>
            </w:r>
            <w:r>
              <w:rPr>
                <w:snapToGrid w:val="0"/>
                <w:color w:val="000000" w:themeColor="text1"/>
                <w:spacing w:val="-2"/>
                <w:kern w:val="0"/>
                <w:sz w:val="21"/>
                <w:szCs w:val="21"/>
                <w:lang w:eastAsia="en-US"/>
              </w:rPr>
              <w:t>0~60MPa</w:t>
            </w:r>
            <w:r>
              <w:rPr>
                <w:snapToGrid w:val="0"/>
                <w:color w:val="000000" w:themeColor="text1"/>
                <w:spacing w:val="11"/>
                <w:kern w:val="0"/>
                <w:sz w:val="21"/>
                <w:szCs w:val="21"/>
                <w:lang w:eastAsia="en-US"/>
              </w:rPr>
              <w:t>），</w:t>
            </w:r>
            <w:r>
              <w:rPr>
                <w:snapToGrid w:val="0"/>
                <w:color w:val="000000" w:themeColor="text1"/>
                <w:spacing w:val="-2"/>
                <w:kern w:val="0"/>
                <w:sz w:val="21"/>
                <w:szCs w:val="21"/>
                <w:lang w:eastAsia="en-US"/>
              </w:rPr>
              <w:t>配管阀件等安装附件</w:t>
            </w:r>
          </w:p>
        </w:tc>
        <w:tc>
          <w:tcPr>
            <w:tcW w:w="1103" w:type="dxa"/>
            <w:tcBorders>
              <w:tl2br w:val="nil"/>
              <w:tr2bl w:val="nil"/>
            </w:tcBorders>
            <w:vAlign w:val="center"/>
          </w:tcPr>
          <w:p w14:paraId="2B69DA1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台</w:t>
            </w:r>
          </w:p>
        </w:tc>
        <w:tc>
          <w:tcPr>
            <w:tcW w:w="1003" w:type="dxa"/>
            <w:tcBorders>
              <w:tl2br w:val="nil"/>
              <w:tr2bl w:val="nil"/>
            </w:tcBorders>
            <w:vAlign w:val="center"/>
          </w:tcPr>
          <w:p w14:paraId="16E0766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p>
        </w:tc>
        <w:tc>
          <w:tcPr>
            <w:tcW w:w="1156" w:type="dxa"/>
            <w:tcBorders>
              <w:tl2br w:val="nil"/>
              <w:tr2bl w:val="nil"/>
            </w:tcBorders>
            <w:vAlign w:val="center"/>
          </w:tcPr>
          <w:p w14:paraId="3C2B234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FE8AA8D" w14:textId="77777777">
        <w:trPr>
          <w:trHeight w:val="23"/>
        </w:trPr>
        <w:tc>
          <w:tcPr>
            <w:tcW w:w="921" w:type="dxa"/>
            <w:tcBorders>
              <w:tl2br w:val="nil"/>
              <w:tr2bl w:val="nil"/>
            </w:tcBorders>
            <w:vAlign w:val="center"/>
          </w:tcPr>
          <w:p w14:paraId="2F5C2D7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4734" w:type="dxa"/>
            <w:tcBorders>
              <w:tl2br w:val="nil"/>
              <w:tr2bl w:val="nil"/>
            </w:tcBorders>
            <w:vAlign w:val="center"/>
          </w:tcPr>
          <w:p w14:paraId="7E49F52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压力变送器（</w:t>
            </w:r>
            <w:r>
              <w:rPr>
                <w:snapToGrid w:val="0"/>
                <w:color w:val="000000" w:themeColor="text1"/>
                <w:spacing w:val="-3"/>
                <w:kern w:val="0"/>
                <w:sz w:val="21"/>
                <w:szCs w:val="21"/>
                <w:lang w:eastAsia="en-US"/>
              </w:rPr>
              <w:t>0~60MPa</w:t>
            </w:r>
            <w:r>
              <w:rPr>
                <w:snapToGrid w:val="0"/>
                <w:color w:val="000000" w:themeColor="text1"/>
                <w:spacing w:val="-7"/>
                <w:kern w:val="0"/>
                <w:sz w:val="21"/>
                <w:szCs w:val="21"/>
                <w:lang w:eastAsia="en-US"/>
              </w:rPr>
              <w:t>），</w:t>
            </w:r>
            <w:r>
              <w:rPr>
                <w:snapToGrid w:val="0"/>
                <w:color w:val="000000" w:themeColor="text1"/>
                <w:spacing w:val="-3"/>
                <w:kern w:val="0"/>
                <w:sz w:val="21"/>
                <w:szCs w:val="21"/>
                <w:lang w:eastAsia="en-US"/>
              </w:rPr>
              <w:t>配管阀件等安装附件</w:t>
            </w:r>
          </w:p>
        </w:tc>
        <w:tc>
          <w:tcPr>
            <w:tcW w:w="1103" w:type="dxa"/>
            <w:tcBorders>
              <w:tl2br w:val="nil"/>
              <w:tr2bl w:val="nil"/>
            </w:tcBorders>
            <w:vAlign w:val="center"/>
          </w:tcPr>
          <w:p w14:paraId="764E530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台</w:t>
            </w:r>
          </w:p>
        </w:tc>
        <w:tc>
          <w:tcPr>
            <w:tcW w:w="1003" w:type="dxa"/>
            <w:tcBorders>
              <w:tl2br w:val="nil"/>
              <w:tr2bl w:val="nil"/>
            </w:tcBorders>
            <w:vAlign w:val="center"/>
          </w:tcPr>
          <w:p w14:paraId="35D3EB3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156" w:type="dxa"/>
            <w:tcBorders>
              <w:tl2br w:val="nil"/>
              <w:tr2bl w:val="nil"/>
            </w:tcBorders>
            <w:vAlign w:val="center"/>
          </w:tcPr>
          <w:p w14:paraId="1DF3755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E5FF7EA" w14:textId="77777777">
        <w:trPr>
          <w:trHeight w:val="23"/>
        </w:trPr>
        <w:tc>
          <w:tcPr>
            <w:tcW w:w="921" w:type="dxa"/>
            <w:tcBorders>
              <w:tl2br w:val="nil"/>
              <w:tr2bl w:val="nil"/>
            </w:tcBorders>
            <w:vAlign w:val="center"/>
          </w:tcPr>
          <w:p w14:paraId="3BE39BF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4734" w:type="dxa"/>
            <w:tcBorders>
              <w:tl2br w:val="nil"/>
              <w:tr2bl w:val="nil"/>
            </w:tcBorders>
            <w:vAlign w:val="center"/>
          </w:tcPr>
          <w:p w14:paraId="25E259A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双金属温度计</w:t>
            </w:r>
            <w:r>
              <w:rPr>
                <w:snapToGrid w:val="0"/>
                <w:color w:val="000000" w:themeColor="text1"/>
                <w:spacing w:val="-2"/>
                <w:kern w:val="0"/>
                <w:sz w:val="21"/>
                <w:szCs w:val="21"/>
                <w:lang w:eastAsia="en-US"/>
              </w:rPr>
              <w:t>-40~80℃</w:t>
            </w:r>
          </w:p>
        </w:tc>
        <w:tc>
          <w:tcPr>
            <w:tcW w:w="1103" w:type="dxa"/>
            <w:tcBorders>
              <w:tl2br w:val="nil"/>
              <w:tr2bl w:val="nil"/>
            </w:tcBorders>
            <w:vAlign w:val="center"/>
          </w:tcPr>
          <w:p w14:paraId="7795FAC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台</w:t>
            </w:r>
          </w:p>
        </w:tc>
        <w:tc>
          <w:tcPr>
            <w:tcW w:w="1003" w:type="dxa"/>
            <w:tcBorders>
              <w:tl2br w:val="nil"/>
              <w:tr2bl w:val="nil"/>
            </w:tcBorders>
            <w:vAlign w:val="center"/>
          </w:tcPr>
          <w:p w14:paraId="4FC1F34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156" w:type="dxa"/>
            <w:tcBorders>
              <w:tl2br w:val="nil"/>
              <w:tr2bl w:val="nil"/>
            </w:tcBorders>
            <w:vAlign w:val="center"/>
          </w:tcPr>
          <w:p w14:paraId="5E9F3FD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674ECA46" w14:textId="77777777">
        <w:trPr>
          <w:trHeight w:val="23"/>
        </w:trPr>
        <w:tc>
          <w:tcPr>
            <w:tcW w:w="921" w:type="dxa"/>
            <w:tcBorders>
              <w:tl2br w:val="nil"/>
              <w:tr2bl w:val="nil"/>
            </w:tcBorders>
            <w:vAlign w:val="center"/>
          </w:tcPr>
          <w:p w14:paraId="62B68E5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4734" w:type="dxa"/>
            <w:tcBorders>
              <w:tl2br w:val="nil"/>
              <w:tr2bl w:val="nil"/>
            </w:tcBorders>
            <w:vAlign w:val="center"/>
          </w:tcPr>
          <w:p w14:paraId="107EB01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智能开关井系统（切断调节一体式）</w:t>
            </w:r>
          </w:p>
        </w:tc>
        <w:tc>
          <w:tcPr>
            <w:tcW w:w="1103" w:type="dxa"/>
            <w:tcBorders>
              <w:tl2br w:val="nil"/>
              <w:tr2bl w:val="nil"/>
            </w:tcBorders>
            <w:vAlign w:val="center"/>
          </w:tcPr>
          <w:p w14:paraId="6737179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1003" w:type="dxa"/>
            <w:tcBorders>
              <w:tl2br w:val="nil"/>
              <w:tr2bl w:val="nil"/>
            </w:tcBorders>
            <w:vAlign w:val="center"/>
          </w:tcPr>
          <w:p w14:paraId="4790A12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156" w:type="dxa"/>
            <w:tcBorders>
              <w:tl2br w:val="nil"/>
              <w:tr2bl w:val="nil"/>
            </w:tcBorders>
            <w:vAlign w:val="center"/>
          </w:tcPr>
          <w:p w14:paraId="1283D9F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353682FC" w14:textId="77777777">
        <w:trPr>
          <w:trHeight w:val="23"/>
        </w:trPr>
        <w:tc>
          <w:tcPr>
            <w:tcW w:w="921" w:type="dxa"/>
            <w:tcBorders>
              <w:tl2br w:val="nil"/>
              <w:tr2bl w:val="nil"/>
            </w:tcBorders>
            <w:vAlign w:val="center"/>
          </w:tcPr>
          <w:p w14:paraId="54B2D9F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w:t>
            </w:r>
          </w:p>
        </w:tc>
        <w:tc>
          <w:tcPr>
            <w:tcW w:w="4734" w:type="dxa"/>
            <w:tcBorders>
              <w:tl2br w:val="nil"/>
              <w:tr2bl w:val="nil"/>
            </w:tcBorders>
            <w:vAlign w:val="center"/>
          </w:tcPr>
          <w:p w14:paraId="6C5FA55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可燃气体探测器</w:t>
            </w:r>
          </w:p>
        </w:tc>
        <w:tc>
          <w:tcPr>
            <w:tcW w:w="1103" w:type="dxa"/>
            <w:tcBorders>
              <w:tl2br w:val="nil"/>
              <w:tr2bl w:val="nil"/>
            </w:tcBorders>
            <w:vAlign w:val="center"/>
          </w:tcPr>
          <w:p w14:paraId="2C574D6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台</w:t>
            </w:r>
          </w:p>
        </w:tc>
        <w:tc>
          <w:tcPr>
            <w:tcW w:w="1003" w:type="dxa"/>
            <w:tcBorders>
              <w:tl2br w:val="nil"/>
              <w:tr2bl w:val="nil"/>
            </w:tcBorders>
            <w:vAlign w:val="center"/>
          </w:tcPr>
          <w:p w14:paraId="2C405A6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156" w:type="dxa"/>
            <w:tcBorders>
              <w:tl2br w:val="nil"/>
              <w:tr2bl w:val="nil"/>
            </w:tcBorders>
            <w:vAlign w:val="center"/>
          </w:tcPr>
          <w:p w14:paraId="3BD9FFC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68E709A2" w14:textId="77777777">
        <w:trPr>
          <w:trHeight w:val="23"/>
        </w:trPr>
        <w:tc>
          <w:tcPr>
            <w:tcW w:w="921" w:type="dxa"/>
            <w:tcBorders>
              <w:tl2br w:val="nil"/>
              <w:tr2bl w:val="nil"/>
            </w:tcBorders>
            <w:vAlign w:val="center"/>
          </w:tcPr>
          <w:p w14:paraId="074BC38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w:t>
            </w:r>
          </w:p>
        </w:tc>
        <w:tc>
          <w:tcPr>
            <w:tcW w:w="4734" w:type="dxa"/>
            <w:tcBorders>
              <w:tl2br w:val="nil"/>
              <w:tr2bl w:val="nil"/>
            </w:tcBorders>
            <w:vAlign w:val="center"/>
          </w:tcPr>
          <w:p w14:paraId="009904E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防爆挠性连接管</w:t>
            </w:r>
          </w:p>
        </w:tc>
        <w:tc>
          <w:tcPr>
            <w:tcW w:w="1103" w:type="dxa"/>
            <w:tcBorders>
              <w:tl2br w:val="nil"/>
              <w:tr2bl w:val="nil"/>
            </w:tcBorders>
            <w:vAlign w:val="center"/>
          </w:tcPr>
          <w:p w14:paraId="095E239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根</w:t>
            </w:r>
          </w:p>
        </w:tc>
        <w:tc>
          <w:tcPr>
            <w:tcW w:w="1003" w:type="dxa"/>
            <w:tcBorders>
              <w:tl2br w:val="nil"/>
              <w:tr2bl w:val="nil"/>
            </w:tcBorders>
            <w:vAlign w:val="center"/>
          </w:tcPr>
          <w:p w14:paraId="7B87C2C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40</w:t>
            </w:r>
          </w:p>
        </w:tc>
        <w:tc>
          <w:tcPr>
            <w:tcW w:w="1156" w:type="dxa"/>
            <w:tcBorders>
              <w:tl2br w:val="nil"/>
              <w:tr2bl w:val="nil"/>
            </w:tcBorders>
            <w:vAlign w:val="center"/>
          </w:tcPr>
          <w:p w14:paraId="2249163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2533CCA" w14:textId="77777777">
        <w:trPr>
          <w:trHeight w:val="23"/>
        </w:trPr>
        <w:tc>
          <w:tcPr>
            <w:tcW w:w="921" w:type="dxa"/>
            <w:tcBorders>
              <w:tl2br w:val="nil"/>
              <w:tr2bl w:val="nil"/>
            </w:tcBorders>
            <w:vAlign w:val="center"/>
          </w:tcPr>
          <w:p w14:paraId="0269862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7</w:t>
            </w:r>
          </w:p>
        </w:tc>
        <w:tc>
          <w:tcPr>
            <w:tcW w:w="4734" w:type="dxa"/>
            <w:tcBorders>
              <w:tl2br w:val="nil"/>
              <w:tr2bl w:val="nil"/>
            </w:tcBorders>
            <w:vAlign w:val="center"/>
          </w:tcPr>
          <w:p w14:paraId="254BB0F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防爆密封接头</w:t>
            </w:r>
          </w:p>
        </w:tc>
        <w:tc>
          <w:tcPr>
            <w:tcW w:w="1103" w:type="dxa"/>
            <w:tcBorders>
              <w:tl2br w:val="nil"/>
              <w:tr2bl w:val="nil"/>
            </w:tcBorders>
            <w:vAlign w:val="center"/>
          </w:tcPr>
          <w:p w14:paraId="63D12C8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个</w:t>
            </w:r>
          </w:p>
        </w:tc>
        <w:tc>
          <w:tcPr>
            <w:tcW w:w="1003" w:type="dxa"/>
            <w:tcBorders>
              <w:tl2br w:val="nil"/>
              <w:tr2bl w:val="nil"/>
            </w:tcBorders>
            <w:vAlign w:val="center"/>
          </w:tcPr>
          <w:p w14:paraId="6AA53ED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40</w:t>
            </w:r>
          </w:p>
        </w:tc>
        <w:tc>
          <w:tcPr>
            <w:tcW w:w="1156" w:type="dxa"/>
            <w:tcBorders>
              <w:tl2br w:val="nil"/>
              <w:tr2bl w:val="nil"/>
            </w:tcBorders>
            <w:vAlign w:val="center"/>
          </w:tcPr>
          <w:p w14:paraId="60694A4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A23F73F" w14:textId="77777777">
        <w:trPr>
          <w:trHeight w:val="23"/>
        </w:trPr>
        <w:tc>
          <w:tcPr>
            <w:tcW w:w="921" w:type="dxa"/>
            <w:tcBorders>
              <w:tl2br w:val="nil"/>
              <w:tr2bl w:val="nil"/>
            </w:tcBorders>
            <w:vAlign w:val="center"/>
          </w:tcPr>
          <w:p w14:paraId="0E4FF7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p>
        </w:tc>
        <w:tc>
          <w:tcPr>
            <w:tcW w:w="4734" w:type="dxa"/>
            <w:tcBorders>
              <w:tl2br w:val="nil"/>
              <w:tr2bl w:val="nil"/>
            </w:tcBorders>
            <w:vAlign w:val="center"/>
          </w:tcPr>
          <w:p w14:paraId="2CDCE5E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镀锌焊接钢管</w:t>
            </w:r>
          </w:p>
        </w:tc>
        <w:tc>
          <w:tcPr>
            <w:tcW w:w="1103" w:type="dxa"/>
            <w:tcBorders>
              <w:tl2br w:val="nil"/>
              <w:tr2bl w:val="nil"/>
            </w:tcBorders>
            <w:vAlign w:val="center"/>
          </w:tcPr>
          <w:p w14:paraId="316CFB7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003" w:type="dxa"/>
            <w:tcBorders>
              <w:tl2br w:val="nil"/>
              <w:tr2bl w:val="nil"/>
            </w:tcBorders>
            <w:vAlign w:val="center"/>
          </w:tcPr>
          <w:p w14:paraId="3CF85D6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156" w:type="dxa"/>
            <w:tcBorders>
              <w:tl2br w:val="nil"/>
              <w:tr2bl w:val="nil"/>
            </w:tcBorders>
            <w:vAlign w:val="center"/>
          </w:tcPr>
          <w:p w14:paraId="1F22EE7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2B058AA" w14:textId="77777777">
        <w:trPr>
          <w:trHeight w:val="23"/>
        </w:trPr>
        <w:tc>
          <w:tcPr>
            <w:tcW w:w="921" w:type="dxa"/>
            <w:tcBorders>
              <w:tl2br w:val="nil"/>
              <w:tr2bl w:val="nil"/>
            </w:tcBorders>
            <w:vAlign w:val="center"/>
          </w:tcPr>
          <w:p w14:paraId="70D0EA7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8.1</w:t>
            </w:r>
          </w:p>
        </w:tc>
        <w:tc>
          <w:tcPr>
            <w:tcW w:w="4734" w:type="dxa"/>
            <w:tcBorders>
              <w:tl2br w:val="nil"/>
              <w:tr2bl w:val="nil"/>
            </w:tcBorders>
            <w:vAlign w:val="center"/>
          </w:tcPr>
          <w:p w14:paraId="19BF315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5"/>
                <w:kern w:val="0"/>
                <w:sz w:val="21"/>
                <w:szCs w:val="21"/>
                <w:lang w:eastAsia="en-US"/>
              </w:rPr>
              <w:t>DN20</w:t>
            </w:r>
          </w:p>
        </w:tc>
        <w:tc>
          <w:tcPr>
            <w:tcW w:w="1103" w:type="dxa"/>
            <w:tcBorders>
              <w:tl2br w:val="nil"/>
              <w:tr2bl w:val="nil"/>
            </w:tcBorders>
            <w:vAlign w:val="center"/>
          </w:tcPr>
          <w:p w14:paraId="56D3CDD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1003" w:type="dxa"/>
            <w:tcBorders>
              <w:tl2br w:val="nil"/>
              <w:tr2bl w:val="nil"/>
            </w:tcBorders>
            <w:vAlign w:val="center"/>
          </w:tcPr>
          <w:p w14:paraId="168D5E2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200</w:t>
            </w:r>
          </w:p>
        </w:tc>
        <w:tc>
          <w:tcPr>
            <w:tcW w:w="1156" w:type="dxa"/>
            <w:tcBorders>
              <w:tl2br w:val="nil"/>
              <w:tr2bl w:val="nil"/>
            </w:tcBorders>
            <w:vAlign w:val="center"/>
          </w:tcPr>
          <w:p w14:paraId="48626B0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946FD1A" w14:textId="77777777">
        <w:trPr>
          <w:trHeight w:val="23"/>
        </w:trPr>
        <w:tc>
          <w:tcPr>
            <w:tcW w:w="921" w:type="dxa"/>
            <w:tcBorders>
              <w:tl2br w:val="nil"/>
              <w:tr2bl w:val="nil"/>
            </w:tcBorders>
            <w:vAlign w:val="center"/>
          </w:tcPr>
          <w:p w14:paraId="42462DE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8.2</w:t>
            </w:r>
          </w:p>
        </w:tc>
        <w:tc>
          <w:tcPr>
            <w:tcW w:w="4734" w:type="dxa"/>
            <w:tcBorders>
              <w:tl2br w:val="nil"/>
              <w:tr2bl w:val="nil"/>
            </w:tcBorders>
            <w:vAlign w:val="center"/>
          </w:tcPr>
          <w:p w14:paraId="195CB17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DN32</w:t>
            </w:r>
          </w:p>
        </w:tc>
        <w:tc>
          <w:tcPr>
            <w:tcW w:w="1103" w:type="dxa"/>
            <w:tcBorders>
              <w:tl2br w:val="nil"/>
              <w:tr2bl w:val="nil"/>
            </w:tcBorders>
            <w:vAlign w:val="center"/>
          </w:tcPr>
          <w:p w14:paraId="1411274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1003" w:type="dxa"/>
            <w:tcBorders>
              <w:tl2br w:val="nil"/>
              <w:tr2bl w:val="nil"/>
            </w:tcBorders>
            <w:vAlign w:val="center"/>
          </w:tcPr>
          <w:p w14:paraId="711DA59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50</w:t>
            </w:r>
          </w:p>
        </w:tc>
        <w:tc>
          <w:tcPr>
            <w:tcW w:w="1156" w:type="dxa"/>
            <w:tcBorders>
              <w:tl2br w:val="nil"/>
              <w:tr2bl w:val="nil"/>
            </w:tcBorders>
            <w:vAlign w:val="center"/>
          </w:tcPr>
          <w:p w14:paraId="19666BE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3CEB7816" w14:textId="77777777">
        <w:trPr>
          <w:trHeight w:val="23"/>
        </w:trPr>
        <w:tc>
          <w:tcPr>
            <w:tcW w:w="921" w:type="dxa"/>
            <w:tcBorders>
              <w:tl2br w:val="nil"/>
              <w:tr2bl w:val="nil"/>
            </w:tcBorders>
            <w:vAlign w:val="center"/>
          </w:tcPr>
          <w:p w14:paraId="0368830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8.3</w:t>
            </w:r>
          </w:p>
        </w:tc>
        <w:tc>
          <w:tcPr>
            <w:tcW w:w="4734" w:type="dxa"/>
            <w:tcBorders>
              <w:tl2br w:val="nil"/>
              <w:tr2bl w:val="nil"/>
            </w:tcBorders>
            <w:vAlign w:val="center"/>
          </w:tcPr>
          <w:p w14:paraId="5B782A7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DN100</w:t>
            </w:r>
          </w:p>
        </w:tc>
        <w:tc>
          <w:tcPr>
            <w:tcW w:w="1103" w:type="dxa"/>
            <w:tcBorders>
              <w:tl2br w:val="nil"/>
              <w:tr2bl w:val="nil"/>
            </w:tcBorders>
            <w:vAlign w:val="center"/>
          </w:tcPr>
          <w:p w14:paraId="2C01FF8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1003" w:type="dxa"/>
            <w:tcBorders>
              <w:tl2br w:val="nil"/>
              <w:tr2bl w:val="nil"/>
            </w:tcBorders>
            <w:vAlign w:val="center"/>
          </w:tcPr>
          <w:p w14:paraId="63B4D84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30</w:t>
            </w:r>
          </w:p>
        </w:tc>
        <w:tc>
          <w:tcPr>
            <w:tcW w:w="1156" w:type="dxa"/>
            <w:tcBorders>
              <w:tl2br w:val="nil"/>
              <w:tr2bl w:val="nil"/>
            </w:tcBorders>
            <w:vAlign w:val="center"/>
          </w:tcPr>
          <w:p w14:paraId="2BD8F2E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631C218" w14:textId="77777777">
        <w:trPr>
          <w:trHeight w:val="23"/>
        </w:trPr>
        <w:tc>
          <w:tcPr>
            <w:tcW w:w="921" w:type="dxa"/>
            <w:tcBorders>
              <w:tl2br w:val="nil"/>
              <w:tr2bl w:val="nil"/>
            </w:tcBorders>
            <w:vAlign w:val="center"/>
          </w:tcPr>
          <w:p w14:paraId="306ABA9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w:t>
            </w:r>
          </w:p>
        </w:tc>
        <w:tc>
          <w:tcPr>
            <w:tcW w:w="4734" w:type="dxa"/>
            <w:tcBorders>
              <w:tl2br w:val="nil"/>
              <w:tr2bl w:val="nil"/>
            </w:tcBorders>
            <w:vAlign w:val="center"/>
          </w:tcPr>
          <w:p w14:paraId="0985CB9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仪表电缆</w:t>
            </w:r>
          </w:p>
        </w:tc>
        <w:tc>
          <w:tcPr>
            <w:tcW w:w="1103" w:type="dxa"/>
            <w:tcBorders>
              <w:tl2br w:val="nil"/>
              <w:tr2bl w:val="nil"/>
            </w:tcBorders>
            <w:vAlign w:val="center"/>
          </w:tcPr>
          <w:p w14:paraId="6CE110D0"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8"/>
                <w:kern w:val="0"/>
                <w:sz w:val="21"/>
                <w:szCs w:val="21"/>
                <w:lang w:eastAsia="en-US"/>
              </w:rPr>
              <w:t>km</w:t>
            </w:r>
          </w:p>
        </w:tc>
        <w:tc>
          <w:tcPr>
            <w:tcW w:w="1003" w:type="dxa"/>
            <w:tcBorders>
              <w:tl2br w:val="nil"/>
              <w:tr2bl w:val="nil"/>
            </w:tcBorders>
            <w:vAlign w:val="center"/>
          </w:tcPr>
          <w:p w14:paraId="114EE00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w:t>
            </w:r>
          </w:p>
        </w:tc>
        <w:tc>
          <w:tcPr>
            <w:tcW w:w="1156" w:type="dxa"/>
            <w:tcBorders>
              <w:tl2br w:val="nil"/>
              <w:tr2bl w:val="nil"/>
            </w:tcBorders>
            <w:vAlign w:val="center"/>
          </w:tcPr>
          <w:p w14:paraId="19F5CFC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D14066A" w14:textId="77777777">
        <w:trPr>
          <w:trHeight w:val="23"/>
        </w:trPr>
        <w:tc>
          <w:tcPr>
            <w:tcW w:w="921" w:type="dxa"/>
            <w:tcBorders>
              <w:tl2br w:val="nil"/>
              <w:tr2bl w:val="nil"/>
            </w:tcBorders>
            <w:vAlign w:val="center"/>
          </w:tcPr>
          <w:p w14:paraId="3DEFC5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10</w:t>
            </w:r>
          </w:p>
        </w:tc>
        <w:tc>
          <w:tcPr>
            <w:tcW w:w="4734" w:type="dxa"/>
            <w:tcBorders>
              <w:tl2br w:val="nil"/>
              <w:tr2bl w:val="nil"/>
            </w:tcBorders>
            <w:vAlign w:val="center"/>
          </w:tcPr>
          <w:p w14:paraId="3270BF6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站控系统（</w:t>
            </w:r>
            <w:r>
              <w:rPr>
                <w:snapToGrid w:val="0"/>
                <w:color w:val="000000" w:themeColor="text1"/>
                <w:spacing w:val="-2"/>
                <w:kern w:val="0"/>
                <w:sz w:val="21"/>
                <w:szCs w:val="21"/>
                <w:lang w:eastAsia="en-US"/>
              </w:rPr>
              <w:t>PCS&amp;ESD</w:t>
            </w:r>
            <w:r>
              <w:rPr>
                <w:snapToGrid w:val="0"/>
                <w:color w:val="000000" w:themeColor="text1"/>
                <w:spacing w:val="-2"/>
                <w:kern w:val="0"/>
                <w:sz w:val="21"/>
                <w:szCs w:val="21"/>
                <w:lang w:eastAsia="en-US"/>
              </w:rPr>
              <w:t>）扩容（</w:t>
            </w:r>
            <w:r>
              <w:rPr>
                <w:snapToGrid w:val="0"/>
                <w:color w:val="000000" w:themeColor="text1"/>
                <w:spacing w:val="-2"/>
                <w:kern w:val="0"/>
                <w:sz w:val="21"/>
                <w:szCs w:val="21"/>
                <w:lang w:eastAsia="en-US"/>
              </w:rPr>
              <w:t>40</w:t>
            </w:r>
            <w:r>
              <w:rPr>
                <w:snapToGrid w:val="0"/>
                <w:color w:val="000000" w:themeColor="text1"/>
                <w:spacing w:val="-2"/>
                <w:kern w:val="0"/>
                <w:sz w:val="21"/>
                <w:szCs w:val="21"/>
                <w:lang w:eastAsia="en-US"/>
              </w:rPr>
              <w:t>点）</w:t>
            </w:r>
          </w:p>
        </w:tc>
        <w:tc>
          <w:tcPr>
            <w:tcW w:w="1103" w:type="dxa"/>
            <w:tcBorders>
              <w:tl2br w:val="nil"/>
              <w:tr2bl w:val="nil"/>
            </w:tcBorders>
            <w:vAlign w:val="center"/>
          </w:tcPr>
          <w:p w14:paraId="2A6B1D7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1003" w:type="dxa"/>
            <w:tcBorders>
              <w:tl2br w:val="nil"/>
              <w:tr2bl w:val="nil"/>
            </w:tcBorders>
            <w:vAlign w:val="center"/>
          </w:tcPr>
          <w:p w14:paraId="6A55682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1156" w:type="dxa"/>
            <w:tcBorders>
              <w:tl2br w:val="nil"/>
              <w:tr2bl w:val="nil"/>
            </w:tcBorders>
            <w:vAlign w:val="center"/>
          </w:tcPr>
          <w:p w14:paraId="69892317"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6488910" w14:textId="77777777">
        <w:trPr>
          <w:trHeight w:val="23"/>
        </w:trPr>
        <w:tc>
          <w:tcPr>
            <w:tcW w:w="921" w:type="dxa"/>
            <w:tcBorders>
              <w:tl2br w:val="nil"/>
              <w:tr2bl w:val="nil"/>
            </w:tcBorders>
            <w:vAlign w:val="center"/>
          </w:tcPr>
          <w:p w14:paraId="1447014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10.1</w:t>
            </w:r>
          </w:p>
        </w:tc>
        <w:tc>
          <w:tcPr>
            <w:tcW w:w="4734" w:type="dxa"/>
            <w:tcBorders>
              <w:tl2br w:val="nil"/>
              <w:tr2bl w:val="nil"/>
            </w:tcBorders>
            <w:vAlign w:val="center"/>
          </w:tcPr>
          <w:p w14:paraId="0308C26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3"/>
                <w:kern w:val="0"/>
                <w:sz w:val="21"/>
                <w:szCs w:val="21"/>
                <w:lang w:eastAsia="en-US"/>
              </w:rPr>
              <w:t>调控中心扩容（</w:t>
            </w:r>
            <w:r>
              <w:rPr>
                <w:snapToGrid w:val="0"/>
                <w:color w:val="000000" w:themeColor="text1"/>
                <w:spacing w:val="-3"/>
                <w:kern w:val="0"/>
                <w:sz w:val="21"/>
                <w:szCs w:val="21"/>
                <w:lang w:eastAsia="en-US"/>
              </w:rPr>
              <w:t>40</w:t>
            </w:r>
            <w:r>
              <w:rPr>
                <w:snapToGrid w:val="0"/>
                <w:color w:val="000000" w:themeColor="text1"/>
                <w:spacing w:val="-3"/>
                <w:kern w:val="0"/>
                <w:sz w:val="21"/>
                <w:szCs w:val="21"/>
                <w:lang w:eastAsia="en-US"/>
              </w:rPr>
              <w:t>点）</w:t>
            </w:r>
          </w:p>
        </w:tc>
        <w:tc>
          <w:tcPr>
            <w:tcW w:w="1103" w:type="dxa"/>
            <w:tcBorders>
              <w:tl2br w:val="nil"/>
              <w:tr2bl w:val="nil"/>
            </w:tcBorders>
            <w:vAlign w:val="center"/>
          </w:tcPr>
          <w:p w14:paraId="0217D44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1003" w:type="dxa"/>
            <w:tcBorders>
              <w:tl2br w:val="nil"/>
              <w:tr2bl w:val="nil"/>
            </w:tcBorders>
            <w:vAlign w:val="center"/>
          </w:tcPr>
          <w:p w14:paraId="6738356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1156" w:type="dxa"/>
            <w:tcBorders>
              <w:tl2br w:val="nil"/>
              <w:tr2bl w:val="nil"/>
            </w:tcBorders>
            <w:vAlign w:val="center"/>
          </w:tcPr>
          <w:p w14:paraId="7264F64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3A133C3" w14:textId="77777777">
        <w:trPr>
          <w:trHeight w:val="23"/>
        </w:trPr>
        <w:tc>
          <w:tcPr>
            <w:tcW w:w="921" w:type="dxa"/>
            <w:tcBorders>
              <w:tl2br w:val="nil"/>
              <w:tr2bl w:val="nil"/>
            </w:tcBorders>
            <w:vAlign w:val="center"/>
          </w:tcPr>
          <w:p w14:paraId="47BEF61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10.2</w:t>
            </w:r>
          </w:p>
        </w:tc>
        <w:tc>
          <w:tcPr>
            <w:tcW w:w="4734" w:type="dxa"/>
            <w:tcBorders>
              <w:tl2br w:val="nil"/>
              <w:tr2bl w:val="nil"/>
            </w:tcBorders>
            <w:vAlign w:val="center"/>
          </w:tcPr>
          <w:p w14:paraId="03F4A56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2"/>
                <w:kern w:val="0"/>
                <w:sz w:val="21"/>
                <w:szCs w:val="21"/>
                <w:lang w:eastAsia="en-US"/>
              </w:rPr>
              <w:t>涪陵页岩气指挥中心扩容（</w:t>
            </w:r>
            <w:r>
              <w:rPr>
                <w:snapToGrid w:val="0"/>
                <w:color w:val="000000" w:themeColor="text1"/>
                <w:spacing w:val="-2"/>
                <w:kern w:val="0"/>
                <w:sz w:val="21"/>
                <w:szCs w:val="21"/>
                <w:lang w:eastAsia="en-US"/>
              </w:rPr>
              <w:t>40</w:t>
            </w:r>
            <w:r>
              <w:rPr>
                <w:snapToGrid w:val="0"/>
                <w:color w:val="000000" w:themeColor="text1"/>
                <w:spacing w:val="-2"/>
                <w:kern w:val="0"/>
                <w:sz w:val="21"/>
                <w:szCs w:val="21"/>
                <w:lang w:eastAsia="en-US"/>
              </w:rPr>
              <w:t>点）</w:t>
            </w:r>
          </w:p>
        </w:tc>
        <w:tc>
          <w:tcPr>
            <w:tcW w:w="1103" w:type="dxa"/>
            <w:tcBorders>
              <w:tl2br w:val="nil"/>
              <w:tr2bl w:val="nil"/>
            </w:tcBorders>
            <w:vAlign w:val="center"/>
          </w:tcPr>
          <w:p w14:paraId="5B7B403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1003" w:type="dxa"/>
            <w:tcBorders>
              <w:tl2br w:val="nil"/>
              <w:tr2bl w:val="nil"/>
            </w:tcBorders>
            <w:vAlign w:val="center"/>
          </w:tcPr>
          <w:p w14:paraId="225B038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1156" w:type="dxa"/>
            <w:tcBorders>
              <w:tl2br w:val="nil"/>
              <w:tr2bl w:val="nil"/>
            </w:tcBorders>
            <w:vAlign w:val="center"/>
          </w:tcPr>
          <w:p w14:paraId="18A3167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015A54F1" w14:textId="77777777">
        <w:trPr>
          <w:trHeight w:val="23"/>
        </w:trPr>
        <w:tc>
          <w:tcPr>
            <w:tcW w:w="921" w:type="dxa"/>
            <w:tcBorders>
              <w:tl2br w:val="nil"/>
              <w:tr2bl w:val="nil"/>
            </w:tcBorders>
            <w:vAlign w:val="center"/>
          </w:tcPr>
          <w:p w14:paraId="1A4B8E9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2"/>
                <w:kern w:val="0"/>
                <w:sz w:val="21"/>
                <w:szCs w:val="21"/>
                <w:lang w:eastAsia="en-US"/>
              </w:rPr>
              <w:t>11</w:t>
            </w:r>
          </w:p>
        </w:tc>
        <w:tc>
          <w:tcPr>
            <w:tcW w:w="4734" w:type="dxa"/>
            <w:tcBorders>
              <w:tl2br w:val="nil"/>
              <w:tr2bl w:val="nil"/>
            </w:tcBorders>
            <w:vAlign w:val="center"/>
          </w:tcPr>
          <w:p w14:paraId="5FAA0D0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1"/>
                <w:kern w:val="0"/>
                <w:sz w:val="21"/>
                <w:szCs w:val="21"/>
                <w:lang w:eastAsia="en-US"/>
              </w:rPr>
              <w:t>混凝土开挖恢复（</w:t>
            </w:r>
            <w:r>
              <w:rPr>
                <w:snapToGrid w:val="0"/>
                <w:color w:val="000000" w:themeColor="text1"/>
                <w:spacing w:val="-1"/>
                <w:kern w:val="0"/>
                <w:sz w:val="21"/>
                <w:szCs w:val="21"/>
                <w:lang w:eastAsia="en-US"/>
              </w:rPr>
              <w:t>0.7mX0.5m</w:t>
            </w:r>
            <w:r>
              <w:rPr>
                <w:snapToGrid w:val="0"/>
                <w:color w:val="000000" w:themeColor="text1"/>
                <w:spacing w:val="-1"/>
                <w:kern w:val="0"/>
                <w:sz w:val="21"/>
                <w:szCs w:val="21"/>
                <w:lang w:eastAsia="en-US"/>
              </w:rPr>
              <w:t>）</w:t>
            </w:r>
          </w:p>
        </w:tc>
        <w:tc>
          <w:tcPr>
            <w:tcW w:w="1103" w:type="dxa"/>
            <w:tcBorders>
              <w:tl2br w:val="nil"/>
              <w:tr2bl w:val="nil"/>
            </w:tcBorders>
            <w:vAlign w:val="center"/>
          </w:tcPr>
          <w:p w14:paraId="19C274A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1003" w:type="dxa"/>
            <w:tcBorders>
              <w:tl2br w:val="nil"/>
              <w:tr2bl w:val="nil"/>
            </w:tcBorders>
            <w:vAlign w:val="center"/>
          </w:tcPr>
          <w:p w14:paraId="5402CDF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spacing w:val="-4"/>
                <w:kern w:val="0"/>
                <w:sz w:val="21"/>
                <w:szCs w:val="21"/>
                <w:lang w:eastAsia="en-US"/>
              </w:rPr>
              <w:t>200</w:t>
            </w:r>
          </w:p>
        </w:tc>
        <w:tc>
          <w:tcPr>
            <w:tcW w:w="1156" w:type="dxa"/>
            <w:tcBorders>
              <w:tl2br w:val="nil"/>
              <w:tr2bl w:val="nil"/>
            </w:tcBorders>
            <w:vAlign w:val="center"/>
          </w:tcPr>
          <w:p w14:paraId="0AA5452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01795362"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通信及监控</w:t>
      </w:r>
    </w:p>
    <w:p w14:paraId="26808210"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rFonts w:hint="eastAsia"/>
          <w:color w:val="000000" w:themeColor="text1"/>
          <w:kern w:val="0"/>
          <w:sz w:val="24"/>
          <w:szCs w:val="24"/>
        </w:rPr>
        <w:t>、</w:t>
      </w:r>
      <w:r>
        <w:rPr>
          <w:color w:val="000000" w:themeColor="text1"/>
          <w:kern w:val="0"/>
          <w:sz w:val="24"/>
          <w:szCs w:val="24"/>
          <w:lang w:eastAsia="en-US"/>
        </w:rPr>
        <w:t>工程概况</w:t>
      </w:r>
    </w:p>
    <w:p w14:paraId="2B0A6C4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涪陵页岩气田江东区块焦页</w:t>
      </w:r>
      <w:r>
        <w:rPr>
          <w:color w:val="000000" w:themeColor="text1"/>
          <w:kern w:val="0"/>
          <w:sz w:val="24"/>
          <w:szCs w:val="24"/>
          <w:lang w:eastAsia="en-US"/>
        </w:rPr>
        <w:t>90</w:t>
      </w:r>
      <w:r>
        <w:rPr>
          <w:color w:val="000000" w:themeColor="text1"/>
          <w:kern w:val="0"/>
          <w:sz w:val="24"/>
          <w:szCs w:val="24"/>
          <w:lang w:eastAsia="en-US"/>
        </w:rPr>
        <w:t>号评价井组方案通信系统恢复包含</w:t>
      </w:r>
      <w:r>
        <w:rPr>
          <w:color w:val="000000" w:themeColor="text1"/>
          <w:kern w:val="0"/>
          <w:sz w:val="24"/>
          <w:szCs w:val="24"/>
          <w:lang w:eastAsia="en-US"/>
        </w:rPr>
        <w:t>90</w:t>
      </w:r>
      <w:r>
        <w:rPr>
          <w:color w:val="000000" w:themeColor="text1"/>
          <w:kern w:val="0"/>
          <w:sz w:val="24"/>
          <w:szCs w:val="24"/>
          <w:lang w:eastAsia="en-US"/>
        </w:rPr>
        <w:t>号扩</w:t>
      </w:r>
      <w:r>
        <w:rPr>
          <w:color w:val="000000" w:themeColor="text1"/>
          <w:kern w:val="0"/>
          <w:sz w:val="24"/>
          <w:szCs w:val="24"/>
          <w:lang w:eastAsia="en-US"/>
        </w:rPr>
        <w:t>1</w:t>
      </w:r>
      <w:r>
        <w:rPr>
          <w:color w:val="000000" w:themeColor="text1"/>
          <w:kern w:val="0"/>
          <w:sz w:val="24"/>
          <w:szCs w:val="24"/>
          <w:lang w:eastAsia="en-US"/>
        </w:rPr>
        <w:t>个平台，因扩井需要拆除部分围栏和部分原有通信设施，为此，需要恢复工业电视监控系统设计、</w:t>
      </w:r>
      <w:r>
        <w:rPr>
          <w:color w:val="000000" w:themeColor="text1"/>
          <w:kern w:val="0"/>
          <w:sz w:val="24"/>
          <w:szCs w:val="24"/>
          <w:lang w:eastAsia="en-US"/>
        </w:rPr>
        <w:lastRenderedPageBreak/>
        <w:t>语音对讲及应急广播系统、门禁系统。</w:t>
      </w:r>
    </w:p>
    <w:p w14:paraId="49E89D6C"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技术方案</w:t>
      </w:r>
    </w:p>
    <w:p w14:paraId="7BEC0E36"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1</w:t>
      </w:r>
      <w:r>
        <w:rPr>
          <w:color w:val="000000" w:themeColor="text1"/>
          <w:kern w:val="0"/>
          <w:sz w:val="24"/>
          <w:szCs w:val="24"/>
          <w:lang w:eastAsia="en-US"/>
        </w:rPr>
        <w:t>）工业电视监控系统设计</w:t>
      </w:r>
    </w:p>
    <w:p w14:paraId="29EA2B33"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因平台扩井需要拆除部分围栏及现场摄像头，为此扩建平台需恢复工业电视监控系统，对扩建平台工艺装置区域、大门口、围墙四周和重要设备的运行情况进行监视，以预防意外闯入和及时发现险情给予报警及火灾确认等。焦页</w:t>
      </w:r>
      <w:r>
        <w:rPr>
          <w:color w:val="000000" w:themeColor="text1"/>
          <w:kern w:val="0"/>
          <w:sz w:val="24"/>
          <w:szCs w:val="24"/>
          <w:lang w:eastAsia="en-US"/>
        </w:rPr>
        <w:t>90</w:t>
      </w:r>
      <w:r>
        <w:rPr>
          <w:color w:val="000000" w:themeColor="text1"/>
          <w:kern w:val="0"/>
          <w:sz w:val="24"/>
          <w:szCs w:val="24"/>
          <w:lang w:eastAsia="en-US"/>
        </w:rPr>
        <w:t>号站场内恢复室外摄像机</w:t>
      </w:r>
      <w:r>
        <w:rPr>
          <w:color w:val="000000" w:themeColor="text1"/>
          <w:kern w:val="0"/>
          <w:sz w:val="24"/>
          <w:szCs w:val="24"/>
          <w:lang w:eastAsia="en-US"/>
        </w:rPr>
        <w:t>3</w:t>
      </w:r>
      <w:r>
        <w:rPr>
          <w:color w:val="000000" w:themeColor="text1"/>
          <w:kern w:val="0"/>
          <w:sz w:val="24"/>
          <w:szCs w:val="24"/>
          <w:lang w:eastAsia="en-US"/>
        </w:rPr>
        <w:t>台；</w:t>
      </w:r>
    </w:p>
    <w:p w14:paraId="1788077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2</w:t>
      </w:r>
      <w:r>
        <w:rPr>
          <w:color w:val="000000" w:themeColor="text1"/>
          <w:kern w:val="0"/>
          <w:sz w:val="24"/>
          <w:szCs w:val="24"/>
          <w:lang w:eastAsia="en-US"/>
        </w:rPr>
        <w:t>）语音对讲及应急广播系统；</w:t>
      </w:r>
    </w:p>
    <w:p w14:paraId="58941695"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本工程语音对讲及应急广播系统，主要对平台原有语音对讲及应急广播系统进行恢复，实现平台与调控中心双向通话和远程语音告警。</w:t>
      </w:r>
    </w:p>
    <w:p w14:paraId="4433399B"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3</w:t>
      </w:r>
      <w:r>
        <w:rPr>
          <w:color w:val="000000" w:themeColor="text1"/>
          <w:kern w:val="0"/>
          <w:sz w:val="24"/>
          <w:szCs w:val="24"/>
          <w:lang w:eastAsia="en-US"/>
        </w:rPr>
        <w:t>）门禁系统；</w:t>
      </w:r>
    </w:p>
    <w:p w14:paraId="7C35C33A"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本工程门禁系统主要对平台原有门禁系统进行恢复，通过平台工业以太网光纤传输系统上传至调控中心的门禁系统管理工作站，实现远程控制。</w:t>
      </w:r>
    </w:p>
    <w:p w14:paraId="358F72B2"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w:t>
      </w:r>
      <w:r>
        <w:rPr>
          <w:color w:val="000000" w:themeColor="text1"/>
          <w:kern w:val="0"/>
          <w:sz w:val="24"/>
          <w:szCs w:val="24"/>
          <w:lang w:eastAsia="en-US"/>
        </w:rPr>
        <w:t>4</w:t>
      </w:r>
      <w:r>
        <w:rPr>
          <w:color w:val="000000" w:themeColor="text1"/>
          <w:kern w:val="0"/>
          <w:sz w:val="24"/>
          <w:szCs w:val="24"/>
          <w:lang w:eastAsia="en-US"/>
        </w:rPr>
        <w:t>）通信电源系统及接地的设计</w:t>
      </w:r>
    </w:p>
    <w:p w14:paraId="5B2FDC6C"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本次通信系统采用联合接地，接地电阻不大于</w:t>
      </w:r>
      <w:r>
        <w:rPr>
          <w:color w:val="000000" w:themeColor="text1"/>
          <w:kern w:val="0"/>
          <w:sz w:val="24"/>
          <w:szCs w:val="24"/>
          <w:lang w:eastAsia="en-US"/>
        </w:rPr>
        <w:t>4</w:t>
      </w:r>
      <w:r>
        <w:rPr>
          <w:color w:val="000000" w:themeColor="text1"/>
          <w:kern w:val="0"/>
          <w:sz w:val="24"/>
          <w:szCs w:val="24"/>
          <w:lang w:eastAsia="en-US"/>
        </w:rPr>
        <w:t>欧姆；室外摄像机防雷接地电阻不大于</w:t>
      </w:r>
      <w:r>
        <w:rPr>
          <w:color w:val="000000" w:themeColor="text1"/>
          <w:kern w:val="0"/>
          <w:sz w:val="24"/>
          <w:szCs w:val="24"/>
          <w:lang w:eastAsia="en-US"/>
        </w:rPr>
        <w:t>4</w:t>
      </w:r>
      <w:r>
        <w:rPr>
          <w:color w:val="000000" w:themeColor="text1"/>
          <w:kern w:val="0"/>
          <w:sz w:val="24"/>
          <w:szCs w:val="24"/>
          <w:lang w:eastAsia="en-US"/>
        </w:rPr>
        <w:t>欧姆。电源系统及接地（含室外摄像机接地）就近接入联合接地网，联合接地网由电气专业统一设计。</w:t>
      </w:r>
    </w:p>
    <w:p w14:paraId="5627F932" w14:textId="77777777" w:rsidR="002E0859" w:rsidRDefault="00000000">
      <w:pPr>
        <w:kinsoku w:val="0"/>
        <w:autoSpaceDE w:val="0"/>
        <w:autoSpaceDN w:val="0"/>
        <w:spacing w:afterLines="50" w:after="120" w:line="240" w:lineRule="auto"/>
        <w:ind w:firstLine="480"/>
        <w:textAlignment w:val="baseline"/>
        <w:rPr>
          <w:color w:val="000000" w:themeColor="text1"/>
          <w:kern w:val="0"/>
          <w:sz w:val="24"/>
          <w:szCs w:val="24"/>
          <w:lang w:eastAsia="en-US"/>
        </w:rPr>
      </w:pPr>
      <w:r>
        <w:rPr>
          <w:rFonts w:hint="eastAsia"/>
          <w:color w:val="000000" w:themeColor="text1"/>
          <w:kern w:val="0"/>
          <w:sz w:val="24"/>
          <w:szCs w:val="24"/>
        </w:rPr>
        <w:t>3</w:t>
      </w:r>
      <w:r>
        <w:rPr>
          <w:rFonts w:hint="eastAsia"/>
          <w:color w:val="000000" w:themeColor="text1"/>
          <w:kern w:val="0"/>
          <w:sz w:val="24"/>
          <w:szCs w:val="24"/>
        </w:rPr>
        <w:t>、</w:t>
      </w:r>
      <w:r>
        <w:rPr>
          <w:color w:val="000000" w:themeColor="text1"/>
          <w:kern w:val="0"/>
          <w:sz w:val="24"/>
          <w:szCs w:val="24"/>
          <w:lang w:eastAsia="en-US"/>
        </w:rPr>
        <w:t>主要工程量</w:t>
      </w:r>
    </w:p>
    <w:p w14:paraId="568FC476"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通信系统工程建设的主要工程量见表</w:t>
      </w:r>
      <w:r>
        <w:rPr>
          <w:rFonts w:hint="eastAsia"/>
          <w:color w:val="000000" w:themeColor="text1"/>
          <w:kern w:val="0"/>
          <w:sz w:val="24"/>
          <w:szCs w:val="24"/>
        </w:rPr>
        <w:t>2.8-6</w:t>
      </w:r>
      <w:r>
        <w:rPr>
          <w:color w:val="000000" w:themeColor="text1"/>
          <w:kern w:val="0"/>
          <w:sz w:val="24"/>
          <w:szCs w:val="24"/>
          <w:lang w:eastAsia="en-US"/>
        </w:rPr>
        <w:t>。</w:t>
      </w:r>
    </w:p>
    <w:p w14:paraId="6470BFC7"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2.8-6 </w:t>
      </w:r>
      <w:r>
        <w:rPr>
          <w:rFonts w:eastAsia="黑体"/>
          <w:color w:val="000000" w:themeColor="text1"/>
          <w:sz w:val="21"/>
          <w:szCs w:val="21"/>
          <w:lang w:eastAsia="en-US"/>
        </w:rPr>
        <w:t>通信系统工程工程量表</w:t>
      </w:r>
    </w:p>
    <w:tbl>
      <w:tblPr>
        <w:tblStyle w:val="TableNormal"/>
        <w:tblW w:w="5014"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882"/>
        <w:gridCol w:w="5087"/>
        <w:gridCol w:w="1047"/>
        <w:gridCol w:w="1037"/>
        <w:gridCol w:w="1127"/>
      </w:tblGrid>
      <w:tr w:rsidR="002E0859" w14:paraId="7ECD9616" w14:textId="77777777">
        <w:trPr>
          <w:trHeight w:val="23"/>
          <w:tblHeader/>
          <w:jc w:val="center"/>
        </w:trPr>
        <w:tc>
          <w:tcPr>
            <w:tcW w:w="480" w:type="pct"/>
            <w:tcBorders>
              <w:tl2br w:val="nil"/>
              <w:tr2bl w:val="nil"/>
            </w:tcBorders>
            <w:vAlign w:val="center"/>
          </w:tcPr>
          <w:p w14:paraId="547A181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序号</w:t>
            </w:r>
          </w:p>
        </w:tc>
        <w:tc>
          <w:tcPr>
            <w:tcW w:w="2768" w:type="pct"/>
            <w:tcBorders>
              <w:tl2br w:val="nil"/>
              <w:tr2bl w:val="nil"/>
            </w:tcBorders>
            <w:vAlign w:val="center"/>
          </w:tcPr>
          <w:p w14:paraId="6AFC4D8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名称及规格</w:t>
            </w:r>
          </w:p>
        </w:tc>
        <w:tc>
          <w:tcPr>
            <w:tcW w:w="570" w:type="pct"/>
            <w:tcBorders>
              <w:tl2br w:val="nil"/>
              <w:tr2bl w:val="nil"/>
            </w:tcBorders>
            <w:vAlign w:val="center"/>
          </w:tcPr>
          <w:p w14:paraId="6C362B7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单位</w:t>
            </w:r>
          </w:p>
        </w:tc>
        <w:tc>
          <w:tcPr>
            <w:tcW w:w="565" w:type="pct"/>
            <w:tcBorders>
              <w:tl2br w:val="nil"/>
              <w:tr2bl w:val="nil"/>
            </w:tcBorders>
            <w:vAlign w:val="center"/>
          </w:tcPr>
          <w:p w14:paraId="752DAFA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数量</w:t>
            </w:r>
          </w:p>
        </w:tc>
        <w:tc>
          <w:tcPr>
            <w:tcW w:w="614" w:type="pct"/>
            <w:tcBorders>
              <w:tl2br w:val="nil"/>
              <w:tr2bl w:val="nil"/>
            </w:tcBorders>
            <w:vAlign w:val="center"/>
          </w:tcPr>
          <w:p w14:paraId="74B92BA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备注</w:t>
            </w:r>
          </w:p>
        </w:tc>
      </w:tr>
      <w:tr w:rsidR="002E0859" w14:paraId="6A54F47C" w14:textId="77777777">
        <w:trPr>
          <w:trHeight w:val="23"/>
          <w:jc w:val="center"/>
        </w:trPr>
        <w:tc>
          <w:tcPr>
            <w:tcW w:w="480" w:type="pct"/>
            <w:tcBorders>
              <w:tl2br w:val="nil"/>
              <w:tr2bl w:val="nil"/>
            </w:tcBorders>
            <w:vAlign w:val="center"/>
          </w:tcPr>
          <w:p w14:paraId="3003CF2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一</w:t>
            </w:r>
          </w:p>
        </w:tc>
        <w:tc>
          <w:tcPr>
            <w:tcW w:w="2768" w:type="pct"/>
            <w:tcBorders>
              <w:tl2br w:val="nil"/>
              <w:tr2bl w:val="nil"/>
            </w:tcBorders>
            <w:vAlign w:val="center"/>
          </w:tcPr>
          <w:p w14:paraId="1D2E696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焦页</w:t>
            </w:r>
            <w:r>
              <w:rPr>
                <w:snapToGrid w:val="0"/>
                <w:color w:val="000000" w:themeColor="text1"/>
                <w:kern w:val="0"/>
                <w:sz w:val="21"/>
                <w:szCs w:val="21"/>
                <w:lang w:eastAsia="en-US"/>
              </w:rPr>
              <w:t>90</w:t>
            </w:r>
            <w:r>
              <w:rPr>
                <w:snapToGrid w:val="0"/>
                <w:color w:val="000000" w:themeColor="text1"/>
                <w:kern w:val="0"/>
                <w:sz w:val="21"/>
                <w:szCs w:val="21"/>
                <w:lang w:eastAsia="en-US"/>
              </w:rPr>
              <w:t>号平台</w:t>
            </w:r>
          </w:p>
        </w:tc>
        <w:tc>
          <w:tcPr>
            <w:tcW w:w="570" w:type="pct"/>
            <w:tcBorders>
              <w:tl2br w:val="nil"/>
              <w:tr2bl w:val="nil"/>
            </w:tcBorders>
            <w:vAlign w:val="center"/>
          </w:tcPr>
          <w:p w14:paraId="188D64C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65" w:type="pct"/>
            <w:tcBorders>
              <w:tl2br w:val="nil"/>
              <w:tr2bl w:val="nil"/>
            </w:tcBorders>
            <w:vAlign w:val="center"/>
          </w:tcPr>
          <w:p w14:paraId="036055D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614" w:type="pct"/>
            <w:tcBorders>
              <w:tl2br w:val="nil"/>
              <w:tr2bl w:val="nil"/>
            </w:tcBorders>
            <w:vAlign w:val="center"/>
          </w:tcPr>
          <w:p w14:paraId="21CA561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67C7287" w14:textId="77777777">
        <w:trPr>
          <w:trHeight w:val="23"/>
          <w:jc w:val="center"/>
        </w:trPr>
        <w:tc>
          <w:tcPr>
            <w:tcW w:w="480" w:type="pct"/>
            <w:tcBorders>
              <w:tl2br w:val="nil"/>
              <w:tr2bl w:val="nil"/>
            </w:tcBorders>
            <w:vAlign w:val="center"/>
          </w:tcPr>
          <w:p w14:paraId="5834343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w:t>
            </w:r>
            <w:r>
              <w:rPr>
                <w:rFonts w:hint="eastAsia"/>
                <w:snapToGrid w:val="0"/>
                <w:color w:val="000000" w:themeColor="text1"/>
                <w:kern w:val="0"/>
                <w:sz w:val="21"/>
                <w:szCs w:val="21"/>
              </w:rPr>
              <w:t>1</w:t>
            </w:r>
            <w:r>
              <w:rPr>
                <w:rFonts w:hint="eastAsia"/>
                <w:snapToGrid w:val="0"/>
                <w:color w:val="000000" w:themeColor="text1"/>
                <w:kern w:val="0"/>
                <w:sz w:val="21"/>
                <w:szCs w:val="21"/>
              </w:rPr>
              <w:t>）</w:t>
            </w:r>
          </w:p>
        </w:tc>
        <w:tc>
          <w:tcPr>
            <w:tcW w:w="2768" w:type="pct"/>
            <w:tcBorders>
              <w:tl2br w:val="nil"/>
              <w:tr2bl w:val="nil"/>
            </w:tcBorders>
            <w:vAlign w:val="center"/>
          </w:tcPr>
          <w:p w14:paraId="65C4869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工业电视监控系统</w:t>
            </w:r>
          </w:p>
        </w:tc>
        <w:tc>
          <w:tcPr>
            <w:tcW w:w="570" w:type="pct"/>
            <w:tcBorders>
              <w:tl2br w:val="nil"/>
              <w:tr2bl w:val="nil"/>
            </w:tcBorders>
            <w:vAlign w:val="center"/>
          </w:tcPr>
          <w:p w14:paraId="3F6C097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65" w:type="pct"/>
            <w:tcBorders>
              <w:tl2br w:val="nil"/>
              <w:tr2bl w:val="nil"/>
            </w:tcBorders>
            <w:vAlign w:val="center"/>
          </w:tcPr>
          <w:p w14:paraId="2EB35C4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614" w:type="pct"/>
            <w:tcBorders>
              <w:tl2br w:val="nil"/>
              <w:tr2bl w:val="nil"/>
            </w:tcBorders>
            <w:vAlign w:val="center"/>
          </w:tcPr>
          <w:p w14:paraId="31E76E3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C35D158" w14:textId="77777777">
        <w:trPr>
          <w:trHeight w:val="23"/>
          <w:jc w:val="center"/>
        </w:trPr>
        <w:tc>
          <w:tcPr>
            <w:tcW w:w="480" w:type="pct"/>
            <w:tcBorders>
              <w:tl2br w:val="nil"/>
              <w:tr2bl w:val="nil"/>
            </w:tcBorders>
            <w:vAlign w:val="center"/>
          </w:tcPr>
          <w:p w14:paraId="3F42552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768" w:type="pct"/>
            <w:tcBorders>
              <w:tl2br w:val="nil"/>
              <w:tr2bl w:val="nil"/>
            </w:tcBorders>
            <w:vAlign w:val="center"/>
          </w:tcPr>
          <w:p w14:paraId="6EC95DC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监控杆地笼</w:t>
            </w:r>
          </w:p>
        </w:tc>
        <w:tc>
          <w:tcPr>
            <w:tcW w:w="570" w:type="pct"/>
            <w:tcBorders>
              <w:tl2br w:val="nil"/>
              <w:tr2bl w:val="nil"/>
            </w:tcBorders>
            <w:vAlign w:val="center"/>
          </w:tcPr>
          <w:p w14:paraId="3E20A13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565" w:type="pct"/>
            <w:tcBorders>
              <w:tl2br w:val="nil"/>
              <w:tr2bl w:val="nil"/>
            </w:tcBorders>
            <w:vAlign w:val="center"/>
          </w:tcPr>
          <w:p w14:paraId="04D5C51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614" w:type="pct"/>
            <w:tcBorders>
              <w:tl2br w:val="nil"/>
              <w:tr2bl w:val="nil"/>
            </w:tcBorders>
            <w:vAlign w:val="center"/>
          </w:tcPr>
          <w:p w14:paraId="17F63AAE"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2A2A24C" w14:textId="77777777">
        <w:trPr>
          <w:trHeight w:val="23"/>
          <w:jc w:val="center"/>
        </w:trPr>
        <w:tc>
          <w:tcPr>
            <w:tcW w:w="480" w:type="pct"/>
            <w:tcBorders>
              <w:tl2br w:val="nil"/>
              <w:tr2bl w:val="nil"/>
            </w:tcBorders>
            <w:vAlign w:val="center"/>
          </w:tcPr>
          <w:p w14:paraId="17ACF64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768" w:type="pct"/>
            <w:tcBorders>
              <w:tl2br w:val="nil"/>
              <w:tr2bl w:val="nil"/>
            </w:tcBorders>
            <w:vAlign w:val="center"/>
          </w:tcPr>
          <w:p w14:paraId="617115C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监控杆预埋件</w:t>
            </w:r>
          </w:p>
        </w:tc>
        <w:tc>
          <w:tcPr>
            <w:tcW w:w="570" w:type="pct"/>
            <w:tcBorders>
              <w:tl2br w:val="nil"/>
              <w:tr2bl w:val="nil"/>
            </w:tcBorders>
            <w:vAlign w:val="center"/>
          </w:tcPr>
          <w:p w14:paraId="4A5D432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565" w:type="pct"/>
            <w:tcBorders>
              <w:tl2br w:val="nil"/>
              <w:tr2bl w:val="nil"/>
            </w:tcBorders>
            <w:vAlign w:val="center"/>
          </w:tcPr>
          <w:p w14:paraId="76E6943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614" w:type="pct"/>
            <w:tcBorders>
              <w:tl2br w:val="nil"/>
              <w:tr2bl w:val="nil"/>
            </w:tcBorders>
            <w:vAlign w:val="center"/>
          </w:tcPr>
          <w:p w14:paraId="06D1331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7E40D2EA" w14:textId="77777777">
        <w:trPr>
          <w:trHeight w:val="23"/>
          <w:jc w:val="center"/>
        </w:trPr>
        <w:tc>
          <w:tcPr>
            <w:tcW w:w="480" w:type="pct"/>
            <w:tcBorders>
              <w:tl2br w:val="nil"/>
              <w:tr2bl w:val="nil"/>
            </w:tcBorders>
            <w:vAlign w:val="center"/>
          </w:tcPr>
          <w:p w14:paraId="5439116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2768" w:type="pct"/>
            <w:tcBorders>
              <w:tl2br w:val="nil"/>
              <w:tr2bl w:val="nil"/>
            </w:tcBorders>
            <w:vAlign w:val="center"/>
          </w:tcPr>
          <w:p w14:paraId="2C5C92E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48</w:t>
            </w:r>
            <w:r>
              <w:rPr>
                <w:snapToGrid w:val="0"/>
                <w:color w:val="000000" w:themeColor="text1"/>
                <w:kern w:val="0"/>
                <w:sz w:val="21"/>
                <w:szCs w:val="21"/>
                <w:lang w:eastAsia="en-US"/>
              </w:rPr>
              <w:t>口光纤配线架</w:t>
            </w:r>
          </w:p>
        </w:tc>
        <w:tc>
          <w:tcPr>
            <w:tcW w:w="570" w:type="pct"/>
            <w:tcBorders>
              <w:tl2br w:val="nil"/>
              <w:tr2bl w:val="nil"/>
            </w:tcBorders>
            <w:vAlign w:val="center"/>
          </w:tcPr>
          <w:p w14:paraId="767D5C0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565" w:type="pct"/>
            <w:tcBorders>
              <w:tl2br w:val="nil"/>
              <w:tr2bl w:val="nil"/>
            </w:tcBorders>
            <w:vAlign w:val="center"/>
          </w:tcPr>
          <w:p w14:paraId="4240286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614" w:type="pct"/>
            <w:tcBorders>
              <w:tl2br w:val="nil"/>
              <w:tr2bl w:val="nil"/>
            </w:tcBorders>
            <w:vAlign w:val="center"/>
          </w:tcPr>
          <w:p w14:paraId="325B93C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668FF96F" w14:textId="77777777">
        <w:trPr>
          <w:trHeight w:val="23"/>
          <w:jc w:val="center"/>
        </w:trPr>
        <w:tc>
          <w:tcPr>
            <w:tcW w:w="480" w:type="pct"/>
            <w:tcBorders>
              <w:tl2br w:val="nil"/>
              <w:tr2bl w:val="nil"/>
            </w:tcBorders>
            <w:vAlign w:val="center"/>
          </w:tcPr>
          <w:p w14:paraId="17E85FD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2768" w:type="pct"/>
            <w:tcBorders>
              <w:tl2br w:val="nil"/>
              <w:tr2bl w:val="nil"/>
            </w:tcBorders>
            <w:vAlign w:val="center"/>
          </w:tcPr>
          <w:p w14:paraId="48B2305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r>
              <w:rPr>
                <w:snapToGrid w:val="0"/>
                <w:color w:val="000000" w:themeColor="text1"/>
                <w:kern w:val="0"/>
                <w:sz w:val="21"/>
                <w:szCs w:val="21"/>
                <w:lang w:eastAsia="en-US"/>
              </w:rPr>
              <w:t>芯光纤终端盒（满配法兰、熔纤盘、尾纤）</w:t>
            </w:r>
          </w:p>
        </w:tc>
        <w:tc>
          <w:tcPr>
            <w:tcW w:w="570" w:type="pct"/>
            <w:tcBorders>
              <w:tl2br w:val="nil"/>
              <w:tr2bl w:val="nil"/>
            </w:tcBorders>
            <w:vAlign w:val="center"/>
          </w:tcPr>
          <w:p w14:paraId="76F58D5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565" w:type="pct"/>
            <w:tcBorders>
              <w:tl2br w:val="nil"/>
              <w:tr2bl w:val="nil"/>
            </w:tcBorders>
            <w:vAlign w:val="center"/>
          </w:tcPr>
          <w:p w14:paraId="453D0A1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614" w:type="pct"/>
            <w:tcBorders>
              <w:tl2br w:val="nil"/>
              <w:tr2bl w:val="nil"/>
            </w:tcBorders>
            <w:vAlign w:val="center"/>
          </w:tcPr>
          <w:p w14:paraId="51B9F8F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7AE32583" w14:textId="77777777">
        <w:trPr>
          <w:trHeight w:val="23"/>
          <w:jc w:val="center"/>
        </w:trPr>
        <w:tc>
          <w:tcPr>
            <w:tcW w:w="480" w:type="pct"/>
            <w:tcBorders>
              <w:tl2br w:val="nil"/>
              <w:tr2bl w:val="nil"/>
            </w:tcBorders>
            <w:vAlign w:val="center"/>
          </w:tcPr>
          <w:p w14:paraId="3C6106E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w:t>
            </w:r>
          </w:p>
        </w:tc>
        <w:tc>
          <w:tcPr>
            <w:tcW w:w="2768" w:type="pct"/>
            <w:tcBorders>
              <w:tl2br w:val="nil"/>
              <w:tr2bl w:val="nil"/>
            </w:tcBorders>
            <w:vAlign w:val="center"/>
          </w:tcPr>
          <w:p w14:paraId="7152446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光缆</w:t>
            </w:r>
            <w:r>
              <w:rPr>
                <w:snapToGrid w:val="0"/>
                <w:color w:val="000000" w:themeColor="text1"/>
                <w:kern w:val="0"/>
                <w:sz w:val="21"/>
                <w:szCs w:val="21"/>
                <w:lang w:eastAsia="en-US"/>
              </w:rPr>
              <w:t>GYTS12D</w:t>
            </w:r>
          </w:p>
        </w:tc>
        <w:tc>
          <w:tcPr>
            <w:tcW w:w="570" w:type="pct"/>
            <w:tcBorders>
              <w:tl2br w:val="nil"/>
              <w:tr2bl w:val="nil"/>
            </w:tcBorders>
            <w:vAlign w:val="center"/>
          </w:tcPr>
          <w:p w14:paraId="7C17DD2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3A8B9C4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300</w:t>
            </w:r>
          </w:p>
        </w:tc>
        <w:tc>
          <w:tcPr>
            <w:tcW w:w="614" w:type="pct"/>
            <w:tcBorders>
              <w:tl2br w:val="nil"/>
              <w:tr2bl w:val="nil"/>
            </w:tcBorders>
            <w:vAlign w:val="center"/>
          </w:tcPr>
          <w:p w14:paraId="18F7F0F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67DD84B8" w14:textId="77777777">
        <w:trPr>
          <w:trHeight w:val="23"/>
          <w:jc w:val="center"/>
        </w:trPr>
        <w:tc>
          <w:tcPr>
            <w:tcW w:w="480" w:type="pct"/>
            <w:tcBorders>
              <w:tl2br w:val="nil"/>
              <w:tr2bl w:val="nil"/>
            </w:tcBorders>
            <w:vAlign w:val="center"/>
          </w:tcPr>
          <w:p w14:paraId="77231C3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6</w:t>
            </w:r>
          </w:p>
        </w:tc>
        <w:tc>
          <w:tcPr>
            <w:tcW w:w="2768" w:type="pct"/>
            <w:tcBorders>
              <w:tl2br w:val="nil"/>
              <w:tr2bl w:val="nil"/>
            </w:tcBorders>
            <w:vAlign w:val="center"/>
          </w:tcPr>
          <w:p w14:paraId="18FEF73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六类屏蔽双绞线</w:t>
            </w:r>
            <w:r>
              <w:rPr>
                <w:snapToGrid w:val="0"/>
                <w:color w:val="000000" w:themeColor="text1"/>
                <w:kern w:val="0"/>
                <w:sz w:val="21"/>
                <w:szCs w:val="21"/>
                <w:lang w:eastAsia="en-US"/>
              </w:rPr>
              <w:t>STP</w:t>
            </w:r>
          </w:p>
        </w:tc>
        <w:tc>
          <w:tcPr>
            <w:tcW w:w="570" w:type="pct"/>
            <w:tcBorders>
              <w:tl2br w:val="nil"/>
              <w:tr2bl w:val="nil"/>
            </w:tcBorders>
            <w:vAlign w:val="center"/>
          </w:tcPr>
          <w:p w14:paraId="085E2B6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1FB4F4E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p>
        </w:tc>
        <w:tc>
          <w:tcPr>
            <w:tcW w:w="614" w:type="pct"/>
            <w:tcBorders>
              <w:tl2br w:val="nil"/>
              <w:tr2bl w:val="nil"/>
            </w:tcBorders>
            <w:vAlign w:val="center"/>
          </w:tcPr>
          <w:p w14:paraId="7C230E03"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4D41CF6" w14:textId="77777777">
        <w:trPr>
          <w:trHeight w:val="23"/>
          <w:jc w:val="center"/>
        </w:trPr>
        <w:tc>
          <w:tcPr>
            <w:tcW w:w="480" w:type="pct"/>
            <w:tcBorders>
              <w:tl2br w:val="nil"/>
              <w:tr2bl w:val="nil"/>
            </w:tcBorders>
            <w:vAlign w:val="center"/>
          </w:tcPr>
          <w:p w14:paraId="38397BF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7</w:t>
            </w:r>
          </w:p>
        </w:tc>
        <w:tc>
          <w:tcPr>
            <w:tcW w:w="2768" w:type="pct"/>
            <w:tcBorders>
              <w:tl2br w:val="nil"/>
              <w:tr2bl w:val="nil"/>
            </w:tcBorders>
            <w:vAlign w:val="center"/>
          </w:tcPr>
          <w:p w14:paraId="10553C2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电源线</w:t>
            </w:r>
            <w:r>
              <w:rPr>
                <w:snapToGrid w:val="0"/>
                <w:color w:val="000000" w:themeColor="text1"/>
                <w:kern w:val="0"/>
                <w:sz w:val="21"/>
                <w:szCs w:val="21"/>
                <w:lang w:eastAsia="en-US"/>
              </w:rPr>
              <w:t>ZR-YJV-3×1.5</w:t>
            </w:r>
          </w:p>
        </w:tc>
        <w:tc>
          <w:tcPr>
            <w:tcW w:w="570" w:type="pct"/>
            <w:tcBorders>
              <w:tl2br w:val="nil"/>
              <w:tr2bl w:val="nil"/>
            </w:tcBorders>
            <w:vAlign w:val="center"/>
          </w:tcPr>
          <w:p w14:paraId="30F2397B"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5793E0D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300</w:t>
            </w:r>
          </w:p>
        </w:tc>
        <w:tc>
          <w:tcPr>
            <w:tcW w:w="614" w:type="pct"/>
            <w:tcBorders>
              <w:tl2br w:val="nil"/>
              <w:tr2bl w:val="nil"/>
            </w:tcBorders>
            <w:vAlign w:val="center"/>
          </w:tcPr>
          <w:p w14:paraId="5F24E0E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AA07921" w14:textId="77777777">
        <w:trPr>
          <w:trHeight w:val="23"/>
          <w:jc w:val="center"/>
        </w:trPr>
        <w:tc>
          <w:tcPr>
            <w:tcW w:w="480" w:type="pct"/>
            <w:tcBorders>
              <w:tl2br w:val="nil"/>
              <w:tr2bl w:val="nil"/>
            </w:tcBorders>
            <w:vAlign w:val="center"/>
          </w:tcPr>
          <w:p w14:paraId="7867E18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w:t>
            </w:r>
            <w:r>
              <w:rPr>
                <w:rFonts w:hint="eastAsia"/>
                <w:snapToGrid w:val="0"/>
                <w:color w:val="000000" w:themeColor="text1"/>
                <w:kern w:val="0"/>
                <w:sz w:val="21"/>
                <w:szCs w:val="21"/>
              </w:rPr>
              <w:t>2</w:t>
            </w:r>
            <w:r>
              <w:rPr>
                <w:rFonts w:hint="eastAsia"/>
                <w:snapToGrid w:val="0"/>
                <w:color w:val="000000" w:themeColor="text1"/>
                <w:kern w:val="0"/>
                <w:sz w:val="21"/>
                <w:szCs w:val="21"/>
              </w:rPr>
              <w:t>）</w:t>
            </w:r>
          </w:p>
        </w:tc>
        <w:tc>
          <w:tcPr>
            <w:tcW w:w="2768" w:type="pct"/>
            <w:tcBorders>
              <w:tl2br w:val="nil"/>
              <w:tr2bl w:val="nil"/>
            </w:tcBorders>
            <w:vAlign w:val="center"/>
          </w:tcPr>
          <w:p w14:paraId="4444FCC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语音对讲系统</w:t>
            </w:r>
          </w:p>
        </w:tc>
        <w:tc>
          <w:tcPr>
            <w:tcW w:w="570" w:type="pct"/>
            <w:tcBorders>
              <w:tl2br w:val="nil"/>
              <w:tr2bl w:val="nil"/>
            </w:tcBorders>
            <w:vAlign w:val="center"/>
          </w:tcPr>
          <w:p w14:paraId="25A1F8E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65" w:type="pct"/>
            <w:tcBorders>
              <w:tl2br w:val="nil"/>
              <w:tr2bl w:val="nil"/>
            </w:tcBorders>
            <w:vAlign w:val="center"/>
          </w:tcPr>
          <w:p w14:paraId="51D62F2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614" w:type="pct"/>
            <w:tcBorders>
              <w:tl2br w:val="nil"/>
              <w:tr2bl w:val="nil"/>
            </w:tcBorders>
            <w:vAlign w:val="center"/>
          </w:tcPr>
          <w:p w14:paraId="20DC9DDA"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A3E35EC" w14:textId="77777777">
        <w:trPr>
          <w:trHeight w:val="23"/>
          <w:jc w:val="center"/>
        </w:trPr>
        <w:tc>
          <w:tcPr>
            <w:tcW w:w="480" w:type="pct"/>
            <w:tcBorders>
              <w:tl2br w:val="nil"/>
              <w:tr2bl w:val="nil"/>
            </w:tcBorders>
            <w:vAlign w:val="center"/>
          </w:tcPr>
          <w:p w14:paraId="0953C50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768" w:type="pct"/>
            <w:tcBorders>
              <w:tl2br w:val="nil"/>
              <w:tr2bl w:val="nil"/>
            </w:tcBorders>
            <w:vAlign w:val="center"/>
          </w:tcPr>
          <w:p w14:paraId="6DBA4F7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w:t>
            </w:r>
            <w:r>
              <w:rPr>
                <w:snapToGrid w:val="0"/>
                <w:color w:val="000000" w:themeColor="text1"/>
                <w:kern w:val="0"/>
                <w:sz w:val="21"/>
                <w:szCs w:val="21"/>
                <w:lang w:eastAsia="en-US"/>
              </w:rPr>
              <w:t>芯光纤终端盒（满配法兰、熔纤盘、尾纤）</w:t>
            </w:r>
          </w:p>
        </w:tc>
        <w:tc>
          <w:tcPr>
            <w:tcW w:w="570" w:type="pct"/>
            <w:tcBorders>
              <w:tl2br w:val="nil"/>
              <w:tr2bl w:val="nil"/>
            </w:tcBorders>
            <w:vAlign w:val="center"/>
          </w:tcPr>
          <w:p w14:paraId="1F86A135"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565" w:type="pct"/>
            <w:tcBorders>
              <w:tl2br w:val="nil"/>
              <w:tr2bl w:val="nil"/>
            </w:tcBorders>
            <w:vAlign w:val="center"/>
          </w:tcPr>
          <w:p w14:paraId="0AE32B2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614" w:type="pct"/>
            <w:tcBorders>
              <w:tl2br w:val="nil"/>
              <w:tr2bl w:val="nil"/>
            </w:tcBorders>
            <w:vAlign w:val="center"/>
          </w:tcPr>
          <w:p w14:paraId="47FC044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814DD8E" w14:textId="77777777">
        <w:trPr>
          <w:trHeight w:val="23"/>
          <w:jc w:val="center"/>
        </w:trPr>
        <w:tc>
          <w:tcPr>
            <w:tcW w:w="480" w:type="pct"/>
            <w:tcBorders>
              <w:tl2br w:val="nil"/>
              <w:tr2bl w:val="nil"/>
            </w:tcBorders>
            <w:vAlign w:val="center"/>
          </w:tcPr>
          <w:p w14:paraId="2FA775CD"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768" w:type="pct"/>
            <w:tcBorders>
              <w:tl2br w:val="nil"/>
              <w:tr2bl w:val="nil"/>
            </w:tcBorders>
            <w:vAlign w:val="center"/>
          </w:tcPr>
          <w:p w14:paraId="465F15DC"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光缆</w:t>
            </w:r>
            <w:r>
              <w:rPr>
                <w:snapToGrid w:val="0"/>
                <w:color w:val="000000" w:themeColor="text1"/>
                <w:kern w:val="0"/>
                <w:sz w:val="21"/>
                <w:szCs w:val="21"/>
                <w:lang w:eastAsia="en-US"/>
              </w:rPr>
              <w:t>GYTS12D</w:t>
            </w:r>
          </w:p>
        </w:tc>
        <w:tc>
          <w:tcPr>
            <w:tcW w:w="570" w:type="pct"/>
            <w:tcBorders>
              <w:tl2br w:val="nil"/>
              <w:tr2bl w:val="nil"/>
            </w:tcBorders>
            <w:vAlign w:val="center"/>
          </w:tcPr>
          <w:p w14:paraId="48D6715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65C6D6F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p>
        </w:tc>
        <w:tc>
          <w:tcPr>
            <w:tcW w:w="614" w:type="pct"/>
            <w:tcBorders>
              <w:tl2br w:val="nil"/>
              <w:tr2bl w:val="nil"/>
            </w:tcBorders>
            <w:vAlign w:val="center"/>
          </w:tcPr>
          <w:p w14:paraId="1831C30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31D5CCA4" w14:textId="77777777">
        <w:trPr>
          <w:trHeight w:val="23"/>
          <w:jc w:val="center"/>
        </w:trPr>
        <w:tc>
          <w:tcPr>
            <w:tcW w:w="480" w:type="pct"/>
            <w:tcBorders>
              <w:tl2br w:val="nil"/>
              <w:tr2bl w:val="nil"/>
            </w:tcBorders>
            <w:vAlign w:val="center"/>
          </w:tcPr>
          <w:p w14:paraId="638478E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2768" w:type="pct"/>
            <w:tcBorders>
              <w:tl2br w:val="nil"/>
              <w:tr2bl w:val="nil"/>
            </w:tcBorders>
            <w:vAlign w:val="center"/>
          </w:tcPr>
          <w:p w14:paraId="6C1E704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六类屏蔽双绞线</w:t>
            </w:r>
            <w:r>
              <w:rPr>
                <w:snapToGrid w:val="0"/>
                <w:color w:val="000000" w:themeColor="text1"/>
                <w:kern w:val="0"/>
                <w:sz w:val="21"/>
                <w:szCs w:val="21"/>
                <w:lang w:eastAsia="en-US"/>
              </w:rPr>
              <w:t>STP</w:t>
            </w:r>
          </w:p>
        </w:tc>
        <w:tc>
          <w:tcPr>
            <w:tcW w:w="570" w:type="pct"/>
            <w:tcBorders>
              <w:tl2br w:val="nil"/>
              <w:tr2bl w:val="nil"/>
            </w:tcBorders>
            <w:vAlign w:val="center"/>
          </w:tcPr>
          <w:p w14:paraId="66C76A5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0B47EF0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w:t>
            </w:r>
          </w:p>
        </w:tc>
        <w:tc>
          <w:tcPr>
            <w:tcW w:w="614" w:type="pct"/>
            <w:tcBorders>
              <w:tl2br w:val="nil"/>
              <w:tr2bl w:val="nil"/>
            </w:tcBorders>
            <w:vAlign w:val="center"/>
          </w:tcPr>
          <w:p w14:paraId="61A92AA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3B82624" w14:textId="77777777">
        <w:trPr>
          <w:trHeight w:val="23"/>
          <w:jc w:val="center"/>
        </w:trPr>
        <w:tc>
          <w:tcPr>
            <w:tcW w:w="480" w:type="pct"/>
            <w:tcBorders>
              <w:tl2br w:val="nil"/>
              <w:tr2bl w:val="nil"/>
            </w:tcBorders>
            <w:vAlign w:val="center"/>
          </w:tcPr>
          <w:p w14:paraId="72187B1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2768" w:type="pct"/>
            <w:tcBorders>
              <w:tl2br w:val="nil"/>
              <w:tr2bl w:val="nil"/>
            </w:tcBorders>
            <w:vAlign w:val="center"/>
          </w:tcPr>
          <w:p w14:paraId="3037983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电源线</w:t>
            </w:r>
            <w:r>
              <w:rPr>
                <w:snapToGrid w:val="0"/>
                <w:color w:val="000000" w:themeColor="text1"/>
                <w:kern w:val="0"/>
                <w:sz w:val="21"/>
                <w:szCs w:val="21"/>
                <w:lang w:eastAsia="en-US"/>
              </w:rPr>
              <w:t>ZR-YJV-3×1.5</w:t>
            </w:r>
          </w:p>
        </w:tc>
        <w:tc>
          <w:tcPr>
            <w:tcW w:w="570" w:type="pct"/>
            <w:tcBorders>
              <w:tl2br w:val="nil"/>
              <w:tr2bl w:val="nil"/>
            </w:tcBorders>
            <w:vAlign w:val="center"/>
          </w:tcPr>
          <w:p w14:paraId="5FD86FD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0D478BD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p>
        </w:tc>
        <w:tc>
          <w:tcPr>
            <w:tcW w:w="614" w:type="pct"/>
            <w:tcBorders>
              <w:tl2br w:val="nil"/>
              <w:tr2bl w:val="nil"/>
            </w:tcBorders>
            <w:vAlign w:val="center"/>
          </w:tcPr>
          <w:p w14:paraId="0CCC467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F9551B1" w14:textId="77777777">
        <w:trPr>
          <w:trHeight w:val="23"/>
          <w:jc w:val="center"/>
        </w:trPr>
        <w:tc>
          <w:tcPr>
            <w:tcW w:w="480" w:type="pct"/>
            <w:tcBorders>
              <w:tl2br w:val="nil"/>
              <w:tr2bl w:val="nil"/>
            </w:tcBorders>
            <w:vAlign w:val="center"/>
          </w:tcPr>
          <w:p w14:paraId="1A9BDD91"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w:t>
            </w:r>
            <w:r>
              <w:rPr>
                <w:rFonts w:hint="eastAsia"/>
                <w:snapToGrid w:val="0"/>
                <w:color w:val="000000" w:themeColor="text1"/>
                <w:kern w:val="0"/>
                <w:sz w:val="21"/>
                <w:szCs w:val="21"/>
              </w:rPr>
              <w:t>3</w:t>
            </w:r>
            <w:r>
              <w:rPr>
                <w:rFonts w:hint="eastAsia"/>
                <w:snapToGrid w:val="0"/>
                <w:color w:val="000000" w:themeColor="text1"/>
                <w:kern w:val="0"/>
                <w:sz w:val="21"/>
                <w:szCs w:val="21"/>
              </w:rPr>
              <w:t>）</w:t>
            </w:r>
          </w:p>
        </w:tc>
        <w:tc>
          <w:tcPr>
            <w:tcW w:w="2768" w:type="pct"/>
            <w:tcBorders>
              <w:tl2br w:val="nil"/>
              <w:tr2bl w:val="nil"/>
            </w:tcBorders>
            <w:vAlign w:val="center"/>
          </w:tcPr>
          <w:p w14:paraId="688FB6C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门禁系统</w:t>
            </w:r>
          </w:p>
        </w:tc>
        <w:tc>
          <w:tcPr>
            <w:tcW w:w="570" w:type="pct"/>
            <w:tcBorders>
              <w:tl2br w:val="nil"/>
              <w:tr2bl w:val="nil"/>
            </w:tcBorders>
            <w:vAlign w:val="center"/>
          </w:tcPr>
          <w:p w14:paraId="6C63C57C"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65" w:type="pct"/>
            <w:tcBorders>
              <w:tl2br w:val="nil"/>
              <w:tr2bl w:val="nil"/>
            </w:tcBorders>
            <w:vAlign w:val="center"/>
          </w:tcPr>
          <w:p w14:paraId="4A9C140B"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614" w:type="pct"/>
            <w:tcBorders>
              <w:tl2br w:val="nil"/>
              <w:tr2bl w:val="nil"/>
            </w:tcBorders>
            <w:vAlign w:val="center"/>
          </w:tcPr>
          <w:p w14:paraId="60B9B659"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74DD1BB1" w14:textId="77777777">
        <w:trPr>
          <w:trHeight w:val="23"/>
          <w:jc w:val="center"/>
        </w:trPr>
        <w:tc>
          <w:tcPr>
            <w:tcW w:w="480" w:type="pct"/>
            <w:tcBorders>
              <w:tl2br w:val="nil"/>
              <w:tr2bl w:val="nil"/>
            </w:tcBorders>
            <w:vAlign w:val="center"/>
          </w:tcPr>
          <w:p w14:paraId="2E6BD994"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lastRenderedPageBreak/>
              <w:t>1</w:t>
            </w:r>
          </w:p>
        </w:tc>
        <w:tc>
          <w:tcPr>
            <w:tcW w:w="2768" w:type="pct"/>
            <w:tcBorders>
              <w:tl2br w:val="nil"/>
              <w:tr2bl w:val="nil"/>
            </w:tcBorders>
            <w:vAlign w:val="center"/>
          </w:tcPr>
          <w:p w14:paraId="7A86DA47"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控制电缆</w:t>
            </w:r>
          </w:p>
        </w:tc>
        <w:tc>
          <w:tcPr>
            <w:tcW w:w="570" w:type="pct"/>
            <w:tcBorders>
              <w:tl2br w:val="nil"/>
              <w:tr2bl w:val="nil"/>
            </w:tcBorders>
            <w:vAlign w:val="center"/>
          </w:tcPr>
          <w:p w14:paraId="2270DBF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5EB45F0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100</w:t>
            </w:r>
          </w:p>
        </w:tc>
        <w:tc>
          <w:tcPr>
            <w:tcW w:w="614" w:type="pct"/>
            <w:tcBorders>
              <w:tl2br w:val="nil"/>
              <w:tr2bl w:val="nil"/>
            </w:tcBorders>
            <w:vAlign w:val="center"/>
          </w:tcPr>
          <w:p w14:paraId="48AECC3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014D9CD" w14:textId="77777777">
        <w:trPr>
          <w:trHeight w:val="23"/>
          <w:jc w:val="center"/>
        </w:trPr>
        <w:tc>
          <w:tcPr>
            <w:tcW w:w="480" w:type="pct"/>
            <w:tcBorders>
              <w:tl2br w:val="nil"/>
              <w:tr2bl w:val="nil"/>
            </w:tcBorders>
            <w:vAlign w:val="center"/>
          </w:tcPr>
          <w:p w14:paraId="617C3A9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768" w:type="pct"/>
            <w:tcBorders>
              <w:tl2br w:val="nil"/>
              <w:tr2bl w:val="nil"/>
            </w:tcBorders>
            <w:vAlign w:val="center"/>
          </w:tcPr>
          <w:p w14:paraId="75E115F6"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电源线</w:t>
            </w:r>
            <w:r>
              <w:rPr>
                <w:snapToGrid w:val="0"/>
                <w:color w:val="000000" w:themeColor="text1"/>
                <w:kern w:val="0"/>
                <w:sz w:val="21"/>
                <w:szCs w:val="21"/>
                <w:lang w:eastAsia="en-US"/>
              </w:rPr>
              <w:t>ZR-YJV-3×1.5</w:t>
            </w:r>
          </w:p>
        </w:tc>
        <w:tc>
          <w:tcPr>
            <w:tcW w:w="570" w:type="pct"/>
            <w:tcBorders>
              <w:tl2br w:val="nil"/>
              <w:tr2bl w:val="nil"/>
            </w:tcBorders>
            <w:vAlign w:val="center"/>
          </w:tcPr>
          <w:p w14:paraId="57146D69"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45B6367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50</w:t>
            </w:r>
          </w:p>
        </w:tc>
        <w:tc>
          <w:tcPr>
            <w:tcW w:w="614" w:type="pct"/>
            <w:tcBorders>
              <w:tl2br w:val="nil"/>
              <w:tr2bl w:val="nil"/>
            </w:tcBorders>
            <w:vAlign w:val="center"/>
          </w:tcPr>
          <w:p w14:paraId="7A54BE4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11D5617E" w14:textId="77777777">
        <w:trPr>
          <w:trHeight w:val="23"/>
          <w:jc w:val="center"/>
        </w:trPr>
        <w:tc>
          <w:tcPr>
            <w:tcW w:w="480" w:type="pct"/>
            <w:tcBorders>
              <w:tl2br w:val="nil"/>
              <w:tr2bl w:val="nil"/>
            </w:tcBorders>
            <w:vAlign w:val="center"/>
          </w:tcPr>
          <w:p w14:paraId="5AF45ADF"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rPr>
            </w:pPr>
            <w:r>
              <w:rPr>
                <w:rFonts w:hint="eastAsia"/>
                <w:snapToGrid w:val="0"/>
                <w:color w:val="000000" w:themeColor="text1"/>
                <w:kern w:val="0"/>
                <w:sz w:val="21"/>
                <w:szCs w:val="21"/>
              </w:rPr>
              <w:t>（</w:t>
            </w:r>
            <w:r>
              <w:rPr>
                <w:rFonts w:hint="eastAsia"/>
                <w:snapToGrid w:val="0"/>
                <w:color w:val="000000" w:themeColor="text1"/>
                <w:kern w:val="0"/>
                <w:sz w:val="21"/>
                <w:szCs w:val="21"/>
              </w:rPr>
              <w:t>4</w:t>
            </w:r>
            <w:r>
              <w:rPr>
                <w:rFonts w:hint="eastAsia"/>
                <w:snapToGrid w:val="0"/>
                <w:color w:val="000000" w:themeColor="text1"/>
                <w:kern w:val="0"/>
                <w:sz w:val="21"/>
                <w:szCs w:val="21"/>
              </w:rPr>
              <w:t>）</w:t>
            </w:r>
          </w:p>
        </w:tc>
        <w:tc>
          <w:tcPr>
            <w:tcW w:w="2768" w:type="pct"/>
            <w:tcBorders>
              <w:tl2br w:val="nil"/>
              <w:tr2bl w:val="nil"/>
            </w:tcBorders>
            <w:vAlign w:val="center"/>
          </w:tcPr>
          <w:p w14:paraId="6B4F0F33"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线缆保护</w:t>
            </w:r>
          </w:p>
        </w:tc>
        <w:tc>
          <w:tcPr>
            <w:tcW w:w="570" w:type="pct"/>
            <w:tcBorders>
              <w:tl2br w:val="nil"/>
              <w:tr2bl w:val="nil"/>
            </w:tcBorders>
            <w:vAlign w:val="center"/>
          </w:tcPr>
          <w:p w14:paraId="530710D6"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565" w:type="pct"/>
            <w:tcBorders>
              <w:tl2br w:val="nil"/>
              <w:tr2bl w:val="nil"/>
            </w:tcBorders>
            <w:vAlign w:val="center"/>
          </w:tcPr>
          <w:p w14:paraId="511DBE9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614" w:type="pct"/>
            <w:tcBorders>
              <w:tl2br w:val="nil"/>
              <w:tr2bl w:val="nil"/>
            </w:tcBorders>
            <w:vAlign w:val="center"/>
          </w:tcPr>
          <w:p w14:paraId="7D250FA0"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60BA9FF3" w14:textId="77777777">
        <w:trPr>
          <w:trHeight w:val="23"/>
          <w:jc w:val="center"/>
        </w:trPr>
        <w:tc>
          <w:tcPr>
            <w:tcW w:w="480" w:type="pct"/>
            <w:tcBorders>
              <w:tl2br w:val="nil"/>
              <w:tr2bl w:val="nil"/>
            </w:tcBorders>
            <w:vAlign w:val="center"/>
          </w:tcPr>
          <w:p w14:paraId="4209D5B2"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768" w:type="pct"/>
            <w:tcBorders>
              <w:tl2br w:val="nil"/>
              <w:tr2bl w:val="nil"/>
            </w:tcBorders>
            <w:vAlign w:val="center"/>
          </w:tcPr>
          <w:p w14:paraId="0E57ECF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硅芯管</w:t>
            </w:r>
          </w:p>
        </w:tc>
        <w:tc>
          <w:tcPr>
            <w:tcW w:w="570" w:type="pct"/>
            <w:tcBorders>
              <w:tl2br w:val="nil"/>
              <w:tr2bl w:val="nil"/>
            </w:tcBorders>
            <w:vAlign w:val="center"/>
          </w:tcPr>
          <w:p w14:paraId="5E2AE818"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565" w:type="pct"/>
            <w:tcBorders>
              <w:tl2br w:val="nil"/>
              <w:tr2bl w:val="nil"/>
            </w:tcBorders>
            <w:vAlign w:val="center"/>
          </w:tcPr>
          <w:p w14:paraId="2F16C02E"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850</w:t>
            </w:r>
          </w:p>
        </w:tc>
        <w:tc>
          <w:tcPr>
            <w:tcW w:w="614" w:type="pct"/>
            <w:tcBorders>
              <w:tl2br w:val="nil"/>
              <w:tr2bl w:val="nil"/>
            </w:tcBorders>
            <w:vAlign w:val="center"/>
          </w:tcPr>
          <w:p w14:paraId="16D767E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72971799"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消防及给排水</w:t>
      </w:r>
    </w:p>
    <w:p w14:paraId="29713F1F"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扩建平台（集气站）属于五级站场，平台生产设备和辅助生产设施移动式灭火器随搬迁利旧，消防棚新建。</w:t>
      </w:r>
    </w:p>
    <w:p w14:paraId="788F4985"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lang w:eastAsia="en-US"/>
        </w:rPr>
        <w:t>给水和排水</w:t>
      </w:r>
    </w:p>
    <w:p w14:paraId="2C047B8A"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焦页</w:t>
      </w:r>
      <w:r>
        <w:rPr>
          <w:color w:val="000000" w:themeColor="text1"/>
          <w:kern w:val="0"/>
          <w:sz w:val="24"/>
          <w:szCs w:val="24"/>
          <w:lang w:eastAsia="en-US"/>
        </w:rPr>
        <w:t>89</w:t>
      </w:r>
      <w:r>
        <w:rPr>
          <w:color w:val="000000" w:themeColor="text1"/>
          <w:kern w:val="0"/>
          <w:sz w:val="24"/>
          <w:szCs w:val="24"/>
          <w:lang w:eastAsia="en-US"/>
        </w:rPr>
        <w:t>号集气站新增加热炉补水由罐车补水。平台无新增生活用水和排水设施。</w:t>
      </w:r>
    </w:p>
    <w:p w14:paraId="4304194D"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消防设计</w:t>
      </w:r>
    </w:p>
    <w:p w14:paraId="0F4B7358"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焦页</w:t>
      </w:r>
      <w:r>
        <w:rPr>
          <w:color w:val="000000" w:themeColor="text1"/>
          <w:kern w:val="0"/>
          <w:sz w:val="24"/>
          <w:szCs w:val="24"/>
          <w:lang w:eastAsia="en-US"/>
        </w:rPr>
        <w:t>90</w:t>
      </w:r>
      <w:r>
        <w:rPr>
          <w:color w:val="000000" w:themeColor="text1"/>
          <w:kern w:val="0"/>
          <w:sz w:val="24"/>
          <w:szCs w:val="24"/>
          <w:lang w:eastAsia="en-US"/>
        </w:rPr>
        <w:t>号平台及焦页</w:t>
      </w:r>
      <w:r>
        <w:rPr>
          <w:color w:val="000000" w:themeColor="text1"/>
          <w:kern w:val="0"/>
          <w:sz w:val="24"/>
          <w:szCs w:val="24"/>
          <w:lang w:eastAsia="en-US"/>
        </w:rPr>
        <w:t>89</w:t>
      </w:r>
      <w:r>
        <w:rPr>
          <w:color w:val="000000" w:themeColor="text1"/>
          <w:kern w:val="0"/>
          <w:sz w:val="24"/>
          <w:szCs w:val="24"/>
          <w:lang w:eastAsia="en-US"/>
        </w:rPr>
        <w:t>集气站均为五级站场，只需配置移动式灭火器材，即可满足本平台的消防要求，一旦发生火灾，可随时启用扑救。根据新增工艺装置平面布置，优先考虑依托已建消防器材，不在保护范围内的新增消防器材。</w:t>
      </w:r>
    </w:p>
    <w:p w14:paraId="5C94BEAC"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3</w:t>
      </w:r>
      <w:r>
        <w:rPr>
          <w:rFonts w:hint="eastAsia"/>
          <w:color w:val="000000" w:themeColor="text1"/>
          <w:kern w:val="0"/>
          <w:sz w:val="24"/>
          <w:szCs w:val="24"/>
        </w:rPr>
        <w:t>、</w:t>
      </w:r>
      <w:r>
        <w:rPr>
          <w:color w:val="000000" w:themeColor="text1"/>
          <w:kern w:val="0"/>
          <w:sz w:val="24"/>
          <w:szCs w:val="24"/>
          <w:lang w:eastAsia="en-US"/>
        </w:rPr>
        <w:t>主要工程量</w:t>
      </w:r>
    </w:p>
    <w:p w14:paraId="5163C62B"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2.8-7 </w:t>
      </w:r>
      <w:r>
        <w:rPr>
          <w:rFonts w:eastAsia="黑体"/>
          <w:color w:val="000000" w:themeColor="text1"/>
          <w:sz w:val="21"/>
          <w:szCs w:val="21"/>
          <w:lang w:eastAsia="en-US"/>
        </w:rPr>
        <w:t>主要工程量表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086"/>
        <w:gridCol w:w="4763"/>
        <w:gridCol w:w="1299"/>
        <w:gridCol w:w="2002"/>
      </w:tblGrid>
      <w:tr w:rsidR="002E0859" w14:paraId="127DCADE" w14:textId="77777777">
        <w:trPr>
          <w:trHeight w:val="23"/>
          <w:jc w:val="center"/>
        </w:trPr>
        <w:tc>
          <w:tcPr>
            <w:tcW w:w="593" w:type="pct"/>
            <w:tcBorders>
              <w:tl2br w:val="nil"/>
              <w:tr2bl w:val="nil"/>
            </w:tcBorders>
            <w:vAlign w:val="center"/>
          </w:tcPr>
          <w:p w14:paraId="7BB638D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序号</w:t>
            </w:r>
          </w:p>
        </w:tc>
        <w:tc>
          <w:tcPr>
            <w:tcW w:w="2602" w:type="pct"/>
            <w:tcBorders>
              <w:tl2br w:val="nil"/>
              <w:tr2bl w:val="nil"/>
            </w:tcBorders>
            <w:vAlign w:val="center"/>
          </w:tcPr>
          <w:p w14:paraId="18B0369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名称</w:t>
            </w:r>
          </w:p>
        </w:tc>
        <w:tc>
          <w:tcPr>
            <w:tcW w:w="710" w:type="pct"/>
            <w:tcBorders>
              <w:tl2br w:val="nil"/>
              <w:tr2bl w:val="nil"/>
            </w:tcBorders>
            <w:vAlign w:val="center"/>
          </w:tcPr>
          <w:p w14:paraId="3B2A798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数量</w:t>
            </w:r>
          </w:p>
        </w:tc>
        <w:tc>
          <w:tcPr>
            <w:tcW w:w="1094" w:type="pct"/>
            <w:tcBorders>
              <w:tl2br w:val="nil"/>
              <w:tr2bl w:val="nil"/>
            </w:tcBorders>
            <w:vAlign w:val="center"/>
          </w:tcPr>
          <w:p w14:paraId="6785C90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备注</w:t>
            </w:r>
          </w:p>
        </w:tc>
      </w:tr>
      <w:tr w:rsidR="002E0859" w14:paraId="044FD33B" w14:textId="77777777">
        <w:trPr>
          <w:trHeight w:val="23"/>
          <w:jc w:val="center"/>
        </w:trPr>
        <w:tc>
          <w:tcPr>
            <w:tcW w:w="593" w:type="pct"/>
            <w:tcBorders>
              <w:tl2br w:val="nil"/>
              <w:tr2bl w:val="nil"/>
            </w:tcBorders>
            <w:vAlign w:val="center"/>
          </w:tcPr>
          <w:p w14:paraId="7EDC586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一</w:t>
            </w:r>
          </w:p>
        </w:tc>
        <w:tc>
          <w:tcPr>
            <w:tcW w:w="2602" w:type="pct"/>
            <w:tcBorders>
              <w:tl2br w:val="nil"/>
              <w:tr2bl w:val="nil"/>
            </w:tcBorders>
            <w:vAlign w:val="center"/>
          </w:tcPr>
          <w:p w14:paraId="6638324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焦页</w:t>
            </w:r>
            <w:r>
              <w:rPr>
                <w:snapToGrid w:val="0"/>
                <w:color w:val="000000" w:themeColor="text1"/>
                <w:kern w:val="0"/>
                <w:sz w:val="21"/>
                <w:szCs w:val="21"/>
                <w:lang w:eastAsia="en-US"/>
              </w:rPr>
              <w:t>90</w:t>
            </w:r>
            <w:r>
              <w:rPr>
                <w:snapToGrid w:val="0"/>
                <w:color w:val="000000" w:themeColor="text1"/>
                <w:kern w:val="0"/>
                <w:sz w:val="21"/>
                <w:szCs w:val="21"/>
                <w:lang w:eastAsia="en-US"/>
              </w:rPr>
              <w:t>号平台</w:t>
            </w:r>
          </w:p>
        </w:tc>
        <w:tc>
          <w:tcPr>
            <w:tcW w:w="710" w:type="pct"/>
            <w:tcBorders>
              <w:tl2br w:val="nil"/>
              <w:tr2bl w:val="nil"/>
            </w:tcBorders>
            <w:vAlign w:val="center"/>
          </w:tcPr>
          <w:p w14:paraId="14ED6C97" w14:textId="77777777" w:rsidR="002E0859" w:rsidRDefault="002E0859">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094" w:type="pct"/>
            <w:tcBorders>
              <w:tl2br w:val="nil"/>
              <w:tr2bl w:val="nil"/>
            </w:tcBorders>
            <w:vAlign w:val="center"/>
          </w:tcPr>
          <w:p w14:paraId="736BA96E" w14:textId="77777777" w:rsidR="002E0859" w:rsidRDefault="002E0859">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58A7BA9" w14:textId="77777777">
        <w:trPr>
          <w:trHeight w:val="23"/>
          <w:jc w:val="center"/>
        </w:trPr>
        <w:tc>
          <w:tcPr>
            <w:tcW w:w="593" w:type="pct"/>
            <w:tcBorders>
              <w:tl2br w:val="nil"/>
              <w:tr2bl w:val="nil"/>
            </w:tcBorders>
            <w:vAlign w:val="center"/>
          </w:tcPr>
          <w:p w14:paraId="0567321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2602" w:type="pct"/>
            <w:tcBorders>
              <w:tl2br w:val="nil"/>
              <w:tr2bl w:val="nil"/>
            </w:tcBorders>
            <w:vAlign w:val="center"/>
          </w:tcPr>
          <w:p w14:paraId="62F8490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手提式磷酸铵盐干粉灭火器</w:t>
            </w:r>
            <w:r>
              <w:rPr>
                <w:snapToGrid w:val="0"/>
                <w:color w:val="000000" w:themeColor="text1"/>
                <w:kern w:val="0"/>
                <w:sz w:val="21"/>
                <w:szCs w:val="21"/>
                <w:lang w:eastAsia="en-US"/>
              </w:rPr>
              <w:t>MFZ/ABC5</w:t>
            </w:r>
          </w:p>
        </w:tc>
        <w:tc>
          <w:tcPr>
            <w:tcW w:w="710" w:type="pct"/>
            <w:tcBorders>
              <w:tl2br w:val="nil"/>
              <w:tr2bl w:val="nil"/>
            </w:tcBorders>
            <w:vAlign w:val="center"/>
          </w:tcPr>
          <w:p w14:paraId="6A17959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r>
              <w:rPr>
                <w:snapToGrid w:val="0"/>
                <w:color w:val="000000" w:themeColor="text1"/>
                <w:kern w:val="0"/>
                <w:sz w:val="21"/>
                <w:szCs w:val="21"/>
                <w:lang w:eastAsia="en-US"/>
              </w:rPr>
              <w:t>具</w:t>
            </w:r>
          </w:p>
        </w:tc>
        <w:tc>
          <w:tcPr>
            <w:tcW w:w="1094" w:type="pct"/>
            <w:tcBorders>
              <w:tl2br w:val="nil"/>
              <w:tr2bl w:val="nil"/>
            </w:tcBorders>
            <w:vAlign w:val="center"/>
          </w:tcPr>
          <w:p w14:paraId="25D2DD8F" w14:textId="77777777" w:rsidR="002E0859" w:rsidRDefault="002E0859">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539EA478" w14:textId="77777777">
        <w:trPr>
          <w:trHeight w:val="23"/>
          <w:jc w:val="center"/>
        </w:trPr>
        <w:tc>
          <w:tcPr>
            <w:tcW w:w="593" w:type="pct"/>
            <w:tcBorders>
              <w:tl2br w:val="nil"/>
              <w:tr2bl w:val="nil"/>
            </w:tcBorders>
            <w:vAlign w:val="center"/>
          </w:tcPr>
          <w:p w14:paraId="4CB6CB8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2602" w:type="pct"/>
            <w:tcBorders>
              <w:tl2br w:val="nil"/>
              <w:tr2bl w:val="nil"/>
            </w:tcBorders>
            <w:vAlign w:val="center"/>
          </w:tcPr>
          <w:p w14:paraId="1BAAB85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灭火器箱</w:t>
            </w:r>
            <w:r>
              <w:rPr>
                <w:snapToGrid w:val="0"/>
                <w:color w:val="000000" w:themeColor="text1"/>
                <w:kern w:val="0"/>
                <w:sz w:val="21"/>
                <w:szCs w:val="21"/>
                <w:lang w:eastAsia="en-US"/>
              </w:rPr>
              <w:t>XMDDD32</w:t>
            </w:r>
            <w:r>
              <w:rPr>
                <w:snapToGrid w:val="0"/>
                <w:color w:val="000000" w:themeColor="text1"/>
                <w:kern w:val="0"/>
                <w:sz w:val="21"/>
                <w:szCs w:val="21"/>
                <w:lang w:eastAsia="en-US"/>
              </w:rPr>
              <w:t>型</w:t>
            </w:r>
          </w:p>
        </w:tc>
        <w:tc>
          <w:tcPr>
            <w:tcW w:w="710" w:type="pct"/>
            <w:tcBorders>
              <w:tl2br w:val="nil"/>
              <w:tr2bl w:val="nil"/>
            </w:tcBorders>
            <w:vAlign w:val="center"/>
          </w:tcPr>
          <w:p w14:paraId="7F6D865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r>
              <w:rPr>
                <w:snapToGrid w:val="0"/>
                <w:color w:val="000000" w:themeColor="text1"/>
                <w:kern w:val="0"/>
                <w:sz w:val="21"/>
                <w:szCs w:val="21"/>
                <w:lang w:eastAsia="en-US"/>
              </w:rPr>
              <w:t>个</w:t>
            </w:r>
          </w:p>
        </w:tc>
        <w:tc>
          <w:tcPr>
            <w:tcW w:w="1094" w:type="pct"/>
            <w:tcBorders>
              <w:tl2br w:val="nil"/>
              <w:tr2bl w:val="nil"/>
            </w:tcBorders>
            <w:vAlign w:val="center"/>
          </w:tcPr>
          <w:p w14:paraId="27C88B8F" w14:textId="77777777" w:rsidR="002E0859" w:rsidRDefault="002E0859">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0818804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采暖及通风</w:t>
      </w:r>
    </w:p>
    <w:p w14:paraId="2EFE518E"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集气站为无人值守站，站内房屋建筑为仪控室和配电室，采用自然通风。项目对脱水站、供水泵站配电室、化验间、卫生间采取了机械通风、自然通风的设计。</w:t>
      </w:r>
    </w:p>
    <w:p w14:paraId="6D8B70AD" w14:textId="77777777" w:rsidR="002E0859" w:rsidRDefault="00000000">
      <w:pPr>
        <w:numPr>
          <w:ilvl w:val="2"/>
          <w:numId w:val="1"/>
        </w:numPr>
        <w:spacing w:line="360" w:lineRule="auto"/>
        <w:ind w:left="0" w:firstLineChars="0"/>
        <w:outlineLvl w:val="2"/>
        <w:rPr>
          <w:rFonts w:eastAsia="黑体"/>
          <w:bCs/>
          <w:color w:val="000000" w:themeColor="text1"/>
          <w:sz w:val="24"/>
          <w:szCs w:val="24"/>
        </w:rPr>
      </w:pPr>
      <w:r>
        <w:rPr>
          <w:rFonts w:eastAsia="黑体" w:hint="eastAsia"/>
          <w:bCs/>
          <w:color w:val="000000" w:themeColor="text1"/>
          <w:sz w:val="24"/>
          <w:szCs w:val="24"/>
        </w:rPr>
        <w:t>道路</w:t>
      </w:r>
    </w:p>
    <w:p w14:paraId="196E909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本次焦石坝区块焦页</w:t>
      </w:r>
      <w:r>
        <w:rPr>
          <w:color w:val="000000" w:themeColor="text1"/>
          <w:kern w:val="0"/>
          <w:sz w:val="24"/>
          <w:szCs w:val="24"/>
          <w:lang w:eastAsia="en-US"/>
        </w:rPr>
        <w:t>90</w:t>
      </w:r>
      <w:r>
        <w:rPr>
          <w:color w:val="000000" w:themeColor="text1"/>
          <w:kern w:val="0"/>
          <w:sz w:val="24"/>
          <w:szCs w:val="24"/>
          <w:lang w:eastAsia="en-US"/>
        </w:rPr>
        <w:t>号井组共计</w:t>
      </w:r>
      <w:r>
        <w:rPr>
          <w:color w:val="000000" w:themeColor="text1"/>
          <w:kern w:val="0"/>
          <w:sz w:val="24"/>
          <w:szCs w:val="24"/>
          <w:lang w:eastAsia="en-US"/>
        </w:rPr>
        <w:t>1</w:t>
      </w:r>
      <w:r>
        <w:rPr>
          <w:color w:val="000000" w:themeColor="text1"/>
          <w:kern w:val="0"/>
          <w:sz w:val="24"/>
          <w:szCs w:val="24"/>
          <w:lang w:eastAsia="en-US"/>
        </w:rPr>
        <w:t>个平台：道路工程主要为焦页</w:t>
      </w:r>
      <w:r>
        <w:rPr>
          <w:color w:val="000000" w:themeColor="text1"/>
          <w:kern w:val="0"/>
          <w:sz w:val="24"/>
          <w:szCs w:val="24"/>
          <w:lang w:eastAsia="en-US"/>
        </w:rPr>
        <w:t>90</w:t>
      </w:r>
      <w:r>
        <w:rPr>
          <w:color w:val="000000" w:themeColor="text1"/>
          <w:kern w:val="0"/>
          <w:sz w:val="24"/>
          <w:szCs w:val="24"/>
          <w:lang w:eastAsia="en-US"/>
        </w:rPr>
        <w:t>平台进场道路破损面的维修。</w:t>
      </w:r>
    </w:p>
    <w:p w14:paraId="41AEA2F0"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lang w:eastAsia="en-US"/>
        </w:rPr>
        <w:t>设计内容</w:t>
      </w:r>
    </w:p>
    <w:p w14:paraId="63ADAB19"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焦页</w:t>
      </w:r>
      <w:r>
        <w:rPr>
          <w:color w:val="000000" w:themeColor="text1"/>
          <w:kern w:val="0"/>
          <w:sz w:val="24"/>
          <w:szCs w:val="24"/>
          <w:lang w:eastAsia="en-US"/>
        </w:rPr>
        <w:t>90#</w:t>
      </w:r>
      <w:r>
        <w:rPr>
          <w:color w:val="000000" w:themeColor="text1"/>
          <w:kern w:val="0"/>
          <w:sz w:val="24"/>
          <w:szCs w:val="24"/>
          <w:lang w:eastAsia="en-US"/>
        </w:rPr>
        <w:t>平台的进站道路维修。</w:t>
      </w:r>
    </w:p>
    <w:p w14:paraId="1889DD1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站外道路维修情况：焦页</w:t>
      </w:r>
      <w:r>
        <w:rPr>
          <w:color w:val="000000" w:themeColor="text1"/>
          <w:kern w:val="0"/>
          <w:sz w:val="24"/>
          <w:szCs w:val="24"/>
          <w:lang w:eastAsia="en-US"/>
        </w:rPr>
        <w:t>90</w:t>
      </w:r>
      <w:r>
        <w:rPr>
          <w:color w:val="000000" w:themeColor="text1"/>
          <w:kern w:val="0"/>
          <w:sz w:val="24"/>
          <w:szCs w:val="24"/>
          <w:lang w:eastAsia="en-US"/>
        </w:rPr>
        <w:t>号平台进场道路为混凝土路面，路面现状整体良好，其中部分转弯及雨毁段路面破损严重，需要对其进行开挖破除后重新浇筑维修，需维修总长约为</w:t>
      </w:r>
      <w:r>
        <w:rPr>
          <w:color w:val="000000" w:themeColor="text1"/>
          <w:kern w:val="0"/>
          <w:sz w:val="24"/>
          <w:szCs w:val="24"/>
          <w:lang w:eastAsia="en-US"/>
        </w:rPr>
        <w:t>0.21km</w:t>
      </w:r>
      <w:r>
        <w:rPr>
          <w:color w:val="000000" w:themeColor="text1"/>
          <w:kern w:val="0"/>
          <w:sz w:val="24"/>
          <w:szCs w:val="24"/>
          <w:lang w:eastAsia="en-US"/>
        </w:rPr>
        <w:t>，路宽平均</w:t>
      </w:r>
      <w:r>
        <w:rPr>
          <w:color w:val="000000" w:themeColor="text1"/>
          <w:kern w:val="0"/>
          <w:sz w:val="24"/>
          <w:szCs w:val="24"/>
          <w:lang w:eastAsia="en-US"/>
        </w:rPr>
        <w:t>4m</w:t>
      </w:r>
      <w:r>
        <w:rPr>
          <w:color w:val="000000" w:themeColor="text1"/>
          <w:kern w:val="0"/>
          <w:sz w:val="24"/>
          <w:szCs w:val="24"/>
          <w:lang w:eastAsia="en-US"/>
        </w:rPr>
        <w:t>，维修面积</w:t>
      </w:r>
      <w:r>
        <w:rPr>
          <w:color w:val="000000" w:themeColor="text1"/>
          <w:kern w:val="0"/>
          <w:sz w:val="24"/>
          <w:szCs w:val="24"/>
          <w:lang w:eastAsia="en-US"/>
        </w:rPr>
        <w:t>840</w:t>
      </w:r>
      <w:r>
        <w:rPr>
          <w:rFonts w:hint="eastAsia"/>
          <w:color w:val="000000" w:themeColor="text1"/>
          <w:kern w:val="0"/>
          <w:sz w:val="24"/>
          <w:szCs w:val="24"/>
        </w:rPr>
        <w:t>㎡</w:t>
      </w:r>
      <w:r>
        <w:rPr>
          <w:color w:val="000000" w:themeColor="text1"/>
          <w:kern w:val="0"/>
          <w:sz w:val="24"/>
          <w:szCs w:val="24"/>
          <w:lang w:eastAsia="en-US"/>
        </w:rPr>
        <w:t>。</w:t>
      </w:r>
    </w:p>
    <w:p w14:paraId="7BF36A42"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路面结构为：</w:t>
      </w:r>
      <w:r>
        <w:rPr>
          <w:color w:val="000000" w:themeColor="text1"/>
          <w:kern w:val="0"/>
          <w:sz w:val="24"/>
          <w:szCs w:val="24"/>
          <w:lang w:eastAsia="en-US"/>
        </w:rPr>
        <w:t>C30</w:t>
      </w:r>
      <w:r>
        <w:rPr>
          <w:color w:val="000000" w:themeColor="text1"/>
          <w:kern w:val="0"/>
          <w:sz w:val="24"/>
          <w:szCs w:val="24"/>
          <w:lang w:eastAsia="en-US"/>
        </w:rPr>
        <w:t>混凝土</w:t>
      </w:r>
      <w:r>
        <w:rPr>
          <w:color w:val="000000" w:themeColor="text1"/>
          <w:kern w:val="0"/>
          <w:sz w:val="24"/>
          <w:szCs w:val="24"/>
          <w:lang w:eastAsia="en-US"/>
        </w:rPr>
        <w:t>20cm+</w:t>
      </w:r>
      <w:r>
        <w:rPr>
          <w:color w:val="000000" w:themeColor="text1"/>
          <w:kern w:val="0"/>
          <w:sz w:val="24"/>
          <w:szCs w:val="24"/>
          <w:lang w:eastAsia="en-US"/>
        </w:rPr>
        <w:t>级配碎石</w:t>
      </w:r>
      <w:r>
        <w:rPr>
          <w:color w:val="000000" w:themeColor="text1"/>
          <w:kern w:val="0"/>
          <w:sz w:val="24"/>
          <w:szCs w:val="24"/>
          <w:lang w:eastAsia="en-US"/>
        </w:rPr>
        <w:t>10cm+</w:t>
      </w:r>
      <w:r>
        <w:rPr>
          <w:color w:val="000000" w:themeColor="text1"/>
          <w:kern w:val="0"/>
          <w:sz w:val="24"/>
          <w:szCs w:val="24"/>
          <w:lang w:eastAsia="en-US"/>
        </w:rPr>
        <w:t>切除破损混凝土板。</w:t>
      </w:r>
    </w:p>
    <w:p w14:paraId="44405AF1"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lastRenderedPageBreak/>
        <w:t>2</w:t>
      </w:r>
      <w:r>
        <w:rPr>
          <w:rFonts w:hint="eastAsia"/>
          <w:color w:val="000000" w:themeColor="text1"/>
          <w:kern w:val="0"/>
          <w:sz w:val="24"/>
          <w:szCs w:val="24"/>
        </w:rPr>
        <w:t>、</w:t>
      </w:r>
      <w:r>
        <w:rPr>
          <w:color w:val="000000" w:themeColor="text1"/>
          <w:kern w:val="0"/>
          <w:sz w:val="24"/>
          <w:szCs w:val="24"/>
          <w:lang w:eastAsia="en-US"/>
        </w:rPr>
        <w:t>主要工程数量表</w:t>
      </w:r>
    </w:p>
    <w:p w14:paraId="73ED97DB" w14:textId="77777777" w:rsidR="002E0859" w:rsidRDefault="002E0859">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p>
    <w:p w14:paraId="7CE79142" w14:textId="77777777" w:rsidR="002E0859" w:rsidRDefault="00000000">
      <w:pPr>
        <w:kinsoku w:val="0"/>
        <w:autoSpaceDE w:val="0"/>
        <w:autoSpaceDN w:val="0"/>
        <w:spacing w:line="240" w:lineRule="auto"/>
        <w:ind w:firstLineChars="0" w:firstLine="0"/>
        <w:jc w:val="center"/>
        <w:textAlignment w:val="baseline"/>
        <w:rPr>
          <w:rFonts w:ascii="黑体" w:eastAsia="黑体" w:hAnsi="黑体" w:cs="黑体"/>
          <w:snapToGrid w:val="0"/>
          <w:color w:val="000000" w:themeColor="text1"/>
          <w:kern w:val="0"/>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2.8-8 </w:t>
      </w:r>
      <w:r>
        <w:rPr>
          <w:rFonts w:eastAsia="黑体"/>
          <w:color w:val="000000" w:themeColor="text1"/>
          <w:sz w:val="21"/>
          <w:szCs w:val="21"/>
          <w:lang w:eastAsia="en-US"/>
        </w:rPr>
        <w:t>主要工程数量表</w:t>
      </w:r>
    </w:p>
    <w:tbl>
      <w:tblPr>
        <w:tblStyle w:val="TableNormal"/>
        <w:tblW w:w="8653"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470"/>
        <w:gridCol w:w="1653"/>
        <w:gridCol w:w="1840"/>
        <w:gridCol w:w="1842"/>
        <w:gridCol w:w="1848"/>
      </w:tblGrid>
      <w:tr w:rsidR="002E0859" w14:paraId="5401B5F9" w14:textId="77777777">
        <w:trPr>
          <w:trHeight w:val="23"/>
          <w:jc w:val="center"/>
        </w:trPr>
        <w:tc>
          <w:tcPr>
            <w:tcW w:w="1470" w:type="dxa"/>
            <w:tcBorders>
              <w:tl2br w:val="nil"/>
              <w:tr2bl w:val="nil"/>
            </w:tcBorders>
            <w:vAlign w:val="center"/>
          </w:tcPr>
          <w:p w14:paraId="5ABC95F9"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井组</w:t>
            </w:r>
          </w:p>
        </w:tc>
        <w:tc>
          <w:tcPr>
            <w:tcW w:w="1653" w:type="dxa"/>
            <w:tcBorders>
              <w:tl2br w:val="nil"/>
              <w:tr2bl w:val="nil"/>
            </w:tcBorders>
            <w:vAlign w:val="center"/>
          </w:tcPr>
          <w:p w14:paraId="0FD25B2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平台</w:t>
            </w:r>
          </w:p>
        </w:tc>
        <w:tc>
          <w:tcPr>
            <w:tcW w:w="1840" w:type="dxa"/>
            <w:tcBorders>
              <w:tl2br w:val="nil"/>
              <w:tr2bl w:val="nil"/>
            </w:tcBorders>
            <w:vAlign w:val="center"/>
          </w:tcPr>
          <w:p w14:paraId="1400D8D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维修长度（</w:t>
            </w:r>
            <w:r>
              <w:rPr>
                <w:snapToGrid w:val="0"/>
                <w:color w:val="000000" w:themeColor="text1"/>
                <w:kern w:val="0"/>
                <w:sz w:val="21"/>
                <w:szCs w:val="21"/>
                <w:lang w:eastAsia="en-US"/>
              </w:rPr>
              <w:t>m</w:t>
            </w:r>
            <w:r>
              <w:rPr>
                <w:snapToGrid w:val="0"/>
                <w:color w:val="000000" w:themeColor="text1"/>
                <w:kern w:val="0"/>
                <w:sz w:val="21"/>
                <w:szCs w:val="21"/>
                <w:lang w:eastAsia="en-US"/>
              </w:rPr>
              <w:t>）</w:t>
            </w:r>
          </w:p>
        </w:tc>
        <w:tc>
          <w:tcPr>
            <w:tcW w:w="1842" w:type="dxa"/>
            <w:tcBorders>
              <w:tl2br w:val="nil"/>
              <w:tr2bl w:val="nil"/>
            </w:tcBorders>
            <w:vAlign w:val="center"/>
          </w:tcPr>
          <w:p w14:paraId="7F8C785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维修宽度</w:t>
            </w:r>
            <w:r>
              <w:rPr>
                <w:snapToGrid w:val="0"/>
                <w:color w:val="000000" w:themeColor="text1"/>
                <w:kern w:val="0"/>
                <w:sz w:val="21"/>
                <w:szCs w:val="21"/>
                <w:lang w:eastAsia="en-US"/>
              </w:rPr>
              <w:t>(m)</w:t>
            </w:r>
          </w:p>
        </w:tc>
        <w:tc>
          <w:tcPr>
            <w:tcW w:w="1848" w:type="dxa"/>
            <w:tcBorders>
              <w:tl2br w:val="nil"/>
              <w:tr2bl w:val="nil"/>
            </w:tcBorders>
            <w:vAlign w:val="center"/>
          </w:tcPr>
          <w:p w14:paraId="4AF27F1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维修面积</w:t>
            </w:r>
            <w:r>
              <w:rPr>
                <w:snapToGrid w:val="0"/>
                <w:color w:val="000000" w:themeColor="text1"/>
                <w:kern w:val="0"/>
                <w:sz w:val="21"/>
                <w:szCs w:val="21"/>
                <w:lang w:eastAsia="en-US"/>
              </w:rPr>
              <w:t>(</w:t>
            </w:r>
            <w:r>
              <w:rPr>
                <w:snapToGrid w:val="0"/>
                <w:color w:val="000000" w:themeColor="text1"/>
                <w:kern w:val="0"/>
                <w:sz w:val="21"/>
                <w:szCs w:val="21"/>
                <w:lang w:eastAsia="en-US"/>
              </w:rPr>
              <w:t>㎡</w:t>
            </w:r>
            <w:r>
              <w:rPr>
                <w:snapToGrid w:val="0"/>
                <w:color w:val="000000" w:themeColor="text1"/>
                <w:kern w:val="0"/>
                <w:sz w:val="21"/>
                <w:szCs w:val="21"/>
                <w:lang w:eastAsia="en-US"/>
              </w:rPr>
              <w:t>)</w:t>
            </w:r>
          </w:p>
        </w:tc>
      </w:tr>
      <w:tr w:rsidR="002E0859" w14:paraId="7703064F" w14:textId="77777777">
        <w:trPr>
          <w:trHeight w:val="23"/>
          <w:jc w:val="center"/>
        </w:trPr>
        <w:tc>
          <w:tcPr>
            <w:tcW w:w="1470" w:type="dxa"/>
            <w:tcBorders>
              <w:tl2br w:val="nil"/>
              <w:tr2bl w:val="nil"/>
            </w:tcBorders>
            <w:vAlign w:val="center"/>
          </w:tcPr>
          <w:p w14:paraId="60AEE28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90</w:t>
            </w:r>
            <w:r>
              <w:rPr>
                <w:snapToGrid w:val="0"/>
                <w:color w:val="000000" w:themeColor="text1"/>
                <w:kern w:val="0"/>
                <w:sz w:val="21"/>
                <w:szCs w:val="21"/>
                <w:lang w:eastAsia="en-US"/>
              </w:rPr>
              <w:t>号井组</w:t>
            </w:r>
          </w:p>
        </w:tc>
        <w:tc>
          <w:tcPr>
            <w:tcW w:w="1653" w:type="dxa"/>
            <w:tcBorders>
              <w:tl2br w:val="nil"/>
              <w:tr2bl w:val="nil"/>
            </w:tcBorders>
            <w:vAlign w:val="center"/>
          </w:tcPr>
          <w:p w14:paraId="3035436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90</w:t>
            </w:r>
            <w:r>
              <w:rPr>
                <w:snapToGrid w:val="0"/>
                <w:color w:val="000000" w:themeColor="text1"/>
                <w:kern w:val="0"/>
                <w:sz w:val="21"/>
                <w:szCs w:val="21"/>
                <w:lang w:eastAsia="en-US"/>
              </w:rPr>
              <w:t>平台</w:t>
            </w:r>
          </w:p>
        </w:tc>
        <w:tc>
          <w:tcPr>
            <w:tcW w:w="1840" w:type="dxa"/>
            <w:tcBorders>
              <w:tl2br w:val="nil"/>
              <w:tr2bl w:val="nil"/>
            </w:tcBorders>
            <w:vAlign w:val="center"/>
          </w:tcPr>
          <w:p w14:paraId="0668025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210</w:t>
            </w:r>
          </w:p>
        </w:tc>
        <w:tc>
          <w:tcPr>
            <w:tcW w:w="1842" w:type="dxa"/>
            <w:tcBorders>
              <w:tl2br w:val="nil"/>
              <w:tr2bl w:val="nil"/>
            </w:tcBorders>
            <w:vAlign w:val="center"/>
          </w:tcPr>
          <w:p w14:paraId="5F2E8C5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848" w:type="dxa"/>
            <w:tcBorders>
              <w:tl2br w:val="nil"/>
              <w:tr2bl w:val="nil"/>
            </w:tcBorders>
            <w:vAlign w:val="center"/>
          </w:tcPr>
          <w:p w14:paraId="17CB8D9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840</w:t>
            </w:r>
          </w:p>
        </w:tc>
      </w:tr>
    </w:tbl>
    <w:p w14:paraId="4A15F098"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建构筑物</w:t>
      </w:r>
    </w:p>
    <w:p w14:paraId="46BBE6A3" w14:textId="77777777" w:rsidR="002E0859" w:rsidRDefault="00000000">
      <w:pPr>
        <w:spacing w:line="360" w:lineRule="auto"/>
        <w:ind w:firstLine="480"/>
        <w:rPr>
          <w:color w:val="000000" w:themeColor="text1"/>
          <w:kern w:val="0"/>
          <w:sz w:val="24"/>
          <w:szCs w:val="24"/>
        </w:rPr>
      </w:pP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rPr>
        <w:t>结构设计原则</w:t>
      </w:r>
    </w:p>
    <w:p w14:paraId="318BD8E0" w14:textId="77777777" w:rsidR="002E0859" w:rsidRDefault="00000000">
      <w:pPr>
        <w:spacing w:line="360" w:lineRule="auto"/>
        <w:ind w:firstLine="480"/>
        <w:rPr>
          <w:color w:val="000000" w:themeColor="text1"/>
          <w:kern w:val="0"/>
          <w:sz w:val="24"/>
          <w:szCs w:val="24"/>
        </w:rPr>
      </w:pPr>
      <w:r>
        <w:rPr>
          <w:color w:val="000000" w:themeColor="text1"/>
          <w:kern w:val="0"/>
          <w:sz w:val="24"/>
          <w:szCs w:val="24"/>
        </w:rPr>
        <w:t>所有建</w:t>
      </w:r>
      <w:r>
        <w:rPr>
          <w:color w:val="000000" w:themeColor="text1"/>
          <w:kern w:val="0"/>
          <w:sz w:val="24"/>
          <w:szCs w:val="24"/>
        </w:rPr>
        <w:t>(</w:t>
      </w:r>
      <w:r>
        <w:rPr>
          <w:color w:val="000000" w:themeColor="text1"/>
          <w:kern w:val="0"/>
          <w:sz w:val="24"/>
          <w:szCs w:val="24"/>
        </w:rPr>
        <w:t>构</w:t>
      </w:r>
      <w:r>
        <w:rPr>
          <w:color w:val="000000" w:themeColor="text1"/>
          <w:kern w:val="0"/>
          <w:sz w:val="24"/>
          <w:szCs w:val="24"/>
        </w:rPr>
        <w:t>)</w:t>
      </w:r>
      <w:r>
        <w:rPr>
          <w:color w:val="000000" w:themeColor="text1"/>
          <w:kern w:val="0"/>
          <w:sz w:val="24"/>
          <w:szCs w:val="24"/>
        </w:rPr>
        <w:t>筑物结构设计首先满足建</w:t>
      </w:r>
      <w:r>
        <w:rPr>
          <w:rFonts w:hint="eastAsia"/>
          <w:color w:val="000000" w:themeColor="text1"/>
          <w:kern w:val="0"/>
          <w:sz w:val="24"/>
          <w:szCs w:val="24"/>
        </w:rPr>
        <w:t>（</w:t>
      </w:r>
      <w:r>
        <w:rPr>
          <w:color w:val="000000" w:themeColor="text1"/>
          <w:kern w:val="0"/>
          <w:sz w:val="24"/>
          <w:szCs w:val="24"/>
        </w:rPr>
        <w:t>构</w:t>
      </w:r>
      <w:r>
        <w:rPr>
          <w:rFonts w:hint="eastAsia"/>
          <w:color w:val="000000" w:themeColor="text1"/>
          <w:kern w:val="0"/>
          <w:sz w:val="24"/>
          <w:szCs w:val="24"/>
        </w:rPr>
        <w:t>）</w:t>
      </w:r>
      <w:r>
        <w:rPr>
          <w:color w:val="000000" w:themeColor="text1"/>
          <w:kern w:val="0"/>
          <w:sz w:val="24"/>
          <w:szCs w:val="24"/>
        </w:rPr>
        <w:t>筑物结构设计安全适用、经济合理、确保质量的要求，同时满足设备安装、运行、维修与管理的要求。</w:t>
      </w:r>
    </w:p>
    <w:p w14:paraId="5D0BE529" w14:textId="77777777" w:rsidR="002E0859" w:rsidRDefault="00000000">
      <w:pPr>
        <w:spacing w:line="360" w:lineRule="auto"/>
        <w:ind w:firstLine="480"/>
        <w:rPr>
          <w:color w:val="000000" w:themeColor="text1"/>
          <w:kern w:val="0"/>
          <w:sz w:val="24"/>
          <w:szCs w:val="24"/>
        </w:rPr>
      </w:pP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rPr>
        <w:t>结构设计基本数据</w:t>
      </w:r>
    </w:p>
    <w:p w14:paraId="2C63434B" w14:textId="77777777" w:rsidR="002E0859" w:rsidRDefault="00000000">
      <w:pPr>
        <w:spacing w:line="360" w:lineRule="auto"/>
        <w:ind w:firstLine="480"/>
        <w:rPr>
          <w:color w:val="000000" w:themeColor="text1"/>
          <w:kern w:val="0"/>
          <w:sz w:val="24"/>
          <w:szCs w:val="24"/>
        </w:rPr>
      </w:pPr>
      <w:r>
        <w:rPr>
          <w:rFonts w:hint="eastAsia"/>
          <w:color w:val="000000" w:themeColor="text1"/>
          <w:kern w:val="0"/>
          <w:sz w:val="24"/>
          <w:szCs w:val="24"/>
        </w:rPr>
        <w:t>（</w:t>
      </w: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rPr>
        <w:t>根据《建筑结构可靠性设计统一标准》（</w:t>
      </w:r>
      <w:r>
        <w:rPr>
          <w:color w:val="000000" w:themeColor="text1"/>
          <w:kern w:val="0"/>
          <w:sz w:val="24"/>
          <w:szCs w:val="24"/>
        </w:rPr>
        <w:t>GB50068-2018</w:t>
      </w:r>
      <w:r>
        <w:rPr>
          <w:color w:val="000000" w:themeColor="text1"/>
          <w:kern w:val="0"/>
          <w:sz w:val="24"/>
          <w:szCs w:val="24"/>
        </w:rPr>
        <w:t>）的要求，本工程建（构）筑物的建筑结构的安全等级为二级，主体结构设计工作年限为</w:t>
      </w:r>
      <w:r>
        <w:rPr>
          <w:color w:val="000000" w:themeColor="text1"/>
          <w:kern w:val="0"/>
          <w:sz w:val="24"/>
          <w:szCs w:val="24"/>
        </w:rPr>
        <w:t>50</w:t>
      </w:r>
      <w:r>
        <w:rPr>
          <w:color w:val="000000" w:themeColor="text1"/>
          <w:kern w:val="0"/>
          <w:sz w:val="24"/>
          <w:szCs w:val="24"/>
        </w:rPr>
        <w:t>年；</w:t>
      </w:r>
    </w:p>
    <w:p w14:paraId="77194F36"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根据《建筑地基基础设计规范》（</w:t>
      </w:r>
      <w:r>
        <w:rPr>
          <w:color w:val="000000" w:themeColor="text1"/>
          <w:kern w:val="0"/>
          <w:sz w:val="24"/>
          <w:szCs w:val="24"/>
          <w:lang w:eastAsia="en-US"/>
        </w:rPr>
        <w:t>GB50007-2011</w:t>
      </w:r>
      <w:r>
        <w:rPr>
          <w:color w:val="000000" w:themeColor="text1"/>
          <w:kern w:val="0"/>
          <w:sz w:val="24"/>
          <w:szCs w:val="24"/>
          <w:lang w:eastAsia="en-US"/>
        </w:rPr>
        <w:t>），地基基础设计等级为丙级；</w:t>
      </w:r>
    </w:p>
    <w:p w14:paraId="2100C8F3"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3</w:t>
      </w:r>
      <w:r>
        <w:rPr>
          <w:rFonts w:hint="eastAsia"/>
          <w:color w:val="000000" w:themeColor="text1"/>
          <w:kern w:val="0"/>
          <w:sz w:val="24"/>
          <w:szCs w:val="24"/>
        </w:rPr>
        <w:t>）</w:t>
      </w:r>
      <w:r>
        <w:rPr>
          <w:color w:val="000000" w:themeColor="text1"/>
          <w:kern w:val="0"/>
          <w:sz w:val="24"/>
          <w:szCs w:val="24"/>
          <w:lang w:eastAsia="en-US"/>
        </w:rPr>
        <w:t>根据《建筑抗震设计规范》（</w:t>
      </w:r>
      <w:r>
        <w:rPr>
          <w:color w:val="000000" w:themeColor="text1"/>
          <w:kern w:val="0"/>
          <w:sz w:val="24"/>
          <w:szCs w:val="24"/>
          <w:lang w:eastAsia="en-US"/>
        </w:rPr>
        <w:t>GB50011-2010-2016</w:t>
      </w:r>
      <w:r>
        <w:rPr>
          <w:color w:val="000000" w:themeColor="text1"/>
          <w:kern w:val="0"/>
          <w:sz w:val="24"/>
          <w:szCs w:val="24"/>
          <w:lang w:eastAsia="en-US"/>
        </w:rPr>
        <w:t>年版），站内建（构）筑物抗震设防烈度为</w:t>
      </w:r>
      <w:r>
        <w:rPr>
          <w:color w:val="000000" w:themeColor="text1"/>
          <w:kern w:val="0"/>
          <w:sz w:val="24"/>
          <w:szCs w:val="24"/>
          <w:lang w:eastAsia="en-US"/>
        </w:rPr>
        <w:t>6</w:t>
      </w:r>
      <w:r>
        <w:rPr>
          <w:color w:val="000000" w:themeColor="text1"/>
          <w:kern w:val="0"/>
          <w:sz w:val="24"/>
          <w:szCs w:val="24"/>
          <w:lang w:eastAsia="en-US"/>
        </w:rPr>
        <w:t>度，设计地震分组为第一组，设计基本地震加速度</w:t>
      </w:r>
      <w:r>
        <w:rPr>
          <w:color w:val="000000" w:themeColor="text1"/>
          <w:kern w:val="0"/>
          <w:sz w:val="24"/>
          <w:szCs w:val="24"/>
          <w:lang w:eastAsia="en-US"/>
        </w:rPr>
        <w:t>0.05g</w:t>
      </w:r>
      <w:r>
        <w:rPr>
          <w:color w:val="000000" w:themeColor="text1"/>
          <w:kern w:val="0"/>
          <w:sz w:val="24"/>
          <w:szCs w:val="24"/>
          <w:lang w:eastAsia="en-US"/>
        </w:rPr>
        <w:t>；</w:t>
      </w:r>
    </w:p>
    <w:p w14:paraId="3629CF58"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4</w:t>
      </w:r>
      <w:r>
        <w:rPr>
          <w:rFonts w:hint="eastAsia"/>
          <w:color w:val="000000" w:themeColor="text1"/>
          <w:kern w:val="0"/>
          <w:sz w:val="24"/>
          <w:szCs w:val="24"/>
        </w:rPr>
        <w:t>）</w:t>
      </w:r>
      <w:r>
        <w:rPr>
          <w:color w:val="000000" w:themeColor="text1"/>
          <w:kern w:val="0"/>
          <w:sz w:val="24"/>
          <w:szCs w:val="24"/>
          <w:lang w:eastAsia="en-US"/>
        </w:rPr>
        <w:t>根据《建筑工程抗震设防分类标准》（</w:t>
      </w:r>
      <w:r>
        <w:rPr>
          <w:color w:val="000000" w:themeColor="text1"/>
          <w:kern w:val="0"/>
          <w:sz w:val="24"/>
          <w:szCs w:val="24"/>
          <w:lang w:eastAsia="en-US"/>
        </w:rPr>
        <w:t>GB50223-2008</w:t>
      </w:r>
      <w:r>
        <w:rPr>
          <w:color w:val="000000" w:themeColor="text1"/>
          <w:kern w:val="0"/>
          <w:sz w:val="24"/>
          <w:szCs w:val="24"/>
          <w:lang w:eastAsia="en-US"/>
        </w:rPr>
        <w:t>）及《石油化工建（构）筑物抗震设防分类标准》（</w:t>
      </w:r>
      <w:r>
        <w:rPr>
          <w:color w:val="000000" w:themeColor="text1"/>
          <w:kern w:val="0"/>
          <w:sz w:val="24"/>
          <w:szCs w:val="24"/>
          <w:lang w:eastAsia="en-US"/>
        </w:rPr>
        <w:t>GB50453-2008</w:t>
      </w:r>
      <w:r>
        <w:rPr>
          <w:color w:val="000000" w:themeColor="text1"/>
          <w:kern w:val="0"/>
          <w:sz w:val="24"/>
          <w:szCs w:val="24"/>
          <w:lang w:eastAsia="en-US"/>
        </w:rPr>
        <w:t>），站内建（构）筑物抗震设防分为标准设防类及适度设防类，简称丙类及丁类；</w:t>
      </w:r>
    </w:p>
    <w:p w14:paraId="7D043E3A"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5</w:t>
      </w:r>
      <w:r>
        <w:rPr>
          <w:rFonts w:hint="eastAsia"/>
          <w:color w:val="000000" w:themeColor="text1"/>
          <w:kern w:val="0"/>
          <w:sz w:val="24"/>
          <w:szCs w:val="24"/>
        </w:rPr>
        <w:t>）</w:t>
      </w:r>
      <w:r>
        <w:rPr>
          <w:color w:val="000000" w:themeColor="text1"/>
          <w:kern w:val="0"/>
          <w:sz w:val="24"/>
          <w:szCs w:val="24"/>
          <w:lang w:eastAsia="en-US"/>
        </w:rPr>
        <w:t>根据《建筑结构荷载规范》（</w:t>
      </w:r>
      <w:r>
        <w:rPr>
          <w:color w:val="000000" w:themeColor="text1"/>
          <w:kern w:val="0"/>
          <w:sz w:val="24"/>
          <w:szCs w:val="24"/>
          <w:lang w:eastAsia="en-US"/>
        </w:rPr>
        <w:t>GB50009-2012</w:t>
      </w:r>
      <w:r>
        <w:rPr>
          <w:color w:val="000000" w:themeColor="text1"/>
          <w:kern w:val="0"/>
          <w:sz w:val="24"/>
          <w:szCs w:val="24"/>
          <w:lang w:eastAsia="en-US"/>
        </w:rPr>
        <w:t>），各站场的建构筑物基本风压、雪压按</w:t>
      </w:r>
      <w:r>
        <w:rPr>
          <w:color w:val="000000" w:themeColor="text1"/>
          <w:kern w:val="0"/>
          <w:sz w:val="24"/>
          <w:szCs w:val="24"/>
          <w:lang w:eastAsia="en-US"/>
        </w:rPr>
        <w:t>n=50</w:t>
      </w:r>
      <w:r>
        <w:rPr>
          <w:color w:val="000000" w:themeColor="text1"/>
          <w:kern w:val="0"/>
          <w:sz w:val="24"/>
          <w:szCs w:val="24"/>
          <w:lang w:eastAsia="en-US"/>
        </w:rPr>
        <w:t>年取值，基本风压取</w:t>
      </w:r>
      <w:r>
        <w:rPr>
          <w:color w:val="000000" w:themeColor="text1"/>
          <w:kern w:val="0"/>
          <w:sz w:val="24"/>
          <w:szCs w:val="24"/>
          <w:lang w:eastAsia="en-US"/>
        </w:rPr>
        <w:t>0.30kN/m2</w:t>
      </w:r>
      <w:r>
        <w:rPr>
          <w:color w:val="000000" w:themeColor="text1"/>
          <w:kern w:val="0"/>
          <w:sz w:val="24"/>
          <w:szCs w:val="24"/>
          <w:lang w:eastAsia="en-US"/>
        </w:rPr>
        <w:t>。</w:t>
      </w:r>
    </w:p>
    <w:p w14:paraId="26D4406A"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w:t>
      </w:r>
      <w:r>
        <w:rPr>
          <w:rFonts w:hint="eastAsia"/>
          <w:color w:val="000000" w:themeColor="text1"/>
          <w:kern w:val="0"/>
          <w:sz w:val="24"/>
          <w:szCs w:val="24"/>
        </w:rPr>
        <w:t>6</w:t>
      </w:r>
      <w:r>
        <w:rPr>
          <w:rFonts w:hint="eastAsia"/>
          <w:color w:val="000000" w:themeColor="text1"/>
          <w:kern w:val="0"/>
          <w:sz w:val="24"/>
          <w:szCs w:val="24"/>
        </w:rPr>
        <w:t>）</w:t>
      </w:r>
      <w:r>
        <w:rPr>
          <w:color w:val="000000" w:themeColor="text1"/>
          <w:kern w:val="0"/>
          <w:sz w:val="24"/>
          <w:szCs w:val="24"/>
          <w:lang w:eastAsia="en-US"/>
        </w:rPr>
        <w:t>根据《混凝土结构设计规范》</w:t>
      </w:r>
      <w:r>
        <w:rPr>
          <w:color w:val="000000" w:themeColor="text1"/>
          <w:kern w:val="0"/>
          <w:sz w:val="24"/>
          <w:szCs w:val="24"/>
          <w:lang w:eastAsia="en-US"/>
        </w:rPr>
        <w:t>GB50010-2010</w:t>
      </w:r>
      <w:r>
        <w:rPr>
          <w:color w:val="000000" w:themeColor="text1"/>
          <w:kern w:val="0"/>
          <w:sz w:val="24"/>
          <w:szCs w:val="24"/>
          <w:lang w:eastAsia="en-US"/>
        </w:rPr>
        <w:t>（</w:t>
      </w:r>
      <w:r>
        <w:rPr>
          <w:color w:val="000000" w:themeColor="text1"/>
          <w:kern w:val="0"/>
          <w:sz w:val="24"/>
          <w:szCs w:val="24"/>
          <w:lang w:eastAsia="en-US"/>
        </w:rPr>
        <w:t>2015</w:t>
      </w:r>
      <w:r>
        <w:rPr>
          <w:color w:val="000000" w:themeColor="text1"/>
          <w:kern w:val="0"/>
          <w:sz w:val="24"/>
          <w:szCs w:val="24"/>
          <w:lang w:eastAsia="en-US"/>
        </w:rPr>
        <w:t>年版），本工程站场内各建（构）筑物与土壤直接接触、处于露天且干湿交替环境，混凝土结构的环境类别为二类</w:t>
      </w:r>
      <w:r>
        <w:rPr>
          <w:color w:val="000000" w:themeColor="text1"/>
          <w:kern w:val="0"/>
          <w:sz w:val="24"/>
          <w:szCs w:val="24"/>
          <w:lang w:eastAsia="en-US"/>
        </w:rPr>
        <w:t>b</w:t>
      </w:r>
      <w:r>
        <w:rPr>
          <w:color w:val="000000" w:themeColor="text1"/>
          <w:kern w:val="0"/>
          <w:sz w:val="24"/>
          <w:szCs w:val="24"/>
          <w:lang w:eastAsia="en-US"/>
        </w:rPr>
        <w:t>；结构构件的裂缝控制等级为三级。</w:t>
      </w:r>
    </w:p>
    <w:p w14:paraId="37B7FA66"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3</w:t>
      </w:r>
      <w:r>
        <w:rPr>
          <w:rFonts w:hint="eastAsia"/>
          <w:color w:val="000000" w:themeColor="text1"/>
          <w:kern w:val="0"/>
          <w:sz w:val="24"/>
          <w:szCs w:val="24"/>
        </w:rPr>
        <w:t>、</w:t>
      </w:r>
      <w:r>
        <w:rPr>
          <w:color w:val="000000" w:themeColor="text1"/>
          <w:kern w:val="0"/>
          <w:sz w:val="24"/>
          <w:szCs w:val="24"/>
          <w:lang w:eastAsia="en-US"/>
        </w:rPr>
        <w:t>设计范围</w:t>
      </w:r>
    </w:p>
    <w:p w14:paraId="280DF75E"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本工程结构设计范围主要为站场围墙、设备基础、操作平台等构筑物设计。</w:t>
      </w:r>
    </w:p>
    <w:p w14:paraId="3AD7A299"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t>表</w:t>
      </w:r>
      <w:r>
        <w:rPr>
          <w:rFonts w:eastAsia="黑体" w:hint="eastAsia"/>
          <w:color w:val="000000" w:themeColor="text1"/>
          <w:sz w:val="21"/>
          <w:szCs w:val="21"/>
        </w:rPr>
        <w:t xml:space="preserve">2.8-9 </w:t>
      </w:r>
      <w:r>
        <w:rPr>
          <w:rFonts w:eastAsia="黑体"/>
          <w:color w:val="000000" w:themeColor="text1"/>
          <w:sz w:val="21"/>
          <w:szCs w:val="21"/>
          <w:lang w:eastAsia="en-US"/>
        </w:rPr>
        <w:t>建构筑物特征一览表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79"/>
        <w:gridCol w:w="1933"/>
        <w:gridCol w:w="1930"/>
        <w:gridCol w:w="2252"/>
        <w:gridCol w:w="2256"/>
      </w:tblGrid>
      <w:tr w:rsidR="002E0859" w14:paraId="417989DB" w14:textId="77777777">
        <w:trPr>
          <w:trHeight w:val="23"/>
          <w:jc w:val="center"/>
        </w:trPr>
        <w:tc>
          <w:tcPr>
            <w:tcW w:w="425" w:type="pct"/>
            <w:tcBorders>
              <w:tl2br w:val="nil"/>
              <w:tr2bl w:val="nil"/>
            </w:tcBorders>
            <w:vAlign w:val="center"/>
          </w:tcPr>
          <w:p w14:paraId="7D858C1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序号</w:t>
            </w:r>
          </w:p>
        </w:tc>
        <w:tc>
          <w:tcPr>
            <w:tcW w:w="1056" w:type="pct"/>
            <w:tcBorders>
              <w:tl2br w:val="nil"/>
              <w:tr2bl w:val="nil"/>
            </w:tcBorders>
            <w:vAlign w:val="center"/>
          </w:tcPr>
          <w:p w14:paraId="075B42C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建</w:t>
            </w:r>
            <w:r>
              <w:rPr>
                <w:snapToGrid w:val="0"/>
                <w:color w:val="000000" w:themeColor="text1"/>
                <w:kern w:val="0"/>
                <w:sz w:val="21"/>
                <w:szCs w:val="21"/>
                <w:lang w:eastAsia="en-US"/>
              </w:rPr>
              <w:t>(</w:t>
            </w:r>
            <w:r>
              <w:rPr>
                <w:snapToGrid w:val="0"/>
                <w:color w:val="000000" w:themeColor="text1"/>
                <w:kern w:val="0"/>
                <w:sz w:val="21"/>
                <w:szCs w:val="21"/>
                <w:lang w:eastAsia="en-US"/>
              </w:rPr>
              <w:t>构</w:t>
            </w:r>
            <w:r>
              <w:rPr>
                <w:snapToGrid w:val="0"/>
                <w:color w:val="000000" w:themeColor="text1"/>
                <w:kern w:val="0"/>
                <w:sz w:val="21"/>
                <w:szCs w:val="21"/>
                <w:lang w:eastAsia="en-US"/>
              </w:rPr>
              <w:t>)</w:t>
            </w:r>
            <w:r>
              <w:rPr>
                <w:snapToGrid w:val="0"/>
                <w:color w:val="000000" w:themeColor="text1"/>
                <w:kern w:val="0"/>
                <w:sz w:val="21"/>
                <w:szCs w:val="21"/>
                <w:lang w:eastAsia="en-US"/>
              </w:rPr>
              <w:t>筑名称</w:t>
            </w:r>
          </w:p>
        </w:tc>
        <w:tc>
          <w:tcPr>
            <w:tcW w:w="1054" w:type="pct"/>
            <w:tcBorders>
              <w:tl2br w:val="nil"/>
              <w:tr2bl w:val="nil"/>
            </w:tcBorders>
            <w:vAlign w:val="center"/>
          </w:tcPr>
          <w:p w14:paraId="531D23E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抗震设防类别</w:t>
            </w:r>
          </w:p>
        </w:tc>
        <w:tc>
          <w:tcPr>
            <w:tcW w:w="1230" w:type="pct"/>
            <w:tcBorders>
              <w:tl2br w:val="nil"/>
              <w:tr2bl w:val="nil"/>
            </w:tcBorders>
            <w:vAlign w:val="center"/>
          </w:tcPr>
          <w:p w14:paraId="1FF758C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结构型式</w:t>
            </w:r>
          </w:p>
        </w:tc>
        <w:tc>
          <w:tcPr>
            <w:tcW w:w="1233" w:type="pct"/>
            <w:tcBorders>
              <w:tl2br w:val="nil"/>
              <w:tr2bl w:val="nil"/>
            </w:tcBorders>
            <w:vAlign w:val="center"/>
          </w:tcPr>
          <w:p w14:paraId="6F16319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基础型式</w:t>
            </w:r>
          </w:p>
        </w:tc>
      </w:tr>
      <w:tr w:rsidR="002E0859" w14:paraId="525D973B" w14:textId="77777777">
        <w:trPr>
          <w:trHeight w:val="23"/>
          <w:jc w:val="center"/>
        </w:trPr>
        <w:tc>
          <w:tcPr>
            <w:tcW w:w="425" w:type="pct"/>
            <w:tcBorders>
              <w:tl2br w:val="nil"/>
              <w:tr2bl w:val="nil"/>
            </w:tcBorders>
            <w:vAlign w:val="center"/>
          </w:tcPr>
          <w:p w14:paraId="6EAA774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1056" w:type="pct"/>
            <w:tcBorders>
              <w:tl2br w:val="nil"/>
              <w:tr2bl w:val="nil"/>
            </w:tcBorders>
            <w:vAlign w:val="center"/>
          </w:tcPr>
          <w:p w14:paraId="1CAF3ED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围墙</w:t>
            </w:r>
          </w:p>
        </w:tc>
        <w:tc>
          <w:tcPr>
            <w:tcW w:w="1054" w:type="pct"/>
            <w:tcBorders>
              <w:tl2br w:val="nil"/>
              <w:tr2bl w:val="nil"/>
            </w:tcBorders>
            <w:vAlign w:val="center"/>
          </w:tcPr>
          <w:p w14:paraId="0A0A290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丁</w:t>
            </w:r>
          </w:p>
        </w:tc>
        <w:tc>
          <w:tcPr>
            <w:tcW w:w="1230" w:type="pct"/>
            <w:tcBorders>
              <w:tl2br w:val="nil"/>
              <w:tr2bl w:val="nil"/>
            </w:tcBorders>
            <w:vAlign w:val="center"/>
          </w:tcPr>
          <w:p w14:paraId="42D5AFF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钢结构</w:t>
            </w:r>
          </w:p>
        </w:tc>
        <w:tc>
          <w:tcPr>
            <w:tcW w:w="1233" w:type="pct"/>
            <w:tcBorders>
              <w:tl2br w:val="nil"/>
              <w:tr2bl w:val="nil"/>
            </w:tcBorders>
            <w:vAlign w:val="center"/>
          </w:tcPr>
          <w:p w14:paraId="1ACD55B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条形基础</w:t>
            </w:r>
          </w:p>
        </w:tc>
      </w:tr>
      <w:tr w:rsidR="002E0859" w14:paraId="76507660" w14:textId="77777777">
        <w:trPr>
          <w:trHeight w:val="23"/>
          <w:jc w:val="center"/>
        </w:trPr>
        <w:tc>
          <w:tcPr>
            <w:tcW w:w="425" w:type="pct"/>
            <w:tcBorders>
              <w:tl2br w:val="nil"/>
              <w:tr2bl w:val="nil"/>
            </w:tcBorders>
            <w:vAlign w:val="center"/>
          </w:tcPr>
          <w:p w14:paraId="6B7F9F2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056" w:type="pct"/>
            <w:tcBorders>
              <w:tl2br w:val="nil"/>
              <w:tr2bl w:val="nil"/>
            </w:tcBorders>
            <w:vAlign w:val="center"/>
          </w:tcPr>
          <w:p w14:paraId="1A098A8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井口操作平台</w:t>
            </w:r>
          </w:p>
        </w:tc>
        <w:tc>
          <w:tcPr>
            <w:tcW w:w="1054" w:type="pct"/>
            <w:tcBorders>
              <w:tl2br w:val="nil"/>
              <w:tr2bl w:val="nil"/>
            </w:tcBorders>
            <w:vAlign w:val="center"/>
          </w:tcPr>
          <w:p w14:paraId="7B139A6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丙</w:t>
            </w:r>
          </w:p>
        </w:tc>
        <w:tc>
          <w:tcPr>
            <w:tcW w:w="1230" w:type="pct"/>
            <w:tcBorders>
              <w:tl2br w:val="nil"/>
              <w:tr2bl w:val="nil"/>
            </w:tcBorders>
            <w:vAlign w:val="center"/>
          </w:tcPr>
          <w:p w14:paraId="3A185BC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钢结构</w:t>
            </w:r>
          </w:p>
        </w:tc>
        <w:tc>
          <w:tcPr>
            <w:tcW w:w="1233" w:type="pct"/>
            <w:tcBorders>
              <w:tl2br w:val="nil"/>
              <w:tr2bl w:val="nil"/>
            </w:tcBorders>
            <w:vAlign w:val="center"/>
          </w:tcPr>
          <w:p w14:paraId="5386D2C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42CDC196" w14:textId="77777777">
        <w:trPr>
          <w:trHeight w:val="23"/>
          <w:jc w:val="center"/>
        </w:trPr>
        <w:tc>
          <w:tcPr>
            <w:tcW w:w="425" w:type="pct"/>
            <w:tcBorders>
              <w:tl2br w:val="nil"/>
              <w:tr2bl w:val="nil"/>
            </w:tcBorders>
            <w:vAlign w:val="center"/>
          </w:tcPr>
          <w:p w14:paraId="07DA448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1056" w:type="pct"/>
            <w:tcBorders>
              <w:tl2br w:val="nil"/>
              <w:tr2bl w:val="nil"/>
            </w:tcBorders>
            <w:vAlign w:val="center"/>
          </w:tcPr>
          <w:p w14:paraId="5B83A81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阀墩、管墩</w:t>
            </w:r>
          </w:p>
        </w:tc>
        <w:tc>
          <w:tcPr>
            <w:tcW w:w="1054" w:type="pct"/>
            <w:tcBorders>
              <w:tl2br w:val="nil"/>
              <w:tr2bl w:val="nil"/>
            </w:tcBorders>
            <w:vAlign w:val="center"/>
          </w:tcPr>
          <w:p w14:paraId="64D3506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丙</w:t>
            </w:r>
          </w:p>
        </w:tc>
        <w:tc>
          <w:tcPr>
            <w:tcW w:w="1230" w:type="pct"/>
            <w:tcBorders>
              <w:tl2br w:val="nil"/>
              <w:tr2bl w:val="nil"/>
            </w:tcBorders>
            <w:vAlign w:val="center"/>
          </w:tcPr>
          <w:p w14:paraId="19C0F43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c>
          <w:tcPr>
            <w:tcW w:w="1233" w:type="pct"/>
            <w:tcBorders>
              <w:tl2br w:val="nil"/>
              <w:tr2bl w:val="nil"/>
            </w:tcBorders>
            <w:vAlign w:val="center"/>
          </w:tcPr>
          <w:p w14:paraId="1A657F3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块式基础</w:t>
            </w:r>
          </w:p>
        </w:tc>
      </w:tr>
      <w:tr w:rsidR="002E0859" w14:paraId="3FB4ECD8" w14:textId="77777777">
        <w:trPr>
          <w:trHeight w:val="23"/>
          <w:jc w:val="center"/>
        </w:trPr>
        <w:tc>
          <w:tcPr>
            <w:tcW w:w="425" w:type="pct"/>
            <w:tcBorders>
              <w:tl2br w:val="nil"/>
              <w:tr2bl w:val="nil"/>
            </w:tcBorders>
            <w:vAlign w:val="center"/>
          </w:tcPr>
          <w:p w14:paraId="6A886D35"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056" w:type="pct"/>
            <w:tcBorders>
              <w:tl2br w:val="nil"/>
              <w:tr2bl w:val="nil"/>
            </w:tcBorders>
            <w:vAlign w:val="center"/>
          </w:tcPr>
          <w:p w14:paraId="0ED282A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巡检踏步</w:t>
            </w:r>
          </w:p>
        </w:tc>
        <w:tc>
          <w:tcPr>
            <w:tcW w:w="1054" w:type="pct"/>
            <w:tcBorders>
              <w:tl2br w:val="nil"/>
              <w:tr2bl w:val="nil"/>
            </w:tcBorders>
            <w:vAlign w:val="center"/>
          </w:tcPr>
          <w:p w14:paraId="3CEB89A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丁</w:t>
            </w:r>
          </w:p>
        </w:tc>
        <w:tc>
          <w:tcPr>
            <w:tcW w:w="1230" w:type="pct"/>
            <w:tcBorders>
              <w:tl2br w:val="nil"/>
              <w:tr2bl w:val="nil"/>
            </w:tcBorders>
            <w:vAlign w:val="center"/>
          </w:tcPr>
          <w:p w14:paraId="330B9F1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钢结构</w:t>
            </w:r>
          </w:p>
        </w:tc>
        <w:tc>
          <w:tcPr>
            <w:tcW w:w="1233" w:type="pct"/>
            <w:tcBorders>
              <w:tl2br w:val="nil"/>
              <w:tr2bl w:val="nil"/>
            </w:tcBorders>
            <w:vAlign w:val="center"/>
          </w:tcPr>
          <w:p w14:paraId="5FE3C2C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r>
      <w:tr w:rsidR="002E0859" w14:paraId="36071231" w14:textId="77777777">
        <w:trPr>
          <w:trHeight w:val="23"/>
          <w:jc w:val="center"/>
        </w:trPr>
        <w:tc>
          <w:tcPr>
            <w:tcW w:w="425" w:type="pct"/>
            <w:tcBorders>
              <w:tl2br w:val="nil"/>
              <w:tr2bl w:val="nil"/>
            </w:tcBorders>
            <w:vAlign w:val="center"/>
          </w:tcPr>
          <w:p w14:paraId="1AEEE10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5</w:t>
            </w:r>
          </w:p>
        </w:tc>
        <w:tc>
          <w:tcPr>
            <w:tcW w:w="1056" w:type="pct"/>
            <w:tcBorders>
              <w:tl2br w:val="nil"/>
              <w:tr2bl w:val="nil"/>
            </w:tcBorders>
            <w:vAlign w:val="center"/>
          </w:tcPr>
          <w:p w14:paraId="593C8D9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设备基础</w:t>
            </w:r>
          </w:p>
        </w:tc>
        <w:tc>
          <w:tcPr>
            <w:tcW w:w="1054" w:type="pct"/>
            <w:tcBorders>
              <w:tl2br w:val="nil"/>
              <w:tr2bl w:val="nil"/>
            </w:tcBorders>
            <w:vAlign w:val="center"/>
          </w:tcPr>
          <w:p w14:paraId="0311640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丙</w:t>
            </w:r>
          </w:p>
        </w:tc>
        <w:tc>
          <w:tcPr>
            <w:tcW w:w="1230" w:type="pct"/>
            <w:tcBorders>
              <w:tl2br w:val="nil"/>
              <w:tr2bl w:val="nil"/>
            </w:tcBorders>
            <w:vAlign w:val="center"/>
          </w:tcPr>
          <w:p w14:paraId="4D36350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w:t>
            </w:r>
          </w:p>
        </w:tc>
        <w:tc>
          <w:tcPr>
            <w:tcW w:w="1233" w:type="pct"/>
            <w:tcBorders>
              <w:tl2br w:val="nil"/>
              <w:tr2bl w:val="nil"/>
            </w:tcBorders>
            <w:vAlign w:val="center"/>
          </w:tcPr>
          <w:p w14:paraId="339D565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条形或独立基础</w:t>
            </w:r>
          </w:p>
        </w:tc>
      </w:tr>
    </w:tbl>
    <w:p w14:paraId="4851A490" w14:textId="77777777" w:rsidR="002E0859" w:rsidRDefault="00000000">
      <w:pPr>
        <w:kinsoku w:val="0"/>
        <w:autoSpaceDE w:val="0"/>
        <w:autoSpaceDN w:val="0"/>
        <w:spacing w:before="164" w:line="219" w:lineRule="auto"/>
        <w:ind w:left="39" w:firstLine="480"/>
        <w:jc w:val="left"/>
        <w:textAlignment w:val="baseline"/>
        <w:rPr>
          <w:rFonts w:ascii="黑体" w:eastAsia="黑体" w:hAnsi="黑体" w:cs="黑体"/>
          <w:snapToGrid w:val="0"/>
          <w:color w:val="000000" w:themeColor="text1"/>
          <w:kern w:val="0"/>
          <w:sz w:val="24"/>
          <w:szCs w:val="24"/>
          <w:lang w:eastAsia="en-US"/>
        </w:rPr>
      </w:pPr>
      <w:r>
        <w:rPr>
          <w:rFonts w:hint="eastAsia"/>
          <w:color w:val="000000" w:themeColor="text1"/>
          <w:kern w:val="0"/>
          <w:sz w:val="24"/>
          <w:szCs w:val="24"/>
        </w:rPr>
        <w:t>4</w:t>
      </w:r>
      <w:r>
        <w:rPr>
          <w:rFonts w:hint="eastAsia"/>
          <w:color w:val="000000" w:themeColor="text1"/>
          <w:kern w:val="0"/>
          <w:sz w:val="24"/>
          <w:szCs w:val="24"/>
        </w:rPr>
        <w:t>、</w:t>
      </w:r>
      <w:r>
        <w:rPr>
          <w:color w:val="000000" w:themeColor="text1"/>
          <w:kern w:val="0"/>
          <w:sz w:val="24"/>
          <w:szCs w:val="24"/>
          <w:lang w:eastAsia="en-US"/>
        </w:rPr>
        <w:t>主要工程量表</w:t>
      </w:r>
    </w:p>
    <w:p w14:paraId="7F22FC14" w14:textId="77777777" w:rsidR="002E0859" w:rsidRDefault="00000000">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r>
        <w:rPr>
          <w:rFonts w:eastAsia="黑体"/>
          <w:color w:val="000000" w:themeColor="text1"/>
          <w:sz w:val="21"/>
          <w:szCs w:val="21"/>
          <w:lang w:eastAsia="en-US"/>
        </w:rPr>
        <w:lastRenderedPageBreak/>
        <w:t>表</w:t>
      </w:r>
      <w:r>
        <w:rPr>
          <w:rFonts w:eastAsia="黑体" w:hint="eastAsia"/>
          <w:color w:val="000000" w:themeColor="text1"/>
          <w:sz w:val="21"/>
          <w:szCs w:val="21"/>
        </w:rPr>
        <w:t xml:space="preserve">2.8-10 </w:t>
      </w:r>
      <w:r>
        <w:rPr>
          <w:rFonts w:eastAsia="黑体"/>
          <w:color w:val="000000" w:themeColor="text1"/>
          <w:sz w:val="21"/>
          <w:szCs w:val="21"/>
          <w:lang w:eastAsia="en-US"/>
        </w:rPr>
        <w:t>建筑构结主要工作量表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349"/>
        <w:gridCol w:w="3023"/>
        <w:gridCol w:w="1074"/>
        <w:gridCol w:w="1347"/>
        <w:gridCol w:w="2357"/>
      </w:tblGrid>
      <w:tr w:rsidR="002E0859" w14:paraId="40E3B301" w14:textId="77777777">
        <w:trPr>
          <w:trHeight w:val="23"/>
          <w:tblHeader/>
          <w:jc w:val="center"/>
        </w:trPr>
        <w:tc>
          <w:tcPr>
            <w:tcW w:w="737" w:type="pct"/>
            <w:tcBorders>
              <w:tl2br w:val="nil"/>
              <w:tr2bl w:val="nil"/>
            </w:tcBorders>
            <w:vAlign w:val="center"/>
          </w:tcPr>
          <w:p w14:paraId="7C2D8E5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序号</w:t>
            </w:r>
          </w:p>
        </w:tc>
        <w:tc>
          <w:tcPr>
            <w:tcW w:w="1651" w:type="pct"/>
            <w:tcBorders>
              <w:tl2br w:val="nil"/>
              <w:tr2bl w:val="nil"/>
            </w:tcBorders>
            <w:vAlign w:val="center"/>
          </w:tcPr>
          <w:p w14:paraId="7AB9876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名称</w:t>
            </w:r>
          </w:p>
        </w:tc>
        <w:tc>
          <w:tcPr>
            <w:tcW w:w="587" w:type="pct"/>
            <w:tcBorders>
              <w:tl2br w:val="nil"/>
              <w:tr2bl w:val="nil"/>
            </w:tcBorders>
            <w:vAlign w:val="center"/>
          </w:tcPr>
          <w:p w14:paraId="3A8D3DE2"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单位</w:t>
            </w:r>
          </w:p>
        </w:tc>
        <w:tc>
          <w:tcPr>
            <w:tcW w:w="736" w:type="pct"/>
            <w:tcBorders>
              <w:tl2br w:val="nil"/>
              <w:tr2bl w:val="nil"/>
            </w:tcBorders>
            <w:vAlign w:val="center"/>
          </w:tcPr>
          <w:p w14:paraId="578BE67C"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数量</w:t>
            </w:r>
          </w:p>
        </w:tc>
        <w:tc>
          <w:tcPr>
            <w:tcW w:w="1287" w:type="pct"/>
            <w:tcBorders>
              <w:tl2br w:val="nil"/>
              <w:tr2bl w:val="nil"/>
            </w:tcBorders>
            <w:vAlign w:val="center"/>
          </w:tcPr>
          <w:p w14:paraId="2D1605A7"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备注</w:t>
            </w:r>
          </w:p>
        </w:tc>
      </w:tr>
      <w:tr w:rsidR="002E0859" w14:paraId="6204BB1F" w14:textId="77777777">
        <w:trPr>
          <w:trHeight w:val="23"/>
          <w:jc w:val="center"/>
        </w:trPr>
        <w:tc>
          <w:tcPr>
            <w:tcW w:w="737" w:type="pct"/>
            <w:tcBorders>
              <w:tl2br w:val="nil"/>
              <w:tr2bl w:val="nil"/>
            </w:tcBorders>
            <w:vAlign w:val="center"/>
          </w:tcPr>
          <w:p w14:paraId="7A57174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一</w:t>
            </w:r>
          </w:p>
        </w:tc>
        <w:tc>
          <w:tcPr>
            <w:tcW w:w="1651" w:type="pct"/>
            <w:tcBorders>
              <w:tl2br w:val="nil"/>
              <w:tr2bl w:val="nil"/>
            </w:tcBorders>
            <w:vAlign w:val="center"/>
          </w:tcPr>
          <w:p w14:paraId="7A262BC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焦页</w:t>
            </w:r>
            <w:r>
              <w:rPr>
                <w:snapToGrid w:val="0"/>
                <w:color w:val="000000" w:themeColor="text1"/>
                <w:kern w:val="0"/>
                <w:sz w:val="21"/>
                <w:szCs w:val="21"/>
                <w:lang w:eastAsia="en-US"/>
              </w:rPr>
              <w:t>90</w:t>
            </w:r>
            <w:r>
              <w:rPr>
                <w:snapToGrid w:val="0"/>
                <w:color w:val="000000" w:themeColor="text1"/>
                <w:kern w:val="0"/>
                <w:sz w:val="21"/>
                <w:szCs w:val="21"/>
                <w:lang w:eastAsia="en-US"/>
              </w:rPr>
              <w:t>号平台</w:t>
            </w:r>
          </w:p>
        </w:tc>
        <w:tc>
          <w:tcPr>
            <w:tcW w:w="587" w:type="pct"/>
            <w:tcBorders>
              <w:tl2br w:val="nil"/>
              <w:tr2bl w:val="nil"/>
            </w:tcBorders>
            <w:vAlign w:val="center"/>
          </w:tcPr>
          <w:p w14:paraId="25698745"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736" w:type="pct"/>
            <w:tcBorders>
              <w:tl2br w:val="nil"/>
              <w:tr2bl w:val="nil"/>
            </w:tcBorders>
            <w:vAlign w:val="center"/>
          </w:tcPr>
          <w:p w14:paraId="5C773B28"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c>
          <w:tcPr>
            <w:tcW w:w="1287" w:type="pct"/>
            <w:tcBorders>
              <w:tl2br w:val="nil"/>
              <w:tr2bl w:val="nil"/>
            </w:tcBorders>
            <w:vAlign w:val="center"/>
          </w:tcPr>
          <w:p w14:paraId="6525463F"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79A375B" w14:textId="77777777">
        <w:trPr>
          <w:trHeight w:val="23"/>
          <w:jc w:val="center"/>
        </w:trPr>
        <w:tc>
          <w:tcPr>
            <w:tcW w:w="737" w:type="pct"/>
            <w:tcBorders>
              <w:tl2br w:val="nil"/>
              <w:tr2bl w:val="nil"/>
            </w:tcBorders>
            <w:vAlign w:val="center"/>
          </w:tcPr>
          <w:p w14:paraId="6A8B851A"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w:t>
            </w:r>
          </w:p>
        </w:tc>
        <w:tc>
          <w:tcPr>
            <w:tcW w:w="1651" w:type="pct"/>
            <w:tcBorders>
              <w:tl2br w:val="nil"/>
              <w:tr2bl w:val="nil"/>
            </w:tcBorders>
            <w:vAlign w:val="center"/>
          </w:tcPr>
          <w:p w14:paraId="057E256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井口钢格栅盖板</w:t>
            </w:r>
          </w:p>
        </w:tc>
        <w:tc>
          <w:tcPr>
            <w:tcW w:w="587" w:type="pct"/>
            <w:tcBorders>
              <w:tl2br w:val="nil"/>
              <w:tr2bl w:val="nil"/>
            </w:tcBorders>
            <w:vAlign w:val="center"/>
          </w:tcPr>
          <w:p w14:paraId="536E2DB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座</w:t>
            </w:r>
          </w:p>
        </w:tc>
        <w:tc>
          <w:tcPr>
            <w:tcW w:w="736" w:type="pct"/>
            <w:tcBorders>
              <w:tl2br w:val="nil"/>
              <w:tr2bl w:val="nil"/>
            </w:tcBorders>
            <w:vAlign w:val="center"/>
          </w:tcPr>
          <w:p w14:paraId="44DCE05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287" w:type="pct"/>
            <w:tcBorders>
              <w:tl2br w:val="nil"/>
              <w:tr2bl w:val="nil"/>
            </w:tcBorders>
            <w:vAlign w:val="center"/>
          </w:tcPr>
          <w:p w14:paraId="6897EE34"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4FB54F82" w14:textId="77777777">
        <w:trPr>
          <w:trHeight w:val="23"/>
          <w:jc w:val="center"/>
        </w:trPr>
        <w:tc>
          <w:tcPr>
            <w:tcW w:w="737" w:type="pct"/>
            <w:tcBorders>
              <w:tl2br w:val="nil"/>
              <w:tr2bl w:val="nil"/>
            </w:tcBorders>
            <w:vAlign w:val="center"/>
          </w:tcPr>
          <w:p w14:paraId="624A5834"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651" w:type="pct"/>
            <w:tcBorders>
              <w:tl2br w:val="nil"/>
              <w:tr2bl w:val="nil"/>
            </w:tcBorders>
            <w:vAlign w:val="center"/>
          </w:tcPr>
          <w:p w14:paraId="59269AE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方井钢梯及操作平台</w:t>
            </w:r>
          </w:p>
        </w:tc>
        <w:tc>
          <w:tcPr>
            <w:tcW w:w="587" w:type="pct"/>
            <w:tcBorders>
              <w:tl2br w:val="nil"/>
              <w:tr2bl w:val="nil"/>
            </w:tcBorders>
            <w:vAlign w:val="center"/>
          </w:tcPr>
          <w:p w14:paraId="391286B6"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套</w:t>
            </w:r>
          </w:p>
        </w:tc>
        <w:tc>
          <w:tcPr>
            <w:tcW w:w="736" w:type="pct"/>
            <w:tcBorders>
              <w:tl2br w:val="nil"/>
              <w:tr2bl w:val="nil"/>
            </w:tcBorders>
            <w:vAlign w:val="center"/>
          </w:tcPr>
          <w:p w14:paraId="16C6BD5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2</w:t>
            </w:r>
          </w:p>
        </w:tc>
        <w:tc>
          <w:tcPr>
            <w:tcW w:w="1287" w:type="pct"/>
            <w:tcBorders>
              <w:tl2br w:val="nil"/>
              <w:tr2bl w:val="nil"/>
            </w:tcBorders>
            <w:vAlign w:val="center"/>
          </w:tcPr>
          <w:p w14:paraId="6159DE62"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r w:rsidR="002E0859" w14:paraId="26C30CAB" w14:textId="77777777">
        <w:trPr>
          <w:trHeight w:val="23"/>
          <w:jc w:val="center"/>
        </w:trPr>
        <w:tc>
          <w:tcPr>
            <w:tcW w:w="737" w:type="pct"/>
            <w:tcBorders>
              <w:tl2br w:val="nil"/>
              <w:tr2bl w:val="nil"/>
            </w:tcBorders>
            <w:vAlign w:val="center"/>
          </w:tcPr>
          <w:p w14:paraId="79B81C5E"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3</w:t>
            </w:r>
          </w:p>
        </w:tc>
        <w:tc>
          <w:tcPr>
            <w:tcW w:w="1651" w:type="pct"/>
            <w:tcBorders>
              <w:tl2br w:val="nil"/>
              <w:tr2bl w:val="nil"/>
            </w:tcBorders>
            <w:vAlign w:val="center"/>
          </w:tcPr>
          <w:p w14:paraId="272542CD"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设备基础</w:t>
            </w:r>
          </w:p>
        </w:tc>
        <w:tc>
          <w:tcPr>
            <w:tcW w:w="587" w:type="pct"/>
            <w:tcBorders>
              <w:tl2br w:val="nil"/>
              <w:tr2bl w:val="nil"/>
            </w:tcBorders>
            <w:vAlign w:val="center"/>
          </w:tcPr>
          <w:p w14:paraId="5B8087AA" w14:textId="77777777" w:rsidR="002E0859" w:rsidRDefault="00000000">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m³</w:t>
            </w:r>
          </w:p>
        </w:tc>
        <w:tc>
          <w:tcPr>
            <w:tcW w:w="736" w:type="pct"/>
            <w:tcBorders>
              <w:tl2br w:val="nil"/>
              <w:tr2bl w:val="nil"/>
            </w:tcBorders>
            <w:vAlign w:val="center"/>
          </w:tcPr>
          <w:p w14:paraId="6CE172C0"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w:t>
            </w:r>
          </w:p>
        </w:tc>
        <w:tc>
          <w:tcPr>
            <w:tcW w:w="1287" w:type="pct"/>
            <w:tcBorders>
              <w:tl2br w:val="nil"/>
              <w:tr2bl w:val="nil"/>
            </w:tcBorders>
            <w:vAlign w:val="center"/>
          </w:tcPr>
          <w:p w14:paraId="1FFC2278"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C30</w:t>
            </w:r>
            <w:r>
              <w:rPr>
                <w:snapToGrid w:val="0"/>
                <w:color w:val="000000" w:themeColor="text1"/>
                <w:kern w:val="0"/>
                <w:sz w:val="21"/>
                <w:szCs w:val="21"/>
                <w:lang w:eastAsia="en-US"/>
              </w:rPr>
              <w:t>素混凝土</w:t>
            </w:r>
          </w:p>
        </w:tc>
      </w:tr>
      <w:tr w:rsidR="002E0859" w14:paraId="0E7B926C" w14:textId="77777777">
        <w:trPr>
          <w:trHeight w:val="23"/>
          <w:jc w:val="center"/>
        </w:trPr>
        <w:tc>
          <w:tcPr>
            <w:tcW w:w="737" w:type="pct"/>
            <w:tcBorders>
              <w:tl2br w:val="nil"/>
              <w:tr2bl w:val="nil"/>
            </w:tcBorders>
            <w:vAlign w:val="center"/>
          </w:tcPr>
          <w:p w14:paraId="23C9C301"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4</w:t>
            </w:r>
          </w:p>
        </w:tc>
        <w:tc>
          <w:tcPr>
            <w:tcW w:w="1651" w:type="pct"/>
            <w:tcBorders>
              <w:tl2br w:val="nil"/>
              <w:tr2bl w:val="nil"/>
            </w:tcBorders>
            <w:vAlign w:val="center"/>
          </w:tcPr>
          <w:p w14:paraId="0E4AD0C3"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铁丝网围栏</w:t>
            </w:r>
          </w:p>
        </w:tc>
        <w:tc>
          <w:tcPr>
            <w:tcW w:w="587" w:type="pct"/>
            <w:tcBorders>
              <w:tl2br w:val="nil"/>
              <w:tr2bl w:val="nil"/>
            </w:tcBorders>
            <w:vAlign w:val="center"/>
          </w:tcPr>
          <w:p w14:paraId="673782AF"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m</w:t>
            </w:r>
          </w:p>
        </w:tc>
        <w:tc>
          <w:tcPr>
            <w:tcW w:w="736" w:type="pct"/>
            <w:tcBorders>
              <w:tl2br w:val="nil"/>
              <w:tr2bl w:val="nil"/>
            </w:tcBorders>
            <w:vAlign w:val="center"/>
          </w:tcPr>
          <w:p w14:paraId="579D561B" w14:textId="77777777" w:rsidR="002E0859" w:rsidRDefault="00000000">
            <w:pPr>
              <w:kinsoku w:val="0"/>
              <w:autoSpaceDE w:val="0"/>
              <w:autoSpaceDN w:val="0"/>
              <w:spacing w:line="240" w:lineRule="auto"/>
              <w:ind w:firstLineChars="0" w:firstLine="0"/>
              <w:jc w:val="center"/>
              <w:textAlignment w:val="baseline"/>
              <w:rPr>
                <w:snapToGrid w:val="0"/>
                <w:color w:val="000000" w:themeColor="text1"/>
                <w:kern w:val="0"/>
                <w:sz w:val="21"/>
                <w:szCs w:val="21"/>
                <w:lang w:eastAsia="en-US"/>
              </w:rPr>
            </w:pPr>
            <w:r>
              <w:rPr>
                <w:snapToGrid w:val="0"/>
                <w:color w:val="000000" w:themeColor="text1"/>
                <w:kern w:val="0"/>
                <w:sz w:val="21"/>
                <w:szCs w:val="21"/>
                <w:lang w:eastAsia="en-US"/>
              </w:rPr>
              <w:t>100</w:t>
            </w:r>
          </w:p>
        </w:tc>
        <w:tc>
          <w:tcPr>
            <w:tcW w:w="1287" w:type="pct"/>
            <w:tcBorders>
              <w:tl2br w:val="nil"/>
              <w:tr2bl w:val="nil"/>
            </w:tcBorders>
            <w:vAlign w:val="center"/>
          </w:tcPr>
          <w:p w14:paraId="49FD1E2D" w14:textId="77777777" w:rsidR="002E0859" w:rsidRDefault="002E0859">
            <w:pPr>
              <w:widowControl/>
              <w:kinsoku w:val="0"/>
              <w:topLinePunct w:val="0"/>
              <w:autoSpaceDE w:val="0"/>
              <w:autoSpaceDN w:val="0"/>
              <w:spacing w:line="240" w:lineRule="auto"/>
              <w:ind w:firstLineChars="0" w:firstLine="0"/>
              <w:jc w:val="center"/>
              <w:textAlignment w:val="baseline"/>
              <w:rPr>
                <w:snapToGrid w:val="0"/>
                <w:color w:val="000000" w:themeColor="text1"/>
                <w:kern w:val="0"/>
                <w:sz w:val="21"/>
                <w:szCs w:val="21"/>
                <w:lang w:eastAsia="en-US"/>
              </w:rPr>
            </w:pPr>
          </w:p>
        </w:tc>
      </w:tr>
    </w:tbl>
    <w:p w14:paraId="35ACE631"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防腐</w:t>
      </w:r>
    </w:p>
    <w:p w14:paraId="4507BF0A"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1</w:t>
      </w:r>
      <w:r>
        <w:rPr>
          <w:rFonts w:hint="eastAsia"/>
          <w:color w:val="000000" w:themeColor="text1"/>
          <w:kern w:val="0"/>
          <w:sz w:val="24"/>
          <w:szCs w:val="24"/>
        </w:rPr>
        <w:t>、</w:t>
      </w:r>
      <w:r>
        <w:rPr>
          <w:color w:val="000000" w:themeColor="text1"/>
          <w:kern w:val="0"/>
          <w:sz w:val="24"/>
          <w:szCs w:val="24"/>
          <w:lang w:eastAsia="en-US"/>
        </w:rPr>
        <w:t>防腐内容及措施</w:t>
      </w:r>
    </w:p>
    <w:p w14:paraId="5538C949"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color w:val="000000" w:themeColor="text1"/>
          <w:kern w:val="0"/>
          <w:sz w:val="24"/>
          <w:szCs w:val="24"/>
          <w:lang w:eastAsia="en-US"/>
        </w:rPr>
        <w:t>）防腐内容</w:t>
      </w:r>
    </w:p>
    <w:p w14:paraId="7E8EC983"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本项目设计范围是涪陵页岩气田江东区块焦页</w:t>
      </w:r>
      <w:r>
        <w:rPr>
          <w:color w:val="000000" w:themeColor="text1"/>
          <w:kern w:val="0"/>
          <w:sz w:val="24"/>
          <w:szCs w:val="24"/>
          <w:lang w:eastAsia="en-US"/>
        </w:rPr>
        <w:t>90</w:t>
      </w:r>
      <w:r>
        <w:rPr>
          <w:color w:val="000000" w:themeColor="text1"/>
          <w:kern w:val="0"/>
          <w:sz w:val="24"/>
          <w:szCs w:val="24"/>
          <w:lang w:eastAsia="en-US"/>
        </w:rPr>
        <w:t>号评价井组的集气管线、采气管线以及集气站站内管道设备的防腐设计。其中采气管线采用</w:t>
      </w:r>
      <w:r>
        <w:rPr>
          <w:color w:val="000000" w:themeColor="text1"/>
          <w:kern w:val="0"/>
          <w:sz w:val="24"/>
          <w:szCs w:val="24"/>
          <w:lang w:eastAsia="en-US"/>
        </w:rPr>
        <w:t>Φ76×8</w:t>
      </w:r>
      <w:r>
        <w:rPr>
          <w:color w:val="000000" w:themeColor="text1"/>
          <w:kern w:val="0"/>
          <w:sz w:val="24"/>
          <w:szCs w:val="24"/>
          <w:lang w:eastAsia="en-US"/>
        </w:rPr>
        <w:t>规格。</w:t>
      </w:r>
    </w:p>
    <w:p w14:paraId="46D5982E"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2</w:t>
      </w:r>
      <w:r>
        <w:rPr>
          <w:color w:val="000000" w:themeColor="text1"/>
          <w:kern w:val="0"/>
          <w:sz w:val="24"/>
          <w:szCs w:val="24"/>
          <w:lang w:eastAsia="en-US"/>
        </w:rPr>
        <w:t>）防腐措施</w:t>
      </w:r>
    </w:p>
    <w:p w14:paraId="0B3C04A4"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集气管线采用</w:t>
      </w:r>
      <w:r>
        <w:rPr>
          <w:color w:val="000000" w:themeColor="text1"/>
          <w:kern w:val="0"/>
          <w:sz w:val="24"/>
          <w:szCs w:val="24"/>
          <w:lang w:eastAsia="en-US"/>
        </w:rPr>
        <w:t>3PE</w:t>
      </w:r>
      <w:r>
        <w:rPr>
          <w:color w:val="000000" w:themeColor="text1"/>
          <w:kern w:val="0"/>
          <w:sz w:val="24"/>
          <w:szCs w:val="24"/>
          <w:lang w:eastAsia="en-US"/>
        </w:rPr>
        <w:t>防腐层和牺牲阳极阴极保护联合防腐。采气管线采用防腐涂层。集气站站内管道、采气平台及非标设备等采用防腐涂层。</w:t>
      </w:r>
    </w:p>
    <w:p w14:paraId="188AB895" w14:textId="77777777" w:rsidR="002E0859" w:rsidRDefault="00000000">
      <w:pPr>
        <w:spacing w:line="360" w:lineRule="auto"/>
        <w:ind w:firstLine="480"/>
        <w:rPr>
          <w:color w:val="000000" w:themeColor="text1"/>
          <w:kern w:val="0"/>
          <w:sz w:val="24"/>
          <w:szCs w:val="24"/>
          <w:lang w:eastAsia="en-US"/>
        </w:rPr>
      </w:pPr>
      <w:r>
        <w:rPr>
          <w:rFonts w:hint="eastAsia"/>
          <w:color w:val="000000" w:themeColor="text1"/>
          <w:kern w:val="0"/>
          <w:sz w:val="24"/>
          <w:szCs w:val="24"/>
        </w:rPr>
        <w:t>2</w:t>
      </w:r>
      <w:r>
        <w:rPr>
          <w:rFonts w:hint="eastAsia"/>
          <w:color w:val="000000" w:themeColor="text1"/>
          <w:kern w:val="0"/>
          <w:sz w:val="24"/>
          <w:szCs w:val="24"/>
        </w:rPr>
        <w:t>、</w:t>
      </w:r>
      <w:r>
        <w:rPr>
          <w:color w:val="000000" w:themeColor="text1"/>
          <w:kern w:val="0"/>
          <w:sz w:val="24"/>
          <w:szCs w:val="24"/>
          <w:lang w:eastAsia="en-US"/>
        </w:rPr>
        <w:t>防腐涂层</w:t>
      </w:r>
    </w:p>
    <w:p w14:paraId="1CD7FE07"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1</w:t>
      </w:r>
      <w:r>
        <w:rPr>
          <w:color w:val="000000" w:themeColor="text1"/>
          <w:kern w:val="0"/>
          <w:sz w:val="24"/>
          <w:szCs w:val="24"/>
          <w:lang w:eastAsia="en-US"/>
        </w:rPr>
        <w:t>）</w:t>
      </w:r>
      <w:r>
        <w:rPr>
          <w:color w:val="000000" w:themeColor="text1"/>
          <w:kern w:val="0"/>
          <w:sz w:val="24"/>
          <w:szCs w:val="24"/>
          <w:lang w:eastAsia="en-US"/>
        </w:rPr>
        <w:t>Φ76</w:t>
      </w:r>
      <w:r>
        <w:rPr>
          <w:color w:val="000000" w:themeColor="text1"/>
          <w:kern w:val="0"/>
          <w:sz w:val="24"/>
          <w:szCs w:val="24"/>
          <w:lang w:eastAsia="en-US"/>
        </w:rPr>
        <w:t>采气管线用如下涂层结构：</w:t>
      </w:r>
    </w:p>
    <w:p w14:paraId="25391A7A"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底层：环氧富锌底漆</w:t>
      </w:r>
      <w:r>
        <w:rPr>
          <w:color w:val="000000" w:themeColor="text1"/>
          <w:kern w:val="0"/>
          <w:sz w:val="24"/>
          <w:szCs w:val="24"/>
          <w:lang w:eastAsia="en-US"/>
        </w:rPr>
        <w:t>2</w:t>
      </w:r>
      <w:r>
        <w:rPr>
          <w:color w:val="000000" w:themeColor="text1"/>
          <w:kern w:val="0"/>
          <w:sz w:val="24"/>
          <w:szCs w:val="24"/>
          <w:lang w:eastAsia="en-US"/>
        </w:rPr>
        <w:t>道，干膜厚度</w:t>
      </w:r>
      <w:r>
        <w:rPr>
          <w:color w:val="000000" w:themeColor="text1"/>
          <w:kern w:val="0"/>
          <w:sz w:val="24"/>
          <w:szCs w:val="24"/>
          <w:lang w:eastAsia="en-US"/>
        </w:rPr>
        <w:t>80</w:t>
      </w:r>
      <w:r>
        <w:rPr>
          <w:color w:val="000000" w:themeColor="text1"/>
          <w:kern w:val="0"/>
          <w:sz w:val="24"/>
          <w:szCs w:val="24"/>
          <w:lang w:eastAsia="en-US"/>
        </w:rPr>
        <w:t>～</w:t>
      </w:r>
      <w:r>
        <w:rPr>
          <w:color w:val="000000" w:themeColor="text1"/>
          <w:kern w:val="0"/>
          <w:sz w:val="24"/>
          <w:szCs w:val="24"/>
          <w:lang w:eastAsia="en-US"/>
        </w:rPr>
        <w:t>100μm</w:t>
      </w:r>
      <w:r>
        <w:rPr>
          <w:rFonts w:hint="eastAsia"/>
          <w:color w:val="000000" w:themeColor="text1"/>
          <w:kern w:val="0"/>
          <w:sz w:val="24"/>
          <w:szCs w:val="24"/>
        </w:rPr>
        <w:t>；</w:t>
      </w:r>
      <w:r>
        <w:rPr>
          <w:color w:val="000000" w:themeColor="text1"/>
          <w:kern w:val="0"/>
          <w:sz w:val="24"/>
          <w:szCs w:val="24"/>
          <w:lang w:eastAsia="en-US"/>
        </w:rPr>
        <w:t>面层：无溶剂液体环氧涂料</w:t>
      </w:r>
      <w:r>
        <w:rPr>
          <w:color w:val="000000" w:themeColor="text1"/>
          <w:kern w:val="0"/>
          <w:sz w:val="24"/>
          <w:szCs w:val="24"/>
          <w:lang w:eastAsia="en-US"/>
        </w:rPr>
        <w:t>2</w:t>
      </w:r>
      <w:r>
        <w:rPr>
          <w:color w:val="000000" w:themeColor="text1"/>
          <w:kern w:val="0"/>
          <w:sz w:val="24"/>
          <w:szCs w:val="24"/>
          <w:lang w:eastAsia="en-US"/>
        </w:rPr>
        <w:t>道，</w:t>
      </w:r>
      <w:r>
        <w:rPr>
          <w:color w:val="000000" w:themeColor="text1"/>
          <w:kern w:val="0"/>
          <w:sz w:val="24"/>
          <w:szCs w:val="24"/>
          <w:lang w:eastAsia="en-US"/>
        </w:rPr>
        <w:t>≥500μm</w:t>
      </w:r>
      <w:r>
        <w:rPr>
          <w:color w:val="000000" w:themeColor="text1"/>
          <w:kern w:val="0"/>
          <w:sz w:val="24"/>
          <w:szCs w:val="24"/>
          <w:lang w:eastAsia="en-US"/>
        </w:rPr>
        <w:t>总干膜厚度</w:t>
      </w:r>
      <w:r>
        <w:rPr>
          <w:color w:val="000000" w:themeColor="text1"/>
          <w:kern w:val="0"/>
          <w:sz w:val="24"/>
          <w:szCs w:val="24"/>
          <w:lang w:eastAsia="en-US"/>
        </w:rPr>
        <w:t>≥580μm</w:t>
      </w:r>
      <w:r>
        <w:rPr>
          <w:rFonts w:hint="eastAsia"/>
          <w:color w:val="000000" w:themeColor="text1"/>
          <w:kern w:val="0"/>
          <w:sz w:val="24"/>
          <w:szCs w:val="24"/>
        </w:rPr>
        <w:t>。</w:t>
      </w:r>
    </w:p>
    <w:p w14:paraId="1AB97C2F"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2</w:t>
      </w:r>
      <w:r>
        <w:rPr>
          <w:color w:val="000000" w:themeColor="text1"/>
          <w:kern w:val="0"/>
          <w:sz w:val="24"/>
          <w:szCs w:val="24"/>
          <w:lang w:eastAsia="en-US"/>
        </w:rPr>
        <w:t>）热煨弯头外防腐层采用无溶剂环氧涂料＋聚丙烯胶粘带。其性能和施工要求应符合</w:t>
      </w:r>
      <w:r>
        <w:rPr>
          <w:color w:val="000000" w:themeColor="text1"/>
          <w:kern w:val="0"/>
          <w:sz w:val="24"/>
          <w:szCs w:val="24"/>
          <w:lang w:eastAsia="en-US"/>
        </w:rPr>
        <w:t>GB/T23257-2017</w:t>
      </w:r>
      <w:r>
        <w:rPr>
          <w:color w:val="000000" w:themeColor="text1"/>
          <w:kern w:val="0"/>
          <w:sz w:val="24"/>
          <w:szCs w:val="24"/>
          <w:lang w:eastAsia="en-US"/>
        </w:rPr>
        <w:t>的要求。</w:t>
      </w:r>
    </w:p>
    <w:p w14:paraId="58DDE3F3"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3</w:t>
      </w:r>
      <w:r>
        <w:rPr>
          <w:color w:val="000000" w:themeColor="text1"/>
          <w:kern w:val="0"/>
          <w:sz w:val="24"/>
          <w:szCs w:val="24"/>
          <w:lang w:eastAsia="en-US"/>
        </w:rPr>
        <w:t>）站内与集气管线管径相同的埋地管线外防腐层采用与站外集气管线相同的防腐层。</w:t>
      </w:r>
    </w:p>
    <w:p w14:paraId="537EC90D"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4</w:t>
      </w:r>
      <w:r>
        <w:rPr>
          <w:color w:val="000000" w:themeColor="text1"/>
          <w:kern w:val="0"/>
          <w:sz w:val="24"/>
          <w:szCs w:val="24"/>
          <w:lang w:eastAsia="en-US"/>
        </w:rPr>
        <w:t>）地上其他非保温工艺管线、设备以及钢结构外表面采用如下涂层结构：</w:t>
      </w:r>
    </w:p>
    <w:p w14:paraId="41F3E784"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底层：环氧富锌底漆</w:t>
      </w:r>
      <w:r>
        <w:rPr>
          <w:color w:val="000000" w:themeColor="text1"/>
          <w:kern w:val="0"/>
          <w:sz w:val="24"/>
          <w:szCs w:val="24"/>
          <w:lang w:eastAsia="en-US"/>
        </w:rPr>
        <w:t>2</w:t>
      </w:r>
      <w:r>
        <w:rPr>
          <w:color w:val="000000" w:themeColor="text1"/>
          <w:kern w:val="0"/>
          <w:sz w:val="24"/>
          <w:szCs w:val="24"/>
          <w:lang w:eastAsia="en-US"/>
        </w:rPr>
        <w:t>道，干膜厚度</w:t>
      </w:r>
      <w:r>
        <w:rPr>
          <w:color w:val="000000" w:themeColor="text1"/>
          <w:kern w:val="0"/>
          <w:sz w:val="24"/>
          <w:szCs w:val="24"/>
          <w:lang w:eastAsia="en-US"/>
        </w:rPr>
        <w:t>80</w:t>
      </w:r>
      <w:r>
        <w:rPr>
          <w:color w:val="000000" w:themeColor="text1"/>
          <w:kern w:val="0"/>
          <w:sz w:val="24"/>
          <w:szCs w:val="24"/>
          <w:lang w:eastAsia="en-US"/>
        </w:rPr>
        <w:t>～</w:t>
      </w:r>
      <w:r>
        <w:rPr>
          <w:color w:val="000000" w:themeColor="text1"/>
          <w:kern w:val="0"/>
          <w:sz w:val="24"/>
          <w:szCs w:val="24"/>
          <w:lang w:eastAsia="en-US"/>
        </w:rPr>
        <w:t>100μm</w:t>
      </w:r>
      <w:r>
        <w:rPr>
          <w:rFonts w:hint="eastAsia"/>
          <w:color w:val="000000" w:themeColor="text1"/>
          <w:kern w:val="0"/>
          <w:sz w:val="24"/>
          <w:szCs w:val="24"/>
        </w:rPr>
        <w:t>；</w:t>
      </w:r>
      <w:r>
        <w:rPr>
          <w:color w:val="000000" w:themeColor="text1"/>
          <w:kern w:val="0"/>
          <w:sz w:val="24"/>
          <w:szCs w:val="24"/>
          <w:lang w:eastAsia="en-US"/>
        </w:rPr>
        <w:t>中间层：环氧云铁中间漆</w:t>
      </w:r>
      <w:r>
        <w:rPr>
          <w:color w:val="000000" w:themeColor="text1"/>
          <w:kern w:val="0"/>
          <w:sz w:val="24"/>
          <w:szCs w:val="24"/>
          <w:lang w:eastAsia="en-US"/>
        </w:rPr>
        <w:t>1</w:t>
      </w:r>
      <w:r>
        <w:rPr>
          <w:color w:val="000000" w:themeColor="text1"/>
          <w:kern w:val="0"/>
          <w:sz w:val="24"/>
          <w:szCs w:val="24"/>
          <w:lang w:eastAsia="en-US"/>
        </w:rPr>
        <w:t>道，干膜厚度</w:t>
      </w:r>
      <w:r>
        <w:rPr>
          <w:color w:val="000000" w:themeColor="text1"/>
          <w:kern w:val="0"/>
          <w:sz w:val="24"/>
          <w:szCs w:val="24"/>
          <w:lang w:eastAsia="en-US"/>
        </w:rPr>
        <w:t>60μm</w:t>
      </w:r>
      <w:r>
        <w:rPr>
          <w:rFonts w:hint="eastAsia"/>
          <w:color w:val="000000" w:themeColor="text1"/>
          <w:kern w:val="0"/>
          <w:sz w:val="24"/>
          <w:szCs w:val="24"/>
        </w:rPr>
        <w:t>；</w:t>
      </w:r>
      <w:r>
        <w:rPr>
          <w:color w:val="000000" w:themeColor="text1"/>
          <w:kern w:val="0"/>
          <w:sz w:val="24"/>
          <w:szCs w:val="24"/>
          <w:lang w:eastAsia="en-US"/>
        </w:rPr>
        <w:t>面层：丙烯酸聚氨酯面漆</w:t>
      </w:r>
      <w:r>
        <w:rPr>
          <w:color w:val="000000" w:themeColor="text1"/>
          <w:kern w:val="0"/>
          <w:sz w:val="24"/>
          <w:szCs w:val="24"/>
          <w:lang w:eastAsia="en-US"/>
        </w:rPr>
        <w:t>2</w:t>
      </w:r>
      <w:r>
        <w:rPr>
          <w:color w:val="000000" w:themeColor="text1"/>
          <w:kern w:val="0"/>
          <w:sz w:val="24"/>
          <w:szCs w:val="24"/>
          <w:lang w:eastAsia="en-US"/>
        </w:rPr>
        <w:t>道，干膜厚度</w:t>
      </w:r>
      <w:r>
        <w:rPr>
          <w:color w:val="000000" w:themeColor="text1"/>
          <w:kern w:val="0"/>
          <w:sz w:val="24"/>
          <w:szCs w:val="24"/>
          <w:lang w:eastAsia="en-US"/>
        </w:rPr>
        <w:t>90</w:t>
      </w:r>
      <w:r>
        <w:rPr>
          <w:color w:val="000000" w:themeColor="text1"/>
          <w:kern w:val="0"/>
          <w:sz w:val="24"/>
          <w:szCs w:val="24"/>
          <w:lang w:eastAsia="en-US"/>
        </w:rPr>
        <w:t>～</w:t>
      </w:r>
      <w:r>
        <w:rPr>
          <w:color w:val="000000" w:themeColor="text1"/>
          <w:kern w:val="0"/>
          <w:sz w:val="24"/>
          <w:szCs w:val="24"/>
          <w:lang w:eastAsia="en-US"/>
        </w:rPr>
        <w:t>100μm</w:t>
      </w:r>
      <w:r>
        <w:rPr>
          <w:rFonts w:hint="eastAsia"/>
          <w:color w:val="000000" w:themeColor="text1"/>
          <w:kern w:val="0"/>
          <w:sz w:val="24"/>
          <w:szCs w:val="24"/>
        </w:rPr>
        <w:t>；</w:t>
      </w:r>
      <w:r>
        <w:rPr>
          <w:color w:val="000000" w:themeColor="text1"/>
          <w:kern w:val="0"/>
          <w:sz w:val="24"/>
          <w:szCs w:val="24"/>
          <w:lang w:eastAsia="en-US"/>
        </w:rPr>
        <w:t>总干膜厚度</w:t>
      </w:r>
      <w:r>
        <w:rPr>
          <w:color w:val="000000" w:themeColor="text1"/>
          <w:kern w:val="0"/>
          <w:sz w:val="24"/>
          <w:szCs w:val="24"/>
          <w:lang w:eastAsia="en-US"/>
        </w:rPr>
        <w:t>≥230m</w:t>
      </w:r>
      <w:r>
        <w:rPr>
          <w:rFonts w:hint="eastAsia"/>
          <w:color w:val="000000" w:themeColor="text1"/>
          <w:kern w:val="0"/>
          <w:sz w:val="24"/>
          <w:szCs w:val="24"/>
        </w:rPr>
        <w:t>。</w:t>
      </w:r>
    </w:p>
    <w:p w14:paraId="45058D18" w14:textId="77777777" w:rsidR="002E0859" w:rsidRDefault="00000000">
      <w:pPr>
        <w:spacing w:line="360" w:lineRule="auto"/>
        <w:ind w:firstLine="480"/>
        <w:rPr>
          <w:color w:val="000000" w:themeColor="text1"/>
          <w:kern w:val="0"/>
          <w:sz w:val="24"/>
          <w:szCs w:val="24"/>
          <w:lang w:eastAsia="en-US"/>
        </w:rPr>
      </w:pPr>
      <w:r>
        <w:rPr>
          <w:color w:val="000000" w:themeColor="text1"/>
          <w:kern w:val="0"/>
          <w:sz w:val="24"/>
          <w:szCs w:val="24"/>
          <w:lang w:eastAsia="en-US"/>
        </w:rPr>
        <w:t>5</w:t>
      </w:r>
      <w:r>
        <w:rPr>
          <w:color w:val="000000" w:themeColor="text1"/>
          <w:kern w:val="0"/>
          <w:sz w:val="24"/>
          <w:szCs w:val="24"/>
          <w:lang w:eastAsia="en-US"/>
        </w:rPr>
        <w:t>）分离器等设备内表面采用如下涂层结构：</w:t>
      </w:r>
    </w:p>
    <w:p w14:paraId="010298E8" w14:textId="77777777" w:rsidR="002E0859" w:rsidRDefault="00000000">
      <w:pPr>
        <w:spacing w:line="360" w:lineRule="auto"/>
        <w:ind w:firstLine="480"/>
        <w:rPr>
          <w:color w:val="000000" w:themeColor="text1"/>
          <w:kern w:val="0"/>
          <w:sz w:val="24"/>
          <w:szCs w:val="24"/>
        </w:rPr>
      </w:pPr>
      <w:r>
        <w:rPr>
          <w:color w:val="000000" w:themeColor="text1"/>
          <w:kern w:val="0"/>
          <w:sz w:val="24"/>
          <w:szCs w:val="24"/>
          <w:lang w:eastAsia="en-US"/>
        </w:rPr>
        <w:t>底层：环氧玻璃鳞片底漆</w:t>
      </w:r>
      <w:r>
        <w:rPr>
          <w:color w:val="000000" w:themeColor="text1"/>
          <w:kern w:val="0"/>
          <w:sz w:val="24"/>
          <w:szCs w:val="24"/>
          <w:lang w:eastAsia="en-US"/>
        </w:rPr>
        <w:t>2</w:t>
      </w:r>
      <w:r>
        <w:rPr>
          <w:color w:val="000000" w:themeColor="text1"/>
          <w:kern w:val="0"/>
          <w:sz w:val="24"/>
          <w:szCs w:val="24"/>
          <w:lang w:eastAsia="en-US"/>
        </w:rPr>
        <w:t>道，</w:t>
      </w:r>
      <w:r>
        <w:rPr>
          <w:color w:val="000000" w:themeColor="text1"/>
          <w:kern w:val="0"/>
          <w:sz w:val="24"/>
          <w:szCs w:val="24"/>
          <w:lang w:eastAsia="en-US"/>
        </w:rPr>
        <w:t>120μm</w:t>
      </w:r>
      <w:r>
        <w:rPr>
          <w:rFonts w:hint="eastAsia"/>
          <w:color w:val="000000" w:themeColor="text1"/>
          <w:kern w:val="0"/>
          <w:sz w:val="24"/>
          <w:szCs w:val="24"/>
        </w:rPr>
        <w:t>；</w:t>
      </w:r>
      <w:r>
        <w:rPr>
          <w:color w:val="000000" w:themeColor="text1"/>
          <w:kern w:val="0"/>
          <w:sz w:val="24"/>
          <w:szCs w:val="24"/>
          <w:lang w:eastAsia="en-US"/>
        </w:rPr>
        <w:t>面层：环氧玻璃鳞片面漆</w:t>
      </w:r>
      <w:r>
        <w:rPr>
          <w:color w:val="000000" w:themeColor="text1"/>
          <w:kern w:val="0"/>
          <w:sz w:val="24"/>
          <w:szCs w:val="24"/>
          <w:lang w:eastAsia="en-US"/>
        </w:rPr>
        <w:t>3</w:t>
      </w:r>
      <w:r>
        <w:rPr>
          <w:color w:val="000000" w:themeColor="text1"/>
          <w:kern w:val="0"/>
          <w:sz w:val="24"/>
          <w:szCs w:val="24"/>
          <w:lang w:eastAsia="en-US"/>
        </w:rPr>
        <w:t>道，</w:t>
      </w:r>
      <w:r>
        <w:rPr>
          <w:color w:val="000000" w:themeColor="text1"/>
          <w:kern w:val="0"/>
          <w:sz w:val="24"/>
          <w:szCs w:val="24"/>
          <w:lang w:eastAsia="en-US"/>
        </w:rPr>
        <w:t>180μm</w:t>
      </w:r>
      <w:bookmarkStart w:id="32" w:name="bookmark45"/>
      <w:bookmarkEnd w:id="32"/>
      <w:r>
        <w:rPr>
          <w:rFonts w:hint="eastAsia"/>
          <w:color w:val="000000" w:themeColor="text1"/>
          <w:kern w:val="0"/>
          <w:sz w:val="24"/>
          <w:szCs w:val="24"/>
        </w:rPr>
        <w:t>；</w:t>
      </w:r>
      <w:r>
        <w:rPr>
          <w:color w:val="000000" w:themeColor="text1"/>
          <w:kern w:val="0"/>
          <w:sz w:val="24"/>
          <w:szCs w:val="24"/>
          <w:lang w:eastAsia="en-US"/>
        </w:rPr>
        <w:t>总干膜厚度</w:t>
      </w:r>
      <w:r>
        <w:rPr>
          <w:color w:val="000000" w:themeColor="text1"/>
          <w:kern w:val="0"/>
          <w:sz w:val="24"/>
          <w:szCs w:val="24"/>
          <w:lang w:eastAsia="en-US"/>
        </w:rPr>
        <w:t>≥300μm</w:t>
      </w:r>
      <w:r>
        <w:rPr>
          <w:rFonts w:hint="eastAsia"/>
          <w:color w:val="000000" w:themeColor="text1"/>
          <w:kern w:val="0"/>
          <w:sz w:val="24"/>
          <w:szCs w:val="24"/>
        </w:rPr>
        <w:t>。</w:t>
      </w:r>
    </w:p>
    <w:p w14:paraId="5BB09ED2" w14:textId="77777777" w:rsidR="002E0859" w:rsidRDefault="00000000">
      <w:pPr>
        <w:pStyle w:val="2"/>
        <w:keepNext w:val="0"/>
        <w:keepLines w:val="0"/>
        <w:spacing w:before="120" w:after="120" w:line="360" w:lineRule="auto"/>
        <w:jc w:val="center"/>
        <w:rPr>
          <w:color w:val="000000" w:themeColor="text1"/>
        </w:rPr>
      </w:pPr>
      <w:bookmarkStart w:id="33" w:name="_Toc23714"/>
      <w:r>
        <w:rPr>
          <w:rFonts w:hint="eastAsia"/>
          <w:color w:val="000000" w:themeColor="text1"/>
        </w:rPr>
        <w:t>安全管理情况</w:t>
      </w:r>
      <w:bookmarkEnd w:id="33"/>
    </w:p>
    <w:p w14:paraId="21C9D461" w14:textId="77777777" w:rsidR="002E0859" w:rsidRDefault="00000000">
      <w:pPr>
        <w:numPr>
          <w:ilvl w:val="2"/>
          <w:numId w:val="1"/>
        </w:numPr>
        <w:spacing w:beforeLines="50" w:before="120" w:afterLines="50" w:after="120" w:line="360" w:lineRule="auto"/>
        <w:ind w:left="0" w:firstLineChars="0"/>
        <w:outlineLvl w:val="2"/>
        <w:rPr>
          <w:rFonts w:eastAsia="黑体"/>
          <w:bCs/>
          <w:color w:val="000000" w:themeColor="text1"/>
          <w:sz w:val="24"/>
          <w:szCs w:val="24"/>
        </w:rPr>
      </w:pPr>
      <w:r>
        <w:rPr>
          <w:rFonts w:eastAsia="黑体" w:hint="eastAsia"/>
          <w:bCs/>
          <w:color w:val="000000" w:themeColor="text1"/>
          <w:sz w:val="24"/>
          <w:szCs w:val="24"/>
        </w:rPr>
        <w:t>安全管理机构设置情况</w:t>
      </w:r>
    </w:p>
    <w:p w14:paraId="56E5565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372F38C7"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lastRenderedPageBreak/>
        <w:t>劳动定员</w:t>
      </w:r>
    </w:p>
    <w:p w14:paraId="29A201F6" w14:textId="77777777" w:rsidR="002E0859" w:rsidRDefault="00000000">
      <w:pPr>
        <w:widowControl/>
        <w:kinsoku w:val="0"/>
        <w:topLinePunct w:val="0"/>
        <w:autoSpaceDE w:val="0"/>
        <w:autoSpaceDN w:val="0"/>
        <w:spacing w:line="360" w:lineRule="auto"/>
        <w:ind w:firstLine="472"/>
        <w:jc w:val="left"/>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spacing w:val="-2"/>
          <w:kern w:val="0"/>
          <w:position w:val="17"/>
          <w:sz w:val="24"/>
          <w:szCs w:val="24"/>
          <w:lang w:eastAsia="en-US"/>
        </w:rPr>
        <w:t>本项目为老区开发调整项目，不考虑新增定</w:t>
      </w:r>
      <w:r>
        <w:rPr>
          <w:rFonts w:ascii="宋体" w:hAnsi="宋体" w:cs="宋体"/>
          <w:snapToGrid w:val="0"/>
          <w:color w:val="000000" w:themeColor="text1"/>
          <w:spacing w:val="-3"/>
          <w:kern w:val="0"/>
          <w:position w:val="17"/>
          <w:sz w:val="24"/>
          <w:szCs w:val="24"/>
          <w:lang w:eastAsia="en-US"/>
        </w:rPr>
        <w:t>员。</w:t>
      </w:r>
    </w:p>
    <w:p w14:paraId="473201C6"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安全投资</w:t>
      </w:r>
    </w:p>
    <w:p w14:paraId="647AE6B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59F2CA62" w14:textId="77777777" w:rsidR="002E0859" w:rsidRDefault="002E0859">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p>
    <w:p w14:paraId="524AF6C1" w14:textId="77777777" w:rsidR="002E0859" w:rsidRDefault="002E0859">
      <w:pPr>
        <w:kinsoku w:val="0"/>
        <w:autoSpaceDE w:val="0"/>
        <w:autoSpaceDN w:val="0"/>
        <w:spacing w:line="240" w:lineRule="auto"/>
        <w:ind w:firstLineChars="0" w:firstLine="0"/>
        <w:jc w:val="center"/>
        <w:textAlignment w:val="baseline"/>
        <w:rPr>
          <w:rFonts w:eastAsia="黑体"/>
          <w:color w:val="000000" w:themeColor="text1"/>
          <w:sz w:val="21"/>
          <w:szCs w:val="21"/>
          <w:lang w:eastAsia="en-US"/>
        </w:rPr>
      </w:pPr>
    </w:p>
    <w:p w14:paraId="20E92C32" w14:textId="77777777" w:rsidR="002E0859" w:rsidRDefault="00000000">
      <w:pPr>
        <w:ind w:firstLine="560"/>
        <w:rPr>
          <w:color w:val="000000" w:themeColor="text1"/>
        </w:rPr>
      </w:pPr>
      <w:r>
        <w:rPr>
          <w:color w:val="000000" w:themeColor="text1"/>
        </w:rPr>
        <w:br w:type="page"/>
      </w:r>
    </w:p>
    <w:p w14:paraId="2C514B17" w14:textId="77777777" w:rsidR="002E0859" w:rsidRDefault="00000000">
      <w:pPr>
        <w:pStyle w:val="1"/>
        <w:keepNext w:val="0"/>
        <w:keepLines w:val="0"/>
        <w:spacing w:before="240" w:after="240" w:line="360" w:lineRule="auto"/>
        <w:rPr>
          <w:color w:val="000000" w:themeColor="text1"/>
        </w:rPr>
      </w:pPr>
      <w:bookmarkStart w:id="34" w:name="_Toc26977"/>
      <w:r>
        <w:rPr>
          <w:rFonts w:hint="eastAsia"/>
          <w:color w:val="000000" w:themeColor="text1"/>
        </w:rPr>
        <w:lastRenderedPageBreak/>
        <w:t>危险、有害因素辨识与分析</w:t>
      </w:r>
      <w:bookmarkEnd w:id="34"/>
    </w:p>
    <w:p w14:paraId="45BA6B6D" w14:textId="77777777" w:rsidR="002E0859" w:rsidRDefault="00000000">
      <w:pPr>
        <w:pStyle w:val="2"/>
        <w:keepNext w:val="0"/>
        <w:keepLines w:val="0"/>
        <w:spacing w:before="120" w:after="120" w:line="360" w:lineRule="auto"/>
        <w:jc w:val="center"/>
        <w:rPr>
          <w:color w:val="000000" w:themeColor="text1"/>
        </w:rPr>
      </w:pPr>
      <w:bookmarkStart w:id="35" w:name="_Toc23232"/>
      <w:r>
        <w:rPr>
          <w:rFonts w:hint="eastAsia"/>
          <w:color w:val="000000" w:themeColor="text1"/>
        </w:rPr>
        <w:t>主要物质危险、有害因素分析</w:t>
      </w:r>
      <w:bookmarkEnd w:id="35"/>
    </w:p>
    <w:p w14:paraId="1BB805AC"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危险有害物质识别</w:t>
      </w:r>
    </w:p>
    <w:p w14:paraId="7DBE5F7D" w14:textId="77777777" w:rsidR="002E0859" w:rsidRDefault="00000000">
      <w:pPr>
        <w:pStyle w:val="a0"/>
        <w:numPr>
          <w:ilvl w:val="0"/>
          <w:numId w:val="16"/>
        </w:numPr>
        <w:spacing w:line="360" w:lineRule="auto"/>
        <w:ind w:firstLine="480"/>
        <w:rPr>
          <w:color w:val="000000" w:themeColor="text1"/>
          <w:sz w:val="24"/>
          <w:szCs w:val="24"/>
        </w:rPr>
      </w:pPr>
      <w:r>
        <w:rPr>
          <w:rFonts w:hint="eastAsia"/>
          <w:color w:val="000000" w:themeColor="text1"/>
          <w:sz w:val="24"/>
          <w:szCs w:val="24"/>
        </w:rPr>
        <w:t>钻井工程所涉及的主要危险有害物质</w:t>
      </w:r>
    </w:p>
    <w:p w14:paraId="0B622D9B" w14:textId="77777777" w:rsidR="002E0859" w:rsidRDefault="00000000">
      <w:pPr>
        <w:pStyle w:val="a0"/>
        <w:spacing w:line="360" w:lineRule="auto"/>
        <w:ind w:firstLine="480"/>
        <w:rPr>
          <w:color w:val="000000" w:themeColor="text1"/>
          <w:kern w:val="0"/>
          <w:sz w:val="24"/>
          <w:szCs w:val="24"/>
        </w:rPr>
      </w:pPr>
      <w:r>
        <w:rPr>
          <w:rFonts w:hint="eastAsia"/>
          <w:color w:val="000000" w:themeColor="text1"/>
          <w:sz w:val="24"/>
          <w:szCs w:val="24"/>
        </w:rPr>
        <w:t>钻井施工过程中涉及的危险有害物质有页岩天然气（以下均称天然气）、汽油、柴油，天然气中含有二氧化碳，以及钻井用钻井液、固井化学品，配浆用氢氧化钠，测井过程中使用放射源等。根</w:t>
      </w:r>
      <w:r>
        <w:rPr>
          <w:rFonts w:hint="eastAsia"/>
          <w:color w:val="000000" w:themeColor="text1"/>
          <w:kern w:val="0"/>
          <w:sz w:val="24"/>
          <w:szCs w:val="24"/>
        </w:rPr>
        <w:t>据可行研究报告，</w:t>
      </w:r>
      <w:r>
        <w:rPr>
          <w:rFonts w:ascii="宋体" w:hAnsi="宋体" w:cs="宋体"/>
          <w:color w:val="000000" w:themeColor="text1"/>
          <w:kern w:val="0"/>
          <w:sz w:val="24"/>
          <w:szCs w:val="24"/>
        </w:rPr>
        <w:t>焦页</w:t>
      </w:r>
      <w:r>
        <w:rPr>
          <w:rFonts w:eastAsia="Times New Roman"/>
          <w:color w:val="000000" w:themeColor="text1"/>
          <w:kern w:val="0"/>
          <w:sz w:val="24"/>
          <w:szCs w:val="24"/>
        </w:rPr>
        <w:t>1HF</w:t>
      </w:r>
      <w:r>
        <w:rPr>
          <w:rFonts w:ascii="宋体" w:hAnsi="宋体" w:cs="宋体"/>
          <w:color w:val="000000" w:themeColor="text1"/>
          <w:kern w:val="0"/>
          <w:sz w:val="24"/>
          <w:szCs w:val="24"/>
        </w:rPr>
        <w:t>井气样分析解释结果，</w:t>
      </w:r>
      <w:r>
        <w:rPr>
          <w:rFonts w:ascii="宋体" w:hAnsi="宋体" w:cs="宋体" w:hint="eastAsia"/>
          <w:color w:val="000000" w:themeColor="text1"/>
          <w:kern w:val="0"/>
          <w:sz w:val="24"/>
          <w:szCs w:val="24"/>
        </w:rPr>
        <w:t>本项目</w:t>
      </w:r>
      <w:r>
        <w:rPr>
          <w:rFonts w:ascii="宋体" w:hAnsi="宋体" w:cs="宋体"/>
          <w:color w:val="000000" w:themeColor="text1"/>
          <w:kern w:val="0"/>
          <w:sz w:val="24"/>
          <w:szCs w:val="24"/>
        </w:rPr>
        <w:t>天然气中不含硫化氢</w:t>
      </w:r>
      <w:r>
        <w:rPr>
          <w:rFonts w:hint="eastAsia"/>
          <w:color w:val="000000" w:themeColor="text1"/>
          <w:kern w:val="0"/>
          <w:sz w:val="24"/>
          <w:szCs w:val="24"/>
        </w:rPr>
        <w:t>。</w:t>
      </w:r>
    </w:p>
    <w:p w14:paraId="507C5C10" w14:textId="77777777" w:rsidR="002E0859" w:rsidRDefault="00000000">
      <w:pPr>
        <w:pStyle w:val="a0"/>
        <w:numPr>
          <w:ilvl w:val="0"/>
          <w:numId w:val="16"/>
        </w:numPr>
        <w:spacing w:line="360" w:lineRule="auto"/>
        <w:ind w:firstLine="480"/>
        <w:rPr>
          <w:color w:val="000000" w:themeColor="text1"/>
          <w:sz w:val="24"/>
          <w:szCs w:val="24"/>
        </w:rPr>
      </w:pPr>
      <w:r>
        <w:rPr>
          <w:color w:val="000000" w:themeColor="text1"/>
          <w:sz w:val="24"/>
          <w:szCs w:val="24"/>
        </w:rPr>
        <w:t>采气工程所涉及的主要危险有害物质</w:t>
      </w:r>
    </w:p>
    <w:p w14:paraId="4DE4B9F6" w14:textId="77777777" w:rsidR="002E0859" w:rsidRDefault="00000000">
      <w:pPr>
        <w:pStyle w:val="a0"/>
        <w:spacing w:line="360" w:lineRule="auto"/>
        <w:ind w:firstLine="480"/>
        <w:rPr>
          <w:color w:val="000000" w:themeColor="text1"/>
          <w:sz w:val="24"/>
          <w:szCs w:val="24"/>
        </w:rPr>
      </w:pPr>
      <w:r>
        <w:rPr>
          <w:color w:val="000000" w:themeColor="text1"/>
          <w:sz w:val="24"/>
          <w:szCs w:val="24"/>
        </w:rPr>
        <w:t>采气工程涉及的主要危险有害物质有天然气、液氮、</w:t>
      </w:r>
      <w:r>
        <w:rPr>
          <w:rFonts w:ascii="宋体" w:hAnsi="宋体" w:cs="宋体"/>
          <w:color w:val="000000" w:themeColor="text1"/>
          <w:spacing w:val="-10"/>
          <w:sz w:val="24"/>
          <w:szCs w:val="24"/>
        </w:rPr>
        <w:t>火工品、酸液</w:t>
      </w:r>
      <w:r>
        <w:rPr>
          <w:rFonts w:ascii="宋体" w:hAnsi="宋体" w:cs="宋体" w:hint="eastAsia"/>
          <w:color w:val="000000" w:themeColor="text1"/>
          <w:spacing w:val="-10"/>
          <w:sz w:val="24"/>
          <w:szCs w:val="24"/>
        </w:rPr>
        <w:t>（盐酸）</w:t>
      </w:r>
      <w:r>
        <w:rPr>
          <w:rFonts w:ascii="宋体" w:hAnsi="宋体" w:cs="宋体"/>
          <w:color w:val="000000" w:themeColor="text1"/>
          <w:spacing w:val="-10"/>
          <w:sz w:val="24"/>
          <w:szCs w:val="24"/>
        </w:rPr>
        <w:t>、</w:t>
      </w:r>
      <w:r>
        <w:rPr>
          <w:rFonts w:ascii="宋体" w:hAnsi="宋体" w:cs="宋体"/>
          <w:color w:val="000000" w:themeColor="text1"/>
          <w:spacing w:val="-5"/>
          <w:sz w:val="24"/>
          <w:szCs w:val="24"/>
        </w:rPr>
        <w:t>汽</w:t>
      </w:r>
      <w:r>
        <w:rPr>
          <w:rFonts w:ascii="宋体" w:hAnsi="宋体" w:cs="宋体" w:hint="eastAsia"/>
          <w:color w:val="000000" w:themeColor="text1"/>
          <w:spacing w:val="-5"/>
          <w:sz w:val="24"/>
          <w:szCs w:val="24"/>
        </w:rPr>
        <w:t>油、</w:t>
      </w:r>
      <w:r>
        <w:rPr>
          <w:rFonts w:ascii="宋体" w:hAnsi="宋体" w:cs="宋体"/>
          <w:color w:val="000000" w:themeColor="text1"/>
          <w:spacing w:val="-5"/>
          <w:sz w:val="24"/>
          <w:szCs w:val="24"/>
        </w:rPr>
        <w:t>柴油</w:t>
      </w:r>
      <w:r>
        <w:rPr>
          <w:color w:val="000000" w:themeColor="text1"/>
          <w:sz w:val="24"/>
          <w:szCs w:val="24"/>
        </w:rPr>
        <w:t>等。</w:t>
      </w:r>
    </w:p>
    <w:p w14:paraId="5ABEFEA3" w14:textId="77777777" w:rsidR="002E0859" w:rsidRDefault="00000000">
      <w:pPr>
        <w:pStyle w:val="a0"/>
        <w:numPr>
          <w:ilvl w:val="0"/>
          <w:numId w:val="16"/>
        </w:numPr>
        <w:spacing w:line="360" w:lineRule="auto"/>
        <w:ind w:firstLine="480"/>
        <w:rPr>
          <w:color w:val="000000" w:themeColor="text1"/>
          <w:sz w:val="24"/>
          <w:szCs w:val="24"/>
        </w:rPr>
      </w:pPr>
      <w:r>
        <w:rPr>
          <w:rFonts w:hint="eastAsia"/>
          <w:color w:val="000000" w:themeColor="text1"/>
          <w:sz w:val="24"/>
          <w:szCs w:val="24"/>
        </w:rPr>
        <w:t>地面工程</w:t>
      </w:r>
      <w:r>
        <w:rPr>
          <w:color w:val="000000" w:themeColor="text1"/>
          <w:sz w:val="24"/>
          <w:szCs w:val="24"/>
        </w:rPr>
        <w:t>所涉及的主要危险有害物质</w:t>
      </w:r>
    </w:p>
    <w:p w14:paraId="6C3B9F1C" w14:textId="77777777" w:rsidR="002E0859" w:rsidRDefault="00000000">
      <w:pPr>
        <w:pStyle w:val="a0"/>
        <w:spacing w:line="360" w:lineRule="auto"/>
        <w:ind w:firstLine="480"/>
        <w:rPr>
          <w:color w:val="000000" w:themeColor="text1"/>
          <w:sz w:val="24"/>
          <w:szCs w:val="24"/>
        </w:rPr>
      </w:pPr>
      <w:r>
        <w:rPr>
          <w:color w:val="000000" w:themeColor="text1"/>
          <w:sz w:val="24"/>
          <w:szCs w:val="24"/>
        </w:rPr>
        <w:t>地面工程涉及的危险有害物质主要有天然气、二氧化碳（压缩的或液化的）、氮气（压缩的或液化的）、</w:t>
      </w:r>
      <w:r>
        <w:rPr>
          <w:rFonts w:hint="eastAsia"/>
          <w:color w:val="000000" w:themeColor="text1"/>
          <w:sz w:val="24"/>
          <w:szCs w:val="24"/>
        </w:rPr>
        <w:t>化学助剂（防垢剂、杀菌剂、缓蚀剂）等</w:t>
      </w:r>
      <w:r>
        <w:rPr>
          <w:color w:val="000000" w:themeColor="text1"/>
          <w:sz w:val="24"/>
          <w:szCs w:val="24"/>
        </w:rPr>
        <w:t>。</w:t>
      </w:r>
    </w:p>
    <w:p w14:paraId="4653E497"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根据《危险化学品目录（</w:t>
      </w:r>
      <w:r>
        <w:rPr>
          <w:color w:val="000000" w:themeColor="text1"/>
          <w:sz w:val="24"/>
          <w:szCs w:val="24"/>
        </w:rPr>
        <w:t>2015</w:t>
      </w:r>
      <w:r>
        <w:rPr>
          <w:color w:val="000000" w:themeColor="text1"/>
          <w:sz w:val="24"/>
          <w:szCs w:val="24"/>
        </w:rPr>
        <w:t>年版）》（原国家安全生产监督管理局等十部门公告</w:t>
      </w:r>
      <w:r>
        <w:rPr>
          <w:color w:val="000000" w:themeColor="text1"/>
          <w:sz w:val="24"/>
          <w:szCs w:val="24"/>
        </w:rPr>
        <w:t>2015</w:t>
      </w:r>
      <w:r>
        <w:rPr>
          <w:color w:val="000000" w:themeColor="text1"/>
          <w:sz w:val="24"/>
          <w:szCs w:val="24"/>
        </w:rPr>
        <w:t>年第</w:t>
      </w:r>
      <w:r>
        <w:rPr>
          <w:color w:val="000000" w:themeColor="text1"/>
          <w:sz w:val="24"/>
          <w:szCs w:val="24"/>
        </w:rPr>
        <w:t>5</w:t>
      </w:r>
      <w:r>
        <w:rPr>
          <w:color w:val="000000" w:themeColor="text1"/>
          <w:sz w:val="24"/>
          <w:szCs w:val="24"/>
        </w:rPr>
        <w:t>号，应急管理部等十部委公告</w:t>
      </w:r>
      <w:r>
        <w:rPr>
          <w:color w:val="000000" w:themeColor="text1"/>
          <w:sz w:val="24"/>
          <w:szCs w:val="24"/>
        </w:rPr>
        <w:t>2022</w:t>
      </w:r>
      <w:r>
        <w:rPr>
          <w:color w:val="000000" w:themeColor="text1"/>
          <w:sz w:val="24"/>
          <w:szCs w:val="24"/>
        </w:rPr>
        <w:t>年第</w:t>
      </w:r>
      <w:r>
        <w:rPr>
          <w:color w:val="000000" w:themeColor="text1"/>
          <w:sz w:val="24"/>
          <w:szCs w:val="24"/>
        </w:rPr>
        <w:t>8</w:t>
      </w:r>
      <w:r>
        <w:rPr>
          <w:color w:val="000000" w:themeColor="text1"/>
          <w:sz w:val="24"/>
          <w:szCs w:val="24"/>
        </w:rPr>
        <w:t>号）本项目中可能涉及的危险化学品包括天然气、二氧化碳（压缩的或液化的）、氮气（压缩的或液化的）、</w:t>
      </w:r>
      <w:r>
        <w:rPr>
          <w:rFonts w:hint="eastAsia"/>
          <w:color w:val="000000" w:themeColor="text1"/>
          <w:sz w:val="24"/>
          <w:szCs w:val="24"/>
        </w:rPr>
        <w:t>酸液（</w:t>
      </w:r>
      <w:r>
        <w:rPr>
          <w:color w:val="000000" w:themeColor="text1"/>
          <w:sz w:val="24"/>
          <w:szCs w:val="24"/>
        </w:rPr>
        <w:t>盐酸</w:t>
      </w:r>
      <w:r>
        <w:rPr>
          <w:rFonts w:hint="eastAsia"/>
          <w:color w:val="000000" w:themeColor="text1"/>
          <w:sz w:val="24"/>
          <w:szCs w:val="24"/>
        </w:rPr>
        <w:t>）</w:t>
      </w:r>
      <w:r>
        <w:rPr>
          <w:color w:val="000000" w:themeColor="text1"/>
          <w:sz w:val="24"/>
          <w:szCs w:val="24"/>
        </w:rPr>
        <w:t>、</w:t>
      </w:r>
      <w:r>
        <w:rPr>
          <w:rFonts w:hint="eastAsia"/>
          <w:color w:val="000000" w:themeColor="text1"/>
          <w:sz w:val="24"/>
          <w:szCs w:val="24"/>
        </w:rPr>
        <w:t>氢氧化钠、汽油</w:t>
      </w:r>
      <w:r>
        <w:rPr>
          <w:color w:val="000000" w:themeColor="text1"/>
          <w:sz w:val="24"/>
          <w:szCs w:val="24"/>
        </w:rPr>
        <w:t>、柴油等。</w:t>
      </w:r>
    </w:p>
    <w:p w14:paraId="1B755298"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根据《重点监管的危险化学品名录》（</w:t>
      </w:r>
      <w:r>
        <w:rPr>
          <w:color w:val="000000" w:themeColor="text1"/>
          <w:sz w:val="24"/>
          <w:szCs w:val="24"/>
        </w:rPr>
        <w:t>2013</w:t>
      </w:r>
      <w:r>
        <w:rPr>
          <w:color w:val="000000" w:themeColor="text1"/>
          <w:sz w:val="24"/>
          <w:szCs w:val="24"/>
        </w:rPr>
        <w:t>年完整版）中规定，本项目涉及的危险物料中天然气、</w:t>
      </w:r>
      <w:r>
        <w:rPr>
          <w:rFonts w:hint="eastAsia"/>
          <w:color w:val="000000" w:themeColor="text1"/>
          <w:sz w:val="24"/>
          <w:szCs w:val="24"/>
        </w:rPr>
        <w:t>汽油</w:t>
      </w:r>
      <w:r>
        <w:rPr>
          <w:color w:val="000000" w:themeColor="text1"/>
          <w:sz w:val="24"/>
          <w:szCs w:val="24"/>
        </w:rPr>
        <w:t>属于重点监管的危险化学品。</w:t>
      </w:r>
    </w:p>
    <w:p w14:paraId="7EEE4D9C"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根据《高毒物品目录》（卫法监发</w:t>
      </w:r>
      <w:r>
        <w:rPr>
          <w:color w:val="000000" w:themeColor="text1"/>
          <w:sz w:val="24"/>
          <w:szCs w:val="24"/>
        </w:rPr>
        <w:t>[2003]142</w:t>
      </w:r>
      <w:r>
        <w:rPr>
          <w:color w:val="000000" w:themeColor="text1"/>
          <w:sz w:val="24"/>
          <w:szCs w:val="24"/>
        </w:rPr>
        <w:t>号），</w:t>
      </w:r>
      <w:r>
        <w:rPr>
          <w:rFonts w:hint="eastAsia"/>
          <w:color w:val="000000" w:themeColor="text1"/>
          <w:sz w:val="24"/>
          <w:szCs w:val="24"/>
        </w:rPr>
        <w:t>无</w:t>
      </w:r>
      <w:r>
        <w:rPr>
          <w:color w:val="000000" w:themeColor="text1"/>
          <w:sz w:val="24"/>
          <w:szCs w:val="24"/>
        </w:rPr>
        <w:t>高毒物品。</w:t>
      </w:r>
    </w:p>
    <w:p w14:paraId="172442F3"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根据《各类监控化学品名录》（工信部令</w:t>
      </w:r>
      <w:r>
        <w:rPr>
          <w:color w:val="000000" w:themeColor="text1"/>
          <w:sz w:val="24"/>
          <w:szCs w:val="24"/>
        </w:rPr>
        <w:t>[2020]52</w:t>
      </w:r>
      <w:r>
        <w:rPr>
          <w:color w:val="000000" w:themeColor="text1"/>
          <w:sz w:val="24"/>
          <w:szCs w:val="24"/>
        </w:rPr>
        <w:t>号），无监控化学品。</w:t>
      </w:r>
    </w:p>
    <w:p w14:paraId="65291FB2"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根据《易制毒化学品管理条例》（国务院令第</w:t>
      </w:r>
      <w:r>
        <w:rPr>
          <w:color w:val="000000" w:themeColor="text1"/>
          <w:sz w:val="24"/>
          <w:szCs w:val="24"/>
        </w:rPr>
        <w:t>445</w:t>
      </w:r>
      <w:r>
        <w:rPr>
          <w:color w:val="000000" w:themeColor="text1"/>
          <w:sz w:val="24"/>
          <w:szCs w:val="24"/>
        </w:rPr>
        <w:t>号，国务院令第</w:t>
      </w:r>
      <w:r>
        <w:rPr>
          <w:color w:val="000000" w:themeColor="text1"/>
          <w:sz w:val="24"/>
          <w:szCs w:val="24"/>
        </w:rPr>
        <w:t>653</w:t>
      </w:r>
      <w:r>
        <w:rPr>
          <w:color w:val="000000" w:themeColor="text1"/>
          <w:sz w:val="24"/>
          <w:szCs w:val="24"/>
        </w:rPr>
        <w:t>、</w:t>
      </w:r>
      <w:r>
        <w:rPr>
          <w:color w:val="000000" w:themeColor="text1"/>
          <w:sz w:val="24"/>
          <w:szCs w:val="24"/>
        </w:rPr>
        <w:t>666</w:t>
      </w:r>
      <w:r>
        <w:rPr>
          <w:color w:val="000000" w:themeColor="text1"/>
          <w:sz w:val="24"/>
          <w:szCs w:val="24"/>
        </w:rPr>
        <w:t>、</w:t>
      </w:r>
      <w:r>
        <w:rPr>
          <w:color w:val="000000" w:themeColor="text1"/>
          <w:sz w:val="24"/>
          <w:szCs w:val="24"/>
        </w:rPr>
        <w:t>703</w:t>
      </w:r>
      <w:r>
        <w:rPr>
          <w:color w:val="000000" w:themeColor="text1"/>
          <w:sz w:val="24"/>
          <w:szCs w:val="24"/>
        </w:rPr>
        <w:t>号、国办函</w:t>
      </w:r>
      <w:r>
        <w:rPr>
          <w:color w:val="000000" w:themeColor="text1"/>
          <w:sz w:val="24"/>
          <w:szCs w:val="24"/>
        </w:rPr>
        <w:t>[2017]120</w:t>
      </w:r>
      <w:r>
        <w:rPr>
          <w:color w:val="000000" w:themeColor="text1"/>
          <w:sz w:val="24"/>
          <w:szCs w:val="24"/>
        </w:rPr>
        <w:t>号、国办函</w:t>
      </w:r>
      <w:r>
        <w:rPr>
          <w:color w:val="000000" w:themeColor="text1"/>
          <w:sz w:val="24"/>
          <w:szCs w:val="24"/>
        </w:rPr>
        <w:t>[2021]58</w:t>
      </w:r>
      <w:r>
        <w:rPr>
          <w:color w:val="000000" w:themeColor="text1"/>
          <w:sz w:val="24"/>
          <w:szCs w:val="24"/>
        </w:rPr>
        <w:t>号增补修正），该项目涉及的盐酸为第三类易制毒危险化学品。</w:t>
      </w:r>
    </w:p>
    <w:p w14:paraId="75B1CB13"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根据《易制爆危险化学品目录》（</w:t>
      </w:r>
      <w:r>
        <w:rPr>
          <w:color w:val="000000" w:themeColor="text1"/>
          <w:sz w:val="24"/>
          <w:szCs w:val="24"/>
        </w:rPr>
        <w:t>2017</w:t>
      </w:r>
      <w:r>
        <w:rPr>
          <w:color w:val="000000" w:themeColor="text1"/>
          <w:sz w:val="24"/>
          <w:szCs w:val="24"/>
        </w:rPr>
        <w:t>年版）辨识，</w:t>
      </w:r>
      <w:r>
        <w:rPr>
          <w:rFonts w:hint="eastAsia"/>
          <w:color w:val="000000" w:themeColor="text1"/>
          <w:sz w:val="24"/>
          <w:szCs w:val="24"/>
        </w:rPr>
        <w:t>无</w:t>
      </w:r>
      <w:r>
        <w:rPr>
          <w:color w:val="000000" w:themeColor="text1"/>
          <w:sz w:val="24"/>
          <w:szCs w:val="24"/>
        </w:rPr>
        <w:t>易制爆危险化学品。</w:t>
      </w:r>
    </w:p>
    <w:p w14:paraId="40C888D2"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根据《特别管控危险化学品目录（第一版）》（应急管理部、工业和信息化部、公安部、交通运输部公告</w:t>
      </w:r>
      <w:r>
        <w:rPr>
          <w:color w:val="000000" w:themeColor="text1"/>
          <w:sz w:val="24"/>
          <w:szCs w:val="24"/>
        </w:rPr>
        <w:t>2020</w:t>
      </w:r>
      <w:r>
        <w:rPr>
          <w:color w:val="000000" w:themeColor="text1"/>
          <w:sz w:val="24"/>
          <w:szCs w:val="24"/>
        </w:rPr>
        <w:t>年第</w:t>
      </w:r>
      <w:r>
        <w:rPr>
          <w:color w:val="000000" w:themeColor="text1"/>
          <w:sz w:val="24"/>
          <w:szCs w:val="24"/>
        </w:rPr>
        <w:t>3</w:t>
      </w:r>
      <w:r>
        <w:rPr>
          <w:color w:val="000000" w:themeColor="text1"/>
          <w:sz w:val="24"/>
          <w:szCs w:val="24"/>
        </w:rPr>
        <w:t>号）的规定，</w:t>
      </w:r>
      <w:r>
        <w:rPr>
          <w:rFonts w:hint="eastAsia"/>
          <w:color w:val="000000" w:themeColor="text1"/>
          <w:sz w:val="24"/>
          <w:szCs w:val="24"/>
        </w:rPr>
        <w:t>汽油</w:t>
      </w:r>
      <w:r>
        <w:rPr>
          <w:color w:val="000000" w:themeColor="text1"/>
          <w:sz w:val="24"/>
          <w:szCs w:val="24"/>
        </w:rPr>
        <w:t>属于特别管控危险化学品。</w:t>
      </w:r>
    </w:p>
    <w:p w14:paraId="6835AFF0"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lastRenderedPageBreak/>
        <w:t>主要危险物质及其危险有害特性</w:t>
      </w:r>
    </w:p>
    <w:p w14:paraId="6EAB673F"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主要危险有害物质分布</w:t>
      </w:r>
    </w:p>
    <w:p w14:paraId="40A4CCA7" w14:textId="77777777" w:rsidR="002E0859" w:rsidRDefault="00000000">
      <w:pPr>
        <w:pStyle w:val="a8"/>
        <w:spacing w:before="42" w:line="359" w:lineRule="auto"/>
        <w:ind w:left="12" w:right="103" w:firstLine="48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主要危险有害物质分布情况见表</w:t>
      </w:r>
      <w:r>
        <w:rPr>
          <w:rFonts w:ascii="Times New Roman" w:hAnsi="Times New Roman" w:cs="Times New Roman"/>
          <w:color w:val="000000" w:themeColor="text1"/>
          <w:sz w:val="24"/>
          <w:szCs w:val="24"/>
          <w:lang w:eastAsia="zh-CN"/>
        </w:rPr>
        <w:t>3.1-1</w:t>
      </w:r>
      <w:r>
        <w:rPr>
          <w:rFonts w:ascii="Times New Roman" w:hAnsi="Times New Roman" w:cs="Times New Roman"/>
          <w:color w:val="000000" w:themeColor="text1"/>
          <w:sz w:val="24"/>
          <w:szCs w:val="24"/>
          <w:lang w:eastAsia="zh-CN"/>
        </w:rPr>
        <w:t>。</w:t>
      </w:r>
    </w:p>
    <w:p w14:paraId="0D4C0ABF" w14:textId="77777777" w:rsidR="002E0859" w:rsidRDefault="00000000">
      <w:pPr>
        <w:pStyle w:val="a8"/>
        <w:spacing w:before="42" w:line="240" w:lineRule="auto"/>
        <w:ind w:right="102" w:firstLineChars="0" w:firstLine="0"/>
        <w:jc w:val="center"/>
        <w:rPr>
          <w:rFonts w:ascii="Times New Roman" w:eastAsia="黑体" w:hAnsi="Times New Roman" w:cs="Times New Roman"/>
          <w:color w:val="000000" w:themeColor="text1"/>
          <w:sz w:val="21"/>
          <w:szCs w:val="21"/>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3.1-1</w:t>
      </w:r>
      <w:r>
        <w:rPr>
          <w:rFonts w:ascii="Times New Roman" w:eastAsia="黑体" w:hAnsi="Times New Roman" w:cs="Times New Roman" w:hint="eastAsia"/>
          <w:color w:val="000000" w:themeColor="text1"/>
          <w:sz w:val="21"/>
          <w:szCs w:val="21"/>
          <w:lang w:eastAsia="zh-CN"/>
        </w:rPr>
        <w:t xml:space="preserve"> </w:t>
      </w:r>
      <w:r>
        <w:rPr>
          <w:rFonts w:ascii="Times New Roman" w:eastAsia="黑体" w:hAnsi="Times New Roman" w:cs="Times New Roman"/>
          <w:color w:val="000000" w:themeColor="text1"/>
          <w:sz w:val="21"/>
          <w:szCs w:val="21"/>
          <w:lang w:eastAsia="zh-CN"/>
        </w:rPr>
        <w:t>主要危险有害物质分布情况一览表</w:t>
      </w:r>
    </w:p>
    <w:tbl>
      <w:tblPr>
        <w:tblStyle w:val="ac"/>
        <w:tblW w:w="4995"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54"/>
        <w:gridCol w:w="2318"/>
        <w:gridCol w:w="3645"/>
        <w:gridCol w:w="2528"/>
      </w:tblGrid>
      <w:tr w:rsidR="002E0859" w14:paraId="5865D994" w14:textId="77777777">
        <w:tc>
          <w:tcPr>
            <w:tcW w:w="357" w:type="pct"/>
            <w:tcBorders>
              <w:tl2br w:val="nil"/>
              <w:tr2bl w:val="nil"/>
            </w:tcBorders>
          </w:tcPr>
          <w:p w14:paraId="39450054" w14:textId="77777777" w:rsidR="002E0859" w:rsidRDefault="00000000">
            <w:pPr>
              <w:pStyle w:val="a8"/>
              <w:spacing w:line="240" w:lineRule="auto"/>
              <w:ind w:firstLineChars="0" w:firstLine="0"/>
              <w:jc w:val="center"/>
              <w:rPr>
                <w:rFonts w:ascii="Times New Roman" w:hAnsi="Times New Roman" w:cs="Times New Roman"/>
                <w:b/>
                <w:bCs/>
                <w:color w:val="000000" w:themeColor="text1"/>
                <w:sz w:val="21"/>
                <w:szCs w:val="21"/>
                <w:lang w:eastAsia="zh-CN"/>
              </w:rPr>
            </w:pPr>
            <w:r>
              <w:rPr>
                <w:rFonts w:ascii="Times New Roman" w:hAnsi="Times New Roman" w:cs="Times New Roman" w:hint="eastAsia"/>
                <w:b/>
                <w:bCs/>
                <w:color w:val="000000" w:themeColor="text1"/>
                <w:sz w:val="21"/>
                <w:szCs w:val="21"/>
                <w:lang w:eastAsia="zh-CN"/>
              </w:rPr>
              <w:t>序号</w:t>
            </w:r>
          </w:p>
        </w:tc>
        <w:tc>
          <w:tcPr>
            <w:tcW w:w="1267" w:type="pct"/>
            <w:tcBorders>
              <w:tl2br w:val="nil"/>
              <w:tr2bl w:val="nil"/>
            </w:tcBorders>
          </w:tcPr>
          <w:p w14:paraId="272A602C" w14:textId="77777777" w:rsidR="002E0859" w:rsidRDefault="00000000">
            <w:pPr>
              <w:pStyle w:val="a8"/>
              <w:spacing w:line="240" w:lineRule="auto"/>
              <w:ind w:firstLineChars="0" w:firstLine="0"/>
              <w:jc w:val="center"/>
              <w:rPr>
                <w:rFonts w:ascii="Times New Roman" w:hAnsi="Times New Roman" w:cs="Times New Roman"/>
                <w:b/>
                <w:bCs/>
                <w:color w:val="000000" w:themeColor="text1"/>
                <w:sz w:val="21"/>
                <w:szCs w:val="21"/>
                <w:lang w:eastAsia="zh-CN"/>
              </w:rPr>
            </w:pPr>
            <w:r>
              <w:rPr>
                <w:rFonts w:ascii="Times New Roman" w:hAnsi="Times New Roman" w:cs="Times New Roman" w:hint="eastAsia"/>
                <w:b/>
                <w:bCs/>
                <w:color w:val="000000" w:themeColor="text1"/>
                <w:sz w:val="21"/>
                <w:szCs w:val="21"/>
                <w:lang w:eastAsia="zh-CN"/>
              </w:rPr>
              <w:t>物质名称</w:t>
            </w:r>
          </w:p>
        </w:tc>
        <w:tc>
          <w:tcPr>
            <w:tcW w:w="1993" w:type="pct"/>
            <w:tcBorders>
              <w:tl2br w:val="nil"/>
              <w:tr2bl w:val="nil"/>
            </w:tcBorders>
          </w:tcPr>
          <w:p w14:paraId="1FB840AB" w14:textId="77777777" w:rsidR="002E0859" w:rsidRDefault="00000000">
            <w:pPr>
              <w:pStyle w:val="a8"/>
              <w:spacing w:line="240" w:lineRule="auto"/>
              <w:ind w:firstLineChars="0" w:firstLine="0"/>
              <w:jc w:val="center"/>
              <w:rPr>
                <w:rFonts w:ascii="Times New Roman" w:hAnsi="Times New Roman" w:cs="Times New Roman"/>
                <w:b/>
                <w:bCs/>
                <w:color w:val="000000" w:themeColor="text1"/>
                <w:sz w:val="21"/>
                <w:szCs w:val="21"/>
                <w:lang w:eastAsia="zh-CN"/>
              </w:rPr>
            </w:pPr>
            <w:r>
              <w:rPr>
                <w:rFonts w:ascii="Times New Roman" w:hAnsi="Times New Roman" w:cs="Times New Roman" w:hint="eastAsia"/>
                <w:b/>
                <w:bCs/>
                <w:color w:val="000000" w:themeColor="text1"/>
                <w:sz w:val="21"/>
                <w:szCs w:val="21"/>
                <w:lang w:eastAsia="zh-CN"/>
              </w:rPr>
              <w:t>分布</w:t>
            </w:r>
          </w:p>
        </w:tc>
        <w:tc>
          <w:tcPr>
            <w:tcW w:w="1382" w:type="pct"/>
            <w:tcBorders>
              <w:tl2br w:val="nil"/>
              <w:tr2bl w:val="nil"/>
            </w:tcBorders>
          </w:tcPr>
          <w:p w14:paraId="7A959AF0" w14:textId="77777777" w:rsidR="002E0859" w:rsidRDefault="00000000">
            <w:pPr>
              <w:pStyle w:val="a8"/>
              <w:spacing w:line="240" w:lineRule="auto"/>
              <w:ind w:firstLineChars="0" w:firstLine="0"/>
              <w:jc w:val="center"/>
              <w:rPr>
                <w:rFonts w:ascii="Times New Roman" w:hAnsi="Times New Roman" w:cs="Times New Roman"/>
                <w:b/>
                <w:bCs/>
                <w:color w:val="000000" w:themeColor="text1"/>
                <w:sz w:val="21"/>
                <w:szCs w:val="21"/>
                <w:lang w:eastAsia="zh-CN"/>
              </w:rPr>
            </w:pPr>
            <w:r>
              <w:rPr>
                <w:rFonts w:ascii="Times New Roman" w:hAnsi="Times New Roman" w:cs="Times New Roman" w:hint="eastAsia"/>
                <w:b/>
                <w:bCs/>
                <w:color w:val="000000" w:themeColor="text1"/>
                <w:sz w:val="21"/>
                <w:szCs w:val="21"/>
                <w:lang w:eastAsia="zh-CN"/>
              </w:rPr>
              <w:t>备注</w:t>
            </w:r>
          </w:p>
        </w:tc>
      </w:tr>
      <w:tr w:rsidR="002E0859" w14:paraId="64C95152" w14:textId="77777777">
        <w:tc>
          <w:tcPr>
            <w:tcW w:w="357" w:type="pct"/>
            <w:tcBorders>
              <w:tl2br w:val="nil"/>
              <w:tr2bl w:val="nil"/>
            </w:tcBorders>
            <w:vAlign w:val="center"/>
          </w:tcPr>
          <w:p w14:paraId="5658EE49"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2CBA5976"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天然气</w:t>
            </w:r>
          </w:p>
        </w:tc>
        <w:tc>
          <w:tcPr>
            <w:tcW w:w="1993" w:type="pct"/>
            <w:tcBorders>
              <w:tl2br w:val="nil"/>
              <w:tr2bl w:val="nil"/>
            </w:tcBorders>
            <w:vAlign w:val="center"/>
          </w:tcPr>
          <w:p w14:paraId="0406CFC6"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color w:val="000000" w:themeColor="text1"/>
                <w:sz w:val="21"/>
                <w:szCs w:val="21"/>
                <w:lang w:eastAsia="zh-CN"/>
              </w:rPr>
              <w:t>井场、油气集输系统和燃料气系统</w:t>
            </w:r>
          </w:p>
        </w:tc>
        <w:tc>
          <w:tcPr>
            <w:tcW w:w="1382" w:type="pct"/>
            <w:tcBorders>
              <w:tl2br w:val="nil"/>
              <w:tr2bl w:val="nil"/>
            </w:tcBorders>
          </w:tcPr>
          <w:p w14:paraId="145D927C"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重点监管的危险化学品</w:t>
            </w:r>
          </w:p>
        </w:tc>
      </w:tr>
      <w:tr w:rsidR="002E0859" w14:paraId="1B07948F" w14:textId="77777777">
        <w:tc>
          <w:tcPr>
            <w:tcW w:w="357" w:type="pct"/>
            <w:tcBorders>
              <w:tl2br w:val="nil"/>
              <w:tr2bl w:val="nil"/>
            </w:tcBorders>
            <w:vAlign w:val="center"/>
          </w:tcPr>
          <w:p w14:paraId="1A41B26C"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6566A7D5"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color w:val="000000" w:themeColor="text1"/>
                <w:sz w:val="21"/>
                <w:szCs w:val="21"/>
                <w:lang w:eastAsia="zh-CN"/>
              </w:rPr>
              <w:t>二氧化碳</w:t>
            </w:r>
            <w:r>
              <w:rPr>
                <w:rFonts w:ascii="Times New Roman" w:hAnsi="Times New Roman" w:cs="Times New Roman" w:hint="eastAsia"/>
                <w:color w:val="000000" w:themeColor="text1"/>
                <w:sz w:val="21"/>
                <w:szCs w:val="21"/>
                <w:lang w:eastAsia="zh-CN"/>
              </w:rPr>
              <w:t>（压缩的或液化的）</w:t>
            </w:r>
          </w:p>
        </w:tc>
        <w:tc>
          <w:tcPr>
            <w:tcW w:w="1993" w:type="pct"/>
            <w:tcBorders>
              <w:tl2br w:val="nil"/>
              <w:tr2bl w:val="nil"/>
            </w:tcBorders>
            <w:vAlign w:val="center"/>
          </w:tcPr>
          <w:p w14:paraId="2E4184F9"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井场</w:t>
            </w:r>
          </w:p>
        </w:tc>
        <w:tc>
          <w:tcPr>
            <w:tcW w:w="1382" w:type="pct"/>
            <w:tcBorders>
              <w:tl2br w:val="nil"/>
              <w:tr2bl w:val="nil"/>
            </w:tcBorders>
            <w:vAlign w:val="center"/>
          </w:tcPr>
          <w:p w14:paraId="22972232"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w:t>
            </w:r>
          </w:p>
        </w:tc>
      </w:tr>
      <w:tr w:rsidR="002E0859" w14:paraId="22E5C5B4" w14:textId="77777777">
        <w:tc>
          <w:tcPr>
            <w:tcW w:w="357" w:type="pct"/>
            <w:tcBorders>
              <w:tl2br w:val="nil"/>
              <w:tr2bl w:val="nil"/>
            </w:tcBorders>
            <w:vAlign w:val="center"/>
          </w:tcPr>
          <w:p w14:paraId="0CDAF4DD"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46F07DA1"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氮气（压缩的或液化的）</w:t>
            </w:r>
          </w:p>
        </w:tc>
        <w:tc>
          <w:tcPr>
            <w:tcW w:w="1993" w:type="pct"/>
            <w:tcBorders>
              <w:tl2br w:val="nil"/>
              <w:tr2bl w:val="nil"/>
            </w:tcBorders>
            <w:vAlign w:val="center"/>
          </w:tcPr>
          <w:p w14:paraId="13105DEF"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井场</w:t>
            </w:r>
          </w:p>
        </w:tc>
        <w:tc>
          <w:tcPr>
            <w:tcW w:w="1382" w:type="pct"/>
            <w:tcBorders>
              <w:tl2br w:val="nil"/>
              <w:tr2bl w:val="nil"/>
            </w:tcBorders>
            <w:vAlign w:val="center"/>
          </w:tcPr>
          <w:p w14:paraId="75F0687F"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w:t>
            </w:r>
          </w:p>
        </w:tc>
      </w:tr>
      <w:tr w:rsidR="002E0859" w14:paraId="0127745B" w14:textId="77777777">
        <w:tc>
          <w:tcPr>
            <w:tcW w:w="357" w:type="pct"/>
            <w:tcBorders>
              <w:tl2br w:val="nil"/>
              <w:tr2bl w:val="nil"/>
            </w:tcBorders>
            <w:vAlign w:val="center"/>
          </w:tcPr>
          <w:p w14:paraId="63DE3DB7"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5FF27F94" w14:textId="77777777" w:rsidR="002E0859" w:rsidRDefault="00000000">
            <w:pPr>
              <w:pStyle w:val="a8"/>
              <w:spacing w:line="240" w:lineRule="auto"/>
              <w:ind w:firstLineChars="0" w:firstLine="0"/>
              <w:jc w:val="left"/>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汽油</w:t>
            </w:r>
          </w:p>
        </w:tc>
        <w:tc>
          <w:tcPr>
            <w:tcW w:w="1993" w:type="pct"/>
            <w:tcBorders>
              <w:tl2br w:val="nil"/>
              <w:tr2bl w:val="nil"/>
            </w:tcBorders>
            <w:vAlign w:val="center"/>
          </w:tcPr>
          <w:p w14:paraId="75153265" w14:textId="77777777" w:rsidR="002E0859" w:rsidRDefault="00000000">
            <w:pPr>
              <w:pStyle w:val="a8"/>
              <w:spacing w:line="240" w:lineRule="auto"/>
              <w:ind w:firstLineChars="0" w:firstLine="0"/>
              <w:jc w:val="left"/>
              <w:rPr>
                <w:rFonts w:ascii="Times New Roman" w:hAnsi="Times New Roman" w:cs="Times New Roman"/>
                <w:color w:val="000000" w:themeColor="text1"/>
                <w:sz w:val="21"/>
                <w:szCs w:val="21"/>
                <w:lang w:eastAsia="zh-CN"/>
              </w:rPr>
            </w:pPr>
            <w:r>
              <w:rPr>
                <w:rFonts w:ascii="Times New Roman" w:hAnsi="Times New Roman" w:cs="Times New Roman"/>
                <w:color w:val="000000" w:themeColor="text1"/>
                <w:sz w:val="21"/>
                <w:szCs w:val="21"/>
                <w:lang w:eastAsia="zh-CN"/>
              </w:rPr>
              <w:t>井场</w:t>
            </w:r>
          </w:p>
        </w:tc>
        <w:tc>
          <w:tcPr>
            <w:tcW w:w="1382" w:type="pct"/>
            <w:tcBorders>
              <w:tl2br w:val="nil"/>
              <w:tr2bl w:val="nil"/>
            </w:tcBorders>
          </w:tcPr>
          <w:p w14:paraId="493B4088" w14:textId="77777777" w:rsidR="002E0859" w:rsidRDefault="00000000">
            <w:pPr>
              <w:pStyle w:val="a8"/>
              <w:spacing w:line="240" w:lineRule="auto"/>
              <w:ind w:firstLineChars="0" w:firstLine="0"/>
              <w:jc w:val="left"/>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重点监管的危险化学品、特别管控危险化学品</w:t>
            </w:r>
          </w:p>
        </w:tc>
      </w:tr>
      <w:tr w:rsidR="002E0859" w14:paraId="14957015" w14:textId="77777777">
        <w:tc>
          <w:tcPr>
            <w:tcW w:w="357" w:type="pct"/>
            <w:tcBorders>
              <w:tl2br w:val="nil"/>
              <w:tr2bl w:val="nil"/>
            </w:tcBorders>
            <w:vAlign w:val="center"/>
          </w:tcPr>
          <w:p w14:paraId="61A77D74"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7184C665"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柴油</w:t>
            </w:r>
          </w:p>
        </w:tc>
        <w:tc>
          <w:tcPr>
            <w:tcW w:w="1993" w:type="pct"/>
            <w:tcBorders>
              <w:tl2br w:val="nil"/>
              <w:tr2bl w:val="nil"/>
            </w:tcBorders>
            <w:vAlign w:val="center"/>
          </w:tcPr>
          <w:p w14:paraId="0DBC14A5"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井场</w:t>
            </w:r>
          </w:p>
        </w:tc>
        <w:tc>
          <w:tcPr>
            <w:tcW w:w="1382" w:type="pct"/>
            <w:tcBorders>
              <w:tl2br w:val="nil"/>
              <w:tr2bl w:val="nil"/>
            </w:tcBorders>
          </w:tcPr>
          <w:p w14:paraId="0370AC7A"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w:t>
            </w:r>
          </w:p>
        </w:tc>
      </w:tr>
      <w:tr w:rsidR="002E0859" w14:paraId="4738C180" w14:textId="77777777">
        <w:tc>
          <w:tcPr>
            <w:tcW w:w="357" w:type="pct"/>
            <w:tcBorders>
              <w:tl2br w:val="nil"/>
              <w:tr2bl w:val="nil"/>
            </w:tcBorders>
            <w:vAlign w:val="center"/>
          </w:tcPr>
          <w:p w14:paraId="43F98C1A"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57809D4E"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盐酸</w:t>
            </w:r>
          </w:p>
        </w:tc>
        <w:tc>
          <w:tcPr>
            <w:tcW w:w="1993" w:type="pct"/>
            <w:tcBorders>
              <w:tl2br w:val="nil"/>
              <w:tr2bl w:val="nil"/>
            </w:tcBorders>
            <w:vAlign w:val="center"/>
          </w:tcPr>
          <w:p w14:paraId="7C1FADB2"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酸化</w:t>
            </w:r>
          </w:p>
        </w:tc>
        <w:tc>
          <w:tcPr>
            <w:tcW w:w="1382" w:type="pct"/>
            <w:tcBorders>
              <w:tl2br w:val="nil"/>
              <w:tr2bl w:val="nil"/>
            </w:tcBorders>
          </w:tcPr>
          <w:p w14:paraId="6657893C"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color w:val="000000" w:themeColor="text1"/>
                <w:sz w:val="21"/>
                <w:szCs w:val="21"/>
                <w:lang w:eastAsia="zh-CN"/>
              </w:rPr>
              <w:t>第三类易制毒危险化学品</w:t>
            </w:r>
          </w:p>
        </w:tc>
      </w:tr>
      <w:tr w:rsidR="002E0859" w14:paraId="5E1F41E0" w14:textId="77777777">
        <w:tc>
          <w:tcPr>
            <w:tcW w:w="357" w:type="pct"/>
            <w:tcBorders>
              <w:tl2br w:val="nil"/>
              <w:tr2bl w:val="nil"/>
            </w:tcBorders>
            <w:vAlign w:val="center"/>
          </w:tcPr>
          <w:p w14:paraId="67642B42"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08DC6210"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氢氧化钠</w:t>
            </w:r>
          </w:p>
        </w:tc>
        <w:tc>
          <w:tcPr>
            <w:tcW w:w="1993" w:type="pct"/>
            <w:tcBorders>
              <w:tl2br w:val="nil"/>
              <w:tr2bl w:val="nil"/>
            </w:tcBorders>
            <w:vAlign w:val="center"/>
          </w:tcPr>
          <w:p w14:paraId="09AAC68C"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井场及采出水处理</w:t>
            </w:r>
          </w:p>
        </w:tc>
        <w:tc>
          <w:tcPr>
            <w:tcW w:w="1382" w:type="pct"/>
            <w:tcBorders>
              <w:tl2br w:val="nil"/>
              <w:tr2bl w:val="nil"/>
            </w:tcBorders>
          </w:tcPr>
          <w:p w14:paraId="778FAE51" w14:textId="77777777" w:rsidR="002E0859" w:rsidRDefault="002E0859">
            <w:pPr>
              <w:pStyle w:val="a8"/>
              <w:spacing w:line="240" w:lineRule="auto"/>
              <w:ind w:firstLineChars="0" w:firstLine="0"/>
              <w:rPr>
                <w:rFonts w:ascii="Times New Roman" w:hAnsi="Times New Roman" w:cs="Times New Roman"/>
                <w:color w:val="000000" w:themeColor="text1"/>
                <w:sz w:val="21"/>
                <w:szCs w:val="21"/>
                <w:lang w:eastAsia="zh-CN"/>
              </w:rPr>
            </w:pPr>
          </w:p>
        </w:tc>
      </w:tr>
      <w:tr w:rsidR="002E0859" w14:paraId="15CFD43C" w14:textId="77777777">
        <w:tc>
          <w:tcPr>
            <w:tcW w:w="357" w:type="pct"/>
            <w:tcBorders>
              <w:tl2br w:val="nil"/>
              <w:tr2bl w:val="nil"/>
            </w:tcBorders>
            <w:vAlign w:val="center"/>
          </w:tcPr>
          <w:p w14:paraId="702F104E"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589169AF"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放射源</w:t>
            </w:r>
          </w:p>
        </w:tc>
        <w:tc>
          <w:tcPr>
            <w:tcW w:w="1993" w:type="pct"/>
            <w:tcBorders>
              <w:tl2br w:val="nil"/>
              <w:tr2bl w:val="nil"/>
            </w:tcBorders>
            <w:vAlign w:val="center"/>
          </w:tcPr>
          <w:p w14:paraId="5D904766"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井场</w:t>
            </w:r>
          </w:p>
        </w:tc>
        <w:tc>
          <w:tcPr>
            <w:tcW w:w="1382" w:type="pct"/>
            <w:tcBorders>
              <w:tl2br w:val="nil"/>
              <w:tr2bl w:val="nil"/>
            </w:tcBorders>
            <w:vAlign w:val="center"/>
          </w:tcPr>
          <w:p w14:paraId="030FF252"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w:t>
            </w:r>
          </w:p>
        </w:tc>
      </w:tr>
      <w:tr w:rsidR="002E0859" w14:paraId="4FF0CAF8" w14:textId="77777777">
        <w:tc>
          <w:tcPr>
            <w:tcW w:w="357" w:type="pct"/>
            <w:tcBorders>
              <w:tl2br w:val="nil"/>
              <w:tr2bl w:val="nil"/>
            </w:tcBorders>
            <w:vAlign w:val="center"/>
          </w:tcPr>
          <w:p w14:paraId="610DCE39" w14:textId="77777777" w:rsidR="002E0859" w:rsidRDefault="002E0859">
            <w:pPr>
              <w:pStyle w:val="a8"/>
              <w:numPr>
                <w:ilvl w:val="0"/>
                <w:numId w:val="17"/>
              </w:numPr>
              <w:spacing w:line="240" w:lineRule="auto"/>
              <w:ind w:firstLineChars="0"/>
              <w:jc w:val="center"/>
              <w:rPr>
                <w:rFonts w:ascii="Times New Roman" w:hAnsi="Times New Roman" w:cs="Times New Roman"/>
                <w:color w:val="000000" w:themeColor="text1"/>
                <w:sz w:val="21"/>
                <w:szCs w:val="21"/>
                <w:lang w:eastAsia="zh-CN"/>
              </w:rPr>
            </w:pPr>
          </w:p>
        </w:tc>
        <w:tc>
          <w:tcPr>
            <w:tcW w:w="1267" w:type="pct"/>
            <w:tcBorders>
              <w:tl2br w:val="nil"/>
              <w:tr2bl w:val="nil"/>
            </w:tcBorders>
            <w:vAlign w:val="center"/>
          </w:tcPr>
          <w:p w14:paraId="69AD5C09"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火工用品</w:t>
            </w:r>
          </w:p>
        </w:tc>
        <w:tc>
          <w:tcPr>
            <w:tcW w:w="1993" w:type="pct"/>
            <w:tcBorders>
              <w:tl2br w:val="nil"/>
              <w:tr2bl w:val="nil"/>
            </w:tcBorders>
            <w:vAlign w:val="center"/>
          </w:tcPr>
          <w:p w14:paraId="3AB0C4B9" w14:textId="77777777" w:rsidR="002E0859" w:rsidRDefault="00000000">
            <w:pPr>
              <w:pStyle w:val="a8"/>
              <w:spacing w:line="240" w:lineRule="auto"/>
              <w:ind w:firstLineChars="0" w:firstLine="0"/>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井场</w:t>
            </w:r>
          </w:p>
        </w:tc>
        <w:tc>
          <w:tcPr>
            <w:tcW w:w="1382" w:type="pct"/>
            <w:tcBorders>
              <w:tl2br w:val="nil"/>
              <w:tr2bl w:val="nil"/>
            </w:tcBorders>
            <w:vAlign w:val="center"/>
          </w:tcPr>
          <w:p w14:paraId="2A77C5EC"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w:t>
            </w:r>
          </w:p>
        </w:tc>
      </w:tr>
    </w:tbl>
    <w:p w14:paraId="63A77CEF"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主要危险有害物质特性</w:t>
      </w:r>
    </w:p>
    <w:p w14:paraId="2B70CBCB" w14:textId="77777777" w:rsidR="002E0859" w:rsidRDefault="00000000">
      <w:pPr>
        <w:pStyle w:val="a0"/>
        <w:spacing w:line="360" w:lineRule="auto"/>
        <w:ind w:firstLine="480"/>
        <w:rPr>
          <w:color w:val="000000" w:themeColor="text1"/>
          <w:sz w:val="24"/>
          <w:szCs w:val="24"/>
        </w:rPr>
      </w:pPr>
      <w:r>
        <w:rPr>
          <w:color w:val="000000" w:themeColor="text1"/>
          <w:sz w:val="24"/>
          <w:szCs w:val="24"/>
        </w:rPr>
        <w:t>主要危险、有害物质的危险、危害特性如下：</w:t>
      </w:r>
    </w:p>
    <w:p w14:paraId="214704F6"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2 </w:t>
      </w:r>
      <w:r>
        <w:rPr>
          <w:rFonts w:ascii="Times New Roman" w:eastAsia="黑体" w:hAnsi="Times New Roman" w:cs="Times New Roman"/>
          <w:color w:val="000000" w:themeColor="text1"/>
          <w:sz w:val="21"/>
          <w:szCs w:val="21"/>
          <w:lang w:eastAsia="zh-CN"/>
        </w:rPr>
        <w:t>主要危险有害物质</w:t>
      </w:r>
      <w:r>
        <w:rPr>
          <w:rFonts w:ascii="Times New Roman" w:eastAsia="黑体" w:hAnsi="Times New Roman" w:cs="Times New Roman" w:hint="eastAsia"/>
          <w:color w:val="000000" w:themeColor="text1"/>
          <w:sz w:val="21"/>
          <w:szCs w:val="21"/>
          <w:lang w:eastAsia="zh-CN"/>
        </w:rPr>
        <w:t>特性</w:t>
      </w:r>
      <w:r>
        <w:rPr>
          <w:rFonts w:ascii="Times New Roman" w:eastAsia="黑体" w:hAnsi="Times New Roman" w:cs="Times New Roman"/>
          <w:color w:val="000000" w:themeColor="text1"/>
          <w:sz w:val="21"/>
          <w:szCs w:val="21"/>
          <w:lang w:eastAsia="zh-CN"/>
        </w:rPr>
        <w:t>一览表</w:t>
      </w:r>
    </w:p>
    <w:tbl>
      <w:tblPr>
        <w:tblStyle w:val="ac"/>
        <w:tblW w:w="9401"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36"/>
        <w:gridCol w:w="1260"/>
        <w:gridCol w:w="1224"/>
        <w:gridCol w:w="744"/>
        <w:gridCol w:w="864"/>
        <w:gridCol w:w="768"/>
        <w:gridCol w:w="733"/>
        <w:gridCol w:w="846"/>
        <w:gridCol w:w="842"/>
        <w:gridCol w:w="842"/>
        <w:gridCol w:w="842"/>
      </w:tblGrid>
      <w:tr w:rsidR="002E0859" w14:paraId="3C2ED1BB" w14:textId="77777777">
        <w:trPr>
          <w:trHeight w:val="403"/>
          <w:tblHeader/>
        </w:trPr>
        <w:tc>
          <w:tcPr>
            <w:tcW w:w="436" w:type="dxa"/>
            <w:vMerge w:val="restart"/>
            <w:tcBorders>
              <w:tl2br w:val="nil"/>
              <w:tr2bl w:val="nil"/>
            </w:tcBorders>
            <w:vAlign w:val="center"/>
          </w:tcPr>
          <w:p w14:paraId="3C961F85" w14:textId="77777777" w:rsidR="002E0859" w:rsidRDefault="00000000">
            <w:pPr>
              <w:pStyle w:val="a0"/>
              <w:spacing w:line="240" w:lineRule="auto"/>
              <w:ind w:firstLineChars="0" w:firstLine="0"/>
              <w:jc w:val="center"/>
              <w:rPr>
                <w:b/>
                <w:bCs/>
                <w:color w:val="000000" w:themeColor="text1"/>
                <w:sz w:val="21"/>
                <w:szCs w:val="21"/>
              </w:rPr>
            </w:pPr>
            <w:r>
              <w:rPr>
                <w:rFonts w:hint="eastAsia"/>
                <w:b/>
                <w:bCs/>
                <w:color w:val="000000" w:themeColor="text1"/>
                <w:sz w:val="21"/>
                <w:szCs w:val="21"/>
              </w:rPr>
              <w:t>序号</w:t>
            </w:r>
          </w:p>
        </w:tc>
        <w:tc>
          <w:tcPr>
            <w:tcW w:w="1260" w:type="dxa"/>
            <w:vMerge w:val="restart"/>
            <w:tcBorders>
              <w:tl2br w:val="nil"/>
              <w:tr2bl w:val="nil"/>
            </w:tcBorders>
            <w:vAlign w:val="center"/>
          </w:tcPr>
          <w:p w14:paraId="6643F619" w14:textId="77777777" w:rsidR="002E0859" w:rsidRDefault="00000000">
            <w:pPr>
              <w:pStyle w:val="a0"/>
              <w:spacing w:line="240" w:lineRule="auto"/>
              <w:ind w:firstLineChars="0" w:firstLine="0"/>
              <w:jc w:val="center"/>
              <w:rPr>
                <w:b/>
                <w:bCs/>
                <w:color w:val="000000" w:themeColor="text1"/>
                <w:sz w:val="21"/>
                <w:szCs w:val="21"/>
              </w:rPr>
            </w:pPr>
            <w:r>
              <w:rPr>
                <w:rFonts w:hint="eastAsia"/>
                <w:b/>
                <w:bCs/>
                <w:color w:val="000000" w:themeColor="text1"/>
                <w:sz w:val="21"/>
                <w:szCs w:val="21"/>
              </w:rPr>
              <w:t>物质名称</w:t>
            </w:r>
          </w:p>
        </w:tc>
        <w:tc>
          <w:tcPr>
            <w:tcW w:w="1224" w:type="dxa"/>
            <w:vMerge w:val="restart"/>
            <w:tcBorders>
              <w:tl2br w:val="nil"/>
              <w:tr2bl w:val="nil"/>
            </w:tcBorders>
            <w:vAlign w:val="center"/>
          </w:tcPr>
          <w:p w14:paraId="5845138B" w14:textId="77777777" w:rsidR="002E0859" w:rsidRDefault="00000000">
            <w:pPr>
              <w:topLinePunct w:val="0"/>
              <w:spacing w:line="240" w:lineRule="auto"/>
              <w:ind w:firstLineChars="0" w:firstLine="0"/>
              <w:jc w:val="center"/>
              <w:rPr>
                <w:b/>
                <w:color w:val="000000" w:themeColor="text1"/>
                <w:spacing w:val="9"/>
                <w:sz w:val="21"/>
                <w:szCs w:val="21"/>
              </w:rPr>
            </w:pPr>
            <w:r>
              <w:rPr>
                <w:b/>
                <w:color w:val="000000" w:themeColor="text1"/>
                <w:spacing w:val="9"/>
                <w:sz w:val="21"/>
                <w:szCs w:val="21"/>
              </w:rPr>
              <w:t>CAS</w:t>
            </w:r>
            <w:r>
              <w:rPr>
                <w:b/>
                <w:color w:val="000000" w:themeColor="text1"/>
                <w:spacing w:val="9"/>
                <w:sz w:val="21"/>
                <w:szCs w:val="21"/>
              </w:rPr>
              <w:t>号</w:t>
            </w:r>
          </w:p>
        </w:tc>
        <w:tc>
          <w:tcPr>
            <w:tcW w:w="744" w:type="dxa"/>
            <w:vMerge w:val="restart"/>
            <w:tcBorders>
              <w:tl2br w:val="nil"/>
              <w:tr2bl w:val="nil"/>
            </w:tcBorders>
            <w:vAlign w:val="center"/>
          </w:tcPr>
          <w:p w14:paraId="6D0B9C00"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常温</w:t>
            </w:r>
          </w:p>
          <w:p w14:paraId="716CAA67" w14:textId="77777777" w:rsidR="002E0859" w:rsidRDefault="00000000">
            <w:pPr>
              <w:topLinePunct w:val="0"/>
              <w:spacing w:line="240" w:lineRule="auto"/>
              <w:ind w:firstLineChars="0" w:firstLine="0"/>
              <w:jc w:val="center"/>
              <w:rPr>
                <w:b/>
                <w:color w:val="000000" w:themeColor="text1"/>
                <w:spacing w:val="-2"/>
                <w:sz w:val="21"/>
                <w:szCs w:val="21"/>
              </w:rPr>
            </w:pPr>
            <w:r>
              <w:rPr>
                <w:b/>
                <w:bCs/>
                <w:color w:val="000000" w:themeColor="text1"/>
                <w:sz w:val="21"/>
                <w:szCs w:val="21"/>
              </w:rPr>
              <w:t>状态</w:t>
            </w:r>
          </w:p>
        </w:tc>
        <w:tc>
          <w:tcPr>
            <w:tcW w:w="864" w:type="dxa"/>
            <w:vMerge w:val="restart"/>
            <w:tcBorders>
              <w:tl2br w:val="nil"/>
              <w:tr2bl w:val="nil"/>
            </w:tcBorders>
            <w:vAlign w:val="center"/>
          </w:tcPr>
          <w:p w14:paraId="70D21BBD" w14:textId="77777777" w:rsidR="002E0859" w:rsidRDefault="00000000">
            <w:pPr>
              <w:topLinePunct w:val="0"/>
              <w:spacing w:line="240" w:lineRule="auto"/>
              <w:ind w:firstLineChars="0" w:firstLine="0"/>
              <w:jc w:val="center"/>
              <w:rPr>
                <w:b/>
                <w:color w:val="000000" w:themeColor="text1"/>
                <w:spacing w:val="-1"/>
                <w:sz w:val="21"/>
                <w:szCs w:val="21"/>
              </w:rPr>
            </w:pPr>
            <w:r>
              <w:rPr>
                <w:b/>
                <w:bCs/>
                <w:color w:val="000000" w:themeColor="text1"/>
                <w:sz w:val="21"/>
                <w:szCs w:val="21"/>
              </w:rPr>
              <w:t>沸点</w:t>
            </w:r>
            <w:r>
              <w:rPr>
                <w:b/>
                <w:bCs/>
                <w:color w:val="000000" w:themeColor="text1"/>
                <w:sz w:val="21"/>
                <w:szCs w:val="21"/>
              </w:rPr>
              <w:t>℃</w:t>
            </w:r>
          </w:p>
        </w:tc>
        <w:tc>
          <w:tcPr>
            <w:tcW w:w="768" w:type="dxa"/>
            <w:vMerge w:val="restart"/>
            <w:tcBorders>
              <w:tl2br w:val="nil"/>
              <w:tr2bl w:val="nil"/>
            </w:tcBorders>
            <w:vAlign w:val="center"/>
          </w:tcPr>
          <w:p w14:paraId="477F1846"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自燃点</w:t>
            </w:r>
            <w:r>
              <w:rPr>
                <w:b/>
                <w:bCs/>
                <w:color w:val="000000" w:themeColor="text1"/>
                <w:sz w:val="21"/>
                <w:szCs w:val="21"/>
              </w:rPr>
              <w:t>℃</w:t>
            </w:r>
          </w:p>
        </w:tc>
        <w:tc>
          <w:tcPr>
            <w:tcW w:w="733" w:type="dxa"/>
            <w:vMerge w:val="restart"/>
            <w:tcBorders>
              <w:tl2br w:val="nil"/>
              <w:tr2bl w:val="nil"/>
            </w:tcBorders>
            <w:vAlign w:val="center"/>
          </w:tcPr>
          <w:p w14:paraId="71D2FD95"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闪点</w:t>
            </w:r>
            <w:r>
              <w:rPr>
                <w:b/>
                <w:bCs/>
                <w:color w:val="000000" w:themeColor="text1"/>
                <w:sz w:val="21"/>
                <w:szCs w:val="21"/>
              </w:rPr>
              <w:t>℃</w:t>
            </w:r>
          </w:p>
        </w:tc>
        <w:tc>
          <w:tcPr>
            <w:tcW w:w="846" w:type="dxa"/>
            <w:vMerge w:val="restart"/>
            <w:tcBorders>
              <w:tl2br w:val="nil"/>
              <w:tr2bl w:val="nil"/>
            </w:tcBorders>
            <w:vAlign w:val="center"/>
          </w:tcPr>
          <w:p w14:paraId="46573A42"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爆炸极限</w:t>
            </w:r>
            <w:r>
              <w:rPr>
                <w:b/>
                <w:bCs/>
                <w:color w:val="000000" w:themeColor="text1"/>
                <w:sz w:val="21"/>
                <w:szCs w:val="21"/>
              </w:rPr>
              <w:t>V%</w:t>
            </w:r>
          </w:p>
        </w:tc>
        <w:tc>
          <w:tcPr>
            <w:tcW w:w="1684" w:type="dxa"/>
            <w:gridSpan w:val="2"/>
            <w:tcBorders>
              <w:tl2br w:val="nil"/>
              <w:tr2bl w:val="nil"/>
            </w:tcBorders>
            <w:vAlign w:val="center"/>
          </w:tcPr>
          <w:p w14:paraId="1B62DD01" w14:textId="77777777" w:rsidR="002E0859" w:rsidRDefault="00000000">
            <w:pPr>
              <w:topLinePunct w:val="0"/>
              <w:spacing w:line="240" w:lineRule="auto"/>
              <w:ind w:firstLineChars="0" w:firstLine="0"/>
              <w:jc w:val="center"/>
              <w:rPr>
                <w:b/>
                <w:color w:val="000000" w:themeColor="text1"/>
                <w:spacing w:val="-2"/>
                <w:sz w:val="21"/>
                <w:szCs w:val="21"/>
              </w:rPr>
            </w:pPr>
            <w:r>
              <w:rPr>
                <w:b/>
                <w:bCs/>
                <w:color w:val="000000" w:themeColor="text1"/>
                <w:sz w:val="21"/>
                <w:szCs w:val="21"/>
              </w:rPr>
              <w:t>爆炸危险类别</w:t>
            </w:r>
          </w:p>
        </w:tc>
        <w:tc>
          <w:tcPr>
            <w:tcW w:w="842" w:type="dxa"/>
            <w:vMerge w:val="restart"/>
            <w:tcBorders>
              <w:tl2br w:val="nil"/>
              <w:tr2bl w:val="nil"/>
            </w:tcBorders>
            <w:vAlign w:val="center"/>
          </w:tcPr>
          <w:p w14:paraId="3AC53FD6" w14:textId="77777777" w:rsidR="002E0859" w:rsidRDefault="00000000">
            <w:pPr>
              <w:pStyle w:val="a0"/>
              <w:spacing w:line="240" w:lineRule="auto"/>
              <w:ind w:firstLineChars="0" w:firstLine="0"/>
              <w:jc w:val="center"/>
              <w:rPr>
                <w:color w:val="000000" w:themeColor="text1"/>
                <w:sz w:val="21"/>
                <w:szCs w:val="21"/>
              </w:rPr>
            </w:pPr>
            <w:r>
              <w:rPr>
                <w:b/>
                <w:color w:val="000000" w:themeColor="text1"/>
                <w:spacing w:val="-2"/>
                <w:sz w:val="21"/>
                <w:szCs w:val="21"/>
              </w:rPr>
              <w:t>火灾危险性分类</w:t>
            </w:r>
          </w:p>
        </w:tc>
      </w:tr>
      <w:tr w:rsidR="002E0859" w14:paraId="759016DC" w14:textId="77777777">
        <w:trPr>
          <w:trHeight w:val="403"/>
          <w:tblHeader/>
        </w:trPr>
        <w:tc>
          <w:tcPr>
            <w:tcW w:w="436" w:type="dxa"/>
            <w:vMerge/>
            <w:tcBorders>
              <w:tl2br w:val="nil"/>
              <w:tr2bl w:val="nil"/>
            </w:tcBorders>
            <w:vAlign w:val="center"/>
          </w:tcPr>
          <w:p w14:paraId="6B30B65E" w14:textId="77777777" w:rsidR="002E0859" w:rsidRDefault="002E0859">
            <w:pPr>
              <w:topLinePunct w:val="0"/>
              <w:spacing w:line="240" w:lineRule="auto"/>
              <w:ind w:firstLineChars="0" w:firstLine="0"/>
              <w:jc w:val="center"/>
              <w:rPr>
                <w:color w:val="000000" w:themeColor="text1"/>
              </w:rPr>
            </w:pPr>
          </w:p>
        </w:tc>
        <w:tc>
          <w:tcPr>
            <w:tcW w:w="1260" w:type="dxa"/>
            <w:vMerge/>
            <w:tcBorders>
              <w:tl2br w:val="nil"/>
              <w:tr2bl w:val="nil"/>
            </w:tcBorders>
            <w:vAlign w:val="center"/>
          </w:tcPr>
          <w:p w14:paraId="46D12045" w14:textId="77777777" w:rsidR="002E0859" w:rsidRDefault="002E0859">
            <w:pPr>
              <w:topLinePunct w:val="0"/>
              <w:spacing w:line="240" w:lineRule="auto"/>
              <w:ind w:firstLineChars="0" w:firstLine="0"/>
              <w:jc w:val="center"/>
              <w:rPr>
                <w:color w:val="000000" w:themeColor="text1"/>
              </w:rPr>
            </w:pPr>
          </w:p>
        </w:tc>
        <w:tc>
          <w:tcPr>
            <w:tcW w:w="1224" w:type="dxa"/>
            <w:vMerge/>
            <w:tcBorders>
              <w:tl2br w:val="nil"/>
              <w:tr2bl w:val="nil"/>
            </w:tcBorders>
            <w:vAlign w:val="center"/>
          </w:tcPr>
          <w:p w14:paraId="5FCFD51A" w14:textId="77777777" w:rsidR="002E0859" w:rsidRDefault="002E0859">
            <w:pPr>
              <w:topLinePunct w:val="0"/>
              <w:spacing w:line="240" w:lineRule="auto"/>
              <w:ind w:firstLineChars="0" w:firstLine="0"/>
              <w:jc w:val="center"/>
              <w:rPr>
                <w:color w:val="000000" w:themeColor="text1"/>
              </w:rPr>
            </w:pPr>
          </w:p>
        </w:tc>
        <w:tc>
          <w:tcPr>
            <w:tcW w:w="744" w:type="dxa"/>
            <w:vMerge/>
            <w:tcBorders>
              <w:tl2br w:val="nil"/>
              <w:tr2bl w:val="nil"/>
            </w:tcBorders>
            <w:vAlign w:val="center"/>
          </w:tcPr>
          <w:p w14:paraId="432F1EB6" w14:textId="77777777" w:rsidR="002E0859" w:rsidRDefault="002E0859">
            <w:pPr>
              <w:topLinePunct w:val="0"/>
              <w:spacing w:line="240" w:lineRule="auto"/>
              <w:ind w:firstLineChars="0" w:firstLine="0"/>
              <w:jc w:val="center"/>
              <w:rPr>
                <w:color w:val="000000" w:themeColor="text1"/>
              </w:rPr>
            </w:pPr>
          </w:p>
        </w:tc>
        <w:tc>
          <w:tcPr>
            <w:tcW w:w="864" w:type="dxa"/>
            <w:vMerge/>
            <w:tcBorders>
              <w:tl2br w:val="nil"/>
              <w:tr2bl w:val="nil"/>
            </w:tcBorders>
            <w:vAlign w:val="center"/>
          </w:tcPr>
          <w:p w14:paraId="01BA04E9" w14:textId="77777777" w:rsidR="002E0859" w:rsidRDefault="002E0859">
            <w:pPr>
              <w:topLinePunct w:val="0"/>
              <w:spacing w:line="240" w:lineRule="auto"/>
              <w:ind w:firstLineChars="0" w:firstLine="0"/>
              <w:jc w:val="center"/>
              <w:rPr>
                <w:color w:val="000000" w:themeColor="text1"/>
              </w:rPr>
            </w:pPr>
          </w:p>
        </w:tc>
        <w:tc>
          <w:tcPr>
            <w:tcW w:w="768" w:type="dxa"/>
            <w:vMerge/>
            <w:tcBorders>
              <w:tl2br w:val="nil"/>
              <w:tr2bl w:val="nil"/>
            </w:tcBorders>
            <w:vAlign w:val="center"/>
          </w:tcPr>
          <w:p w14:paraId="585B1B7C" w14:textId="77777777" w:rsidR="002E0859" w:rsidRDefault="002E0859">
            <w:pPr>
              <w:topLinePunct w:val="0"/>
              <w:spacing w:line="240" w:lineRule="auto"/>
              <w:ind w:firstLineChars="0" w:firstLine="0"/>
              <w:jc w:val="center"/>
              <w:rPr>
                <w:color w:val="000000" w:themeColor="text1"/>
              </w:rPr>
            </w:pPr>
          </w:p>
        </w:tc>
        <w:tc>
          <w:tcPr>
            <w:tcW w:w="733" w:type="dxa"/>
            <w:vMerge/>
            <w:tcBorders>
              <w:tl2br w:val="nil"/>
              <w:tr2bl w:val="nil"/>
            </w:tcBorders>
            <w:vAlign w:val="center"/>
          </w:tcPr>
          <w:p w14:paraId="3A3A50C5" w14:textId="77777777" w:rsidR="002E0859" w:rsidRDefault="002E0859">
            <w:pPr>
              <w:topLinePunct w:val="0"/>
              <w:spacing w:line="240" w:lineRule="auto"/>
              <w:ind w:firstLineChars="0" w:firstLine="0"/>
              <w:jc w:val="center"/>
              <w:rPr>
                <w:color w:val="000000" w:themeColor="text1"/>
              </w:rPr>
            </w:pPr>
          </w:p>
        </w:tc>
        <w:tc>
          <w:tcPr>
            <w:tcW w:w="846" w:type="dxa"/>
            <w:vMerge/>
            <w:tcBorders>
              <w:tl2br w:val="nil"/>
              <w:tr2bl w:val="nil"/>
            </w:tcBorders>
            <w:vAlign w:val="center"/>
          </w:tcPr>
          <w:p w14:paraId="6A39758C" w14:textId="77777777" w:rsidR="002E0859" w:rsidRDefault="002E0859">
            <w:pPr>
              <w:topLinePunct w:val="0"/>
              <w:spacing w:line="240" w:lineRule="auto"/>
              <w:ind w:firstLineChars="0" w:firstLine="0"/>
              <w:jc w:val="center"/>
              <w:rPr>
                <w:color w:val="000000" w:themeColor="text1"/>
              </w:rPr>
            </w:pPr>
          </w:p>
        </w:tc>
        <w:tc>
          <w:tcPr>
            <w:tcW w:w="842" w:type="dxa"/>
            <w:tcBorders>
              <w:tl2br w:val="nil"/>
              <w:tr2bl w:val="nil"/>
            </w:tcBorders>
            <w:vAlign w:val="center"/>
          </w:tcPr>
          <w:p w14:paraId="395F6FD9"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级别</w:t>
            </w:r>
          </w:p>
        </w:tc>
        <w:tc>
          <w:tcPr>
            <w:tcW w:w="842" w:type="dxa"/>
            <w:tcBorders>
              <w:tl2br w:val="nil"/>
              <w:tr2bl w:val="nil"/>
            </w:tcBorders>
            <w:vAlign w:val="center"/>
          </w:tcPr>
          <w:p w14:paraId="1D52B891"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组别</w:t>
            </w:r>
          </w:p>
        </w:tc>
        <w:tc>
          <w:tcPr>
            <w:tcW w:w="842" w:type="dxa"/>
            <w:vMerge/>
            <w:tcBorders>
              <w:tl2br w:val="nil"/>
              <w:tr2bl w:val="nil"/>
            </w:tcBorders>
            <w:vAlign w:val="center"/>
          </w:tcPr>
          <w:p w14:paraId="097F5943" w14:textId="77777777" w:rsidR="002E0859" w:rsidRDefault="002E0859">
            <w:pPr>
              <w:topLinePunct w:val="0"/>
              <w:spacing w:line="240" w:lineRule="auto"/>
              <w:ind w:firstLineChars="0" w:firstLine="0"/>
              <w:jc w:val="center"/>
              <w:rPr>
                <w:b/>
                <w:bCs/>
                <w:color w:val="000000" w:themeColor="text1"/>
                <w:sz w:val="21"/>
                <w:szCs w:val="21"/>
              </w:rPr>
            </w:pPr>
          </w:p>
        </w:tc>
      </w:tr>
      <w:tr w:rsidR="002E0859" w14:paraId="0E73C7D3" w14:textId="77777777">
        <w:tc>
          <w:tcPr>
            <w:tcW w:w="436" w:type="dxa"/>
            <w:tcBorders>
              <w:tl2br w:val="nil"/>
              <w:tr2bl w:val="nil"/>
            </w:tcBorders>
            <w:vAlign w:val="center"/>
          </w:tcPr>
          <w:p w14:paraId="33C9E69D"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63A0F611"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天然气</w:t>
            </w:r>
          </w:p>
        </w:tc>
        <w:tc>
          <w:tcPr>
            <w:tcW w:w="1224" w:type="dxa"/>
            <w:tcBorders>
              <w:tl2br w:val="nil"/>
              <w:tr2bl w:val="nil"/>
            </w:tcBorders>
            <w:vAlign w:val="center"/>
          </w:tcPr>
          <w:p w14:paraId="310CCCA2" w14:textId="77777777" w:rsidR="002E0859" w:rsidRDefault="00000000">
            <w:pPr>
              <w:topLinePunct w:val="0"/>
              <w:spacing w:line="240" w:lineRule="auto"/>
              <w:ind w:firstLineChars="0" w:firstLine="0"/>
              <w:jc w:val="center"/>
              <w:rPr>
                <w:color w:val="000000" w:themeColor="text1"/>
                <w:sz w:val="21"/>
                <w:szCs w:val="21"/>
              </w:rPr>
            </w:pPr>
            <w:r>
              <w:rPr>
                <w:rFonts w:eastAsia="Times New Roman"/>
                <w:color w:val="000000" w:themeColor="text1"/>
                <w:spacing w:val="-3"/>
                <w:sz w:val="21"/>
                <w:szCs w:val="21"/>
              </w:rPr>
              <w:t>74-82-8</w:t>
            </w:r>
          </w:p>
        </w:tc>
        <w:tc>
          <w:tcPr>
            <w:tcW w:w="744" w:type="dxa"/>
            <w:tcBorders>
              <w:tl2br w:val="nil"/>
              <w:tr2bl w:val="nil"/>
            </w:tcBorders>
            <w:vAlign w:val="center"/>
          </w:tcPr>
          <w:p w14:paraId="53133040" w14:textId="77777777" w:rsidR="002E0859" w:rsidRDefault="00000000">
            <w:pPr>
              <w:topLinePunct w:val="0"/>
              <w:spacing w:line="240" w:lineRule="auto"/>
              <w:ind w:firstLineChars="0" w:firstLine="0"/>
              <w:jc w:val="center"/>
              <w:rPr>
                <w:color w:val="000000" w:themeColor="text1"/>
                <w:sz w:val="21"/>
                <w:szCs w:val="21"/>
              </w:rPr>
            </w:pPr>
            <w:r>
              <w:rPr>
                <w:rFonts w:eastAsia="Times New Roman"/>
                <w:color w:val="000000" w:themeColor="text1"/>
                <w:spacing w:val="-3"/>
                <w:sz w:val="21"/>
                <w:szCs w:val="21"/>
              </w:rPr>
              <w:t>气</w:t>
            </w:r>
          </w:p>
        </w:tc>
        <w:tc>
          <w:tcPr>
            <w:tcW w:w="864" w:type="dxa"/>
            <w:tcBorders>
              <w:tl2br w:val="nil"/>
              <w:tr2bl w:val="nil"/>
            </w:tcBorders>
            <w:vAlign w:val="center"/>
          </w:tcPr>
          <w:p w14:paraId="222EF971" w14:textId="77777777" w:rsidR="002E0859" w:rsidRDefault="00000000">
            <w:pPr>
              <w:topLinePunct w:val="0"/>
              <w:spacing w:line="240" w:lineRule="auto"/>
              <w:ind w:firstLineChars="0" w:firstLine="0"/>
              <w:jc w:val="center"/>
              <w:rPr>
                <w:color w:val="000000" w:themeColor="text1"/>
                <w:sz w:val="21"/>
                <w:szCs w:val="21"/>
              </w:rPr>
            </w:pPr>
            <w:r>
              <w:rPr>
                <w:rFonts w:eastAsia="Times New Roman" w:hint="eastAsia"/>
                <w:bCs/>
                <w:color w:val="000000" w:themeColor="text1"/>
                <w:sz w:val="21"/>
                <w:szCs w:val="21"/>
              </w:rPr>
              <w:t>-161.5</w:t>
            </w:r>
          </w:p>
        </w:tc>
        <w:tc>
          <w:tcPr>
            <w:tcW w:w="768" w:type="dxa"/>
            <w:tcBorders>
              <w:tl2br w:val="nil"/>
              <w:tr2bl w:val="nil"/>
            </w:tcBorders>
            <w:vAlign w:val="center"/>
          </w:tcPr>
          <w:p w14:paraId="7F2436FE" w14:textId="77777777" w:rsidR="002E0859" w:rsidRDefault="00000000">
            <w:pPr>
              <w:topLinePunct w:val="0"/>
              <w:spacing w:line="240" w:lineRule="auto"/>
              <w:ind w:firstLineChars="0" w:firstLine="0"/>
              <w:jc w:val="center"/>
              <w:rPr>
                <w:color w:val="000000" w:themeColor="text1"/>
                <w:sz w:val="21"/>
                <w:szCs w:val="21"/>
              </w:rPr>
            </w:pPr>
            <w:r>
              <w:rPr>
                <w:rFonts w:eastAsia="Times New Roman" w:hint="eastAsia"/>
                <w:color w:val="000000" w:themeColor="text1"/>
                <w:spacing w:val="-3"/>
                <w:sz w:val="21"/>
                <w:szCs w:val="21"/>
              </w:rPr>
              <w:t>538</w:t>
            </w:r>
          </w:p>
        </w:tc>
        <w:tc>
          <w:tcPr>
            <w:tcW w:w="733" w:type="dxa"/>
            <w:tcBorders>
              <w:tl2br w:val="nil"/>
              <w:tr2bl w:val="nil"/>
            </w:tcBorders>
            <w:vAlign w:val="center"/>
          </w:tcPr>
          <w:p w14:paraId="2B5EB166" w14:textId="77777777" w:rsidR="002E0859" w:rsidRDefault="00000000">
            <w:pPr>
              <w:topLinePunct w:val="0"/>
              <w:spacing w:line="240" w:lineRule="auto"/>
              <w:ind w:firstLineChars="0" w:firstLine="0"/>
              <w:jc w:val="center"/>
              <w:rPr>
                <w:color w:val="000000" w:themeColor="text1"/>
                <w:sz w:val="21"/>
                <w:szCs w:val="21"/>
              </w:rPr>
            </w:pPr>
            <w:r>
              <w:rPr>
                <w:rFonts w:hint="eastAsia"/>
                <w:color w:val="000000" w:themeColor="text1"/>
                <w:spacing w:val="12"/>
                <w:sz w:val="21"/>
                <w:szCs w:val="21"/>
              </w:rPr>
              <w:t>-188</w:t>
            </w:r>
          </w:p>
        </w:tc>
        <w:tc>
          <w:tcPr>
            <w:tcW w:w="846" w:type="dxa"/>
            <w:tcBorders>
              <w:tl2br w:val="nil"/>
              <w:tr2bl w:val="nil"/>
            </w:tcBorders>
            <w:vAlign w:val="center"/>
          </w:tcPr>
          <w:p w14:paraId="6AC86B19" w14:textId="77777777" w:rsidR="002E0859" w:rsidRDefault="00000000">
            <w:pPr>
              <w:topLinePunct w:val="0"/>
              <w:spacing w:line="240" w:lineRule="auto"/>
              <w:ind w:firstLineChars="0" w:firstLine="0"/>
              <w:jc w:val="center"/>
              <w:rPr>
                <w:color w:val="000000" w:themeColor="text1"/>
                <w:sz w:val="21"/>
                <w:szCs w:val="21"/>
              </w:rPr>
            </w:pPr>
            <w:r>
              <w:rPr>
                <w:rFonts w:eastAsia="Times New Roman" w:hint="eastAsia"/>
                <w:color w:val="000000" w:themeColor="text1"/>
                <w:spacing w:val="-3"/>
                <w:sz w:val="21"/>
                <w:szCs w:val="21"/>
              </w:rPr>
              <w:t>5.3</w:t>
            </w:r>
            <w:r>
              <w:rPr>
                <w:rFonts w:hint="eastAsia"/>
                <w:color w:val="000000" w:themeColor="text1"/>
                <w:spacing w:val="15"/>
                <w:sz w:val="21"/>
                <w:szCs w:val="21"/>
              </w:rPr>
              <w:t>～</w:t>
            </w:r>
            <w:r>
              <w:rPr>
                <w:rFonts w:hint="eastAsia"/>
                <w:color w:val="000000" w:themeColor="text1"/>
                <w:spacing w:val="15"/>
                <w:sz w:val="21"/>
                <w:szCs w:val="21"/>
              </w:rPr>
              <w:t>15</w:t>
            </w:r>
          </w:p>
        </w:tc>
        <w:tc>
          <w:tcPr>
            <w:tcW w:w="842" w:type="dxa"/>
            <w:tcBorders>
              <w:tl2br w:val="nil"/>
              <w:tr2bl w:val="nil"/>
            </w:tcBorders>
            <w:vAlign w:val="center"/>
          </w:tcPr>
          <w:p w14:paraId="25C17E24" w14:textId="77777777" w:rsidR="002E0859" w:rsidRDefault="00000000">
            <w:pPr>
              <w:topLinePunct w:val="0"/>
              <w:spacing w:line="240" w:lineRule="auto"/>
              <w:ind w:firstLineChars="0" w:firstLine="0"/>
              <w:jc w:val="center"/>
              <w:rPr>
                <w:color w:val="000000" w:themeColor="text1"/>
                <w:sz w:val="21"/>
                <w:szCs w:val="21"/>
              </w:rPr>
            </w:pPr>
            <w:r>
              <w:rPr>
                <w:rFonts w:eastAsia="Times New Roman"/>
                <w:color w:val="000000" w:themeColor="text1"/>
                <w:spacing w:val="-3"/>
                <w:sz w:val="21"/>
                <w:szCs w:val="21"/>
              </w:rPr>
              <w:t>IIA</w:t>
            </w:r>
          </w:p>
        </w:tc>
        <w:tc>
          <w:tcPr>
            <w:tcW w:w="842" w:type="dxa"/>
            <w:tcBorders>
              <w:tl2br w:val="nil"/>
              <w:tr2bl w:val="nil"/>
            </w:tcBorders>
            <w:vAlign w:val="center"/>
          </w:tcPr>
          <w:p w14:paraId="0B10FFD3" w14:textId="77777777" w:rsidR="002E0859" w:rsidRDefault="00000000">
            <w:pPr>
              <w:topLinePunct w:val="0"/>
              <w:spacing w:line="240" w:lineRule="auto"/>
              <w:ind w:firstLineChars="0" w:firstLine="0"/>
              <w:jc w:val="center"/>
              <w:rPr>
                <w:color w:val="000000" w:themeColor="text1"/>
                <w:sz w:val="21"/>
                <w:szCs w:val="21"/>
              </w:rPr>
            </w:pPr>
            <w:r>
              <w:rPr>
                <w:rFonts w:eastAsia="Times New Roman"/>
                <w:color w:val="000000" w:themeColor="text1"/>
                <w:spacing w:val="-3"/>
                <w:sz w:val="21"/>
                <w:szCs w:val="21"/>
              </w:rPr>
              <w:t>T1</w:t>
            </w:r>
          </w:p>
        </w:tc>
        <w:tc>
          <w:tcPr>
            <w:tcW w:w="842" w:type="dxa"/>
            <w:tcBorders>
              <w:tl2br w:val="nil"/>
              <w:tr2bl w:val="nil"/>
            </w:tcBorders>
            <w:vAlign w:val="center"/>
          </w:tcPr>
          <w:p w14:paraId="263305D7" w14:textId="77777777" w:rsidR="002E0859" w:rsidRDefault="00000000">
            <w:pPr>
              <w:topLinePunct w:val="0"/>
              <w:spacing w:line="240" w:lineRule="auto"/>
              <w:ind w:firstLineChars="0" w:firstLine="0"/>
              <w:jc w:val="center"/>
              <w:rPr>
                <w:color w:val="000000" w:themeColor="text1"/>
                <w:sz w:val="21"/>
                <w:szCs w:val="21"/>
              </w:rPr>
            </w:pPr>
            <w:r>
              <w:rPr>
                <w:rFonts w:eastAsia="Times New Roman"/>
                <w:color w:val="000000" w:themeColor="text1"/>
                <w:spacing w:val="-3"/>
                <w:sz w:val="21"/>
                <w:szCs w:val="21"/>
              </w:rPr>
              <w:t>甲</w:t>
            </w:r>
          </w:p>
        </w:tc>
      </w:tr>
      <w:tr w:rsidR="002E0859" w14:paraId="7DCC4140" w14:textId="77777777">
        <w:tc>
          <w:tcPr>
            <w:tcW w:w="436" w:type="dxa"/>
            <w:tcBorders>
              <w:tl2br w:val="nil"/>
              <w:tr2bl w:val="nil"/>
            </w:tcBorders>
            <w:vAlign w:val="center"/>
          </w:tcPr>
          <w:p w14:paraId="0AC59E68"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5A5AAA76"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color w:val="000000" w:themeColor="text1"/>
                <w:sz w:val="21"/>
                <w:szCs w:val="21"/>
                <w:lang w:eastAsia="zh-CN"/>
              </w:rPr>
              <w:t>二氧化碳</w:t>
            </w:r>
            <w:r>
              <w:rPr>
                <w:rFonts w:ascii="Times New Roman" w:hAnsi="Times New Roman" w:cs="Times New Roman" w:hint="eastAsia"/>
                <w:color w:val="000000" w:themeColor="text1"/>
                <w:sz w:val="21"/>
                <w:szCs w:val="21"/>
                <w:lang w:eastAsia="zh-CN"/>
              </w:rPr>
              <w:t>（压缩的或液化的）</w:t>
            </w:r>
          </w:p>
        </w:tc>
        <w:tc>
          <w:tcPr>
            <w:tcW w:w="1224" w:type="dxa"/>
            <w:tcBorders>
              <w:tl2br w:val="nil"/>
              <w:tr2bl w:val="nil"/>
            </w:tcBorders>
            <w:vAlign w:val="center"/>
          </w:tcPr>
          <w:p w14:paraId="634A50EC"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124-38-9</w:t>
            </w:r>
          </w:p>
        </w:tc>
        <w:tc>
          <w:tcPr>
            <w:tcW w:w="744" w:type="dxa"/>
            <w:tcBorders>
              <w:tl2br w:val="nil"/>
              <w:tr2bl w:val="nil"/>
            </w:tcBorders>
            <w:vAlign w:val="center"/>
          </w:tcPr>
          <w:p w14:paraId="350F68B1"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气</w:t>
            </w:r>
          </w:p>
        </w:tc>
        <w:tc>
          <w:tcPr>
            <w:tcW w:w="864" w:type="dxa"/>
            <w:tcBorders>
              <w:tl2br w:val="nil"/>
              <w:tr2bl w:val="nil"/>
            </w:tcBorders>
            <w:vAlign w:val="center"/>
          </w:tcPr>
          <w:p w14:paraId="2B302AEA"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-78.5</w:t>
            </w:r>
            <w:r>
              <w:rPr>
                <w:rFonts w:hint="eastAsia"/>
                <w:color w:val="000000" w:themeColor="text1"/>
                <w:sz w:val="21"/>
                <w:szCs w:val="21"/>
              </w:rPr>
              <w:t>（升华）</w:t>
            </w:r>
          </w:p>
        </w:tc>
        <w:tc>
          <w:tcPr>
            <w:tcW w:w="768" w:type="dxa"/>
            <w:tcBorders>
              <w:tl2br w:val="nil"/>
              <w:tr2bl w:val="nil"/>
            </w:tcBorders>
            <w:vAlign w:val="center"/>
          </w:tcPr>
          <w:p w14:paraId="71EB19F6"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733" w:type="dxa"/>
            <w:tcBorders>
              <w:tl2br w:val="nil"/>
              <w:tr2bl w:val="nil"/>
            </w:tcBorders>
            <w:vAlign w:val="center"/>
          </w:tcPr>
          <w:p w14:paraId="634FF318"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6" w:type="dxa"/>
            <w:tcBorders>
              <w:tl2br w:val="nil"/>
              <w:tr2bl w:val="nil"/>
            </w:tcBorders>
            <w:vAlign w:val="center"/>
          </w:tcPr>
          <w:p w14:paraId="0D2DBBF5"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2" w:type="dxa"/>
            <w:tcBorders>
              <w:tl2br w:val="nil"/>
              <w:tr2bl w:val="nil"/>
            </w:tcBorders>
            <w:vAlign w:val="center"/>
          </w:tcPr>
          <w:p w14:paraId="2E90707C"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2" w:type="dxa"/>
            <w:tcBorders>
              <w:tl2br w:val="nil"/>
              <w:tr2bl w:val="nil"/>
            </w:tcBorders>
            <w:vAlign w:val="center"/>
          </w:tcPr>
          <w:p w14:paraId="76380DA6"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2" w:type="dxa"/>
            <w:tcBorders>
              <w:tl2br w:val="nil"/>
              <w:tr2bl w:val="nil"/>
            </w:tcBorders>
            <w:vAlign w:val="center"/>
          </w:tcPr>
          <w:p w14:paraId="5F7099E1"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戊</w:t>
            </w:r>
          </w:p>
        </w:tc>
      </w:tr>
      <w:tr w:rsidR="002E0859" w14:paraId="7DA9F3F9" w14:textId="77777777">
        <w:tc>
          <w:tcPr>
            <w:tcW w:w="436" w:type="dxa"/>
            <w:tcBorders>
              <w:tl2br w:val="nil"/>
              <w:tr2bl w:val="nil"/>
            </w:tcBorders>
            <w:vAlign w:val="center"/>
          </w:tcPr>
          <w:p w14:paraId="1FF01F66"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59F15C4D"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汽油</w:t>
            </w:r>
          </w:p>
        </w:tc>
        <w:tc>
          <w:tcPr>
            <w:tcW w:w="1224" w:type="dxa"/>
            <w:tcBorders>
              <w:tl2br w:val="nil"/>
              <w:tr2bl w:val="nil"/>
            </w:tcBorders>
            <w:vAlign w:val="center"/>
          </w:tcPr>
          <w:p w14:paraId="1B6EE46B" w14:textId="77777777" w:rsidR="002E0859" w:rsidRDefault="00000000">
            <w:pPr>
              <w:pStyle w:val="a0"/>
              <w:spacing w:line="240" w:lineRule="auto"/>
              <w:ind w:firstLineChars="0" w:firstLine="0"/>
              <w:jc w:val="center"/>
              <w:rPr>
                <w:color w:val="000000" w:themeColor="text1"/>
                <w:sz w:val="21"/>
                <w:szCs w:val="21"/>
              </w:rPr>
            </w:pPr>
            <w:r>
              <w:rPr>
                <w:rFonts w:eastAsiaTheme="minorEastAsia"/>
                <w:color w:val="000000" w:themeColor="text1"/>
                <w:sz w:val="21"/>
                <w:szCs w:val="21"/>
              </w:rPr>
              <w:t>86290-81-5</w:t>
            </w:r>
          </w:p>
        </w:tc>
        <w:tc>
          <w:tcPr>
            <w:tcW w:w="744" w:type="dxa"/>
            <w:tcBorders>
              <w:tl2br w:val="nil"/>
              <w:tr2bl w:val="nil"/>
            </w:tcBorders>
            <w:vAlign w:val="center"/>
          </w:tcPr>
          <w:p w14:paraId="083DACAC"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液</w:t>
            </w:r>
          </w:p>
        </w:tc>
        <w:tc>
          <w:tcPr>
            <w:tcW w:w="864" w:type="dxa"/>
            <w:tcBorders>
              <w:tl2br w:val="nil"/>
              <w:tr2bl w:val="nil"/>
            </w:tcBorders>
            <w:vAlign w:val="center"/>
          </w:tcPr>
          <w:p w14:paraId="4116071E"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40~200</w:t>
            </w:r>
          </w:p>
        </w:tc>
        <w:tc>
          <w:tcPr>
            <w:tcW w:w="768" w:type="dxa"/>
            <w:tcBorders>
              <w:tl2br w:val="nil"/>
              <w:tr2bl w:val="nil"/>
            </w:tcBorders>
            <w:vAlign w:val="center"/>
          </w:tcPr>
          <w:p w14:paraId="051BF26D" w14:textId="77777777" w:rsidR="002E0859" w:rsidRDefault="00000000">
            <w:pPr>
              <w:topLinePunct w:val="0"/>
              <w:spacing w:line="240" w:lineRule="auto"/>
              <w:ind w:firstLineChars="0" w:firstLine="0"/>
              <w:jc w:val="center"/>
              <w:rPr>
                <w:color w:val="000000" w:themeColor="text1"/>
                <w:sz w:val="21"/>
                <w:szCs w:val="21"/>
              </w:rPr>
            </w:pPr>
            <w:r>
              <w:rPr>
                <w:rFonts w:hint="eastAsia"/>
                <w:color w:val="000000" w:themeColor="text1"/>
                <w:sz w:val="21"/>
                <w:szCs w:val="21"/>
              </w:rPr>
              <w:t>427</w:t>
            </w:r>
          </w:p>
        </w:tc>
        <w:tc>
          <w:tcPr>
            <w:tcW w:w="733" w:type="dxa"/>
            <w:tcBorders>
              <w:tl2br w:val="nil"/>
              <w:tr2bl w:val="nil"/>
            </w:tcBorders>
            <w:vAlign w:val="center"/>
          </w:tcPr>
          <w:p w14:paraId="1C3001FD" w14:textId="77777777" w:rsidR="002E0859" w:rsidRDefault="00000000">
            <w:pPr>
              <w:topLinePunct w:val="0"/>
              <w:spacing w:line="240" w:lineRule="auto"/>
              <w:ind w:firstLineChars="0" w:firstLine="0"/>
              <w:jc w:val="center"/>
              <w:rPr>
                <w:color w:val="000000" w:themeColor="text1"/>
                <w:sz w:val="21"/>
                <w:szCs w:val="21"/>
              </w:rPr>
            </w:pPr>
            <w:r>
              <w:rPr>
                <w:rFonts w:hint="eastAsia"/>
                <w:color w:val="000000" w:themeColor="text1"/>
                <w:sz w:val="21"/>
                <w:szCs w:val="21"/>
              </w:rPr>
              <w:t>-50</w:t>
            </w:r>
          </w:p>
        </w:tc>
        <w:tc>
          <w:tcPr>
            <w:tcW w:w="846" w:type="dxa"/>
            <w:tcBorders>
              <w:tl2br w:val="nil"/>
              <w:tr2bl w:val="nil"/>
            </w:tcBorders>
            <w:vAlign w:val="center"/>
          </w:tcPr>
          <w:p w14:paraId="78C8F7D6" w14:textId="77777777" w:rsidR="002E0859" w:rsidRDefault="00000000">
            <w:pPr>
              <w:topLinePunct w:val="0"/>
              <w:spacing w:line="240" w:lineRule="auto"/>
              <w:ind w:firstLineChars="0" w:firstLine="0"/>
              <w:jc w:val="center"/>
              <w:rPr>
                <w:color w:val="000000" w:themeColor="text1"/>
                <w:sz w:val="21"/>
                <w:szCs w:val="21"/>
              </w:rPr>
            </w:pPr>
            <w:r>
              <w:rPr>
                <w:rFonts w:hint="eastAsia"/>
                <w:color w:val="000000" w:themeColor="text1"/>
                <w:sz w:val="21"/>
                <w:szCs w:val="21"/>
              </w:rPr>
              <w:t>1.3</w:t>
            </w:r>
            <w:r>
              <w:rPr>
                <w:rFonts w:hint="eastAsia"/>
                <w:color w:val="000000" w:themeColor="text1"/>
                <w:sz w:val="21"/>
                <w:szCs w:val="21"/>
              </w:rPr>
              <w:t>～</w:t>
            </w:r>
            <w:r>
              <w:rPr>
                <w:rFonts w:hint="eastAsia"/>
                <w:color w:val="000000" w:themeColor="text1"/>
                <w:sz w:val="21"/>
                <w:szCs w:val="21"/>
              </w:rPr>
              <w:t>7.6</w:t>
            </w:r>
          </w:p>
        </w:tc>
        <w:tc>
          <w:tcPr>
            <w:tcW w:w="842" w:type="dxa"/>
            <w:tcBorders>
              <w:tl2br w:val="nil"/>
              <w:tr2bl w:val="nil"/>
            </w:tcBorders>
            <w:vAlign w:val="center"/>
          </w:tcPr>
          <w:p w14:paraId="50D8BE08"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ⅡA</w:t>
            </w:r>
          </w:p>
        </w:tc>
        <w:tc>
          <w:tcPr>
            <w:tcW w:w="842" w:type="dxa"/>
            <w:tcBorders>
              <w:tl2br w:val="nil"/>
              <w:tr2bl w:val="nil"/>
            </w:tcBorders>
            <w:vAlign w:val="center"/>
          </w:tcPr>
          <w:p w14:paraId="25FF2B53"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T</w:t>
            </w:r>
            <w:r>
              <w:rPr>
                <w:rFonts w:hint="eastAsia"/>
                <w:color w:val="000000" w:themeColor="text1"/>
                <w:sz w:val="21"/>
                <w:szCs w:val="21"/>
              </w:rPr>
              <w:t>3</w:t>
            </w:r>
          </w:p>
        </w:tc>
        <w:tc>
          <w:tcPr>
            <w:tcW w:w="842" w:type="dxa"/>
            <w:tcBorders>
              <w:tl2br w:val="nil"/>
              <w:tr2bl w:val="nil"/>
            </w:tcBorders>
            <w:vAlign w:val="center"/>
          </w:tcPr>
          <w:p w14:paraId="492DD0A4"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color w:val="000000" w:themeColor="text1"/>
                <w:spacing w:val="-17"/>
                <w:sz w:val="21"/>
                <w:szCs w:val="21"/>
              </w:rPr>
              <w:t>甲</w:t>
            </w:r>
            <w:r>
              <w:rPr>
                <w:rFonts w:eastAsia="Times New Roman"/>
                <w:color w:val="000000" w:themeColor="text1"/>
                <w:spacing w:val="-17"/>
                <w:sz w:val="21"/>
                <w:szCs w:val="21"/>
                <w:vertAlign w:val="subscript"/>
              </w:rPr>
              <w:t>B</w:t>
            </w:r>
          </w:p>
        </w:tc>
      </w:tr>
      <w:tr w:rsidR="002E0859" w14:paraId="64576A70" w14:textId="77777777">
        <w:tc>
          <w:tcPr>
            <w:tcW w:w="436" w:type="dxa"/>
            <w:tcBorders>
              <w:tl2br w:val="nil"/>
              <w:tr2bl w:val="nil"/>
            </w:tcBorders>
            <w:vAlign w:val="center"/>
          </w:tcPr>
          <w:p w14:paraId="7C0193D6"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639166A9"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柴油</w:t>
            </w:r>
          </w:p>
        </w:tc>
        <w:tc>
          <w:tcPr>
            <w:tcW w:w="1224" w:type="dxa"/>
            <w:tcBorders>
              <w:tl2br w:val="nil"/>
              <w:tr2bl w:val="nil"/>
            </w:tcBorders>
            <w:vAlign w:val="center"/>
          </w:tcPr>
          <w:p w14:paraId="5C1C4D37"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744" w:type="dxa"/>
            <w:tcBorders>
              <w:tl2br w:val="nil"/>
              <w:tr2bl w:val="nil"/>
            </w:tcBorders>
            <w:vAlign w:val="center"/>
          </w:tcPr>
          <w:p w14:paraId="44CB1F6E" w14:textId="77777777" w:rsidR="002E0859" w:rsidRDefault="00000000">
            <w:pPr>
              <w:topLinePunct w:val="0"/>
              <w:spacing w:line="240" w:lineRule="auto"/>
              <w:ind w:firstLineChars="0" w:firstLine="0"/>
              <w:jc w:val="center"/>
              <w:rPr>
                <w:bCs/>
                <w:color w:val="000000" w:themeColor="text1"/>
                <w:sz w:val="21"/>
                <w:szCs w:val="21"/>
              </w:rPr>
            </w:pPr>
            <w:r>
              <w:rPr>
                <w:color w:val="000000" w:themeColor="text1"/>
                <w:spacing w:val="10"/>
                <w:sz w:val="21"/>
                <w:szCs w:val="21"/>
              </w:rPr>
              <w:t>液</w:t>
            </w:r>
          </w:p>
        </w:tc>
        <w:tc>
          <w:tcPr>
            <w:tcW w:w="864" w:type="dxa"/>
            <w:tcBorders>
              <w:tl2br w:val="nil"/>
              <w:tr2bl w:val="nil"/>
            </w:tcBorders>
            <w:vAlign w:val="center"/>
          </w:tcPr>
          <w:p w14:paraId="3F81A0BE" w14:textId="77777777" w:rsidR="002E0859" w:rsidRDefault="00000000">
            <w:pPr>
              <w:topLinePunct w:val="0"/>
              <w:spacing w:line="240" w:lineRule="auto"/>
              <w:ind w:firstLineChars="0" w:firstLine="0"/>
              <w:jc w:val="center"/>
              <w:rPr>
                <w:rFonts w:eastAsia="Times New Roman"/>
                <w:bCs/>
                <w:color w:val="000000" w:themeColor="text1"/>
                <w:sz w:val="21"/>
                <w:szCs w:val="21"/>
              </w:rPr>
            </w:pPr>
            <w:r>
              <w:rPr>
                <w:rFonts w:eastAsia="Times New Roman"/>
                <w:color w:val="000000" w:themeColor="text1"/>
                <w:spacing w:val="9"/>
                <w:sz w:val="21"/>
                <w:szCs w:val="21"/>
              </w:rPr>
              <w:t>280</w:t>
            </w:r>
            <w:r>
              <w:rPr>
                <w:rFonts w:hint="eastAsia"/>
                <w:color w:val="000000" w:themeColor="text1"/>
                <w:spacing w:val="9"/>
                <w:sz w:val="21"/>
                <w:szCs w:val="21"/>
              </w:rPr>
              <w:t>～</w:t>
            </w:r>
            <w:r>
              <w:rPr>
                <w:rFonts w:eastAsia="Times New Roman"/>
                <w:color w:val="000000" w:themeColor="text1"/>
                <w:spacing w:val="9"/>
                <w:sz w:val="21"/>
                <w:szCs w:val="21"/>
              </w:rPr>
              <w:t>370</w:t>
            </w:r>
          </w:p>
        </w:tc>
        <w:tc>
          <w:tcPr>
            <w:tcW w:w="768" w:type="dxa"/>
            <w:tcBorders>
              <w:tl2br w:val="nil"/>
              <w:tr2bl w:val="nil"/>
            </w:tcBorders>
            <w:vAlign w:val="center"/>
          </w:tcPr>
          <w:p w14:paraId="6B00746F" w14:textId="77777777" w:rsidR="002E0859" w:rsidRDefault="00000000">
            <w:pPr>
              <w:topLinePunct w:val="0"/>
              <w:spacing w:line="240" w:lineRule="auto"/>
              <w:ind w:firstLineChars="0" w:firstLine="0"/>
              <w:jc w:val="center"/>
              <w:rPr>
                <w:rFonts w:eastAsia="Times New Roman"/>
                <w:bCs/>
                <w:color w:val="000000" w:themeColor="text1"/>
                <w:sz w:val="21"/>
                <w:szCs w:val="21"/>
              </w:rPr>
            </w:pPr>
            <w:r>
              <w:rPr>
                <w:rFonts w:eastAsia="Times New Roman"/>
                <w:color w:val="000000" w:themeColor="text1"/>
                <w:spacing w:val="6"/>
                <w:sz w:val="21"/>
                <w:szCs w:val="21"/>
              </w:rPr>
              <w:t>257</w:t>
            </w:r>
          </w:p>
        </w:tc>
        <w:tc>
          <w:tcPr>
            <w:tcW w:w="733" w:type="dxa"/>
            <w:tcBorders>
              <w:tl2br w:val="nil"/>
              <w:tr2bl w:val="nil"/>
            </w:tcBorders>
            <w:vAlign w:val="center"/>
          </w:tcPr>
          <w:p w14:paraId="0B7FB73F" w14:textId="77777777" w:rsidR="002E0859" w:rsidRDefault="00000000">
            <w:pPr>
              <w:topLinePunct w:val="0"/>
              <w:spacing w:line="240" w:lineRule="auto"/>
              <w:ind w:firstLineChars="0" w:firstLine="0"/>
              <w:jc w:val="center"/>
              <w:rPr>
                <w:rFonts w:eastAsia="Times New Roman"/>
                <w:bCs/>
                <w:color w:val="000000" w:themeColor="text1"/>
                <w:sz w:val="21"/>
                <w:szCs w:val="21"/>
              </w:rPr>
            </w:pPr>
            <w:r>
              <w:rPr>
                <w:rFonts w:eastAsia="Times New Roman"/>
                <w:bCs/>
                <w:color w:val="000000" w:themeColor="text1"/>
                <w:sz w:val="21"/>
                <w:szCs w:val="21"/>
              </w:rPr>
              <w:t>≥</w:t>
            </w:r>
            <w:r>
              <w:rPr>
                <w:rFonts w:eastAsia="Times New Roman" w:hint="eastAsia"/>
                <w:bCs/>
                <w:color w:val="000000" w:themeColor="text1"/>
                <w:sz w:val="21"/>
                <w:szCs w:val="21"/>
              </w:rPr>
              <w:t>38</w:t>
            </w:r>
          </w:p>
        </w:tc>
        <w:tc>
          <w:tcPr>
            <w:tcW w:w="846" w:type="dxa"/>
            <w:tcBorders>
              <w:tl2br w:val="nil"/>
              <w:tr2bl w:val="nil"/>
            </w:tcBorders>
            <w:vAlign w:val="center"/>
          </w:tcPr>
          <w:p w14:paraId="3DA5952C" w14:textId="77777777" w:rsidR="002E0859" w:rsidRDefault="00000000">
            <w:pPr>
              <w:topLinePunct w:val="0"/>
              <w:spacing w:line="240" w:lineRule="auto"/>
              <w:ind w:firstLineChars="0" w:firstLine="0"/>
              <w:jc w:val="center"/>
              <w:rPr>
                <w:rFonts w:eastAsia="仿宋_GB2312"/>
                <w:bCs/>
                <w:color w:val="000000" w:themeColor="text1"/>
                <w:sz w:val="21"/>
                <w:szCs w:val="21"/>
              </w:rPr>
            </w:pPr>
            <w:r>
              <w:rPr>
                <w:rFonts w:eastAsia="仿宋_GB2312" w:hint="eastAsia"/>
                <w:bCs/>
                <w:color w:val="000000" w:themeColor="text1"/>
                <w:sz w:val="21"/>
                <w:szCs w:val="21"/>
              </w:rPr>
              <w:t>/</w:t>
            </w:r>
          </w:p>
        </w:tc>
        <w:tc>
          <w:tcPr>
            <w:tcW w:w="842" w:type="dxa"/>
            <w:tcBorders>
              <w:tl2br w:val="nil"/>
              <w:tr2bl w:val="nil"/>
            </w:tcBorders>
            <w:vAlign w:val="center"/>
          </w:tcPr>
          <w:p w14:paraId="1458960C" w14:textId="77777777" w:rsidR="002E0859" w:rsidRDefault="00000000">
            <w:pPr>
              <w:topLinePunct w:val="0"/>
              <w:spacing w:line="240" w:lineRule="auto"/>
              <w:ind w:firstLineChars="0" w:firstLine="0"/>
              <w:jc w:val="center"/>
              <w:rPr>
                <w:rFonts w:eastAsia="Times New Roman"/>
                <w:bCs/>
                <w:color w:val="000000" w:themeColor="text1"/>
                <w:sz w:val="21"/>
                <w:szCs w:val="21"/>
              </w:rPr>
            </w:pPr>
            <w:r>
              <w:rPr>
                <w:rFonts w:eastAsia="Times New Roman"/>
                <w:color w:val="000000" w:themeColor="text1"/>
                <w:spacing w:val="2"/>
                <w:position w:val="5"/>
                <w:sz w:val="21"/>
                <w:szCs w:val="21"/>
              </w:rPr>
              <w:t>I</w:t>
            </w:r>
            <w:r>
              <w:rPr>
                <w:rFonts w:eastAsia="Times New Roman"/>
                <w:color w:val="000000" w:themeColor="text1"/>
                <w:spacing w:val="1"/>
                <w:position w:val="5"/>
                <w:sz w:val="21"/>
                <w:szCs w:val="21"/>
              </w:rPr>
              <w:t>I</w:t>
            </w:r>
            <w:r>
              <w:rPr>
                <w:color w:val="000000" w:themeColor="text1"/>
                <w:spacing w:val="1"/>
                <w:position w:val="5"/>
                <w:sz w:val="21"/>
                <w:szCs w:val="21"/>
              </w:rPr>
              <w:t>A</w:t>
            </w:r>
          </w:p>
        </w:tc>
        <w:tc>
          <w:tcPr>
            <w:tcW w:w="842" w:type="dxa"/>
            <w:tcBorders>
              <w:tl2br w:val="nil"/>
              <w:tr2bl w:val="nil"/>
            </w:tcBorders>
            <w:vAlign w:val="center"/>
          </w:tcPr>
          <w:p w14:paraId="258114C4" w14:textId="77777777" w:rsidR="002E0859" w:rsidRDefault="00000000">
            <w:pPr>
              <w:topLinePunct w:val="0"/>
              <w:spacing w:line="240" w:lineRule="auto"/>
              <w:ind w:firstLineChars="0" w:firstLine="0"/>
              <w:jc w:val="center"/>
              <w:rPr>
                <w:rFonts w:eastAsia="Times New Roman"/>
                <w:bCs/>
                <w:color w:val="000000" w:themeColor="text1"/>
                <w:sz w:val="21"/>
                <w:szCs w:val="21"/>
              </w:rPr>
            </w:pPr>
            <w:r>
              <w:rPr>
                <w:rFonts w:eastAsia="Times New Roman"/>
                <w:color w:val="000000" w:themeColor="text1"/>
                <w:sz w:val="21"/>
                <w:szCs w:val="21"/>
              </w:rPr>
              <w:t>T</w:t>
            </w:r>
            <w:r>
              <w:rPr>
                <w:rFonts w:eastAsia="Times New Roman"/>
                <w:color w:val="000000" w:themeColor="text1"/>
                <w:spacing w:val="5"/>
                <w:sz w:val="21"/>
                <w:szCs w:val="21"/>
              </w:rPr>
              <w:t>3</w:t>
            </w:r>
          </w:p>
        </w:tc>
        <w:tc>
          <w:tcPr>
            <w:tcW w:w="842" w:type="dxa"/>
            <w:tcBorders>
              <w:tl2br w:val="nil"/>
              <w:tr2bl w:val="nil"/>
            </w:tcBorders>
            <w:vAlign w:val="center"/>
          </w:tcPr>
          <w:p w14:paraId="640664D7" w14:textId="77777777" w:rsidR="002E0859" w:rsidRDefault="00000000">
            <w:pPr>
              <w:topLinePunct w:val="0"/>
              <w:spacing w:line="240" w:lineRule="auto"/>
              <w:ind w:firstLineChars="0" w:firstLine="0"/>
              <w:jc w:val="center"/>
              <w:rPr>
                <w:bCs/>
                <w:color w:val="000000" w:themeColor="text1"/>
                <w:sz w:val="21"/>
                <w:szCs w:val="21"/>
              </w:rPr>
            </w:pPr>
            <w:r>
              <w:rPr>
                <w:rFonts w:hint="eastAsia"/>
                <w:color w:val="000000" w:themeColor="text1"/>
                <w:spacing w:val="-15"/>
                <w:position w:val="1"/>
                <w:sz w:val="21"/>
                <w:szCs w:val="21"/>
              </w:rPr>
              <w:t>乙</w:t>
            </w:r>
          </w:p>
        </w:tc>
      </w:tr>
      <w:tr w:rsidR="002E0859" w14:paraId="12FCEE3A" w14:textId="77777777">
        <w:tc>
          <w:tcPr>
            <w:tcW w:w="436" w:type="dxa"/>
            <w:tcBorders>
              <w:tl2br w:val="nil"/>
              <w:tr2bl w:val="nil"/>
            </w:tcBorders>
            <w:vAlign w:val="center"/>
          </w:tcPr>
          <w:p w14:paraId="089B3ED4"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46C61352"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盐酸</w:t>
            </w:r>
          </w:p>
        </w:tc>
        <w:tc>
          <w:tcPr>
            <w:tcW w:w="1224" w:type="dxa"/>
            <w:tcBorders>
              <w:tl2br w:val="nil"/>
              <w:tr2bl w:val="nil"/>
            </w:tcBorders>
            <w:vAlign w:val="center"/>
          </w:tcPr>
          <w:p w14:paraId="37E0157E"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7647-01-0</w:t>
            </w:r>
          </w:p>
        </w:tc>
        <w:tc>
          <w:tcPr>
            <w:tcW w:w="744" w:type="dxa"/>
            <w:tcBorders>
              <w:tl2br w:val="nil"/>
              <w:tr2bl w:val="nil"/>
            </w:tcBorders>
            <w:vAlign w:val="center"/>
          </w:tcPr>
          <w:p w14:paraId="2AA56169"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液</w:t>
            </w:r>
          </w:p>
        </w:tc>
        <w:tc>
          <w:tcPr>
            <w:tcW w:w="864" w:type="dxa"/>
            <w:tcBorders>
              <w:tl2br w:val="nil"/>
              <w:tr2bl w:val="nil"/>
            </w:tcBorders>
            <w:vAlign w:val="center"/>
          </w:tcPr>
          <w:p w14:paraId="2596BC6F"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108.6</w:t>
            </w:r>
          </w:p>
        </w:tc>
        <w:tc>
          <w:tcPr>
            <w:tcW w:w="768" w:type="dxa"/>
            <w:tcBorders>
              <w:tl2br w:val="nil"/>
              <w:tr2bl w:val="nil"/>
            </w:tcBorders>
            <w:vAlign w:val="center"/>
          </w:tcPr>
          <w:p w14:paraId="22C7A626"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733" w:type="dxa"/>
            <w:tcBorders>
              <w:tl2br w:val="nil"/>
              <w:tr2bl w:val="nil"/>
            </w:tcBorders>
            <w:vAlign w:val="center"/>
          </w:tcPr>
          <w:p w14:paraId="603DBFA4"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6" w:type="dxa"/>
            <w:tcBorders>
              <w:tl2br w:val="nil"/>
              <w:tr2bl w:val="nil"/>
            </w:tcBorders>
            <w:vAlign w:val="center"/>
          </w:tcPr>
          <w:p w14:paraId="3BEDED7D"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2" w:type="dxa"/>
            <w:tcBorders>
              <w:tl2br w:val="nil"/>
              <w:tr2bl w:val="nil"/>
            </w:tcBorders>
            <w:vAlign w:val="center"/>
          </w:tcPr>
          <w:p w14:paraId="31BCB85E"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2" w:type="dxa"/>
            <w:tcBorders>
              <w:tl2br w:val="nil"/>
              <w:tr2bl w:val="nil"/>
            </w:tcBorders>
            <w:vAlign w:val="center"/>
          </w:tcPr>
          <w:p w14:paraId="2FF9AD77"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2" w:type="dxa"/>
            <w:tcBorders>
              <w:tl2br w:val="nil"/>
              <w:tr2bl w:val="nil"/>
            </w:tcBorders>
            <w:vAlign w:val="center"/>
          </w:tcPr>
          <w:p w14:paraId="1880745E"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hint="eastAsia"/>
                <w:color w:val="000000" w:themeColor="text1"/>
                <w:spacing w:val="15"/>
                <w:sz w:val="21"/>
                <w:szCs w:val="21"/>
              </w:rPr>
              <w:t>戊</w:t>
            </w:r>
          </w:p>
        </w:tc>
      </w:tr>
      <w:tr w:rsidR="002E0859" w14:paraId="05CDDF9D" w14:textId="77777777">
        <w:tc>
          <w:tcPr>
            <w:tcW w:w="436" w:type="dxa"/>
            <w:tcBorders>
              <w:tl2br w:val="nil"/>
              <w:tr2bl w:val="nil"/>
            </w:tcBorders>
            <w:vAlign w:val="center"/>
          </w:tcPr>
          <w:p w14:paraId="0C4BE3C4"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566D8EA0"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氢氧化钠</w:t>
            </w:r>
          </w:p>
        </w:tc>
        <w:tc>
          <w:tcPr>
            <w:tcW w:w="1224" w:type="dxa"/>
            <w:tcBorders>
              <w:tl2br w:val="nil"/>
              <w:tr2bl w:val="nil"/>
            </w:tcBorders>
            <w:vAlign w:val="center"/>
          </w:tcPr>
          <w:p w14:paraId="44056159"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8006-28-8</w:t>
            </w:r>
          </w:p>
        </w:tc>
        <w:tc>
          <w:tcPr>
            <w:tcW w:w="744" w:type="dxa"/>
            <w:tcBorders>
              <w:tl2br w:val="nil"/>
              <w:tr2bl w:val="nil"/>
            </w:tcBorders>
            <w:vAlign w:val="center"/>
          </w:tcPr>
          <w:p w14:paraId="1D746947"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固</w:t>
            </w:r>
          </w:p>
        </w:tc>
        <w:tc>
          <w:tcPr>
            <w:tcW w:w="864" w:type="dxa"/>
            <w:tcBorders>
              <w:tl2br w:val="nil"/>
              <w:tr2bl w:val="nil"/>
            </w:tcBorders>
            <w:vAlign w:val="center"/>
          </w:tcPr>
          <w:p w14:paraId="15F78962"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1390</w:t>
            </w:r>
          </w:p>
        </w:tc>
        <w:tc>
          <w:tcPr>
            <w:tcW w:w="768" w:type="dxa"/>
            <w:tcBorders>
              <w:tl2br w:val="nil"/>
              <w:tr2bl w:val="nil"/>
            </w:tcBorders>
            <w:vAlign w:val="center"/>
          </w:tcPr>
          <w:p w14:paraId="545E3E1B"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733" w:type="dxa"/>
            <w:tcBorders>
              <w:tl2br w:val="nil"/>
              <w:tr2bl w:val="nil"/>
            </w:tcBorders>
            <w:vAlign w:val="center"/>
          </w:tcPr>
          <w:p w14:paraId="3E8172EB"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6" w:type="dxa"/>
            <w:tcBorders>
              <w:tl2br w:val="nil"/>
              <w:tr2bl w:val="nil"/>
            </w:tcBorders>
            <w:vAlign w:val="center"/>
          </w:tcPr>
          <w:p w14:paraId="07226470"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2" w:type="dxa"/>
            <w:tcBorders>
              <w:tl2br w:val="nil"/>
              <w:tr2bl w:val="nil"/>
            </w:tcBorders>
            <w:vAlign w:val="center"/>
          </w:tcPr>
          <w:p w14:paraId="4D73BF9B"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2" w:type="dxa"/>
            <w:tcBorders>
              <w:tl2br w:val="nil"/>
              <w:tr2bl w:val="nil"/>
            </w:tcBorders>
            <w:vAlign w:val="center"/>
          </w:tcPr>
          <w:p w14:paraId="6C8A6982"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w:t>
            </w:r>
          </w:p>
        </w:tc>
        <w:tc>
          <w:tcPr>
            <w:tcW w:w="842" w:type="dxa"/>
            <w:tcBorders>
              <w:tl2br w:val="nil"/>
              <w:tr2bl w:val="nil"/>
            </w:tcBorders>
            <w:vAlign w:val="center"/>
          </w:tcPr>
          <w:p w14:paraId="14FE9604"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戊</w:t>
            </w:r>
          </w:p>
        </w:tc>
      </w:tr>
      <w:tr w:rsidR="002E0859" w14:paraId="45277A96" w14:textId="77777777">
        <w:tc>
          <w:tcPr>
            <w:tcW w:w="436" w:type="dxa"/>
            <w:tcBorders>
              <w:tl2br w:val="nil"/>
              <w:tr2bl w:val="nil"/>
            </w:tcBorders>
            <w:vAlign w:val="center"/>
          </w:tcPr>
          <w:p w14:paraId="46083A70" w14:textId="77777777" w:rsidR="002E0859" w:rsidRDefault="002E0859">
            <w:pPr>
              <w:pStyle w:val="a0"/>
              <w:numPr>
                <w:ilvl w:val="0"/>
                <w:numId w:val="18"/>
              </w:numPr>
              <w:spacing w:line="240" w:lineRule="auto"/>
              <w:ind w:firstLineChars="0"/>
              <w:jc w:val="center"/>
              <w:rPr>
                <w:color w:val="000000" w:themeColor="text1"/>
                <w:sz w:val="21"/>
                <w:szCs w:val="21"/>
              </w:rPr>
            </w:pPr>
          </w:p>
        </w:tc>
        <w:tc>
          <w:tcPr>
            <w:tcW w:w="1260" w:type="dxa"/>
            <w:tcBorders>
              <w:tl2br w:val="nil"/>
              <w:tr2bl w:val="nil"/>
            </w:tcBorders>
            <w:vAlign w:val="center"/>
          </w:tcPr>
          <w:p w14:paraId="44B6C190" w14:textId="77777777" w:rsidR="002E0859" w:rsidRDefault="00000000">
            <w:pPr>
              <w:pStyle w:val="a8"/>
              <w:spacing w:line="240" w:lineRule="auto"/>
              <w:ind w:firstLineChars="0" w:firstLine="0"/>
              <w:jc w:val="center"/>
              <w:rPr>
                <w:rFonts w:ascii="Times New Roman" w:hAnsi="Times New Roman" w:cs="Times New Roman"/>
                <w:color w:val="000000" w:themeColor="text1"/>
                <w:sz w:val="21"/>
                <w:szCs w:val="21"/>
                <w:lang w:eastAsia="zh-CN"/>
              </w:rPr>
            </w:pPr>
            <w:r>
              <w:rPr>
                <w:rFonts w:ascii="Times New Roman" w:hAnsi="Times New Roman" w:cs="Times New Roman" w:hint="eastAsia"/>
                <w:color w:val="000000" w:themeColor="text1"/>
                <w:sz w:val="21"/>
                <w:szCs w:val="21"/>
                <w:lang w:eastAsia="zh-CN"/>
              </w:rPr>
              <w:t>氮（压缩的或液化的）</w:t>
            </w:r>
          </w:p>
        </w:tc>
        <w:tc>
          <w:tcPr>
            <w:tcW w:w="1224" w:type="dxa"/>
            <w:tcBorders>
              <w:tl2br w:val="nil"/>
              <w:tr2bl w:val="nil"/>
            </w:tcBorders>
            <w:vAlign w:val="center"/>
          </w:tcPr>
          <w:p w14:paraId="322C9A37"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7727-37-9</w:t>
            </w:r>
          </w:p>
        </w:tc>
        <w:tc>
          <w:tcPr>
            <w:tcW w:w="744" w:type="dxa"/>
            <w:tcBorders>
              <w:tl2br w:val="nil"/>
              <w:tr2bl w:val="nil"/>
            </w:tcBorders>
            <w:vAlign w:val="center"/>
          </w:tcPr>
          <w:p w14:paraId="7424EED8"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气</w:t>
            </w:r>
          </w:p>
        </w:tc>
        <w:tc>
          <w:tcPr>
            <w:tcW w:w="864" w:type="dxa"/>
            <w:tcBorders>
              <w:tl2br w:val="nil"/>
              <w:tr2bl w:val="nil"/>
            </w:tcBorders>
            <w:vAlign w:val="center"/>
          </w:tcPr>
          <w:p w14:paraId="47EBBD85"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-196</w:t>
            </w:r>
          </w:p>
        </w:tc>
        <w:tc>
          <w:tcPr>
            <w:tcW w:w="768" w:type="dxa"/>
            <w:tcBorders>
              <w:tl2br w:val="nil"/>
              <w:tr2bl w:val="nil"/>
            </w:tcBorders>
            <w:vAlign w:val="center"/>
          </w:tcPr>
          <w:p w14:paraId="39D26445"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733" w:type="dxa"/>
            <w:tcBorders>
              <w:tl2br w:val="nil"/>
              <w:tr2bl w:val="nil"/>
            </w:tcBorders>
            <w:vAlign w:val="center"/>
          </w:tcPr>
          <w:p w14:paraId="575D7372"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6" w:type="dxa"/>
            <w:tcBorders>
              <w:tl2br w:val="nil"/>
              <w:tr2bl w:val="nil"/>
            </w:tcBorders>
            <w:vAlign w:val="center"/>
          </w:tcPr>
          <w:p w14:paraId="3722C816"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2" w:type="dxa"/>
            <w:tcBorders>
              <w:tl2br w:val="nil"/>
              <w:tr2bl w:val="nil"/>
            </w:tcBorders>
            <w:vAlign w:val="center"/>
          </w:tcPr>
          <w:p w14:paraId="4C62CE81"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2" w:type="dxa"/>
            <w:tcBorders>
              <w:tl2br w:val="nil"/>
              <w:tr2bl w:val="nil"/>
            </w:tcBorders>
            <w:vAlign w:val="center"/>
          </w:tcPr>
          <w:p w14:paraId="059914E4"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color w:val="000000" w:themeColor="text1"/>
                <w:spacing w:val="-3"/>
                <w:sz w:val="21"/>
                <w:szCs w:val="21"/>
              </w:rPr>
              <w:t>/</w:t>
            </w:r>
          </w:p>
        </w:tc>
        <w:tc>
          <w:tcPr>
            <w:tcW w:w="842" w:type="dxa"/>
            <w:tcBorders>
              <w:tl2br w:val="nil"/>
              <w:tr2bl w:val="nil"/>
            </w:tcBorders>
            <w:vAlign w:val="center"/>
          </w:tcPr>
          <w:p w14:paraId="5CC32320" w14:textId="77777777" w:rsidR="002E0859" w:rsidRDefault="00000000">
            <w:pPr>
              <w:topLinePunct w:val="0"/>
              <w:spacing w:line="240" w:lineRule="auto"/>
              <w:ind w:firstLineChars="0" w:firstLine="0"/>
              <w:jc w:val="center"/>
              <w:rPr>
                <w:rFonts w:eastAsia="Times New Roman"/>
                <w:color w:val="000000" w:themeColor="text1"/>
                <w:spacing w:val="-3"/>
                <w:sz w:val="21"/>
                <w:szCs w:val="21"/>
              </w:rPr>
            </w:pPr>
            <w:r>
              <w:rPr>
                <w:rFonts w:eastAsia="Times New Roman" w:hint="eastAsia"/>
                <w:color w:val="000000" w:themeColor="text1"/>
                <w:spacing w:val="-3"/>
                <w:sz w:val="21"/>
                <w:szCs w:val="21"/>
              </w:rPr>
              <w:t>戊</w:t>
            </w:r>
          </w:p>
        </w:tc>
      </w:tr>
    </w:tbl>
    <w:p w14:paraId="16969EEB"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天然气</w:t>
      </w:r>
    </w:p>
    <w:p w14:paraId="2B5B495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天然气的主要组分是甲烷，</w:t>
      </w:r>
      <w:r>
        <w:rPr>
          <w:color w:val="000000" w:themeColor="text1"/>
          <w:sz w:val="24"/>
          <w:szCs w:val="24"/>
        </w:rPr>
        <w:t>为易燃易爆气体，和空气混合后，天然气浓度达到</w:t>
      </w:r>
      <w:r>
        <w:rPr>
          <w:color w:val="000000" w:themeColor="text1"/>
          <w:sz w:val="24"/>
          <w:szCs w:val="24"/>
        </w:rPr>
        <w:t>5</w:t>
      </w:r>
      <w:r>
        <w:rPr>
          <w:rFonts w:hint="eastAsia"/>
          <w:color w:val="000000" w:themeColor="text1"/>
          <w:sz w:val="24"/>
          <w:szCs w:val="24"/>
        </w:rPr>
        <w:t>.3</w:t>
      </w:r>
      <w:r>
        <w:rPr>
          <w:color w:val="000000" w:themeColor="text1"/>
          <w:sz w:val="24"/>
          <w:szCs w:val="24"/>
        </w:rPr>
        <w:t>%~15%</w:t>
      </w:r>
      <w:r>
        <w:rPr>
          <w:color w:val="000000" w:themeColor="text1"/>
          <w:sz w:val="24"/>
          <w:szCs w:val="24"/>
        </w:rPr>
        <w:t>就会爆炸。</w:t>
      </w:r>
    </w:p>
    <w:p w14:paraId="6819F36F" w14:textId="77777777" w:rsidR="002E0859" w:rsidRDefault="00000000">
      <w:pPr>
        <w:pStyle w:val="a0"/>
        <w:spacing w:line="360" w:lineRule="auto"/>
        <w:ind w:firstLine="480"/>
        <w:rPr>
          <w:color w:val="000000" w:themeColor="text1"/>
          <w:sz w:val="24"/>
          <w:szCs w:val="24"/>
        </w:rPr>
      </w:pPr>
      <w:r>
        <w:rPr>
          <w:color w:val="000000" w:themeColor="text1"/>
          <w:sz w:val="24"/>
          <w:szCs w:val="24"/>
        </w:rPr>
        <w:t>天然气是一种无色气体，比空气轻，具有以下危险特性：</w:t>
      </w:r>
    </w:p>
    <w:p w14:paraId="469CDF30"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易燃性</w:t>
      </w:r>
    </w:p>
    <w:p w14:paraId="0B2B0391"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天然气具有易燃性，燃烧速度很快，并散发出大量的热量，产生的高热可致人员烧伤、设备、建筑物损坏、引燃周边可燃物及其他次生灾害。</w:t>
      </w:r>
    </w:p>
    <w:p w14:paraId="0C347DF6"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易爆性</w:t>
      </w:r>
    </w:p>
    <w:p w14:paraId="54D10741" w14:textId="77777777" w:rsidR="002E0859" w:rsidRDefault="00000000">
      <w:pPr>
        <w:pStyle w:val="a0"/>
        <w:spacing w:line="360" w:lineRule="auto"/>
        <w:ind w:firstLine="480"/>
        <w:rPr>
          <w:color w:val="000000" w:themeColor="text1"/>
          <w:sz w:val="24"/>
          <w:szCs w:val="24"/>
        </w:rPr>
      </w:pPr>
      <w:r>
        <w:rPr>
          <w:color w:val="000000" w:themeColor="text1"/>
          <w:sz w:val="24"/>
          <w:szCs w:val="24"/>
        </w:rPr>
        <w:t>天然气具有易爆性，与空气混合形成可燃性混合物，当其浓度达到</w:t>
      </w:r>
      <w:r>
        <w:rPr>
          <w:rFonts w:hint="eastAsia"/>
          <w:color w:val="000000" w:themeColor="text1"/>
          <w:sz w:val="24"/>
          <w:szCs w:val="24"/>
        </w:rPr>
        <w:t>“</w:t>
      </w:r>
      <w:r>
        <w:rPr>
          <w:color w:val="000000" w:themeColor="text1"/>
          <w:sz w:val="24"/>
          <w:szCs w:val="24"/>
        </w:rPr>
        <w:t>爆炸浓度极限</w:t>
      </w:r>
      <w:r>
        <w:rPr>
          <w:rFonts w:hint="eastAsia"/>
          <w:color w:val="000000" w:themeColor="text1"/>
          <w:sz w:val="24"/>
          <w:szCs w:val="24"/>
        </w:rPr>
        <w:t>”</w:t>
      </w:r>
      <w:r>
        <w:rPr>
          <w:color w:val="000000" w:themeColor="text1"/>
          <w:sz w:val="24"/>
          <w:szCs w:val="24"/>
        </w:rPr>
        <w:t>时（在空气中的爆炸极限约为</w:t>
      </w:r>
      <w:r>
        <w:rPr>
          <w:color w:val="000000" w:themeColor="text1"/>
          <w:sz w:val="24"/>
          <w:szCs w:val="24"/>
        </w:rPr>
        <w:t>5</w:t>
      </w:r>
      <w:r>
        <w:rPr>
          <w:rFonts w:hint="eastAsia"/>
          <w:color w:val="000000" w:themeColor="text1"/>
          <w:sz w:val="24"/>
          <w:szCs w:val="24"/>
        </w:rPr>
        <w:t>.3</w:t>
      </w:r>
      <w:r>
        <w:rPr>
          <w:color w:val="000000" w:themeColor="text1"/>
          <w:sz w:val="24"/>
          <w:szCs w:val="24"/>
        </w:rPr>
        <w:t>%~15%</w:t>
      </w:r>
      <w:r>
        <w:rPr>
          <w:color w:val="000000" w:themeColor="text1"/>
          <w:sz w:val="24"/>
          <w:szCs w:val="24"/>
        </w:rPr>
        <w:t>（</w:t>
      </w:r>
      <w:r>
        <w:rPr>
          <w:color w:val="000000" w:themeColor="text1"/>
          <w:sz w:val="24"/>
          <w:szCs w:val="24"/>
        </w:rPr>
        <w:t>V</w:t>
      </w:r>
      <w:r>
        <w:rPr>
          <w:color w:val="000000" w:themeColor="text1"/>
          <w:sz w:val="24"/>
          <w:szCs w:val="24"/>
        </w:rPr>
        <w:t>）），遇到点火源发生爆炸，明火、撞击、摩擦、静电火花、雷电等都可构成点火源。爆炸可瞬间产生高温、高压，造成很大的破坏。</w:t>
      </w:r>
    </w:p>
    <w:p w14:paraId="72102DFD"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静电集聚性</w:t>
      </w:r>
    </w:p>
    <w:p w14:paraId="71C139E5" w14:textId="77777777" w:rsidR="002E0859" w:rsidRDefault="00000000">
      <w:pPr>
        <w:pStyle w:val="a0"/>
        <w:spacing w:line="360" w:lineRule="auto"/>
        <w:ind w:firstLine="480"/>
        <w:rPr>
          <w:color w:val="000000" w:themeColor="text1"/>
          <w:sz w:val="24"/>
          <w:szCs w:val="24"/>
        </w:rPr>
      </w:pPr>
      <w:r>
        <w:rPr>
          <w:color w:val="000000" w:themeColor="text1"/>
          <w:sz w:val="24"/>
          <w:szCs w:val="24"/>
        </w:rPr>
        <w:t>天然气和管道、容器设备等发生碰撞、摩擦，会产生静电，静电得不到释放，则会集聚，达到一定量后，产生火花放电，引发火灾、爆炸事故。</w:t>
      </w:r>
    </w:p>
    <w:p w14:paraId="1CD6F11E"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毒性</w:t>
      </w:r>
    </w:p>
    <w:p w14:paraId="7CECC72A" w14:textId="77777777" w:rsidR="002E0859" w:rsidRDefault="00000000">
      <w:pPr>
        <w:pStyle w:val="a0"/>
        <w:spacing w:line="360" w:lineRule="auto"/>
        <w:ind w:firstLine="480"/>
        <w:rPr>
          <w:color w:val="000000" w:themeColor="text1"/>
          <w:sz w:val="24"/>
          <w:szCs w:val="24"/>
        </w:rPr>
      </w:pPr>
      <w:r>
        <w:rPr>
          <w:color w:val="000000" w:themeColor="text1"/>
          <w:sz w:val="24"/>
          <w:szCs w:val="24"/>
        </w:rPr>
        <w:t>天然气属低毒物质，当其经口、鼻进入人的呼吸系统，能使人体器官受损害而产生中毒。当空气中天然气含量过高时，还会造成急性中毒、缺氧窒息等。</w:t>
      </w:r>
    </w:p>
    <w:p w14:paraId="22A18A19" w14:textId="77777777" w:rsidR="002E0859" w:rsidRDefault="00000000">
      <w:pPr>
        <w:pStyle w:val="a0"/>
        <w:spacing w:line="360" w:lineRule="auto"/>
        <w:ind w:firstLine="480"/>
        <w:rPr>
          <w:color w:val="000000" w:themeColor="text1"/>
          <w:sz w:val="24"/>
          <w:szCs w:val="24"/>
        </w:rPr>
      </w:pPr>
      <w:r>
        <w:rPr>
          <w:color w:val="000000" w:themeColor="text1"/>
          <w:sz w:val="24"/>
          <w:szCs w:val="24"/>
        </w:rPr>
        <w:t>5</w:t>
      </w:r>
      <w:r>
        <w:rPr>
          <w:rFonts w:hint="eastAsia"/>
          <w:color w:val="000000" w:themeColor="text1"/>
          <w:sz w:val="24"/>
          <w:szCs w:val="24"/>
        </w:rPr>
        <w:t>、</w:t>
      </w:r>
      <w:r>
        <w:rPr>
          <w:color w:val="000000" w:themeColor="text1"/>
          <w:sz w:val="24"/>
          <w:szCs w:val="24"/>
        </w:rPr>
        <w:t>易扩散性</w:t>
      </w:r>
    </w:p>
    <w:p w14:paraId="2A3BB408" w14:textId="77777777" w:rsidR="002E0859" w:rsidRDefault="00000000">
      <w:pPr>
        <w:pStyle w:val="a0"/>
        <w:spacing w:line="360" w:lineRule="auto"/>
        <w:ind w:firstLine="480"/>
        <w:rPr>
          <w:color w:val="000000" w:themeColor="text1"/>
          <w:sz w:val="24"/>
          <w:szCs w:val="24"/>
        </w:rPr>
      </w:pPr>
      <w:r>
        <w:rPr>
          <w:color w:val="000000" w:themeColor="text1"/>
          <w:sz w:val="24"/>
          <w:szCs w:val="24"/>
        </w:rPr>
        <w:t>天然气泄漏后容易扩散与空气形成爆炸性混合气体，并可顺风飘移，增加了爆炸的危险性；其中比空气重的组分，漂流在地面、沟渠等低洼处，长时间集聚不散，一旦遇火源可能燃烧和爆炸。</w:t>
      </w:r>
    </w:p>
    <w:p w14:paraId="4F764D4E" w14:textId="77777777" w:rsidR="002E0859" w:rsidRDefault="00000000">
      <w:pPr>
        <w:pStyle w:val="a0"/>
        <w:spacing w:line="360" w:lineRule="auto"/>
        <w:ind w:firstLine="480"/>
        <w:rPr>
          <w:color w:val="000000" w:themeColor="text1"/>
          <w:sz w:val="24"/>
          <w:szCs w:val="24"/>
        </w:rPr>
      </w:pPr>
      <w:r>
        <w:rPr>
          <w:color w:val="000000" w:themeColor="text1"/>
          <w:sz w:val="24"/>
          <w:szCs w:val="24"/>
        </w:rPr>
        <w:t>6</w:t>
      </w:r>
      <w:r>
        <w:rPr>
          <w:rFonts w:hint="eastAsia"/>
          <w:color w:val="000000" w:themeColor="text1"/>
          <w:sz w:val="24"/>
          <w:szCs w:val="24"/>
        </w:rPr>
        <w:t>、</w:t>
      </w:r>
      <w:r>
        <w:rPr>
          <w:color w:val="000000" w:themeColor="text1"/>
          <w:sz w:val="24"/>
          <w:szCs w:val="24"/>
        </w:rPr>
        <w:t>腐蚀性</w:t>
      </w:r>
    </w:p>
    <w:p w14:paraId="08807E3C" w14:textId="77777777" w:rsidR="002E0859" w:rsidRDefault="00000000">
      <w:pPr>
        <w:pStyle w:val="a0"/>
        <w:spacing w:line="360" w:lineRule="auto"/>
        <w:ind w:firstLine="480"/>
        <w:rPr>
          <w:color w:val="000000" w:themeColor="text1"/>
          <w:sz w:val="24"/>
          <w:szCs w:val="24"/>
        </w:rPr>
      </w:pPr>
      <w:r>
        <w:rPr>
          <w:color w:val="000000" w:themeColor="text1"/>
          <w:sz w:val="24"/>
          <w:szCs w:val="24"/>
        </w:rPr>
        <w:t>伴生气中所含的</w:t>
      </w:r>
      <w:r>
        <w:rPr>
          <w:color w:val="000000" w:themeColor="text1"/>
          <w:sz w:val="24"/>
          <w:szCs w:val="24"/>
        </w:rPr>
        <w:t>CO</w:t>
      </w:r>
      <w:r>
        <w:rPr>
          <w:color w:val="000000" w:themeColor="text1"/>
          <w:sz w:val="24"/>
          <w:szCs w:val="24"/>
          <w:vertAlign w:val="subscript"/>
        </w:rPr>
        <w:t>2</w:t>
      </w:r>
      <w:r>
        <w:rPr>
          <w:color w:val="000000" w:themeColor="text1"/>
          <w:sz w:val="24"/>
          <w:szCs w:val="24"/>
        </w:rPr>
        <w:t>和采出原油中的</w:t>
      </w:r>
      <w:r>
        <w:rPr>
          <w:color w:val="000000" w:themeColor="text1"/>
          <w:sz w:val="24"/>
          <w:szCs w:val="24"/>
        </w:rPr>
        <w:t>H</w:t>
      </w:r>
      <w:r>
        <w:rPr>
          <w:color w:val="000000" w:themeColor="text1"/>
          <w:sz w:val="24"/>
          <w:szCs w:val="24"/>
          <w:vertAlign w:val="subscript"/>
        </w:rPr>
        <w:t>2</w:t>
      </w:r>
      <w:r>
        <w:rPr>
          <w:color w:val="000000" w:themeColor="text1"/>
          <w:sz w:val="24"/>
          <w:szCs w:val="24"/>
        </w:rPr>
        <w:t>O</w:t>
      </w:r>
      <w:r>
        <w:rPr>
          <w:color w:val="000000" w:themeColor="text1"/>
          <w:sz w:val="24"/>
          <w:szCs w:val="24"/>
        </w:rPr>
        <w:t>形成酸性水溶液，对集输管道的内壁产生腐蚀，造成管道破坏，在氧气存在的情况下，腐蚀会加剧。腐蚀到一定程度后，可引起设备和管道穿孔，造成泄漏。</w:t>
      </w:r>
    </w:p>
    <w:p w14:paraId="44776F8E" w14:textId="77777777" w:rsidR="002E0859" w:rsidRDefault="00000000">
      <w:pPr>
        <w:pStyle w:val="a0"/>
        <w:spacing w:line="360" w:lineRule="auto"/>
        <w:ind w:firstLine="480"/>
        <w:rPr>
          <w:color w:val="000000" w:themeColor="text1"/>
          <w:sz w:val="24"/>
          <w:szCs w:val="24"/>
        </w:rPr>
      </w:pPr>
      <w:r>
        <w:rPr>
          <w:color w:val="000000" w:themeColor="text1"/>
          <w:sz w:val="24"/>
          <w:szCs w:val="24"/>
        </w:rPr>
        <w:t>天然气的主要危险有害特性见表</w:t>
      </w:r>
      <w:r>
        <w:rPr>
          <w:rFonts w:hint="eastAsia"/>
          <w:color w:val="000000" w:themeColor="text1"/>
          <w:sz w:val="24"/>
          <w:szCs w:val="24"/>
        </w:rPr>
        <w:t>3.1-3</w:t>
      </w:r>
      <w:r>
        <w:rPr>
          <w:color w:val="000000" w:themeColor="text1"/>
          <w:sz w:val="24"/>
          <w:szCs w:val="24"/>
        </w:rPr>
        <w:t>。</w:t>
      </w:r>
    </w:p>
    <w:p w14:paraId="34FF776C"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3 </w:t>
      </w:r>
      <w:r>
        <w:rPr>
          <w:rFonts w:ascii="Times New Roman" w:eastAsia="黑体" w:hAnsi="Times New Roman" w:cs="Times New Roman" w:hint="eastAsia"/>
          <w:color w:val="000000" w:themeColor="text1"/>
          <w:sz w:val="21"/>
          <w:szCs w:val="21"/>
          <w:lang w:eastAsia="zh-CN"/>
        </w:rPr>
        <w:t>天然气（甲烷）主要危险有害特性</w:t>
      </w:r>
      <w:r>
        <w:rPr>
          <w:rFonts w:ascii="Times New Roman" w:eastAsia="黑体" w:hAnsi="Times New Roman" w:cs="Times New Roman"/>
          <w:color w:val="000000" w:themeColor="text1"/>
          <w:sz w:val="21"/>
          <w:szCs w:val="21"/>
          <w:lang w:eastAsia="zh-CN"/>
        </w:rPr>
        <w:t>一览表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5"/>
        <w:gridCol w:w="1904"/>
        <w:gridCol w:w="1524"/>
        <w:gridCol w:w="1215"/>
        <w:gridCol w:w="761"/>
        <w:gridCol w:w="306"/>
        <w:gridCol w:w="608"/>
        <w:gridCol w:w="1217"/>
        <w:gridCol w:w="970"/>
      </w:tblGrid>
      <w:tr w:rsidR="002E0859" w14:paraId="7B3CFD11" w14:textId="77777777">
        <w:trPr>
          <w:cantSplit/>
          <w:trHeight w:val="397"/>
          <w:jc w:val="center"/>
        </w:trPr>
        <w:tc>
          <w:tcPr>
            <w:tcW w:w="352" w:type="pct"/>
            <w:vMerge w:val="restart"/>
            <w:vAlign w:val="center"/>
          </w:tcPr>
          <w:p w14:paraId="4795461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标识</w:t>
            </w:r>
          </w:p>
        </w:tc>
        <w:tc>
          <w:tcPr>
            <w:tcW w:w="1040" w:type="pct"/>
            <w:vAlign w:val="center"/>
          </w:tcPr>
          <w:p w14:paraId="44AEFB1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中文名</w:t>
            </w:r>
          </w:p>
        </w:tc>
        <w:tc>
          <w:tcPr>
            <w:tcW w:w="833" w:type="pct"/>
            <w:vAlign w:val="center"/>
          </w:tcPr>
          <w:p w14:paraId="07E331D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甲烷</w:t>
            </w:r>
          </w:p>
        </w:tc>
        <w:tc>
          <w:tcPr>
            <w:tcW w:w="1080" w:type="pct"/>
            <w:gridSpan w:val="2"/>
            <w:vAlign w:val="center"/>
          </w:tcPr>
          <w:p w14:paraId="31FBDD7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CAS</w:t>
            </w:r>
          </w:p>
        </w:tc>
        <w:tc>
          <w:tcPr>
            <w:tcW w:w="1693" w:type="pct"/>
            <w:gridSpan w:val="4"/>
            <w:vAlign w:val="center"/>
          </w:tcPr>
          <w:p w14:paraId="266B3E2D"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74-82-8</w:t>
            </w:r>
          </w:p>
        </w:tc>
      </w:tr>
      <w:tr w:rsidR="002E0859" w14:paraId="4DC0469B" w14:textId="77777777">
        <w:trPr>
          <w:cantSplit/>
          <w:trHeight w:val="397"/>
          <w:jc w:val="center"/>
        </w:trPr>
        <w:tc>
          <w:tcPr>
            <w:tcW w:w="352" w:type="pct"/>
            <w:vMerge/>
            <w:vAlign w:val="center"/>
          </w:tcPr>
          <w:p w14:paraId="6DC56245"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4857DCE3"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分子式</w:t>
            </w:r>
          </w:p>
        </w:tc>
        <w:tc>
          <w:tcPr>
            <w:tcW w:w="833" w:type="pct"/>
            <w:vAlign w:val="center"/>
          </w:tcPr>
          <w:p w14:paraId="6DC1D8FD"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CH</w:t>
            </w:r>
            <w:r>
              <w:rPr>
                <w:color w:val="000000" w:themeColor="text1"/>
                <w:sz w:val="21"/>
                <w:szCs w:val="21"/>
                <w:vertAlign w:val="subscript"/>
              </w:rPr>
              <w:t>4</w:t>
            </w:r>
          </w:p>
        </w:tc>
        <w:tc>
          <w:tcPr>
            <w:tcW w:w="1080" w:type="pct"/>
            <w:gridSpan w:val="2"/>
            <w:vAlign w:val="center"/>
          </w:tcPr>
          <w:p w14:paraId="40AE4AA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危险货物编号</w:t>
            </w:r>
          </w:p>
        </w:tc>
        <w:tc>
          <w:tcPr>
            <w:tcW w:w="1693" w:type="pct"/>
            <w:gridSpan w:val="4"/>
            <w:vAlign w:val="center"/>
          </w:tcPr>
          <w:p w14:paraId="79730CD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21007</w:t>
            </w:r>
          </w:p>
        </w:tc>
      </w:tr>
      <w:tr w:rsidR="002E0859" w14:paraId="3AEAD99A" w14:textId="77777777">
        <w:trPr>
          <w:cantSplit/>
          <w:trHeight w:val="397"/>
          <w:jc w:val="center"/>
        </w:trPr>
        <w:tc>
          <w:tcPr>
            <w:tcW w:w="352" w:type="pct"/>
            <w:vMerge/>
            <w:vAlign w:val="center"/>
          </w:tcPr>
          <w:p w14:paraId="646192A1"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0E432107"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分子量</w:t>
            </w:r>
          </w:p>
        </w:tc>
        <w:tc>
          <w:tcPr>
            <w:tcW w:w="833" w:type="pct"/>
            <w:vAlign w:val="center"/>
          </w:tcPr>
          <w:p w14:paraId="4056CAA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16.04</w:t>
            </w:r>
          </w:p>
        </w:tc>
        <w:tc>
          <w:tcPr>
            <w:tcW w:w="1080" w:type="pct"/>
            <w:gridSpan w:val="2"/>
            <w:vAlign w:val="center"/>
          </w:tcPr>
          <w:p w14:paraId="5CA962F3"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UN</w:t>
            </w:r>
            <w:r>
              <w:rPr>
                <w:color w:val="000000" w:themeColor="text1"/>
                <w:sz w:val="21"/>
                <w:szCs w:val="21"/>
              </w:rPr>
              <w:t>编号</w:t>
            </w:r>
          </w:p>
        </w:tc>
        <w:tc>
          <w:tcPr>
            <w:tcW w:w="1693" w:type="pct"/>
            <w:gridSpan w:val="4"/>
            <w:vAlign w:val="center"/>
          </w:tcPr>
          <w:p w14:paraId="6945EEE6"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1971</w:t>
            </w:r>
          </w:p>
        </w:tc>
      </w:tr>
      <w:tr w:rsidR="002E0859" w14:paraId="120729D3" w14:textId="77777777">
        <w:trPr>
          <w:cantSplit/>
          <w:trHeight w:val="397"/>
          <w:jc w:val="center"/>
        </w:trPr>
        <w:tc>
          <w:tcPr>
            <w:tcW w:w="352" w:type="pct"/>
            <w:vMerge w:val="restart"/>
            <w:vAlign w:val="center"/>
          </w:tcPr>
          <w:p w14:paraId="5EAABFE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理化性质</w:t>
            </w:r>
          </w:p>
        </w:tc>
        <w:tc>
          <w:tcPr>
            <w:tcW w:w="1040" w:type="pct"/>
            <w:vAlign w:val="center"/>
          </w:tcPr>
          <w:p w14:paraId="57922F9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外观性状</w:t>
            </w:r>
          </w:p>
        </w:tc>
        <w:tc>
          <w:tcPr>
            <w:tcW w:w="3607" w:type="pct"/>
            <w:gridSpan w:val="7"/>
            <w:vAlign w:val="center"/>
          </w:tcPr>
          <w:p w14:paraId="1E3929D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无色无臭气体。</w:t>
            </w:r>
          </w:p>
        </w:tc>
      </w:tr>
      <w:tr w:rsidR="002E0859" w14:paraId="413A83D1" w14:textId="77777777">
        <w:trPr>
          <w:cantSplit/>
          <w:trHeight w:val="397"/>
          <w:jc w:val="center"/>
        </w:trPr>
        <w:tc>
          <w:tcPr>
            <w:tcW w:w="352" w:type="pct"/>
            <w:vMerge/>
            <w:vAlign w:val="center"/>
          </w:tcPr>
          <w:p w14:paraId="37DC3BC6"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16EDF6A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主要用途</w:t>
            </w:r>
          </w:p>
        </w:tc>
        <w:tc>
          <w:tcPr>
            <w:tcW w:w="3607" w:type="pct"/>
            <w:gridSpan w:val="7"/>
            <w:vAlign w:val="center"/>
          </w:tcPr>
          <w:p w14:paraId="421BD80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用作燃料和用于炭黑、氢、乙炔、甲醛等的制造。</w:t>
            </w:r>
          </w:p>
        </w:tc>
      </w:tr>
      <w:tr w:rsidR="002E0859" w14:paraId="6B4FC358" w14:textId="77777777">
        <w:trPr>
          <w:cantSplit/>
          <w:trHeight w:val="397"/>
          <w:jc w:val="center"/>
        </w:trPr>
        <w:tc>
          <w:tcPr>
            <w:tcW w:w="352" w:type="pct"/>
            <w:vMerge/>
            <w:vAlign w:val="center"/>
          </w:tcPr>
          <w:p w14:paraId="7CDFC083"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2EE96EC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溶解性</w:t>
            </w:r>
          </w:p>
        </w:tc>
        <w:tc>
          <w:tcPr>
            <w:tcW w:w="3607" w:type="pct"/>
            <w:gridSpan w:val="7"/>
            <w:vAlign w:val="center"/>
          </w:tcPr>
          <w:p w14:paraId="4C4AC40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微溶于水，溶于乙醇、乙醚。</w:t>
            </w:r>
          </w:p>
        </w:tc>
      </w:tr>
      <w:tr w:rsidR="002E0859" w14:paraId="5CE26994" w14:textId="77777777">
        <w:trPr>
          <w:cantSplit/>
          <w:trHeight w:val="397"/>
          <w:jc w:val="center"/>
        </w:trPr>
        <w:tc>
          <w:tcPr>
            <w:tcW w:w="352" w:type="pct"/>
            <w:vMerge/>
            <w:vAlign w:val="center"/>
          </w:tcPr>
          <w:p w14:paraId="6E05EFA4"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74C75D56"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熔点（</w:t>
            </w:r>
            <w:r>
              <w:rPr>
                <w:color w:val="000000" w:themeColor="text1"/>
                <w:sz w:val="21"/>
                <w:szCs w:val="21"/>
              </w:rPr>
              <w:t>℃</w:t>
            </w:r>
            <w:r>
              <w:rPr>
                <w:color w:val="000000" w:themeColor="text1"/>
                <w:sz w:val="21"/>
                <w:szCs w:val="21"/>
              </w:rPr>
              <w:t>）</w:t>
            </w:r>
          </w:p>
        </w:tc>
        <w:tc>
          <w:tcPr>
            <w:tcW w:w="833" w:type="pct"/>
            <w:vAlign w:val="center"/>
          </w:tcPr>
          <w:p w14:paraId="1F54A8B3"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-182.5</w:t>
            </w:r>
          </w:p>
        </w:tc>
        <w:tc>
          <w:tcPr>
            <w:tcW w:w="1080" w:type="pct"/>
            <w:gridSpan w:val="2"/>
            <w:vAlign w:val="center"/>
          </w:tcPr>
          <w:p w14:paraId="0DD8A9A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燃烧热（</w:t>
            </w:r>
            <w:r>
              <w:rPr>
                <w:color w:val="000000" w:themeColor="text1"/>
                <w:sz w:val="21"/>
                <w:szCs w:val="21"/>
              </w:rPr>
              <w:t>kJ/mol</w:t>
            </w:r>
            <w:r>
              <w:rPr>
                <w:color w:val="000000" w:themeColor="text1"/>
                <w:sz w:val="21"/>
                <w:szCs w:val="21"/>
              </w:rPr>
              <w:t>）</w:t>
            </w:r>
          </w:p>
        </w:tc>
        <w:tc>
          <w:tcPr>
            <w:tcW w:w="1693" w:type="pct"/>
            <w:gridSpan w:val="4"/>
            <w:vAlign w:val="center"/>
          </w:tcPr>
          <w:p w14:paraId="4BF04DB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889.5</w:t>
            </w:r>
          </w:p>
        </w:tc>
      </w:tr>
      <w:tr w:rsidR="002E0859" w14:paraId="7BFB7E91" w14:textId="77777777">
        <w:trPr>
          <w:cantSplit/>
          <w:trHeight w:val="397"/>
          <w:jc w:val="center"/>
        </w:trPr>
        <w:tc>
          <w:tcPr>
            <w:tcW w:w="352" w:type="pct"/>
            <w:vMerge/>
            <w:vAlign w:val="center"/>
          </w:tcPr>
          <w:p w14:paraId="74F93585"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1787189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沸点（</w:t>
            </w:r>
            <w:r>
              <w:rPr>
                <w:color w:val="000000" w:themeColor="text1"/>
                <w:sz w:val="21"/>
                <w:szCs w:val="21"/>
              </w:rPr>
              <w:t>℃</w:t>
            </w:r>
            <w:r>
              <w:rPr>
                <w:color w:val="000000" w:themeColor="text1"/>
                <w:sz w:val="21"/>
                <w:szCs w:val="21"/>
              </w:rPr>
              <w:t>）</w:t>
            </w:r>
          </w:p>
        </w:tc>
        <w:tc>
          <w:tcPr>
            <w:tcW w:w="833" w:type="pct"/>
            <w:vAlign w:val="center"/>
          </w:tcPr>
          <w:p w14:paraId="34C73AA3"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-161.5</w:t>
            </w:r>
          </w:p>
        </w:tc>
        <w:tc>
          <w:tcPr>
            <w:tcW w:w="1080" w:type="pct"/>
            <w:gridSpan w:val="2"/>
            <w:vAlign w:val="center"/>
          </w:tcPr>
          <w:p w14:paraId="5A215AA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饱和蒸气压（</w:t>
            </w:r>
            <w:r>
              <w:rPr>
                <w:color w:val="000000" w:themeColor="text1"/>
                <w:sz w:val="21"/>
                <w:szCs w:val="21"/>
              </w:rPr>
              <w:t>kPa</w:t>
            </w:r>
            <w:r>
              <w:rPr>
                <w:color w:val="000000" w:themeColor="text1"/>
                <w:sz w:val="21"/>
                <w:szCs w:val="21"/>
              </w:rPr>
              <w:t>）</w:t>
            </w:r>
          </w:p>
        </w:tc>
        <w:tc>
          <w:tcPr>
            <w:tcW w:w="1693" w:type="pct"/>
            <w:gridSpan w:val="4"/>
            <w:vAlign w:val="center"/>
          </w:tcPr>
          <w:p w14:paraId="4C9E9D0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53.32/-168.8℃</w:t>
            </w:r>
          </w:p>
        </w:tc>
      </w:tr>
      <w:tr w:rsidR="002E0859" w14:paraId="7191978D" w14:textId="77777777">
        <w:trPr>
          <w:cantSplit/>
          <w:trHeight w:val="397"/>
          <w:jc w:val="center"/>
        </w:trPr>
        <w:tc>
          <w:tcPr>
            <w:tcW w:w="352" w:type="pct"/>
            <w:vMerge/>
            <w:vAlign w:val="center"/>
          </w:tcPr>
          <w:p w14:paraId="7A337D21"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24544FF4"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相对密度（水</w:t>
            </w:r>
            <w:r>
              <w:rPr>
                <w:color w:val="000000" w:themeColor="text1"/>
                <w:sz w:val="21"/>
                <w:szCs w:val="21"/>
              </w:rPr>
              <w:t>=1</w:t>
            </w:r>
            <w:r>
              <w:rPr>
                <w:color w:val="000000" w:themeColor="text1"/>
                <w:sz w:val="21"/>
                <w:szCs w:val="21"/>
              </w:rPr>
              <w:t>）</w:t>
            </w:r>
          </w:p>
        </w:tc>
        <w:tc>
          <w:tcPr>
            <w:tcW w:w="833" w:type="pct"/>
            <w:vAlign w:val="center"/>
          </w:tcPr>
          <w:p w14:paraId="518C0BF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0.42/-164℃</w:t>
            </w:r>
          </w:p>
        </w:tc>
        <w:tc>
          <w:tcPr>
            <w:tcW w:w="1080" w:type="pct"/>
            <w:gridSpan w:val="2"/>
            <w:vAlign w:val="center"/>
          </w:tcPr>
          <w:p w14:paraId="04B3279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临界温度（</w:t>
            </w:r>
            <w:r>
              <w:rPr>
                <w:color w:val="000000" w:themeColor="text1"/>
                <w:sz w:val="21"/>
                <w:szCs w:val="21"/>
              </w:rPr>
              <w:t>℃</w:t>
            </w:r>
            <w:r>
              <w:rPr>
                <w:color w:val="000000" w:themeColor="text1"/>
                <w:sz w:val="21"/>
                <w:szCs w:val="21"/>
              </w:rPr>
              <w:t>）</w:t>
            </w:r>
          </w:p>
        </w:tc>
        <w:tc>
          <w:tcPr>
            <w:tcW w:w="1693" w:type="pct"/>
            <w:gridSpan w:val="4"/>
            <w:vAlign w:val="center"/>
          </w:tcPr>
          <w:p w14:paraId="6803B70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-82.6</w:t>
            </w:r>
          </w:p>
        </w:tc>
      </w:tr>
      <w:tr w:rsidR="002E0859" w14:paraId="3736E220" w14:textId="77777777">
        <w:trPr>
          <w:cantSplit/>
          <w:trHeight w:val="612"/>
          <w:jc w:val="center"/>
        </w:trPr>
        <w:tc>
          <w:tcPr>
            <w:tcW w:w="352" w:type="pct"/>
            <w:vMerge/>
            <w:vAlign w:val="center"/>
          </w:tcPr>
          <w:p w14:paraId="797000C5"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58DA6BD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相对密度</w:t>
            </w:r>
          </w:p>
          <w:p w14:paraId="4E68150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（空气</w:t>
            </w:r>
            <w:r>
              <w:rPr>
                <w:color w:val="000000" w:themeColor="text1"/>
                <w:sz w:val="21"/>
                <w:szCs w:val="21"/>
              </w:rPr>
              <w:t>=1</w:t>
            </w:r>
            <w:r>
              <w:rPr>
                <w:color w:val="000000" w:themeColor="text1"/>
                <w:sz w:val="21"/>
                <w:szCs w:val="21"/>
              </w:rPr>
              <w:t>）</w:t>
            </w:r>
          </w:p>
        </w:tc>
        <w:tc>
          <w:tcPr>
            <w:tcW w:w="833" w:type="pct"/>
            <w:vAlign w:val="center"/>
          </w:tcPr>
          <w:p w14:paraId="09FCC74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0.55</w:t>
            </w:r>
          </w:p>
        </w:tc>
        <w:tc>
          <w:tcPr>
            <w:tcW w:w="1080" w:type="pct"/>
            <w:gridSpan w:val="2"/>
            <w:vAlign w:val="center"/>
          </w:tcPr>
          <w:p w14:paraId="4174C42E"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临界压力（</w:t>
            </w:r>
            <w:r>
              <w:rPr>
                <w:color w:val="000000" w:themeColor="text1"/>
                <w:sz w:val="21"/>
                <w:szCs w:val="21"/>
              </w:rPr>
              <w:t>MPa</w:t>
            </w:r>
            <w:r>
              <w:rPr>
                <w:color w:val="000000" w:themeColor="text1"/>
                <w:sz w:val="21"/>
                <w:szCs w:val="21"/>
              </w:rPr>
              <w:t>）</w:t>
            </w:r>
          </w:p>
        </w:tc>
        <w:tc>
          <w:tcPr>
            <w:tcW w:w="1693" w:type="pct"/>
            <w:gridSpan w:val="4"/>
            <w:vAlign w:val="center"/>
          </w:tcPr>
          <w:p w14:paraId="3797021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4.59</w:t>
            </w:r>
          </w:p>
        </w:tc>
      </w:tr>
      <w:tr w:rsidR="002E0859" w14:paraId="0B58690F" w14:textId="77777777">
        <w:trPr>
          <w:cantSplit/>
          <w:trHeight w:val="397"/>
          <w:jc w:val="center"/>
        </w:trPr>
        <w:tc>
          <w:tcPr>
            <w:tcW w:w="352" w:type="pct"/>
            <w:vMerge w:val="restart"/>
            <w:vAlign w:val="center"/>
          </w:tcPr>
          <w:p w14:paraId="4F8DB5F3"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燃烧爆炸危险性</w:t>
            </w:r>
          </w:p>
        </w:tc>
        <w:tc>
          <w:tcPr>
            <w:tcW w:w="1040" w:type="pct"/>
            <w:vAlign w:val="center"/>
          </w:tcPr>
          <w:p w14:paraId="0A89FA5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燃烧性：</w:t>
            </w:r>
          </w:p>
        </w:tc>
        <w:tc>
          <w:tcPr>
            <w:tcW w:w="833" w:type="pct"/>
            <w:vAlign w:val="center"/>
          </w:tcPr>
          <w:p w14:paraId="6A55343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易燃</w:t>
            </w:r>
          </w:p>
        </w:tc>
        <w:tc>
          <w:tcPr>
            <w:tcW w:w="1080" w:type="pct"/>
            <w:gridSpan w:val="2"/>
            <w:vMerge w:val="restart"/>
            <w:vAlign w:val="center"/>
          </w:tcPr>
          <w:p w14:paraId="61C0272C"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危险特性</w:t>
            </w:r>
          </w:p>
        </w:tc>
        <w:tc>
          <w:tcPr>
            <w:tcW w:w="1693" w:type="pct"/>
            <w:gridSpan w:val="4"/>
            <w:vMerge w:val="restart"/>
            <w:vAlign w:val="center"/>
          </w:tcPr>
          <w:p w14:paraId="23ABA7FD"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与空气混合能形成爆炸性混合物，遇明火、高热能引起燃烧爆炸。与氟、氯等能发生剧烈的化学反应。若遇高热，容器内压增大，有开裂和爆炸的危险。</w:t>
            </w:r>
          </w:p>
        </w:tc>
      </w:tr>
      <w:tr w:rsidR="002E0859" w14:paraId="210BAD21" w14:textId="77777777">
        <w:trPr>
          <w:cantSplit/>
          <w:trHeight w:val="397"/>
          <w:jc w:val="center"/>
        </w:trPr>
        <w:tc>
          <w:tcPr>
            <w:tcW w:w="352" w:type="pct"/>
            <w:vMerge/>
            <w:vAlign w:val="center"/>
          </w:tcPr>
          <w:p w14:paraId="59C31740"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2C5FD1E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建规火险分级</w:t>
            </w:r>
          </w:p>
        </w:tc>
        <w:tc>
          <w:tcPr>
            <w:tcW w:w="833" w:type="pct"/>
            <w:vAlign w:val="center"/>
          </w:tcPr>
          <w:p w14:paraId="730595F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甲</w:t>
            </w:r>
          </w:p>
        </w:tc>
        <w:tc>
          <w:tcPr>
            <w:tcW w:w="1080" w:type="pct"/>
            <w:gridSpan w:val="2"/>
            <w:vMerge/>
            <w:vAlign w:val="center"/>
          </w:tcPr>
          <w:p w14:paraId="38560968" w14:textId="77777777" w:rsidR="002E0859" w:rsidRDefault="002E0859">
            <w:pPr>
              <w:pStyle w:val="a0"/>
              <w:spacing w:line="240" w:lineRule="auto"/>
              <w:ind w:firstLineChars="0" w:firstLine="0"/>
              <w:rPr>
                <w:color w:val="000000" w:themeColor="text1"/>
                <w:sz w:val="21"/>
                <w:szCs w:val="21"/>
              </w:rPr>
            </w:pPr>
          </w:p>
        </w:tc>
        <w:tc>
          <w:tcPr>
            <w:tcW w:w="1693" w:type="pct"/>
            <w:gridSpan w:val="4"/>
            <w:vMerge/>
            <w:vAlign w:val="center"/>
          </w:tcPr>
          <w:p w14:paraId="57B39FF0" w14:textId="77777777" w:rsidR="002E0859" w:rsidRDefault="002E0859">
            <w:pPr>
              <w:pStyle w:val="a0"/>
              <w:spacing w:line="240" w:lineRule="auto"/>
              <w:ind w:firstLineChars="0" w:firstLine="0"/>
              <w:rPr>
                <w:color w:val="000000" w:themeColor="text1"/>
                <w:sz w:val="21"/>
                <w:szCs w:val="21"/>
              </w:rPr>
            </w:pPr>
          </w:p>
        </w:tc>
      </w:tr>
      <w:tr w:rsidR="002E0859" w14:paraId="5A04A0AC" w14:textId="77777777">
        <w:trPr>
          <w:cantSplit/>
          <w:trHeight w:val="397"/>
          <w:jc w:val="center"/>
        </w:trPr>
        <w:tc>
          <w:tcPr>
            <w:tcW w:w="352" w:type="pct"/>
            <w:vMerge/>
            <w:vAlign w:val="center"/>
          </w:tcPr>
          <w:p w14:paraId="57FD96E4"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369282BE"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闪点（</w:t>
            </w:r>
            <w:r>
              <w:rPr>
                <w:color w:val="000000" w:themeColor="text1"/>
                <w:sz w:val="21"/>
                <w:szCs w:val="21"/>
              </w:rPr>
              <w:t>℃</w:t>
            </w:r>
            <w:r>
              <w:rPr>
                <w:color w:val="000000" w:themeColor="text1"/>
                <w:sz w:val="21"/>
                <w:szCs w:val="21"/>
              </w:rPr>
              <w:t>）</w:t>
            </w:r>
          </w:p>
        </w:tc>
        <w:tc>
          <w:tcPr>
            <w:tcW w:w="833" w:type="pct"/>
            <w:vAlign w:val="center"/>
          </w:tcPr>
          <w:p w14:paraId="2DAE8BAA"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-188</w:t>
            </w:r>
          </w:p>
        </w:tc>
        <w:tc>
          <w:tcPr>
            <w:tcW w:w="1080" w:type="pct"/>
            <w:gridSpan w:val="2"/>
            <w:vMerge/>
            <w:vAlign w:val="center"/>
          </w:tcPr>
          <w:p w14:paraId="1C30CE07" w14:textId="77777777" w:rsidR="002E0859" w:rsidRDefault="002E0859">
            <w:pPr>
              <w:pStyle w:val="a0"/>
              <w:spacing w:line="240" w:lineRule="auto"/>
              <w:ind w:firstLineChars="0" w:firstLine="0"/>
              <w:rPr>
                <w:color w:val="000000" w:themeColor="text1"/>
                <w:sz w:val="21"/>
                <w:szCs w:val="21"/>
              </w:rPr>
            </w:pPr>
          </w:p>
        </w:tc>
        <w:tc>
          <w:tcPr>
            <w:tcW w:w="1693" w:type="pct"/>
            <w:gridSpan w:val="4"/>
            <w:vMerge/>
            <w:vAlign w:val="center"/>
          </w:tcPr>
          <w:p w14:paraId="175CB125" w14:textId="77777777" w:rsidR="002E0859" w:rsidRDefault="002E0859">
            <w:pPr>
              <w:pStyle w:val="a0"/>
              <w:spacing w:line="240" w:lineRule="auto"/>
              <w:ind w:firstLineChars="0" w:firstLine="0"/>
              <w:rPr>
                <w:color w:val="000000" w:themeColor="text1"/>
                <w:sz w:val="21"/>
                <w:szCs w:val="21"/>
              </w:rPr>
            </w:pPr>
          </w:p>
        </w:tc>
      </w:tr>
      <w:tr w:rsidR="002E0859" w14:paraId="51172D62" w14:textId="77777777">
        <w:trPr>
          <w:cantSplit/>
          <w:trHeight w:val="397"/>
          <w:jc w:val="center"/>
        </w:trPr>
        <w:tc>
          <w:tcPr>
            <w:tcW w:w="352" w:type="pct"/>
            <w:vMerge/>
            <w:vAlign w:val="center"/>
          </w:tcPr>
          <w:p w14:paraId="7E94C437"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2C387B1A"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引燃温度（</w:t>
            </w:r>
            <w:r>
              <w:rPr>
                <w:color w:val="000000" w:themeColor="text1"/>
                <w:sz w:val="21"/>
                <w:szCs w:val="21"/>
              </w:rPr>
              <w:t>℃</w:t>
            </w:r>
            <w:r>
              <w:rPr>
                <w:color w:val="000000" w:themeColor="text1"/>
                <w:sz w:val="21"/>
                <w:szCs w:val="21"/>
              </w:rPr>
              <w:t>）</w:t>
            </w:r>
          </w:p>
        </w:tc>
        <w:tc>
          <w:tcPr>
            <w:tcW w:w="833" w:type="pct"/>
            <w:vAlign w:val="center"/>
          </w:tcPr>
          <w:p w14:paraId="0DD7578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538</w:t>
            </w:r>
          </w:p>
        </w:tc>
        <w:tc>
          <w:tcPr>
            <w:tcW w:w="1080" w:type="pct"/>
            <w:gridSpan w:val="2"/>
            <w:vMerge/>
            <w:vAlign w:val="center"/>
          </w:tcPr>
          <w:p w14:paraId="1944DF82" w14:textId="77777777" w:rsidR="002E0859" w:rsidRDefault="002E0859">
            <w:pPr>
              <w:pStyle w:val="a0"/>
              <w:spacing w:line="240" w:lineRule="auto"/>
              <w:ind w:firstLineChars="0" w:firstLine="0"/>
              <w:rPr>
                <w:color w:val="000000" w:themeColor="text1"/>
                <w:sz w:val="21"/>
                <w:szCs w:val="21"/>
              </w:rPr>
            </w:pPr>
          </w:p>
        </w:tc>
        <w:tc>
          <w:tcPr>
            <w:tcW w:w="1693" w:type="pct"/>
            <w:gridSpan w:val="4"/>
            <w:vMerge/>
            <w:vAlign w:val="center"/>
          </w:tcPr>
          <w:p w14:paraId="023F4A6F" w14:textId="77777777" w:rsidR="002E0859" w:rsidRDefault="002E0859">
            <w:pPr>
              <w:pStyle w:val="a0"/>
              <w:spacing w:line="240" w:lineRule="auto"/>
              <w:ind w:firstLineChars="0" w:firstLine="0"/>
              <w:rPr>
                <w:color w:val="000000" w:themeColor="text1"/>
                <w:sz w:val="21"/>
                <w:szCs w:val="21"/>
              </w:rPr>
            </w:pPr>
          </w:p>
        </w:tc>
      </w:tr>
      <w:tr w:rsidR="002E0859" w14:paraId="54A24559" w14:textId="77777777">
        <w:trPr>
          <w:cantSplit/>
          <w:trHeight w:val="397"/>
          <w:jc w:val="center"/>
        </w:trPr>
        <w:tc>
          <w:tcPr>
            <w:tcW w:w="352" w:type="pct"/>
            <w:vMerge/>
            <w:vAlign w:val="center"/>
          </w:tcPr>
          <w:p w14:paraId="0134F721"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67F94E0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爆炸下限（</w:t>
            </w:r>
            <w:r>
              <w:rPr>
                <w:color w:val="000000" w:themeColor="text1"/>
                <w:sz w:val="21"/>
                <w:szCs w:val="21"/>
              </w:rPr>
              <w:t>V/%</w:t>
            </w:r>
            <w:r>
              <w:rPr>
                <w:color w:val="000000" w:themeColor="text1"/>
                <w:sz w:val="21"/>
                <w:szCs w:val="21"/>
              </w:rPr>
              <w:t>）</w:t>
            </w:r>
          </w:p>
        </w:tc>
        <w:tc>
          <w:tcPr>
            <w:tcW w:w="833" w:type="pct"/>
            <w:vAlign w:val="center"/>
          </w:tcPr>
          <w:p w14:paraId="623366B7"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5.3</w:t>
            </w:r>
          </w:p>
        </w:tc>
        <w:tc>
          <w:tcPr>
            <w:tcW w:w="1080" w:type="pct"/>
            <w:gridSpan w:val="2"/>
            <w:vMerge/>
            <w:vAlign w:val="center"/>
          </w:tcPr>
          <w:p w14:paraId="68F86FAB" w14:textId="77777777" w:rsidR="002E0859" w:rsidRDefault="002E0859">
            <w:pPr>
              <w:pStyle w:val="a0"/>
              <w:spacing w:line="240" w:lineRule="auto"/>
              <w:ind w:firstLineChars="0" w:firstLine="0"/>
              <w:rPr>
                <w:color w:val="000000" w:themeColor="text1"/>
                <w:sz w:val="21"/>
                <w:szCs w:val="21"/>
              </w:rPr>
            </w:pPr>
          </w:p>
        </w:tc>
        <w:tc>
          <w:tcPr>
            <w:tcW w:w="1693" w:type="pct"/>
            <w:gridSpan w:val="4"/>
            <w:vMerge/>
            <w:vAlign w:val="center"/>
          </w:tcPr>
          <w:p w14:paraId="1DE0D042" w14:textId="77777777" w:rsidR="002E0859" w:rsidRDefault="002E0859">
            <w:pPr>
              <w:pStyle w:val="a0"/>
              <w:spacing w:line="240" w:lineRule="auto"/>
              <w:ind w:firstLineChars="0" w:firstLine="0"/>
              <w:rPr>
                <w:color w:val="000000" w:themeColor="text1"/>
                <w:sz w:val="21"/>
                <w:szCs w:val="21"/>
              </w:rPr>
            </w:pPr>
          </w:p>
        </w:tc>
      </w:tr>
      <w:tr w:rsidR="002E0859" w14:paraId="7452A033" w14:textId="77777777">
        <w:trPr>
          <w:cantSplit/>
          <w:trHeight w:val="397"/>
          <w:jc w:val="center"/>
        </w:trPr>
        <w:tc>
          <w:tcPr>
            <w:tcW w:w="352" w:type="pct"/>
            <w:vMerge/>
            <w:vAlign w:val="center"/>
          </w:tcPr>
          <w:p w14:paraId="704B4B35"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13913554"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爆炸上限（</w:t>
            </w:r>
            <w:r>
              <w:rPr>
                <w:color w:val="000000" w:themeColor="text1"/>
                <w:sz w:val="21"/>
                <w:szCs w:val="21"/>
              </w:rPr>
              <w:t>V/%</w:t>
            </w:r>
            <w:r>
              <w:rPr>
                <w:color w:val="000000" w:themeColor="text1"/>
                <w:sz w:val="21"/>
                <w:szCs w:val="21"/>
              </w:rPr>
              <w:t>）</w:t>
            </w:r>
          </w:p>
        </w:tc>
        <w:tc>
          <w:tcPr>
            <w:tcW w:w="833" w:type="pct"/>
            <w:vAlign w:val="center"/>
          </w:tcPr>
          <w:p w14:paraId="44B7A1C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15</w:t>
            </w:r>
          </w:p>
        </w:tc>
        <w:tc>
          <w:tcPr>
            <w:tcW w:w="1080" w:type="pct"/>
            <w:gridSpan w:val="2"/>
            <w:vAlign w:val="center"/>
          </w:tcPr>
          <w:p w14:paraId="53C5DCA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燃烧（分解）产物</w:t>
            </w:r>
          </w:p>
        </w:tc>
        <w:tc>
          <w:tcPr>
            <w:tcW w:w="1693" w:type="pct"/>
            <w:gridSpan w:val="4"/>
            <w:vAlign w:val="center"/>
          </w:tcPr>
          <w:p w14:paraId="68ADF31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一氧化碳、二氧化碳。</w:t>
            </w:r>
          </w:p>
        </w:tc>
      </w:tr>
      <w:tr w:rsidR="002E0859" w14:paraId="1751AA99" w14:textId="77777777">
        <w:trPr>
          <w:cantSplit/>
          <w:trHeight w:val="397"/>
          <w:jc w:val="center"/>
        </w:trPr>
        <w:tc>
          <w:tcPr>
            <w:tcW w:w="352" w:type="pct"/>
            <w:vMerge/>
            <w:vAlign w:val="center"/>
          </w:tcPr>
          <w:p w14:paraId="20D8BA3E"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356D9DC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稳定性</w:t>
            </w:r>
          </w:p>
        </w:tc>
        <w:tc>
          <w:tcPr>
            <w:tcW w:w="833" w:type="pct"/>
            <w:vAlign w:val="center"/>
          </w:tcPr>
          <w:p w14:paraId="494B09E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稳定</w:t>
            </w:r>
          </w:p>
        </w:tc>
        <w:tc>
          <w:tcPr>
            <w:tcW w:w="664" w:type="pct"/>
            <w:vAlign w:val="center"/>
          </w:tcPr>
          <w:p w14:paraId="5EC6B8C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灭火方法</w:t>
            </w:r>
          </w:p>
        </w:tc>
        <w:tc>
          <w:tcPr>
            <w:tcW w:w="2109" w:type="pct"/>
            <w:gridSpan w:val="5"/>
            <w:vAlign w:val="center"/>
          </w:tcPr>
          <w:p w14:paraId="08AAB0EA"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切断气源。若不能立即切断气源，则不允许熄灭正在燃烧的气体。喷水冷却容器，可能的话将容器从火场移至空旷处。雾状水、泡沫、二氧化碳。</w:t>
            </w:r>
          </w:p>
        </w:tc>
      </w:tr>
      <w:tr w:rsidR="002E0859" w14:paraId="732E33D6" w14:textId="77777777">
        <w:trPr>
          <w:cantSplit/>
          <w:trHeight w:val="397"/>
          <w:jc w:val="center"/>
        </w:trPr>
        <w:tc>
          <w:tcPr>
            <w:tcW w:w="352" w:type="pct"/>
            <w:vMerge/>
            <w:vAlign w:val="center"/>
          </w:tcPr>
          <w:p w14:paraId="330A5BCA"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2F7034A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聚合危害</w:t>
            </w:r>
          </w:p>
        </w:tc>
        <w:tc>
          <w:tcPr>
            <w:tcW w:w="833" w:type="pct"/>
            <w:vAlign w:val="center"/>
          </w:tcPr>
          <w:p w14:paraId="7EA1474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不能出现</w:t>
            </w:r>
          </w:p>
        </w:tc>
        <w:tc>
          <w:tcPr>
            <w:tcW w:w="1247" w:type="pct"/>
            <w:gridSpan w:val="3"/>
            <w:vAlign w:val="center"/>
          </w:tcPr>
          <w:p w14:paraId="0C377F3A"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禁忌物</w:t>
            </w:r>
          </w:p>
        </w:tc>
        <w:tc>
          <w:tcPr>
            <w:tcW w:w="1526" w:type="pct"/>
            <w:gridSpan w:val="3"/>
            <w:vAlign w:val="center"/>
          </w:tcPr>
          <w:p w14:paraId="48189C3A"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强氧化剂、氟、氯。</w:t>
            </w:r>
          </w:p>
        </w:tc>
      </w:tr>
      <w:tr w:rsidR="002E0859" w14:paraId="54E869E0" w14:textId="77777777">
        <w:trPr>
          <w:cantSplit/>
          <w:trHeight w:val="397"/>
          <w:jc w:val="center"/>
        </w:trPr>
        <w:tc>
          <w:tcPr>
            <w:tcW w:w="352" w:type="pct"/>
            <w:vMerge w:val="restart"/>
            <w:vAlign w:val="center"/>
          </w:tcPr>
          <w:p w14:paraId="4E877F9E"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包装与储运</w:t>
            </w:r>
          </w:p>
        </w:tc>
        <w:tc>
          <w:tcPr>
            <w:tcW w:w="1040" w:type="pct"/>
            <w:vAlign w:val="center"/>
          </w:tcPr>
          <w:p w14:paraId="3F37B96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危险性类别</w:t>
            </w:r>
          </w:p>
        </w:tc>
        <w:tc>
          <w:tcPr>
            <w:tcW w:w="833" w:type="pct"/>
            <w:vAlign w:val="center"/>
          </w:tcPr>
          <w:p w14:paraId="57CF5DB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第</w:t>
            </w:r>
            <w:r>
              <w:rPr>
                <w:color w:val="000000" w:themeColor="text1"/>
                <w:sz w:val="21"/>
                <w:szCs w:val="21"/>
              </w:rPr>
              <w:t>2.1</w:t>
            </w:r>
            <w:r>
              <w:rPr>
                <w:color w:val="000000" w:themeColor="text1"/>
                <w:sz w:val="21"/>
                <w:szCs w:val="21"/>
              </w:rPr>
              <w:t>类</w:t>
            </w:r>
          </w:p>
          <w:p w14:paraId="494ACDA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易燃气体</w:t>
            </w:r>
          </w:p>
        </w:tc>
        <w:tc>
          <w:tcPr>
            <w:tcW w:w="1247" w:type="pct"/>
            <w:gridSpan w:val="3"/>
            <w:vAlign w:val="center"/>
          </w:tcPr>
          <w:p w14:paraId="55C17FC0"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危险货物包装标志</w:t>
            </w:r>
          </w:p>
        </w:tc>
        <w:tc>
          <w:tcPr>
            <w:tcW w:w="332" w:type="pct"/>
            <w:vAlign w:val="center"/>
          </w:tcPr>
          <w:p w14:paraId="7B4EC60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4</w:t>
            </w:r>
          </w:p>
        </w:tc>
        <w:tc>
          <w:tcPr>
            <w:tcW w:w="665" w:type="pct"/>
            <w:vAlign w:val="center"/>
          </w:tcPr>
          <w:p w14:paraId="1810269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包装类别</w:t>
            </w:r>
          </w:p>
        </w:tc>
        <w:tc>
          <w:tcPr>
            <w:tcW w:w="528" w:type="pct"/>
            <w:vAlign w:val="center"/>
          </w:tcPr>
          <w:p w14:paraId="3EA4D767"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无资料</w:t>
            </w:r>
          </w:p>
        </w:tc>
      </w:tr>
      <w:tr w:rsidR="002E0859" w14:paraId="3CC3CF55" w14:textId="77777777">
        <w:trPr>
          <w:cantSplit/>
          <w:trHeight w:val="397"/>
          <w:jc w:val="center"/>
        </w:trPr>
        <w:tc>
          <w:tcPr>
            <w:tcW w:w="352" w:type="pct"/>
            <w:vMerge/>
            <w:vAlign w:val="center"/>
          </w:tcPr>
          <w:p w14:paraId="73329FF2"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782F047E"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储运注意事项：</w:t>
            </w:r>
          </w:p>
        </w:tc>
        <w:tc>
          <w:tcPr>
            <w:tcW w:w="3607" w:type="pct"/>
            <w:gridSpan w:val="7"/>
            <w:vAlign w:val="center"/>
          </w:tcPr>
          <w:p w14:paraId="3ECC401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易燃压缩气体。储存于阴凉、通风仓间内。仓温不宜超过</w:t>
            </w:r>
            <w:r>
              <w:rPr>
                <w:color w:val="000000" w:themeColor="text1"/>
                <w:sz w:val="21"/>
                <w:szCs w:val="21"/>
              </w:rPr>
              <w:t>30℃</w:t>
            </w:r>
            <w:r>
              <w:rPr>
                <w:color w:val="000000" w:themeColor="text1"/>
                <w:sz w:val="21"/>
                <w:szCs w:val="21"/>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2E0859" w14:paraId="1B3FA378" w14:textId="77777777">
        <w:trPr>
          <w:cantSplit/>
          <w:trHeight w:val="397"/>
          <w:jc w:val="center"/>
        </w:trPr>
        <w:tc>
          <w:tcPr>
            <w:tcW w:w="352" w:type="pct"/>
            <w:vMerge w:val="restart"/>
            <w:vAlign w:val="center"/>
          </w:tcPr>
          <w:p w14:paraId="3EF5B7F6"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毒性与健康危害性</w:t>
            </w:r>
          </w:p>
        </w:tc>
        <w:tc>
          <w:tcPr>
            <w:tcW w:w="1040" w:type="pct"/>
            <w:vAlign w:val="center"/>
          </w:tcPr>
          <w:p w14:paraId="739F282A"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接触限值</w:t>
            </w:r>
          </w:p>
        </w:tc>
        <w:tc>
          <w:tcPr>
            <w:tcW w:w="3607" w:type="pct"/>
            <w:gridSpan w:val="7"/>
            <w:vAlign w:val="center"/>
          </w:tcPr>
          <w:p w14:paraId="3BD4BE42" w14:textId="77777777" w:rsidR="002E0859" w:rsidRDefault="00000000">
            <w:pPr>
              <w:pStyle w:val="a0"/>
              <w:spacing w:line="240" w:lineRule="auto"/>
              <w:ind w:firstLineChars="0" w:firstLine="0"/>
              <w:rPr>
                <w:color w:val="000000" w:themeColor="text1"/>
                <w:sz w:val="21"/>
                <w:szCs w:val="21"/>
                <w:vertAlign w:val="superscript"/>
              </w:rPr>
            </w:pPr>
            <w:r>
              <w:rPr>
                <w:color w:val="000000" w:themeColor="text1"/>
                <w:sz w:val="21"/>
                <w:szCs w:val="21"/>
              </w:rPr>
              <w:t>苏联</w:t>
            </w:r>
            <w:r>
              <w:rPr>
                <w:color w:val="000000" w:themeColor="text1"/>
                <w:sz w:val="21"/>
                <w:szCs w:val="21"/>
              </w:rPr>
              <w:t>MAC</w:t>
            </w:r>
            <w:r>
              <w:rPr>
                <w:color w:val="000000" w:themeColor="text1"/>
                <w:sz w:val="21"/>
                <w:szCs w:val="21"/>
              </w:rPr>
              <w:t>：</w:t>
            </w:r>
            <w:r>
              <w:rPr>
                <w:color w:val="000000" w:themeColor="text1"/>
                <w:sz w:val="21"/>
                <w:szCs w:val="21"/>
              </w:rPr>
              <w:t>300mg/m</w:t>
            </w:r>
            <w:r>
              <w:rPr>
                <w:color w:val="000000" w:themeColor="text1"/>
                <w:sz w:val="21"/>
                <w:szCs w:val="21"/>
                <w:vertAlign w:val="superscript"/>
              </w:rPr>
              <w:t>3</w:t>
            </w:r>
          </w:p>
          <w:p w14:paraId="6B93AC23"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美国</w:t>
            </w:r>
            <w:r>
              <w:rPr>
                <w:color w:val="000000" w:themeColor="text1"/>
                <w:sz w:val="21"/>
                <w:szCs w:val="21"/>
              </w:rPr>
              <w:t>TWA</w:t>
            </w:r>
            <w:r>
              <w:rPr>
                <w:color w:val="000000" w:themeColor="text1"/>
                <w:sz w:val="21"/>
                <w:szCs w:val="21"/>
              </w:rPr>
              <w:t>：</w:t>
            </w:r>
            <w:r>
              <w:rPr>
                <w:color w:val="000000" w:themeColor="text1"/>
                <w:sz w:val="21"/>
                <w:szCs w:val="21"/>
              </w:rPr>
              <w:t>ACGIH</w:t>
            </w:r>
            <w:r>
              <w:rPr>
                <w:color w:val="000000" w:themeColor="text1"/>
                <w:sz w:val="21"/>
                <w:szCs w:val="21"/>
              </w:rPr>
              <w:t>窒息性气体</w:t>
            </w:r>
          </w:p>
        </w:tc>
      </w:tr>
      <w:tr w:rsidR="002E0859" w14:paraId="4A678335" w14:textId="77777777">
        <w:trPr>
          <w:cantSplit/>
          <w:trHeight w:val="397"/>
          <w:jc w:val="center"/>
        </w:trPr>
        <w:tc>
          <w:tcPr>
            <w:tcW w:w="352" w:type="pct"/>
            <w:vMerge/>
            <w:vAlign w:val="center"/>
          </w:tcPr>
          <w:p w14:paraId="736EE3AB"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0021165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毒性</w:t>
            </w:r>
          </w:p>
        </w:tc>
        <w:tc>
          <w:tcPr>
            <w:tcW w:w="3607" w:type="pct"/>
            <w:gridSpan w:val="7"/>
            <w:vAlign w:val="center"/>
          </w:tcPr>
          <w:p w14:paraId="10633EA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无资料</w:t>
            </w:r>
          </w:p>
        </w:tc>
      </w:tr>
      <w:tr w:rsidR="002E0859" w14:paraId="18DA3EE1" w14:textId="77777777">
        <w:trPr>
          <w:cantSplit/>
          <w:trHeight w:val="397"/>
          <w:jc w:val="center"/>
        </w:trPr>
        <w:tc>
          <w:tcPr>
            <w:tcW w:w="352" w:type="pct"/>
            <w:vMerge/>
            <w:vAlign w:val="center"/>
          </w:tcPr>
          <w:p w14:paraId="002157BD"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1A2F9E4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健康危害</w:t>
            </w:r>
          </w:p>
        </w:tc>
        <w:tc>
          <w:tcPr>
            <w:tcW w:w="3607" w:type="pct"/>
            <w:gridSpan w:val="7"/>
            <w:vAlign w:val="center"/>
          </w:tcPr>
          <w:p w14:paraId="2FD8524E"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空气中甲烷浓度过高，能使人窒息。当空气中甲烷达</w:t>
            </w:r>
            <w:r>
              <w:rPr>
                <w:color w:val="000000" w:themeColor="text1"/>
                <w:sz w:val="21"/>
                <w:szCs w:val="21"/>
              </w:rPr>
              <w:t>25</w:t>
            </w:r>
            <w:r>
              <w:rPr>
                <w:color w:val="000000" w:themeColor="text1"/>
                <w:sz w:val="21"/>
                <w:szCs w:val="21"/>
              </w:rPr>
              <w:t>～</w:t>
            </w:r>
            <w:r>
              <w:rPr>
                <w:color w:val="000000" w:themeColor="text1"/>
                <w:sz w:val="21"/>
                <w:szCs w:val="21"/>
              </w:rPr>
              <w:t>30</w:t>
            </w:r>
            <w:r>
              <w:rPr>
                <w:color w:val="000000" w:themeColor="text1"/>
                <w:sz w:val="21"/>
                <w:szCs w:val="21"/>
              </w:rPr>
              <w:t>％时，可引起头痛、头晕、乏力、注意力不集中、呼吸和心跳加速、精细动作障碍等，甚至因缺氧而窒息、昏迷。</w:t>
            </w:r>
          </w:p>
        </w:tc>
      </w:tr>
      <w:tr w:rsidR="002E0859" w14:paraId="1B4D13DA" w14:textId="77777777">
        <w:trPr>
          <w:cantSplit/>
          <w:trHeight w:val="397"/>
          <w:jc w:val="center"/>
        </w:trPr>
        <w:tc>
          <w:tcPr>
            <w:tcW w:w="352" w:type="pct"/>
            <w:vMerge/>
            <w:vAlign w:val="center"/>
          </w:tcPr>
          <w:p w14:paraId="07AB00CE"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464A81C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侵入途径</w:t>
            </w:r>
          </w:p>
        </w:tc>
        <w:tc>
          <w:tcPr>
            <w:tcW w:w="3607" w:type="pct"/>
            <w:gridSpan w:val="7"/>
            <w:vAlign w:val="center"/>
          </w:tcPr>
          <w:p w14:paraId="3360955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吸入</w:t>
            </w:r>
          </w:p>
        </w:tc>
      </w:tr>
      <w:tr w:rsidR="002E0859" w14:paraId="22A82FAB" w14:textId="77777777">
        <w:trPr>
          <w:cantSplit/>
          <w:trHeight w:val="397"/>
          <w:jc w:val="center"/>
        </w:trPr>
        <w:tc>
          <w:tcPr>
            <w:tcW w:w="352" w:type="pct"/>
            <w:vMerge w:val="restart"/>
            <w:vAlign w:val="center"/>
          </w:tcPr>
          <w:p w14:paraId="76FF5A5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急救</w:t>
            </w:r>
          </w:p>
        </w:tc>
        <w:tc>
          <w:tcPr>
            <w:tcW w:w="1040" w:type="pct"/>
            <w:vAlign w:val="center"/>
          </w:tcPr>
          <w:p w14:paraId="3D3A0576"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皮肤接触</w:t>
            </w:r>
          </w:p>
        </w:tc>
        <w:tc>
          <w:tcPr>
            <w:tcW w:w="3607" w:type="pct"/>
            <w:gridSpan w:val="7"/>
            <w:vAlign w:val="center"/>
          </w:tcPr>
          <w:p w14:paraId="75F066E4"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若有冻伤，就医治疗。</w:t>
            </w:r>
          </w:p>
        </w:tc>
      </w:tr>
      <w:tr w:rsidR="002E0859" w14:paraId="49AC8D83" w14:textId="77777777">
        <w:trPr>
          <w:cantSplit/>
          <w:trHeight w:val="397"/>
          <w:jc w:val="center"/>
        </w:trPr>
        <w:tc>
          <w:tcPr>
            <w:tcW w:w="352" w:type="pct"/>
            <w:vMerge/>
            <w:vAlign w:val="center"/>
          </w:tcPr>
          <w:p w14:paraId="293969E5"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1AA04791"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眼睛接触</w:t>
            </w:r>
          </w:p>
        </w:tc>
        <w:tc>
          <w:tcPr>
            <w:tcW w:w="3607" w:type="pct"/>
            <w:gridSpan w:val="7"/>
            <w:vAlign w:val="center"/>
          </w:tcPr>
          <w:p w14:paraId="11E6433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无资料</w:t>
            </w:r>
          </w:p>
        </w:tc>
      </w:tr>
      <w:tr w:rsidR="002E0859" w14:paraId="26864751" w14:textId="77777777">
        <w:trPr>
          <w:cantSplit/>
          <w:trHeight w:val="397"/>
          <w:jc w:val="center"/>
        </w:trPr>
        <w:tc>
          <w:tcPr>
            <w:tcW w:w="352" w:type="pct"/>
            <w:vMerge/>
            <w:vAlign w:val="center"/>
          </w:tcPr>
          <w:p w14:paraId="7BBDA4D7"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3569CC8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吸入</w:t>
            </w:r>
          </w:p>
        </w:tc>
        <w:tc>
          <w:tcPr>
            <w:tcW w:w="3607" w:type="pct"/>
            <w:gridSpan w:val="7"/>
            <w:vAlign w:val="center"/>
          </w:tcPr>
          <w:p w14:paraId="36D8642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迅速脱离现场至空气新鲜处。注意保暖，呼吸困难时给输氧。呼吸及心跳停止者立即进行人工呼吸和心脏按压术。就医。</w:t>
            </w:r>
          </w:p>
        </w:tc>
      </w:tr>
      <w:tr w:rsidR="002E0859" w14:paraId="743DF23C" w14:textId="77777777">
        <w:trPr>
          <w:cantSplit/>
          <w:trHeight w:val="397"/>
          <w:jc w:val="center"/>
        </w:trPr>
        <w:tc>
          <w:tcPr>
            <w:tcW w:w="352" w:type="pct"/>
            <w:vMerge/>
            <w:vAlign w:val="center"/>
          </w:tcPr>
          <w:p w14:paraId="086AB589"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00C30AB6"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食入</w:t>
            </w:r>
          </w:p>
        </w:tc>
        <w:tc>
          <w:tcPr>
            <w:tcW w:w="3607" w:type="pct"/>
            <w:gridSpan w:val="7"/>
            <w:vAlign w:val="center"/>
          </w:tcPr>
          <w:p w14:paraId="557E959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无资料</w:t>
            </w:r>
          </w:p>
        </w:tc>
      </w:tr>
      <w:tr w:rsidR="002E0859" w14:paraId="0C597B04" w14:textId="77777777">
        <w:trPr>
          <w:cantSplit/>
          <w:trHeight w:val="397"/>
          <w:jc w:val="center"/>
        </w:trPr>
        <w:tc>
          <w:tcPr>
            <w:tcW w:w="352" w:type="pct"/>
            <w:vMerge w:val="restart"/>
            <w:vAlign w:val="center"/>
          </w:tcPr>
          <w:p w14:paraId="0782E36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防护措施</w:t>
            </w:r>
          </w:p>
        </w:tc>
        <w:tc>
          <w:tcPr>
            <w:tcW w:w="1040" w:type="pct"/>
            <w:vAlign w:val="center"/>
          </w:tcPr>
          <w:p w14:paraId="435BC1B6"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工程控制</w:t>
            </w:r>
          </w:p>
        </w:tc>
        <w:tc>
          <w:tcPr>
            <w:tcW w:w="3607" w:type="pct"/>
            <w:gridSpan w:val="7"/>
            <w:vAlign w:val="center"/>
          </w:tcPr>
          <w:p w14:paraId="32233949"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生产过程密闭，全面通风。</w:t>
            </w:r>
          </w:p>
        </w:tc>
      </w:tr>
      <w:tr w:rsidR="002E0859" w14:paraId="70B2818D" w14:textId="77777777">
        <w:trPr>
          <w:cantSplit/>
          <w:trHeight w:val="397"/>
          <w:jc w:val="center"/>
        </w:trPr>
        <w:tc>
          <w:tcPr>
            <w:tcW w:w="352" w:type="pct"/>
            <w:vMerge/>
            <w:vAlign w:val="center"/>
          </w:tcPr>
          <w:p w14:paraId="5FD10598"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70D07A7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呼吸系统防护</w:t>
            </w:r>
          </w:p>
        </w:tc>
        <w:tc>
          <w:tcPr>
            <w:tcW w:w="3607" w:type="pct"/>
            <w:gridSpan w:val="7"/>
            <w:vAlign w:val="center"/>
          </w:tcPr>
          <w:p w14:paraId="08F66CA4"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高浓度环境中，佩带供气式呼吸器。</w:t>
            </w:r>
          </w:p>
        </w:tc>
      </w:tr>
      <w:tr w:rsidR="002E0859" w14:paraId="0587EF88" w14:textId="77777777">
        <w:trPr>
          <w:cantSplit/>
          <w:trHeight w:val="397"/>
          <w:jc w:val="center"/>
        </w:trPr>
        <w:tc>
          <w:tcPr>
            <w:tcW w:w="352" w:type="pct"/>
            <w:vMerge/>
            <w:vAlign w:val="center"/>
          </w:tcPr>
          <w:p w14:paraId="0B210459"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0CB0833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眼睛防护</w:t>
            </w:r>
          </w:p>
        </w:tc>
        <w:tc>
          <w:tcPr>
            <w:tcW w:w="3607" w:type="pct"/>
            <w:gridSpan w:val="7"/>
            <w:vAlign w:val="center"/>
          </w:tcPr>
          <w:p w14:paraId="6AA6368F"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一般不需特殊防护，高浓度接触时可戴安全防护眼镜。</w:t>
            </w:r>
          </w:p>
        </w:tc>
      </w:tr>
      <w:tr w:rsidR="002E0859" w14:paraId="3DA88C95" w14:textId="77777777">
        <w:trPr>
          <w:cantSplit/>
          <w:trHeight w:val="397"/>
          <w:jc w:val="center"/>
        </w:trPr>
        <w:tc>
          <w:tcPr>
            <w:tcW w:w="352" w:type="pct"/>
            <w:vMerge/>
            <w:vAlign w:val="center"/>
          </w:tcPr>
          <w:p w14:paraId="4AFCF73E"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65A5E04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防护服</w:t>
            </w:r>
          </w:p>
        </w:tc>
        <w:tc>
          <w:tcPr>
            <w:tcW w:w="3607" w:type="pct"/>
            <w:gridSpan w:val="7"/>
            <w:vAlign w:val="center"/>
          </w:tcPr>
          <w:p w14:paraId="279942E8"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穿工作服。</w:t>
            </w:r>
          </w:p>
        </w:tc>
      </w:tr>
      <w:tr w:rsidR="002E0859" w14:paraId="4ACB6A55" w14:textId="77777777">
        <w:trPr>
          <w:cantSplit/>
          <w:trHeight w:val="397"/>
          <w:jc w:val="center"/>
        </w:trPr>
        <w:tc>
          <w:tcPr>
            <w:tcW w:w="352" w:type="pct"/>
            <w:vMerge/>
            <w:vAlign w:val="center"/>
          </w:tcPr>
          <w:p w14:paraId="062602DB"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7B482D0C"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手防护</w:t>
            </w:r>
          </w:p>
        </w:tc>
        <w:tc>
          <w:tcPr>
            <w:tcW w:w="3607" w:type="pct"/>
            <w:gridSpan w:val="7"/>
            <w:vAlign w:val="center"/>
          </w:tcPr>
          <w:p w14:paraId="1AF52CFB"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一般不需特殊防护，高浓度接触时可戴防护手套。</w:t>
            </w:r>
          </w:p>
        </w:tc>
      </w:tr>
      <w:tr w:rsidR="002E0859" w14:paraId="7E95E9A9" w14:textId="77777777">
        <w:trPr>
          <w:cantSplit/>
          <w:trHeight w:val="397"/>
          <w:jc w:val="center"/>
        </w:trPr>
        <w:tc>
          <w:tcPr>
            <w:tcW w:w="352" w:type="pct"/>
            <w:vMerge/>
            <w:vAlign w:val="center"/>
          </w:tcPr>
          <w:p w14:paraId="78BB0DDA" w14:textId="77777777" w:rsidR="002E0859" w:rsidRDefault="002E0859">
            <w:pPr>
              <w:pStyle w:val="a0"/>
              <w:spacing w:line="240" w:lineRule="auto"/>
              <w:ind w:firstLineChars="0" w:firstLine="0"/>
              <w:rPr>
                <w:color w:val="000000" w:themeColor="text1"/>
                <w:sz w:val="21"/>
                <w:szCs w:val="21"/>
              </w:rPr>
            </w:pPr>
          </w:p>
        </w:tc>
        <w:tc>
          <w:tcPr>
            <w:tcW w:w="1040" w:type="pct"/>
            <w:vAlign w:val="center"/>
          </w:tcPr>
          <w:p w14:paraId="3B0F4F4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其它</w:t>
            </w:r>
          </w:p>
        </w:tc>
        <w:tc>
          <w:tcPr>
            <w:tcW w:w="3607" w:type="pct"/>
            <w:gridSpan w:val="7"/>
            <w:vAlign w:val="center"/>
          </w:tcPr>
          <w:p w14:paraId="5560D345"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工作现场严禁吸烟。避免长期反复接触。进入罐或其它高浓度区作业，须有人监护。</w:t>
            </w:r>
          </w:p>
        </w:tc>
      </w:tr>
      <w:tr w:rsidR="002E0859" w14:paraId="41A8D30F" w14:textId="77777777">
        <w:trPr>
          <w:cantSplit/>
          <w:trHeight w:val="397"/>
          <w:jc w:val="center"/>
        </w:trPr>
        <w:tc>
          <w:tcPr>
            <w:tcW w:w="352" w:type="pct"/>
            <w:vAlign w:val="center"/>
          </w:tcPr>
          <w:p w14:paraId="5831F24D"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泄漏处置</w:t>
            </w:r>
          </w:p>
        </w:tc>
        <w:tc>
          <w:tcPr>
            <w:tcW w:w="4647" w:type="pct"/>
            <w:gridSpan w:val="8"/>
            <w:vAlign w:val="center"/>
          </w:tcPr>
          <w:p w14:paraId="0F296232" w14:textId="77777777" w:rsidR="002E0859" w:rsidRDefault="00000000">
            <w:pPr>
              <w:pStyle w:val="a0"/>
              <w:spacing w:line="240" w:lineRule="auto"/>
              <w:ind w:firstLineChars="0" w:firstLine="0"/>
              <w:rPr>
                <w:color w:val="000000" w:themeColor="text1"/>
                <w:sz w:val="21"/>
                <w:szCs w:val="21"/>
              </w:rPr>
            </w:pPr>
            <w:r>
              <w:rPr>
                <w:color w:val="000000" w:themeColor="text1"/>
                <w:sz w:val="21"/>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04B5B773"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二氧化碳（压缩的或液化的）</w:t>
      </w:r>
    </w:p>
    <w:p w14:paraId="4A4B77D1" w14:textId="77777777" w:rsidR="002E0859" w:rsidRDefault="00000000">
      <w:pPr>
        <w:pStyle w:val="a0"/>
        <w:spacing w:line="360" w:lineRule="auto"/>
        <w:ind w:firstLine="480"/>
        <w:rPr>
          <w:color w:val="000000" w:themeColor="text1"/>
          <w:sz w:val="24"/>
          <w:szCs w:val="24"/>
        </w:rPr>
      </w:pPr>
      <w:r>
        <w:rPr>
          <w:color w:val="000000" w:themeColor="text1"/>
          <w:sz w:val="24"/>
          <w:szCs w:val="24"/>
        </w:rPr>
        <w:t>CO</w:t>
      </w:r>
      <w:r>
        <w:rPr>
          <w:color w:val="000000" w:themeColor="text1"/>
          <w:sz w:val="24"/>
          <w:szCs w:val="24"/>
          <w:vertAlign w:val="subscript"/>
        </w:rPr>
        <w:t>2</w:t>
      </w:r>
      <w:r>
        <w:rPr>
          <w:color w:val="000000" w:themeColor="text1"/>
          <w:sz w:val="24"/>
          <w:szCs w:val="24"/>
        </w:rPr>
        <w:t>具有窒息性、腐蚀性、溶解性。主要表现在：</w:t>
      </w:r>
    </w:p>
    <w:p w14:paraId="4C4059E0"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窒息性</w:t>
      </w:r>
    </w:p>
    <w:p w14:paraId="5BC4D51E" w14:textId="77777777" w:rsidR="002E0859" w:rsidRDefault="00000000">
      <w:pPr>
        <w:pStyle w:val="a0"/>
        <w:spacing w:line="360" w:lineRule="auto"/>
        <w:ind w:firstLine="480"/>
        <w:rPr>
          <w:color w:val="000000" w:themeColor="text1"/>
          <w:sz w:val="24"/>
          <w:szCs w:val="24"/>
        </w:rPr>
      </w:pPr>
      <w:r>
        <w:rPr>
          <w:color w:val="000000" w:themeColor="text1"/>
          <w:sz w:val="24"/>
          <w:szCs w:val="24"/>
        </w:rPr>
        <w:t>毒性是一个定量表达，它将危险物质的浓度、暴露时间与生物在此环境下产生的不良反应建立联系。</w:t>
      </w:r>
      <w:r>
        <w:rPr>
          <w:color w:val="000000" w:themeColor="text1"/>
          <w:sz w:val="24"/>
          <w:szCs w:val="24"/>
        </w:rPr>
        <w:t>CO</w:t>
      </w:r>
      <w:r>
        <w:rPr>
          <w:color w:val="000000" w:themeColor="text1"/>
          <w:sz w:val="24"/>
          <w:szCs w:val="24"/>
          <w:vertAlign w:val="subscript"/>
        </w:rPr>
        <w:t>2</w:t>
      </w:r>
      <w:r>
        <w:rPr>
          <w:color w:val="000000" w:themeColor="text1"/>
          <w:sz w:val="24"/>
          <w:szCs w:val="24"/>
        </w:rPr>
        <w:t>的毒性是通过窒息性来体现的。研究表明，暴露在</w:t>
      </w:r>
      <w:r>
        <w:rPr>
          <w:color w:val="000000" w:themeColor="text1"/>
          <w:sz w:val="24"/>
          <w:szCs w:val="24"/>
        </w:rPr>
        <w:t>3%</w:t>
      </w:r>
      <w:r>
        <w:rPr>
          <w:color w:val="000000" w:themeColor="text1"/>
          <w:sz w:val="24"/>
          <w:szCs w:val="24"/>
        </w:rPr>
        <w:t>浓度的二氧化碳中几个小时后，人类的呼吸系统就会产生不适，会造成头晕或呼吸不畅；暴露在</w:t>
      </w:r>
      <w:r>
        <w:rPr>
          <w:color w:val="000000" w:themeColor="text1"/>
          <w:sz w:val="24"/>
          <w:szCs w:val="24"/>
        </w:rPr>
        <w:t>7%</w:t>
      </w:r>
      <w:r>
        <w:rPr>
          <w:color w:val="000000" w:themeColor="text1"/>
          <w:sz w:val="24"/>
          <w:szCs w:val="24"/>
        </w:rPr>
        <w:t>浓度的二氧化碳中几分钟，就会造成意识丧失；而暴露在</w:t>
      </w:r>
      <w:r>
        <w:rPr>
          <w:color w:val="000000" w:themeColor="text1"/>
          <w:sz w:val="24"/>
          <w:szCs w:val="24"/>
        </w:rPr>
        <w:t>15%</w:t>
      </w:r>
      <w:r>
        <w:rPr>
          <w:color w:val="000000" w:themeColor="text1"/>
          <w:sz w:val="24"/>
          <w:szCs w:val="24"/>
        </w:rPr>
        <w:t>浓度的</w:t>
      </w:r>
      <w:r>
        <w:rPr>
          <w:color w:val="000000" w:themeColor="text1"/>
          <w:sz w:val="24"/>
          <w:szCs w:val="24"/>
        </w:rPr>
        <w:t>CO</w:t>
      </w:r>
      <w:r>
        <w:rPr>
          <w:color w:val="000000" w:themeColor="text1"/>
          <w:sz w:val="24"/>
          <w:szCs w:val="24"/>
          <w:vertAlign w:val="subscript"/>
        </w:rPr>
        <w:t>2</w:t>
      </w:r>
      <w:r>
        <w:rPr>
          <w:color w:val="000000" w:themeColor="text1"/>
          <w:sz w:val="24"/>
          <w:szCs w:val="24"/>
        </w:rPr>
        <w:t>中会立刻威胁到生命。</w:t>
      </w:r>
      <w:r>
        <w:rPr>
          <w:color w:val="000000" w:themeColor="text1"/>
          <w:sz w:val="24"/>
          <w:szCs w:val="24"/>
        </w:rPr>
        <w:t>CO</w:t>
      </w:r>
      <w:r>
        <w:rPr>
          <w:color w:val="000000" w:themeColor="text1"/>
          <w:sz w:val="24"/>
          <w:szCs w:val="24"/>
          <w:vertAlign w:val="subscript"/>
        </w:rPr>
        <w:t>2</w:t>
      </w:r>
      <w:r>
        <w:rPr>
          <w:color w:val="000000" w:themeColor="text1"/>
          <w:sz w:val="24"/>
          <w:szCs w:val="24"/>
        </w:rPr>
        <w:t>对人体造成危害的方式主要是通过排挤空气中的氧气，降低氧气浓度；同时提高血液中</w:t>
      </w:r>
      <w:r>
        <w:rPr>
          <w:color w:val="000000" w:themeColor="text1"/>
          <w:sz w:val="24"/>
          <w:szCs w:val="24"/>
        </w:rPr>
        <w:t>CO</w:t>
      </w:r>
      <w:r>
        <w:rPr>
          <w:color w:val="000000" w:themeColor="text1"/>
          <w:sz w:val="24"/>
          <w:szCs w:val="24"/>
          <w:vertAlign w:val="subscript"/>
        </w:rPr>
        <w:t>2</w:t>
      </w:r>
      <w:r>
        <w:rPr>
          <w:color w:val="000000" w:themeColor="text1"/>
          <w:sz w:val="24"/>
          <w:szCs w:val="24"/>
        </w:rPr>
        <w:t>的浓度，造成呼气系统、神经系统方面的损伤。</w:t>
      </w:r>
    </w:p>
    <w:p w14:paraId="2930CB92"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腐蚀性</w:t>
      </w:r>
    </w:p>
    <w:p w14:paraId="4FFE7A8D" w14:textId="77777777" w:rsidR="002E0859" w:rsidRDefault="00000000">
      <w:pPr>
        <w:pStyle w:val="a0"/>
        <w:spacing w:line="360" w:lineRule="auto"/>
        <w:ind w:firstLine="480"/>
        <w:rPr>
          <w:color w:val="000000" w:themeColor="text1"/>
          <w:sz w:val="24"/>
          <w:szCs w:val="24"/>
        </w:rPr>
      </w:pPr>
      <w:r>
        <w:rPr>
          <w:color w:val="000000" w:themeColor="text1"/>
          <w:sz w:val="24"/>
          <w:szCs w:val="24"/>
        </w:rPr>
        <w:t>二氧化碳腐蚀是最常见腐蚀之一，其主要表现为在有游离水的环境下会溶于水（呈弱酸性），对金属管材形成全面或局部的电化学腐蚀（也称失重腐蚀）。</w:t>
      </w:r>
    </w:p>
    <w:p w14:paraId="70B05D3E"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溶解性</w:t>
      </w:r>
    </w:p>
    <w:p w14:paraId="38F6148D" w14:textId="77777777" w:rsidR="002E0859" w:rsidRDefault="00000000">
      <w:pPr>
        <w:pStyle w:val="a0"/>
        <w:spacing w:line="360" w:lineRule="auto"/>
        <w:ind w:firstLine="480"/>
        <w:rPr>
          <w:color w:val="000000" w:themeColor="text1"/>
          <w:sz w:val="24"/>
          <w:szCs w:val="24"/>
        </w:rPr>
      </w:pPr>
      <w:r>
        <w:rPr>
          <w:color w:val="000000" w:themeColor="text1"/>
          <w:sz w:val="24"/>
          <w:szCs w:val="24"/>
        </w:rPr>
        <w:t>液态</w:t>
      </w:r>
      <w:r>
        <w:rPr>
          <w:color w:val="000000" w:themeColor="text1"/>
          <w:sz w:val="24"/>
          <w:szCs w:val="24"/>
        </w:rPr>
        <w:t>CO</w:t>
      </w:r>
      <w:r>
        <w:rPr>
          <w:color w:val="000000" w:themeColor="text1"/>
          <w:sz w:val="24"/>
          <w:szCs w:val="24"/>
          <w:vertAlign w:val="subscript"/>
        </w:rPr>
        <w:t>2</w:t>
      </w:r>
      <w:r>
        <w:rPr>
          <w:color w:val="000000" w:themeColor="text1"/>
          <w:sz w:val="24"/>
          <w:szCs w:val="24"/>
        </w:rPr>
        <w:t>是一种高效溶剂，可溶解非极性、非离子型和低分子量化合物，可能导致阀门、设备等的非金属密封材料失效，潜在影响阀门、泵等关键处的润滑脂性能，同时潜在对内检测设备密封性产生不利影响。其溶解性能随压力、温度升高而增强。</w:t>
      </w:r>
    </w:p>
    <w:p w14:paraId="537F36F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二氧化碳</w:t>
      </w:r>
      <w:r>
        <w:rPr>
          <w:color w:val="000000" w:themeColor="text1"/>
          <w:sz w:val="24"/>
          <w:szCs w:val="24"/>
        </w:rPr>
        <w:t>的主要危险有害特性见表</w:t>
      </w:r>
      <w:r>
        <w:rPr>
          <w:rFonts w:hint="eastAsia"/>
          <w:color w:val="000000" w:themeColor="text1"/>
          <w:sz w:val="24"/>
          <w:szCs w:val="24"/>
        </w:rPr>
        <w:t>3.1-4</w:t>
      </w:r>
      <w:r>
        <w:rPr>
          <w:color w:val="000000" w:themeColor="text1"/>
          <w:sz w:val="24"/>
          <w:szCs w:val="24"/>
        </w:rPr>
        <w:t>。</w:t>
      </w:r>
    </w:p>
    <w:p w14:paraId="526CA873"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4 </w:t>
      </w:r>
      <w:r>
        <w:rPr>
          <w:rFonts w:ascii="Times New Roman" w:eastAsia="黑体" w:hAnsi="Times New Roman" w:cs="Times New Roman" w:hint="eastAsia"/>
          <w:color w:val="000000" w:themeColor="text1"/>
          <w:sz w:val="21"/>
          <w:szCs w:val="21"/>
          <w:lang w:eastAsia="zh-CN"/>
        </w:rPr>
        <w:t>二氧化碳主要危险有害特性</w:t>
      </w:r>
      <w:r>
        <w:rPr>
          <w:rFonts w:ascii="Times New Roman" w:eastAsia="黑体" w:hAnsi="Times New Roman" w:cs="Times New Roman"/>
          <w:color w:val="000000" w:themeColor="text1"/>
          <w:sz w:val="21"/>
          <w:szCs w:val="21"/>
          <w:lang w:eastAsia="zh-CN"/>
        </w:rPr>
        <w:t>一览表</w:t>
      </w:r>
    </w:p>
    <w:tbl>
      <w:tblPr>
        <w:tblW w:w="499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9"/>
        <w:gridCol w:w="1899"/>
        <w:gridCol w:w="1524"/>
        <w:gridCol w:w="1214"/>
        <w:gridCol w:w="761"/>
        <w:gridCol w:w="154"/>
        <w:gridCol w:w="913"/>
        <w:gridCol w:w="1214"/>
        <w:gridCol w:w="827"/>
      </w:tblGrid>
      <w:tr w:rsidR="002E0859" w14:paraId="65395619" w14:textId="77777777">
        <w:trPr>
          <w:trHeight w:val="397"/>
          <w:jc w:val="center"/>
        </w:trPr>
        <w:tc>
          <w:tcPr>
            <w:tcW w:w="349" w:type="pct"/>
            <w:vMerge w:val="restart"/>
            <w:vAlign w:val="center"/>
          </w:tcPr>
          <w:p w14:paraId="2D87343F" w14:textId="77777777" w:rsidR="002E0859" w:rsidRDefault="00000000">
            <w:pPr>
              <w:spacing w:line="240" w:lineRule="auto"/>
              <w:ind w:firstLineChars="0" w:firstLine="0"/>
              <w:jc w:val="center"/>
              <w:rPr>
                <w:color w:val="000000" w:themeColor="text1"/>
                <w:sz w:val="21"/>
              </w:rPr>
            </w:pPr>
            <w:r>
              <w:rPr>
                <w:color w:val="000000" w:themeColor="text1"/>
                <w:sz w:val="21"/>
              </w:rPr>
              <w:t>标识</w:t>
            </w:r>
          </w:p>
        </w:tc>
        <w:tc>
          <w:tcPr>
            <w:tcW w:w="1038" w:type="pct"/>
            <w:vAlign w:val="center"/>
          </w:tcPr>
          <w:p w14:paraId="36EC2104" w14:textId="77777777" w:rsidR="002E0859" w:rsidRDefault="00000000">
            <w:pPr>
              <w:spacing w:line="240" w:lineRule="auto"/>
              <w:ind w:firstLineChars="0" w:firstLine="0"/>
              <w:jc w:val="center"/>
              <w:rPr>
                <w:color w:val="000000" w:themeColor="text1"/>
                <w:sz w:val="21"/>
              </w:rPr>
            </w:pPr>
            <w:r>
              <w:rPr>
                <w:color w:val="000000" w:themeColor="text1"/>
                <w:sz w:val="21"/>
              </w:rPr>
              <w:t>中文名</w:t>
            </w:r>
          </w:p>
        </w:tc>
        <w:tc>
          <w:tcPr>
            <w:tcW w:w="833" w:type="pct"/>
            <w:vAlign w:val="center"/>
          </w:tcPr>
          <w:p w14:paraId="1BBB5EE9"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二氧化碳</w:t>
            </w:r>
          </w:p>
        </w:tc>
        <w:tc>
          <w:tcPr>
            <w:tcW w:w="1080" w:type="pct"/>
            <w:gridSpan w:val="2"/>
            <w:vAlign w:val="center"/>
          </w:tcPr>
          <w:p w14:paraId="7E34DCEB"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俗名</w:t>
            </w:r>
          </w:p>
        </w:tc>
        <w:tc>
          <w:tcPr>
            <w:tcW w:w="1698" w:type="pct"/>
            <w:gridSpan w:val="4"/>
            <w:vAlign w:val="center"/>
          </w:tcPr>
          <w:p w14:paraId="4D0C2020"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碳酸酐</w:t>
            </w:r>
          </w:p>
        </w:tc>
      </w:tr>
      <w:tr w:rsidR="002E0859" w14:paraId="3DAD2328" w14:textId="77777777">
        <w:trPr>
          <w:trHeight w:val="397"/>
          <w:jc w:val="center"/>
        </w:trPr>
        <w:tc>
          <w:tcPr>
            <w:tcW w:w="349" w:type="pct"/>
            <w:vMerge/>
            <w:vAlign w:val="center"/>
          </w:tcPr>
          <w:p w14:paraId="63A8DB31" w14:textId="77777777" w:rsidR="002E0859" w:rsidRDefault="002E0859">
            <w:pPr>
              <w:spacing w:line="240" w:lineRule="auto"/>
              <w:ind w:firstLineChars="0" w:firstLine="0"/>
              <w:jc w:val="center"/>
              <w:rPr>
                <w:color w:val="000000" w:themeColor="text1"/>
                <w:sz w:val="21"/>
              </w:rPr>
            </w:pPr>
          </w:p>
        </w:tc>
        <w:tc>
          <w:tcPr>
            <w:tcW w:w="1038" w:type="pct"/>
            <w:vAlign w:val="center"/>
          </w:tcPr>
          <w:p w14:paraId="5FEDC608" w14:textId="77777777" w:rsidR="002E0859" w:rsidRDefault="00000000">
            <w:pPr>
              <w:spacing w:line="240" w:lineRule="auto"/>
              <w:ind w:firstLineChars="0" w:firstLine="0"/>
              <w:jc w:val="center"/>
              <w:rPr>
                <w:color w:val="000000" w:themeColor="text1"/>
                <w:sz w:val="21"/>
              </w:rPr>
            </w:pPr>
            <w:r>
              <w:rPr>
                <w:color w:val="000000" w:themeColor="text1"/>
                <w:sz w:val="21"/>
              </w:rPr>
              <w:t>分子式</w:t>
            </w:r>
          </w:p>
        </w:tc>
        <w:tc>
          <w:tcPr>
            <w:tcW w:w="833" w:type="pct"/>
            <w:vAlign w:val="center"/>
          </w:tcPr>
          <w:p w14:paraId="3FD31BF0"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CO</w:t>
            </w:r>
            <w:r>
              <w:rPr>
                <w:rFonts w:hint="eastAsia"/>
                <w:color w:val="000000" w:themeColor="text1"/>
                <w:sz w:val="21"/>
                <w:vertAlign w:val="subscript"/>
              </w:rPr>
              <w:t>2</w:t>
            </w:r>
          </w:p>
        </w:tc>
        <w:tc>
          <w:tcPr>
            <w:tcW w:w="1080" w:type="pct"/>
            <w:gridSpan w:val="2"/>
            <w:vAlign w:val="center"/>
          </w:tcPr>
          <w:p w14:paraId="20E3A9C5" w14:textId="77777777" w:rsidR="002E0859" w:rsidRDefault="00000000">
            <w:pPr>
              <w:spacing w:line="240" w:lineRule="auto"/>
              <w:ind w:firstLineChars="0" w:firstLine="0"/>
              <w:jc w:val="center"/>
              <w:rPr>
                <w:color w:val="000000" w:themeColor="text1"/>
                <w:sz w:val="21"/>
              </w:rPr>
            </w:pPr>
            <w:r>
              <w:rPr>
                <w:color w:val="000000" w:themeColor="text1"/>
                <w:sz w:val="21"/>
              </w:rPr>
              <w:t>CAS</w:t>
            </w:r>
          </w:p>
        </w:tc>
        <w:tc>
          <w:tcPr>
            <w:tcW w:w="1698" w:type="pct"/>
            <w:gridSpan w:val="4"/>
            <w:vAlign w:val="center"/>
          </w:tcPr>
          <w:p w14:paraId="58F4AD67" w14:textId="77777777" w:rsidR="002E0859" w:rsidRDefault="00000000">
            <w:pPr>
              <w:spacing w:line="240" w:lineRule="auto"/>
              <w:ind w:firstLineChars="0" w:firstLine="0"/>
              <w:jc w:val="center"/>
              <w:rPr>
                <w:color w:val="000000" w:themeColor="text1"/>
                <w:sz w:val="21"/>
              </w:rPr>
            </w:pPr>
            <w:r>
              <w:rPr>
                <w:color w:val="000000" w:themeColor="text1"/>
                <w:sz w:val="21"/>
              </w:rPr>
              <w:t>124-38-9</w:t>
            </w:r>
          </w:p>
        </w:tc>
      </w:tr>
      <w:tr w:rsidR="002E0859" w14:paraId="06D4028C" w14:textId="77777777">
        <w:trPr>
          <w:trHeight w:val="397"/>
          <w:jc w:val="center"/>
        </w:trPr>
        <w:tc>
          <w:tcPr>
            <w:tcW w:w="349" w:type="pct"/>
            <w:vMerge/>
            <w:vAlign w:val="center"/>
          </w:tcPr>
          <w:p w14:paraId="362A8E19" w14:textId="77777777" w:rsidR="002E0859" w:rsidRDefault="002E0859">
            <w:pPr>
              <w:spacing w:line="240" w:lineRule="auto"/>
              <w:ind w:firstLineChars="0" w:firstLine="0"/>
              <w:jc w:val="center"/>
              <w:rPr>
                <w:color w:val="000000" w:themeColor="text1"/>
                <w:sz w:val="21"/>
              </w:rPr>
            </w:pPr>
          </w:p>
        </w:tc>
        <w:tc>
          <w:tcPr>
            <w:tcW w:w="1038" w:type="pct"/>
            <w:vAlign w:val="center"/>
          </w:tcPr>
          <w:p w14:paraId="199A2363" w14:textId="77777777" w:rsidR="002E0859" w:rsidRDefault="00000000">
            <w:pPr>
              <w:spacing w:line="240" w:lineRule="auto"/>
              <w:ind w:firstLineChars="0" w:firstLine="0"/>
              <w:jc w:val="center"/>
              <w:rPr>
                <w:color w:val="000000" w:themeColor="text1"/>
                <w:sz w:val="21"/>
              </w:rPr>
            </w:pPr>
            <w:r>
              <w:rPr>
                <w:color w:val="000000" w:themeColor="text1"/>
                <w:sz w:val="21"/>
              </w:rPr>
              <w:t>分子量</w:t>
            </w:r>
          </w:p>
        </w:tc>
        <w:tc>
          <w:tcPr>
            <w:tcW w:w="833" w:type="pct"/>
            <w:vAlign w:val="center"/>
          </w:tcPr>
          <w:p w14:paraId="494C3952"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44.01</w:t>
            </w:r>
          </w:p>
        </w:tc>
        <w:tc>
          <w:tcPr>
            <w:tcW w:w="1080" w:type="pct"/>
            <w:gridSpan w:val="2"/>
            <w:vAlign w:val="center"/>
          </w:tcPr>
          <w:p w14:paraId="0C3FED03" w14:textId="77777777" w:rsidR="002E0859" w:rsidRDefault="00000000">
            <w:pPr>
              <w:spacing w:line="240" w:lineRule="auto"/>
              <w:ind w:firstLineChars="0" w:firstLine="0"/>
              <w:jc w:val="center"/>
              <w:rPr>
                <w:color w:val="000000" w:themeColor="text1"/>
                <w:sz w:val="21"/>
              </w:rPr>
            </w:pPr>
            <w:r>
              <w:rPr>
                <w:color w:val="000000" w:themeColor="text1"/>
                <w:sz w:val="21"/>
              </w:rPr>
              <w:t>UN</w:t>
            </w:r>
            <w:r>
              <w:rPr>
                <w:color w:val="000000" w:themeColor="text1"/>
                <w:sz w:val="21"/>
              </w:rPr>
              <w:t>编号</w:t>
            </w:r>
          </w:p>
        </w:tc>
        <w:tc>
          <w:tcPr>
            <w:tcW w:w="1698" w:type="pct"/>
            <w:gridSpan w:val="4"/>
            <w:vAlign w:val="center"/>
          </w:tcPr>
          <w:p w14:paraId="0B7446FD" w14:textId="77777777" w:rsidR="002E0859" w:rsidRDefault="00000000">
            <w:pPr>
              <w:spacing w:line="240" w:lineRule="auto"/>
              <w:ind w:firstLineChars="0" w:firstLine="0"/>
              <w:jc w:val="center"/>
              <w:rPr>
                <w:color w:val="000000" w:themeColor="text1"/>
                <w:sz w:val="21"/>
              </w:rPr>
            </w:pPr>
            <w:r>
              <w:rPr>
                <w:color w:val="000000" w:themeColor="text1"/>
                <w:sz w:val="21"/>
              </w:rPr>
              <w:t>10</w:t>
            </w:r>
            <w:r>
              <w:rPr>
                <w:rFonts w:hint="eastAsia"/>
                <w:color w:val="000000" w:themeColor="text1"/>
                <w:sz w:val="21"/>
              </w:rPr>
              <w:t>1</w:t>
            </w:r>
            <w:r>
              <w:rPr>
                <w:color w:val="000000" w:themeColor="text1"/>
                <w:sz w:val="21"/>
              </w:rPr>
              <w:t>3</w:t>
            </w:r>
          </w:p>
        </w:tc>
      </w:tr>
      <w:tr w:rsidR="002E0859" w14:paraId="5BC329FB" w14:textId="77777777">
        <w:trPr>
          <w:trHeight w:val="397"/>
          <w:jc w:val="center"/>
        </w:trPr>
        <w:tc>
          <w:tcPr>
            <w:tcW w:w="349" w:type="pct"/>
            <w:vMerge w:val="restart"/>
            <w:vAlign w:val="center"/>
          </w:tcPr>
          <w:p w14:paraId="0E7275E7" w14:textId="77777777" w:rsidR="002E0859" w:rsidRDefault="00000000">
            <w:pPr>
              <w:spacing w:line="240" w:lineRule="auto"/>
              <w:ind w:firstLineChars="0" w:firstLine="0"/>
              <w:jc w:val="center"/>
              <w:rPr>
                <w:color w:val="000000" w:themeColor="text1"/>
                <w:sz w:val="21"/>
              </w:rPr>
            </w:pPr>
            <w:r>
              <w:rPr>
                <w:color w:val="000000" w:themeColor="text1"/>
                <w:sz w:val="21"/>
              </w:rPr>
              <w:t>理化性质</w:t>
            </w:r>
          </w:p>
        </w:tc>
        <w:tc>
          <w:tcPr>
            <w:tcW w:w="1038" w:type="pct"/>
            <w:vAlign w:val="center"/>
          </w:tcPr>
          <w:p w14:paraId="5821C581" w14:textId="77777777" w:rsidR="002E0859" w:rsidRDefault="00000000">
            <w:pPr>
              <w:spacing w:line="240" w:lineRule="auto"/>
              <w:ind w:firstLineChars="0" w:firstLine="0"/>
              <w:jc w:val="center"/>
              <w:rPr>
                <w:color w:val="000000" w:themeColor="text1"/>
                <w:sz w:val="21"/>
              </w:rPr>
            </w:pPr>
            <w:r>
              <w:rPr>
                <w:color w:val="000000" w:themeColor="text1"/>
                <w:sz w:val="21"/>
              </w:rPr>
              <w:t>外观性状</w:t>
            </w:r>
          </w:p>
        </w:tc>
        <w:tc>
          <w:tcPr>
            <w:tcW w:w="3612" w:type="pct"/>
            <w:gridSpan w:val="7"/>
            <w:vAlign w:val="center"/>
          </w:tcPr>
          <w:p w14:paraId="22A2D49C" w14:textId="77777777" w:rsidR="002E0859" w:rsidRDefault="00000000">
            <w:pPr>
              <w:spacing w:line="240" w:lineRule="auto"/>
              <w:ind w:firstLineChars="0" w:firstLine="0"/>
              <w:rPr>
                <w:color w:val="000000" w:themeColor="text1"/>
                <w:sz w:val="21"/>
              </w:rPr>
            </w:pPr>
            <w:r>
              <w:rPr>
                <w:color w:val="000000" w:themeColor="text1"/>
                <w:sz w:val="21"/>
              </w:rPr>
              <w:t>常温常压下是一种无色无味或无色无嗅而略有酸味的气体。</w:t>
            </w:r>
          </w:p>
        </w:tc>
      </w:tr>
      <w:tr w:rsidR="002E0859" w14:paraId="5A9A898A" w14:textId="77777777">
        <w:trPr>
          <w:trHeight w:val="397"/>
          <w:jc w:val="center"/>
        </w:trPr>
        <w:tc>
          <w:tcPr>
            <w:tcW w:w="349" w:type="pct"/>
            <w:vMerge/>
            <w:vAlign w:val="center"/>
          </w:tcPr>
          <w:p w14:paraId="692E5CB2" w14:textId="77777777" w:rsidR="002E0859" w:rsidRDefault="002E0859">
            <w:pPr>
              <w:spacing w:line="240" w:lineRule="auto"/>
              <w:ind w:firstLineChars="0" w:firstLine="0"/>
              <w:jc w:val="center"/>
              <w:rPr>
                <w:color w:val="000000" w:themeColor="text1"/>
                <w:sz w:val="21"/>
              </w:rPr>
            </w:pPr>
          </w:p>
        </w:tc>
        <w:tc>
          <w:tcPr>
            <w:tcW w:w="1038" w:type="pct"/>
            <w:vAlign w:val="center"/>
          </w:tcPr>
          <w:p w14:paraId="32A702B0" w14:textId="77777777" w:rsidR="002E0859" w:rsidRDefault="00000000">
            <w:pPr>
              <w:spacing w:line="240" w:lineRule="auto"/>
              <w:ind w:firstLineChars="0" w:firstLine="0"/>
              <w:jc w:val="center"/>
              <w:rPr>
                <w:color w:val="000000" w:themeColor="text1"/>
                <w:sz w:val="21"/>
              </w:rPr>
            </w:pPr>
            <w:r>
              <w:rPr>
                <w:color w:val="000000" w:themeColor="text1"/>
                <w:sz w:val="21"/>
              </w:rPr>
              <w:t>主要用途</w:t>
            </w:r>
          </w:p>
        </w:tc>
        <w:tc>
          <w:tcPr>
            <w:tcW w:w="3612" w:type="pct"/>
            <w:gridSpan w:val="7"/>
            <w:vAlign w:val="center"/>
          </w:tcPr>
          <w:p w14:paraId="4C1EF49A" w14:textId="77777777" w:rsidR="002E0859" w:rsidRDefault="00000000">
            <w:pPr>
              <w:spacing w:line="240" w:lineRule="auto"/>
              <w:ind w:firstLineChars="0" w:firstLine="0"/>
              <w:rPr>
                <w:color w:val="000000" w:themeColor="text1"/>
                <w:sz w:val="21"/>
              </w:rPr>
            </w:pPr>
            <w:r>
              <w:rPr>
                <w:color w:val="000000" w:themeColor="text1"/>
                <w:sz w:val="21"/>
              </w:rPr>
              <w:t>冷藏易腐败的食品、做制冷剂、制造碳化软饮料</w:t>
            </w:r>
            <w:r>
              <w:rPr>
                <w:rFonts w:hint="eastAsia"/>
                <w:color w:val="000000" w:themeColor="text1"/>
                <w:sz w:val="21"/>
              </w:rPr>
              <w:t>、灭火剂</w:t>
            </w:r>
            <w:r>
              <w:rPr>
                <w:color w:val="000000" w:themeColor="text1"/>
                <w:sz w:val="21"/>
              </w:rPr>
              <w:t>等。</w:t>
            </w:r>
          </w:p>
        </w:tc>
      </w:tr>
      <w:tr w:rsidR="002E0859" w14:paraId="65B38813" w14:textId="77777777">
        <w:trPr>
          <w:trHeight w:val="397"/>
          <w:jc w:val="center"/>
        </w:trPr>
        <w:tc>
          <w:tcPr>
            <w:tcW w:w="349" w:type="pct"/>
            <w:vMerge/>
            <w:vAlign w:val="center"/>
          </w:tcPr>
          <w:p w14:paraId="759B6BEA" w14:textId="77777777" w:rsidR="002E0859" w:rsidRDefault="002E0859">
            <w:pPr>
              <w:spacing w:line="240" w:lineRule="auto"/>
              <w:ind w:firstLineChars="0" w:firstLine="0"/>
              <w:jc w:val="center"/>
              <w:rPr>
                <w:color w:val="000000" w:themeColor="text1"/>
                <w:sz w:val="21"/>
              </w:rPr>
            </w:pPr>
          </w:p>
        </w:tc>
        <w:tc>
          <w:tcPr>
            <w:tcW w:w="1038" w:type="pct"/>
            <w:vAlign w:val="center"/>
          </w:tcPr>
          <w:p w14:paraId="6687E8B7" w14:textId="77777777" w:rsidR="002E0859" w:rsidRDefault="00000000">
            <w:pPr>
              <w:spacing w:line="240" w:lineRule="auto"/>
              <w:ind w:firstLineChars="0" w:firstLine="0"/>
              <w:jc w:val="center"/>
              <w:rPr>
                <w:color w:val="000000" w:themeColor="text1"/>
                <w:sz w:val="21"/>
              </w:rPr>
            </w:pPr>
            <w:r>
              <w:rPr>
                <w:color w:val="000000" w:themeColor="text1"/>
                <w:sz w:val="21"/>
              </w:rPr>
              <w:t>溶解性</w:t>
            </w:r>
          </w:p>
        </w:tc>
        <w:tc>
          <w:tcPr>
            <w:tcW w:w="3612" w:type="pct"/>
            <w:gridSpan w:val="7"/>
            <w:vAlign w:val="center"/>
          </w:tcPr>
          <w:p w14:paraId="06F7A64D" w14:textId="77777777" w:rsidR="002E0859" w:rsidRDefault="00000000">
            <w:pPr>
              <w:spacing w:line="240" w:lineRule="auto"/>
              <w:ind w:firstLineChars="0" w:firstLine="0"/>
              <w:rPr>
                <w:color w:val="000000" w:themeColor="text1"/>
                <w:sz w:val="21"/>
              </w:rPr>
            </w:pPr>
            <w:r>
              <w:rPr>
                <w:color w:val="000000" w:themeColor="text1"/>
                <w:sz w:val="21"/>
              </w:rPr>
              <w:t>可溶于水。</w:t>
            </w:r>
          </w:p>
        </w:tc>
      </w:tr>
      <w:tr w:rsidR="002E0859" w14:paraId="6FC24F86" w14:textId="77777777">
        <w:trPr>
          <w:trHeight w:val="397"/>
          <w:jc w:val="center"/>
        </w:trPr>
        <w:tc>
          <w:tcPr>
            <w:tcW w:w="349" w:type="pct"/>
            <w:vMerge/>
            <w:vAlign w:val="center"/>
          </w:tcPr>
          <w:p w14:paraId="33783245" w14:textId="77777777" w:rsidR="002E0859" w:rsidRDefault="002E0859">
            <w:pPr>
              <w:spacing w:line="240" w:lineRule="auto"/>
              <w:ind w:firstLineChars="0" w:firstLine="0"/>
              <w:jc w:val="center"/>
              <w:rPr>
                <w:color w:val="000000" w:themeColor="text1"/>
                <w:sz w:val="21"/>
              </w:rPr>
            </w:pPr>
          </w:p>
        </w:tc>
        <w:tc>
          <w:tcPr>
            <w:tcW w:w="1038" w:type="pct"/>
            <w:vAlign w:val="center"/>
          </w:tcPr>
          <w:p w14:paraId="252D5417" w14:textId="77777777" w:rsidR="002E0859" w:rsidRDefault="00000000">
            <w:pPr>
              <w:spacing w:line="240" w:lineRule="auto"/>
              <w:ind w:firstLineChars="0" w:firstLine="0"/>
              <w:jc w:val="center"/>
              <w:rPr>
                <w:color w:val="000000" w:themeColor="text1"/>
                <w:sz w:val="21"/>
              </w:rPr>
            </w:pPr>
            <w:r>
              <w:rPr>
                <w:color w:val="000000" w:themeColor="text1"/>
                <w:sz w:val="21"/>
              </w:rPr>
              <w:t>熔点（</w:t>
            </w:r>
            <w:r>
              <w:rPr>
                <w:color w:val="000000" w:themeColor="text1"/>
                <w:sz w:val="21"/>
              </w:rPr>
              <w:t>℃</w:t>
            </w:r>
            <w:r>
              <w:rPr>
                <w:color w:val="000000" w:themeColor="text1"/>
                <w:sz w:val="21"/>
              </w:rPr>
              <w:t>）</w:t>
            </w:r>
          </w:p>
        </w:tc>
        <w:tc>
          <w:tcPr>
            <w:tcW w:w="833" w:type="pct"/>
            <w:vAlign w:val="center"/>
          </w:tcPr>
          <w:p w14:paraId="56FFB3B8" w14:textId="77777777" w:rsidR="002E0859" w:rsidRDefault="00000000">
            <w:pPr>
              <w:spacing w:line="240" w:lineRule="auto"/>
              <w:ind w:firstLineChars="0" w:firstLine="0"/>
              <w:jc w:val="center"/>
              <w:rPr>
                <w:color w:val="000000" w:themeColor="text1"/>
                <w:sz w:val="21"/>
              </w:rPr>
            </w:pPr>
            <w:r>
              <w:rPr>
                <w:color w:val="000000" w:themeColor="text1"/>
                <w:sz w:val="21"/>
              </w:rPr>
              <w:t>-</w:t>
            </w:r>
            <w:r>
              <w:rPr>
                <w:rFonts w:hint="eastAsia"/>
                <w:color w:val="000000" w:themeColor="text1"/>
                <w:sz w:val="21"/>
              </w:rPr>
              <w:t>56.6</w:t>
            </w:r>
          </w:p>
        </w:tc>
        <w:tc>
          <w:tcPr>
            <w:tcW w:w="1080" w:type="pct"/>
            <w:gridSpan w:val="2"/>
            <w:vAlign w:val="center"/>
          </w:tcPr>
          <w:p w14:paraId="2A9E90FB" w14:textId="77777777" w:rsidR="002E0859" w:rsidRDefault="00000000">
            <w:pPr>
              <w:spacing w:line="240" w:lineRule="auto"/>
              <w:ind w:firstLineChars="0" w:firstLine="0"/>
              <w:jc w:val="center"/>
              <w:rPr>
                <w:color w:val="000000" w:themeColor="text1"/>
                <w:sz w:val="21"/>
              </w:rPr>
            </w:pPr>
            <w:r>
              <w:rPr>
                <w:color w:val="000000" w:themeColor="text1"/>
                <w:sz w:val="21"/>
              </w:rPr>
              <w:t>燃烧热（</w:t>
            </w:r>
            <w:r>
              <w:rPr>
                <w:color w:val="000000" w:themeColor="text1"/>
                <w:sz w:val="21"/>
              </w:rPr>
              <w:t>kJ/mol</w:t>
            </w:r>
            <w:r>
              <w:rPr>
                <w:color w:val="000000" w:themeColor="text1"/>
                <w:sz w:val="21"/>
              </w:rPr>
              <w:t>）</w:t>
            </w:r>
          </w:p>
        </w:tc>
        <w:tc>
          <w:tcPr>
            <w:tcW w:w="1698" w:type="pct"/>
            <w:gridSpan w:val="4"/>
            <w:vAlign w:val="center"/>
          </w:tcPr>
          <w:p w14:paraId="202CBFAF" w14:textId="77777777" w:rsidR="002E0859" w:rsidRDefault="00000000">
            <w:pPr>
              <w:spacing w:line="240" w:lineRule="auto"/>
              <w:ind w:firstLineChars="0" w:firstLine="0"/>
              <w:jc w:val="center"/>
              <w:rPr>
                <w:color w:val="000000" w:themeColor="text1"/>
                <w:sz w:val="21"/>
              </w:rPr>
            </w:pPr>
            <w:r>
              <w:rPr>
                <w:color w:val="000000" w:themeColor="text1"/>
                <w:sz w:val="21"/>
              </w:rPr>
              <w:t>无意义</w:t>
            </w:r>
          </w:p>
        </w:tc>
      </w:tr>
      <w:tr w:rsidR="002E0859" w14:paraId="145FCC05" w14:textId="77777777">
        <w:trPr>
          <w:trHeight w:val="397"/>
          <w:jc w:val="center"/>
        </w:trPr>
        <w:tc>
          <w:tcPr>
            <w:tcW w:w="349" w:type="pct"/>
            <w:vMerge/>
            <w:vAlign w:val="center"/>
          </w:tcPr>
          <w:p w14:paraId="0C71B54E" w14:textId="77777777" w:rsidR="002E0859" w:rsidRDefault="002E0859">
            <w:pPr>
              <w:spacing w:line="240" w:lineRule="auto"/>
              <w:ind w:firstLineChars="0" w:firstLine="0"/>
              <w:jc w:val="center"/>
              <w:rPr>
                <w:color w:val="000000" w:themeColor="text1"/>
                <w:sz w:val="21"/>
              </w:rPr>
            </w:pPr>
          </w:p>
        </w:tc>
        <w:tc>
          <w:tcPr>
            <w:tcW w:w="1038" w:type="pct"/>
            <w:vAlign w:val="center"/>
          </w:tcPr>
          <w:p w14:paraId="01451AED" w14:textId="77777777" w:rsidR="002E0859" w:rsidRDefault="00000000">
            <w:pPr>
              <w:spacing w:line="240" w:lineRule="auto"/>
              <w:ind w:firstLineChars="0" w:firstLine="0"/>
              <w:jc w:val="center"/>
              <w:rPr>
                <w:color w:val="000000" w:themeColor="text1"/>
                <w:sz w:val="21"/>
              </w:rPr>
            </w:pPr>
            <w:r>
              <w:rPr>
                <w:color w:val="000000" w:themeColor="text1"/>
                <w:sz w:val="21"/>
              </w:rPr>
              <w:t>沸点（</w:t>
            </w:r>
            <w:r>
              <w:rPr>
                <w:color w:val="000000" w:themeColor="text1"/>
                <w:sz w:val="21"/>
              </w:rPr>
              <w:t>℃</w:t>
            </w:r>
            <w:r>
              <w:rPr>
                <w:color w:val="000000" w:themeColor="text1"/>
                <w:sz w:val="21"/>
              </w:rPr>
              <w:t>）</w:t>
            </w:r>
          </w:p>
        </w:tc>
        <w:tc>
          <w:tcPr>
            <w:tcW w:w="833" w:type="pct"/>
            <w:vAlign w:val="center"/>
          </w:tcPr>
          <w:p w14:paraId="5326A24E" w14:textId="77777777" w:rsidR="002E0859" w:rsidRDefault="00000000">
            <w:pPr>
              <w:spacing w:line="240" w:lineRule="auto"/>
              <w:ind w:firstLineChars="0" w:firstLine="0"/>
              <w:jc w:val="center"/>
              <w:rPr>
                <w:color w:val="000000" w:themeColor="text1"/>
                <w:sz w:val="21"/>
              </w:rPr>
            </w:pPr>
            <w:r>
              <w:rPr>
                <w:color w:val="000000" w:themeColor="text1"/>
                <w:sz w:val="21"/>
              </w:rPr>
              <w:t>-</w:t>
            </w:r>
            <w:r>
              <w:rPr>
                <w:rFonts w:hint="eastAsia"/>
                <w:color w:val="000000" w:themeColor="text1"/>
                <w:sz w:val="21"/>
              </w:rPr>
              <w:t>78.5</w:t>
            </w:r>
            <w:r>
              <w:rPr>
                <w:rFonts w:hint="eastAsia"/>
                <w:color w:val="000000" w:themeColor="text1"/>
                <w:sz w:val="21"/>
              </w:rPr>
              <w:t>（升华）</w:t>
            </w:r>
          </w:p>
        </w:tc>
        <w:tc>
          <w:tcPr>
            <w:tcW w:w="1080" w:type="pct"/>
            <w:gridSpan w:val="2"/>
            <w:vAlign w:val="center"/>
          </w:tcPr>
          <w:p w14:paraId="0C2D6AA0" w14:textId="77777777" w:rsidR="002E0859" w:rsidRDefault="00000000">
            <w:pPr>
              <w:spacing w:line="240" w:lineRule="auto"/>
              <w:ind w:firstLineChars="0" w:firstLine="0"/>
              <w:jc w:val="center"/>
              <w:rPr>
                <w:color w:val="000000" w:themeColor="text1"/>
                <w:sz w:val="21"/>
              </w:rPr>
            </w:pPr>
            <w:r>
              <w:rPr>
                <w:color w:val="000000" w:themeColor="text1"/>
                <w:sz w:val="21"/>
              </w:rPr>
              <w:t>饱和蒸气压（</w:t>
            </w:r>
            <w:r>
              <w:rPr>
                <w:color w:val="000000" w:themeColor="text1"/>
                <w:sz w:val="21"/>
              </w:rPr>
              <w:t>kPa</w:t>
            </w:r>
            <w:r>
              <w:rPr>
                <w:color w:val="000000" w:themeColor="text1"/>
                <w:sz w:val="21"/>
              </w:rPr>
              <w:t>）</w:t>
            </w:r>
          </w:p>
        </w:tc>
        <w:tc>
          <w:tcPr>
            <w:tcW w:w="1698" w:type="pct"/>
            <w:gridSpan w:val="4"/>
            <w:vAlign w:val="center"/>
          </w:tcPr>
          <w:p w14:paraId="4560245D"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1013.25</w:t>
            </w:r>
            <w:r>
              <w:rPr>
                <w:color w:val="000000" w:themeColor="text1"/>
                <w:sz w:val="21"/>
              </w:rPr>
              <w:t>（</w:t>
            </w:r>
            <w:r>
              <w:rPr>
                <w:rFonts w:hint="eastAsia"/>
                <w:color w:val="000000" w:themeColor="text1"/>
                <w:sz w:val="21"/>
              </w:rPr>
              <w:t>-39</w:t>
            </w:r>
            <w:r>
              <w:rPr>
                <w:color w:val="000000" w:themeColor="text1"/>
                <w:sz w:val="21"/>
              </w:rPr>
              <w:t>℃</w:t>
            </w:r>
            <w:r>
              <w:rPr>
                <w:color w:val="000000" w:themeColor="text1"/>
                <w:sz w:val="21"/>
              </w:rPr>
              <w:t>）</w:t>
            </w:r>
          </w:p>
        </w:tc>
      </w:tr>
      <w:tr w:rsidR="002E0859" w14:paraId="35554893" w14:textId="77777777">
        <w:trPr>
          <w:trHeight w:val="397"/>
          <w:jc w:val="center"/>
        </w:trPr>
        <w:tc>
          <w:tcPr>
            <w:tcW w:w="349" w:type="pct"/>
            <w:vMerge/>
            <w:vAlign w:val="center"/>
          </w:tcPr>
          <w:p w14:paraId="3A229330" w14:textId="77777777" w:rsidR="002E0859" w:rsidRDefault="002E0859">
            <w:pPr>
              <w:spacing w:line="240" w:lineRule="auto"/>
              <w:ind w:firstLineChars="0" w:firstLine="0"/>
              <w:jc w:val="center"/>
              <w:rPr>
                <w:color w:val="000000" w:themeColor="text1"/>
                <w:sz w:val="21"/>
              </w:rPr>
            </w:pPr>
          </w:p>
        </w:tc>
        <w:tc>
          <w:tcPr>
            <w:tcW w:w="1038" w:type="pct"/>
            <w:vAlign w:val="center"/>
          </w:tcPr>
          <w:p w14:paraId="5B757B31" w14:textId="77777777" w:rsidR="002E0859" w:rsidRDefault="00000000">
            <w:pPr>
              <w:spacing w:line="240" w:lineRule="auto"/>
              <w:ind w:firstLineChars="0" w:firstLine="0"/>
              <w:jc w:val="center"/>
              <w:rPr>
                <w:color w:val="000000" w:themeColor="text1"/>
                <w:sz w:val="21"/>
              </w:rPr>
            </w:pPr>
            <w:r>
              <w:rPr>
                <w:color w:val="000000" w:themeColor="text1"/>
                <w:sz w:val="21"/>
              </w:rPr>
              <w:t>相对密度（水</w:t>
            </w:r>
            <w:r>
              <w:rPr>
                <w:color w:val="000000" w:themeColor="text1"/>
                <w:sz w:val="21"/>
              </w:rPr>
              <w:t>=1</w:t>
            </w:r>
            <w:r>
              <w:rPr>
                <w:color w:val="000000" w:themeColor="text1"/>
                <w:sz w:val="21"/>
              </w:rPr>
              <w:t>）</w:t>
            </w:r>
          </w:p>
        </w:tc>
        <w:tc>
          <w:tcPr>
            <w:tcW w:w="833" w:type="pct"/>
            <w:vAlign w:val="center"/>
          </w:tcPr>
          <w:p w14:paraId="4503F013"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1.56</w:t>
            </w:r>
            <w:r>
              <w:rPr>
                <w:color w:val="000000" w:themeColor="text1"/>
                <w:sz w:val="21"/>
              </w:rPr>
              <w:t>（</w:t>
            </w:r>
            <w:r>
              <w:rPr>
                <w:rFonts w:hint="eastAsia"/>
                <w:color w:val="000000" w:themeColor="text1"/>
                <w:sz w:val="21"/>
              </w:rPr>
              <w:t>-79</w:t>
            </w:r>
            <w:r>
              <w:rPr>
                <w:color w:val="000000" w:themeColor="text1"/>
                <w:sz w:val="21"/>
              </w:rPr>
              <w:t>℃</w:t>
            </w:r>
            <w:r>
              <w:rPr>
                <w:color w:val="000000" w:themeColor="text1"/>
                <w:sz w:val="21"/>
              </w:rPr>
              <w:t>）</w:t>
            </w:r>
          </w:p>
        </w:tc>
        <w:tc>
          <w:tcPr>
            <w:tcW w:w="1080" w:type="pct"/>
            <w:gridSpan w:val="2"/>
            <w:vAlign w:val="center"/>
          </w:tcPr>
          <w:p w14:paraId="431DEA9C" w14:textId="77777777" w:rsidR="002E0859" w:rsidRDefault="00000000">
            <w:pPr>
              <w:spacing w:line="240" w:lineRule="auto"/>
              <w:ind w:firstLineChars="0" w:firstLine="0"/>
              <w:jc w:val="center"/>
              <w:rPr>
                <w:color w:val="000000" w:themeColor="text1"/>
                <w:sz w:val="21"/>
              </w:rPr>
            </w:pPr>
            <w:r>
              <w:rPr>
                <w:color w:val="000000" w:themeColor="text1"/>
                <w:sz w:val="21"/>
              </w:rPr>
              <w:t>临界温度（</w:t>
            </w:r>
            <w:r>
              <w:rPr>
                <w:color w:val="000000" w:themeColor="text1"/>
                <w:sz w:val="21"/>
              </w:rPr>
              <w:t>℃</w:t>
            </w:r>
            <w:r>
              <w:rPr>
                <w:color w:val="000000" w:themeColor="text1"/>
                <w:sz w:val="21"/>
              </w:rPr>
              <w:t>）</w:t>
            </w:r>
          </w:p>
        </w:tc>
        <w:tc>
          <w:tcPr>
            <w:tcW w:w="1698" w:type="pct"/>
            <w:gridSpan w:val="4"/>
            <w:vAlign w:val="center"/>
          </w:tcPr>
          <w:p w14:paraId="6DBE371D"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31</w:t>
            </w:r>
          </w:p>
        </w:tc>
      </w:tr>
      <w:tr w:rsidR="002E0859" w14:paraId="785139AC" w14:textId="77777777">
        <w:trPr>
          <w:trHeight w:val="527"/>
          <w:jc w:val="center"/>
        </w:trPr>
        <w:tc>
          <w:tcPr>
            <w:tcW w:w="349" w:type="pct"/>
            <w:vMerge/>
            <w:vAlign w:val="center"/>
          </w:tcPr>
          <w:p w14:paraId="23CDFEC1" w14:textId="77777777" w:rsidR="002E0859" w:rsidRDefault="002E0859">
            <w:pPr>
              <w:spacing w:line="240" w:lineRule="auto"/>
              <w:ind w:firstLineChars="0" w:firstLine="0"/>
              <w:jc w:val="center"/>
              <w:rPr>
                <w:color w:val="000000" w:themeColor="text1"/>
                <w:sz w:val="21"/>
              </w:rPr>
            </w:pPr>
          </w:p>
        </w:tc>
        <w:tc>
          <w:tcPr>
            <w:tcW w:w="1038" w:type="pct"/>
            <w:vAlign w:val="center"/>
          </w:tcPr>
          <w:p w14:paraId="30B2F34D" w14:textId="77777777" w:rsidR="002E0859" w:rsidRDefault="00000000">
            <w:pPr>
              <w:spacing w:line="240" w:lineRule="auto"/>
              <w:ind w:firstLineChars="0" w:firstLine="0"/>
              <w:jc w:val="center"/>
              <w:rPr>
                <w:color w:val="000000" w:themeColor="text1"/>
                <w:sz w:val="21"/>
              </w:rPr>
            </w:pPr>
            <w:r>
              <w:rPr>
                <w:color w:val="000000" w:themeColor="text1"/>
                <w:sz w:val="21"/>
              </w:rPr>
              <w:t>相对密度</w:t>
            </w:r>
          </w:p>
          <w:p w14:paraId="5C2CABDC" w14:textId="77777777" w:rsidR="002E0859" w:rsidRDefault="00000000">
            <w:pPr>
              <w:spacing w:line="240" w:lineRule="auto"/>
              <w:ind w:firstLineChars="0" w:firstLine="0"/>
              <w:jc w:val="center"/>
              <w:rPr>
                <w:color w:val="000000" w:themeColor="text1"/>
                <w:sz w:val="21"/>
              </w:rPr>
            </w:pPr>
            <w:r>
              <w:rPr>
                <w:color w:val="000000" w:themeColor="text1"/>
                <w:sz w:val="21"/>
              </w:rPr>
              <w:t>（空气</w:t>
            </w:r>
            <w:r>
              <w:rPr>
                <w:color w:val="000000" w:themeColor="text1"/>
                <w:sz w:val="21"/>
              </w:rPr>
              <w:t>=1</w:t>
            </w:r>
            <w:r>
              <w:rPr>
                <w:color w:val="000000" w:themeColor="text1"/>
                <w:sz w:val="21"/>
              </w:rPr>
              <w:t>）</w:t>
            </w:r>
          </w:p>
        </w:tc>
        <w:tc>
          <w:tcPr>
            <w:tcW w:w="833" w:type="pct"/>
            <w:vAlign w:val="center"/>
          </w:tcPr>
          <w:p w14:paraId="38C9FD6D" w14:textId="77777777" w:rsidR="002E0859" w:rsidRDefault="00000000">
            <w:pPr>
              <w:spacing w:line="240" w:lineRule="auto"/>
              <w:ind w:firstLineChars="0" w:firstLine="0"/>
              <w:jc w:val="center"/>
              <w:rPr>
                <w:color w:val="000000" w:themeColor="text1"/>
                <w:sz w:val="21"/>
              </w:rPr>
            </w:pPr>
            <w:r>
              <w:rPr>
                <w:color w:val="000000" w:themeColor="text1"/>
                <w:sz w:val="21"/>
              </w:rPr>
              <w:t>1.</w:t>
            </w:r>
            <w:r>
              <w:rPr>
                <w:rFonts w:hint="eastAsia"/>
                <w:color w:val="000000" w:themeColor="text1"/>
                <w:sz w:val="21"/>
              </w:rPr>
              <w:t>53</w:t>
            </w:r>
          </w:p>
        </w:tc>
        <w:tc>
          <w:tcPr>
            <w:tcW w:w="1080" w:type="pct"/>
            <w:gridSpan w:val="2"/>
            <w:vAlign w:val="center"/>
          </w:tcPr>
          <w:p w14:paraId="380C04A8" w14:textId="77777777" w:rsidR="002E0859" w:rsidRDefault="00000000">
            <w:pPr>
              <w:spacing w:line="240" w:lineRule="auto"/>
              <w:ind w:firstLineChars="0" w:firstLine="0"/>
              <w:jc w:val="center"/>
              <w:rPr>
                <w:color w:val="000000" w:themeColor="text1"/>
                <w:sz w:val="21"/>
              </w:rPr>
            </w:pPr>
            <w:r>
              <w:rPr>
                <w:color w:val="000000" w:themeColor="text1"/>
                <w:sz w:val="21"/>
              </w:rPr>
              <w:t>临界压力（</w:t>
            </w:r>
            <w:r>
              <w:rPr>
                <w:color w:val="000000" w:themeColor="text1"/>
                <w:sz w:val="21"/>
              </w:rPr>
              <w:t>MPa</w:t>
            </w:r>
            <w:r>
              <w:rPr>
                <w:color w:val="000000" w:themeColor="text1"/>
                <w:sz w:val="21"/>
              </w:rPr>
              <w:t>）</w:t>
            </w:r>
          </w:p>
        </w:tc>
        <w:tc>
          <w:tcPr>
            <w:tcW w:w="1698" w:type="pct"/>
            <w:gridSpan w:val="4"/>
            <w:vAlign w:val="center"/>
          </w:tcPr>
          <w:p w14:paraId="401B7480"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7.39</w:t>
            </w:r>
          </w:p>
        </w:tc>
      </w:tr>
      <w:tr w:rsidR="002E0859" w14:paraId="5167A83C" w14:textId="77777777">
        <w:trPr>
          <w:trHeight w:val="397"/>
          <w:jc w:val="center"/>
        </w:trPr>
        <w:tc>
          <w:tcPr>
            <w:tcW w:w="349" w:type="pct"/>
            <w:vMerge w:val="restart"/>
            <w:vAlign w:val="center"/>
          </w:tcPr>
          <w:p w14:paraId="5F1E8041" w14:textId="77777777" w:rsidR="002E0859" w:rsidRDefault="00000000">
            <w:pPr>
              <w:spacing w:line="240" w:lineRule="auto"/>
              <w:ind w:firstLineChars="0" w:firstLine="0"/>
              <w:jc w:val="center"/>
              <w:rPr>
                <w:color w:val="000000" w:themeColor="text1"/>
                <w:sz w:val="21"/>
              </w:rPr>
            </w:pPr>
            <w:r>
              <w:rPr>
                <w:color w:val="000000" w:themeColor="text1"/>
                <w:sz w:val="21"/>
              </w:rPr>
              <w:t>燃烧爆炸危险性</w:t>
            </w:r>
          </w:p>
        </w:tc>
        <w:tc>
          <w:tcPr>
            <w:tcW w:w="1038" w:type="pct"/>
            <w:vAlign w:val="center"/>
          </w:tcPr>
          <w:p w14:paraId="302B38B9" w14:textId="77777777" w:rsidR="002E0859" w:rsidRDefault="00000000">
            <w:pPr>
              <w:spacing w:line="240" w:lineRule="auto"/>
              <w:ind w:firstLineChars="0" w:firstLine="0"/>
              <w:jc w:val="center"/>
              <w:rPr>
                <w:color w:val="000000" w:themeColor="text1"/>
                <w:sz w:val="21"/>
              </w:rPr>
            </w:pPr>
            <w:r>
              <w:rPr>
                <w:color w:val="000000" w:themeColor="text1"/>
                <w:sz w:val="21"/>
              </w:rPr>
              <w:t>燃烧性：</w:t>
            </w:r>
          </w:p>
        </w:tc>
        <w:tc>
          <w:tcPr>
            <w:tcW w:w="833" w:type="pct"/>
            <w:vAlign w:val="center"/>
          </w:tcPr>
          <w:p w14:paraId="052BD565"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不</w:t>
            </w:r>
            <w:r>
              <w:rPr>
                <w:color w:val="000000" w:themeColor="text1"/>
                <w:sz w:val="21"/>
              </w:rPr>
              <w:t>燃</w:t>
            </w:r>
          </w:p>
        </w:tc>
        <w:tc>
          <w:tcPr>
            <w:tcW w:w="1080" w:type="pct"/>
            <w:gridSpan w:val="2"/>
            <w:vMerge w:val="restart"/>
            <w:vAlign w:val="center"/>
          </w:tcPr>
          <w:p w14:paraId="7DA64267" w14:textId="77777777" w:rsidR="002E0859" w:rsidRDefault="00000000">
            <w:pPr>
              <w:spacing w:line="240" w:lineRule="auto"/>
              <w:ind w:firstLineChars="0" w:firstLine="0"/>
              <w:jc w:val="center"/>
              <w:rPr>
                <w:color w:val="000000" w:themeColor="text1"/>
                <w:sz w:val="21"/>
              </w:rPr>
            </w:pPr>
            <w:r>
              <w:rPr>
                <w:color w:val="000000" w:themeColor="text1"/>
                <w:sz w:val="21"/>
              </w:rPr>
              <w:t>危险特性</w:t>
            </w:r>
          </w:p>
        </w:tc>
        <w:tc>
          <w:tcPr>
            <w:tcW w:w="1698" w:type="pct"/>
            <w:gridSpan w:val="4"/>
            <w:vMerge w:val="restart"/>
            <w:vAlign w:val="center"/>
          </w:tcPr>
          <w:p w14:paraId="6E4E6AE4" w14:textId="77777777" w:rsidR="002E0859" w:rsidRDefault="00000000">
            <w:pPr>
              <w:spacing w:line="240" w:lineRule="auto"/>
              <w:ind w:firstLineChars="0" w:firstLine="0"/>
              <w:jc w:val="left"/>
              <w:rPr>
                <w:color w:val="000000" w:themeColor="text1"/>
                <w:sz w:val="21"/>
              </w:rPr>
            </w:pPr>
            <w:r>
              <w:rPr>
                <w:color w:val="000000" w:themeColor="text1"/>
                <w:sz w:val="21"/>
              </w:rPr>
              <w:t>高浓度气体可导致没有预兆的窒息。与气体接触可能造成烧伤</w:t>
            </w:r>
            <w:r>
              <w:rPr>
                <w:rFonts w:hint="eastAsia"/>
                <w:color w:val="000000" w:themeColor="text1"/>
                <w:sz w:val="21"/>
              </w:rPr>
              <w:t>，</w:t>
            </w:r>
            <w:r>
              <w:rPr>
                <w:color w:val="000000" w:themeColor="text1"/>
                <w:sz w:val="21"/>
              </w:rPr>
              <w:t>严重伤害和</w:t>
            </w:r>
            <w:r>
              <w:rPr>
                <w:color w:val="000000" w:themeColor="text1"/>
                <w:sz w:val="21"/>
              </w:rPr>
              <w:t>/</w:t>
            </w:r>
            <w:r>
              <w:rPr>
                <w:color w:val="000000" w:themeColor="text1"/>
                <w:sz w:val="21"/>
              </w:rPr>
              <w:t>或冻伤。加热时，容器可能爆炸。暴露于火中的容器可能会通过压力安全阀泄漏出内容物。受热或接触火焰可能会产生膨胀或爆炸性分解。</w:t>
            </w:r>
          </w:p>
        </w:tc>
      </w:tr>
      <w:tr w:rsidR="002E0859" w14:paraId="122E10F1" w14:textId="77777777">
        <w:trPr>
          <w:trHeight w:val="397"/>
          <w:jc w:val="center"/>
        </w:trPr>
        <w:tc>
          <w:tcPr>
            <w:tcW w:w="349" w:type="pct"/>
            <w:vMerge/>
            <w:vAlign w:val="center"/>
          </w:tcPr>
          <w:p w14:paraId="10ADE5EF" w14:textId="77777777" w:rsidR="002E0859" w:rsidRDefault="002E0859">
            <w:pPr>
              <w:spacing w:line="240" w:lineRule="auto"/>
              <w:ind w:firstLineChars="0" w:firstLine="0"/>
              <w:jc w:val="center"/>
              <w:rPr>
                <w:color w:val="000000" w:themeColor="text1"/>
                <w:sz w:val="21"/>
              </w:rPr>
            </w:pPr>
          </w:p>
        </w:tc>
        <w:tc>
          <w:tcPr>
            <w:tcW w:w="1038" w:type="pct"/>
            <w:vAlign w:val="center"/>
          </w:tcPr>
          <w:p w14:paraId="7A5AB705" w14:textId="77777777" w:rsidR="002E0859" w:rsidRDefault="00000000">
            <w:pPr>
              <w:spacing w:line="240" w:lineRule="auto"/>
              <w:ind w:firstLineChars="0" w:firstLine="0"/>
              <w:jc w:val="center"/>
              <w:rPr>
                <w:color w:val="000000" w:themeColor="text1"/>
                <w:sz w:val="21"/>
              </w:rPr>
            </w:pPr>
            <w:r>
              <w:rPr>
                <w:color w:val="000000" w:themeColor="text1"/>
                <w:sz w:val="21"/>
              </w:rPr>
              <w:t>建规火险分级</w:t>
            </w:r>
          </w:p>
        </w:tc>
        <w:tc>
          <w:tcPr>
            <w:tcW w:w="833" w:type="pct"/>
            <w:vAlign w:val="center"/>
          </w:tcPr>
          <w:p w14:paraId="052C39AD"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戊</w:t>
            </w:r>
          </w:p>
        </w:tc>
        <w:tc>
          <w:tcPr>
            <w:tcW w:w="1080" w:type="pct"/>
            <w:gridSpan w:val="2"/>
            <w:vMerge/>
            <w:vAlign w:val="center"/>
          </w:tcPr>
          <w:p w14:paraId="0CAD42E5" w14:textId="77777777" w:rsidR="002E0859" w:rsidRDefault="002E0859">
            <w:pPr>
              <w:spacing w:line="240" w:lineRule="auto"/>
              <w:ind w:firstLineChars="0" w:firstLine="0"/>
              <w:jc w:val="center"/>
              <w:rPr>
                <w:color w:val="000000" w:themeColor="text1"/>
                <w:sz w:val="21"/>
              </w:rPr>
            </w:pPr>
          </w:p>
        </w:tc>
        <w:tc>
          <w:tcPr>
            <w:tcW w:w="1698" w:type="pct"/>
            <w:gridSpan w:val="4"/>
            <w:vMerge/>
            <w:vAlign w:val="center"/>
          </w:tcPr>
          <w:p w14:paraId="6DEC02A3" w14:textId="77777777" w:rsidR="002E0859" w:rsidRDefault="002E0859">
            <w:pPr>
              <w:spacing w:line="240" w:lineRule="auto"/>
              <w:ind w:firstLineChars="0" w:firstLine="0"/>
              <w:jc w:val="center"/>
              <w:rPr>
                <w:color w:val="000000" w:themeColor="text1"/>
                <w:sz w:val="21"/>
              </w:rPr>
            </w:pPr>
          </w:p>
        </w:tc>
      </w:tr>
      <w:tr w:rsidR="002E0859" w14:paraId="2B4E5028" w14:textId="77777777">
        <w:trPr>
          <w:trHeight w:val="397"/>
          <w:jc w:val="center"/>
        </w:trPr>
        <w:tc>
          <w:tcPr>
            <w:tcW w:w="349" w:type="pct"/>
            <w:vMerge/>
            <w:vAlign w:val="center"/>
          </w:tcPr>
          <w:p w14:paraId="0C4CAC6B" w14:textId="77777777" w:rsidR="002E0859" w:rsidRDefault="002E0859">
            <w:pPr>
              <w:spacing w:line="240" w:lineRule="auto"/>
              <w:ind w:firstLineChars="0" w:firstLine="0"/>
              <w:jc w:val="center"/>
              <w:rPr>
                <w:color w:val="000000" w:themeColor="text1"/>
                <w:sz w:val="21"/>
              </w:rPr>
            </w:pPr>
          </w:p>
        </w:tc>
        <w:tc>
          <w:tcPr>
            <w:tcW w:w="1038" w:type="pct"/>
            <w:vAlign w:val="center"/>
          </w:tcPr>
          <w:p w14:paraId="747F478E" w14:textId="77777777" w:rsidR="002E0859" w:rsidRDefault="00000000">
            <w:pPr>
              <w:spacing w:line="240" w:lineRule="auto"/>
              <w:ind w:firstLineChars="0" w:firstLine="0"/>
              <w:jc w:val="center"/>
              <w:rPr>
                <w:color w:val="000000" w:themeColor="text1"/>
                <w:sz w:val="21"/>
              </w:rPr>
            </w:pPr>
            <w:r>
              <w:rPr>
                <w:color w:val="000000" w:themeColor="text1"/>
                <w:sz w:val="21"/>
              </w:rPr>
              <w:t>闪点（</w:t>
            </w:r>
            <w:r>
              <w:rPr>
                <w:color w:val="000000" w:themeColor="text1"/>
                <w:sz w:val="21"/>
              </w:rPr>
              <w:t>℃</w:t>
            </w:r>
            <w:r>
              <w:rPr>
                <w:color w:val="000000" w:themeColor="text1"/>
                <w:sz w:val="21"/>
              </w:rPr>
              <w:t>）</w:t>
            </w:r>
          </w:p>
        </w:tc>
        <w:tc>
          <w:tcPr>
            <w:tcW w:w="833" w:type="pct"/>
            <w:vAlign w:val="center"/>
          </w:tcPr>
          <w:p w14:paraId="51E905C0" w14:textId="77777777" w:rsidR="002E0859" w:rsidRDefault="00000000">
            <w:pPr>
              <w:spacing w:line="240" w:lineRule="auto"/>
              <w:ind w:firstLineChars="0" w:firstLine="0"/>
              <w:jc w:val="center"/>
              <w:rPr>
                <w:color w:val="000000" w:themeColor="text1"/>
                <w:sz w:val="21"/>
              </w:rPr>
            </w:pPr>
            <w:r>
              <w:rPr>
                <w:color w:val="000000" w:themeColor="text1"/>
                <w:sz w:val="21"/>
              </w:rPr>
              <w:t>无意义</w:t>
            </w:r>
          </w:p>
        </w:tc>
        <w:tc>
          <w:tcPr>
            <w:tcW w:w="1080" w:type="pct"/>
            <w:gridSpan w:val="2"/>
            <w:vMerge/>
            <w:vAlign w:val="center"/>
          </w:tcPr>
          <w:p w14:paraId="738E77A1" w14:textId="77777777" w:rsidR="002E0859" w:rsidRDefault="002E0859">
            <w:pPr>
              <w:spacing w:line="240" w:lineRule="auto"/>
              <w:ind w:firstLineChars="0" w:firstLine="0"/>
              <w:jc w:val="center"/>
              <w:rPr>
                <w:color w:val="000000" w:themeColor="text1"/>
                <w:sz w:val="21"/>
              </w:rPr>
            </w:pPr>
          </w:p>
        </w:tc>
        <w:tc>
          <w:tcPr>
            <w:tcW w:w="1698" w:type="pct"/>
            <w:gridSpan w:val="4"/>
            <w:vMerge/>
            <w:vAlign w:val="center"/>
          </w:tcPr>
          <w:p w14:paraId="3B90565F" w14:textId="77777777" w:rsidR="002E0859" w:rsidRDefault="002E0859">
            <w:pPr>
              <w:spacing w:line="240" w:lineRule="auto"/>
              <w:ind w:firstLineChars="0" w:firstLine="0"/>
              <w:jc w:val="center"/>
              <w:rPr>
                <w:color w:val="000000" w:themeColor="text1"/>
                <w:sz w:val="21"/>
              </w:rPr>
            </w:pPr>
          </w:p>
        </w:tc>
      </w:tr>
      <w:tr w:rsidR="002E0859" w14:paraId="2C86AC97" w14:textId="77777777">
        <w:trPr>
          <w:trHeight w:val="397"/>
          <w:jc w:val="center"/>
        </w:trPr>
        <w:tc>
          <w:tcPr>
            <w:tcW w:w="349" w:type="pct"/>
            <w:vMerge/>
            <w:vAlign w:val="center"/>
          </w:tcPr>
          <w:p w14:paraId="7665D99B" w14:textId="77777777" w:rsidR="002E0859" w:rsidRDefault="002E0859">
            <w:pPr>
              <w:spacing w:line="240" w:lineRule="auto"/>
              <w:ind w:firstLineChars="0" w:firstLine="0"/>
              <w:jc w:val="center"/>
              <w:rPr>
                <w:color w:val="000000" w:themeColor="text1"/>
                <w:sz w:val="21"/>
              </w:rPr>
            </w:pPr>
          </w:p>
        </w:tc>
        <w:tc>
          <w:tcPr>
            <w:tcW w:w="1038" w:type="pct"/>
            <w:vAlign w:val="center"/>
          </w:tcPr>
          <w:p w14:paraId="3C5A0FA9" w14:textId="77777777" w:rsidR="002E0859" w:rsidRDefault="00000000">
            <w:pPr>
              <w:spacing w:line="240" w:lineRule="auto"/>
              <w:ind w:firstLineChars="0" w:firstLine="0"/>
              <w:jc w:val="center"/>
              <w:rPr>
                <w:color w:val="000000" w:themeColor="text1"/>
                <w:sz w:val="21"/>
              </w:rPr>
            </w:pPr>
            <w:r>
              <w:rPr>
                <w:color w:val="000000" w:themeColor="text1"/>
                <w:sz w:val="21"/>
              </w:rPr>
              <w:t>引燃温度（</w:t>
            </w:r>
            <w:r>
              <w:rPr>
                <w:color w:val="000000" w:themeColor="text1"/>
                <w:sz w:val="21"/>
              </w:rPr>
              <w:t>℃</w:t>
            </w:r>
            <w:r>
              <w:rPr>
                <w:color w:val="000000" w:themeColor="text1"/>
                <w:sz w:val="21"/>
              </w:rPr>
              <w:t>）</w:t>
            </w:r>
          </w:p>
        </w:tc>
        <w:tc>
          <w:tcPr>
            <w:tcW w:w="833" w:type="pct"/>
            <w:vAlign w:val="center"/>
          </w:tcPr>
          <w:p w14:paraId="6617A613" w14:textId="77777777" w:rsidR="002E0859" w:rsidRDefault="00000000">
            <w:pPr>
              <w:spacing w:line="240" w:lineRule="auto"/>
              <w:ind w:firstLineChars="0" w:firstLine="0"/>
              <w:jc w:val="center"/>
              <w:rPr>
                <w:color w:val="000000" w:themeColor="text1"/>
                <w:sz w:val="21"/>
              </w:rPr>
            </w:pPr>
            <w:r>
              <w:rPr>
                <w:color w:val="000000" w:themeColor="text1"/>
                <w:sz w:val="21"/>
              </w:rPr>
              <w:t>无意义</w:t>
            </w:r>
          </w:p>
        </w:tc>
        <w:tc>
          <w:tcPr>
            <w:tcW w:w="1080" w:type="pct"/>
            <w:gridSpan w:val="2"/>
            <w:vMerge/>
            <w:vAlign w:val="center"/>
          </w:tcPr>
          <w:p w14:paraId="344B2562" w14:textId="77777777" w:rsidR="002E0859" w:rsidRDefault="002E0859">
            <w:pPr>
              <w:spacing w:line="240" w:lineRule="auto"/>
              <w:ind w:firstLineChars="0" w:firstLine="0"/>
              <w:jc w:val="center"/>
              <w:rPr>
                <w:color w:val="000000" w:themeColor="text1"/>
                <w:sz w:val="21"/>
              </w:rPr>
            </w:pPr>
          </w:p>
        </w:tc>
        <w:tc>
          <w:tcPr>
            <w:tcW w:w="1698" w:type="pct"/>
            <w:gridSpan w:val="4"/>
            <w:vMerge/>
            <w:vAlign w:val="center"/>
          </w:tcPr>
          <w:p w14:paraId="41E5EB75" w14:textId="77777777" w:rsidR="002E0859" w:rsidRDefault="002E0859">
            <w:pPr>
              <w:spacing w:line="240" w:lineRule="auto"/>
              <w:ind w:firstLineChars="0" w:firstLine="0"/>
              <w:jc w:val="center"/>
              <w:rPr>
                <w:color w:val="000000" w:themeColor="text1"/>
                <w:sz w:val="21"/>
              </w:rPr>
            </w:pPr>
          </w:p>
        </w:tc>
      </w:tr>
      <w:tr w:rsidR="002E0859" w14:paraId="559DE8F2" w14:textId="77777777">
        <w:trPr>
          <w:trHeight w:val="397"/>
          <w:jc w:val="center"/>
        </w:trPr>
        <w:tc>
          <w:tcPr>
            <w:tcW w:w="349" w:type="pct"/>
            <w:vMerge/>
            <w:vAlign w:val="center"/>
          </w:tcPr>
          <w:p w14:paraId="4597E277" w14:textId="77777777" w:rsidR="002E0859" w:rsidRDefault="002E0859">
            <w:pPr>
              <w:spacing w:line="240" w:lineRule="auto"/>
              <w:ind w:firstLineChars="0" w:firstLine="0"/>
              <w:jc w:val="center"/>
              <w:rPr>
                <w:color w:val="000000" w:themeColor="text1"/>
                <w:sz w:val="21"/>
              </w:rPr>
            </w:pPr>
          </w:p>
        </w:tc>
        <w:tc>
          <w:tcPr>
            <w:tcW w:w="1038" w:type="pct"/>
            <w:vAlign w:val="center"/>
          </w:tcPr>
          <w:p w14:paraId="6ED7BF40" w14:textId="77777777" w:rsidR="002E0859" w:rsidRDefault="00000000">
            <w:pPr>
              <w:spacing w:line="240" w:lineRule="auto"/>
              <w:ind w:firstLineChars="0" w:firstLine="0"/>
              <w:jc w:val="center"/>
              <w:rPr>
                <w:color w:val="000000" w:themeColor="text1"/>
                <w:sz w:val="21"/>
              </w:rPr>
            </w:pPr>
            <w:r>
              <w:rPr>
                <w:color w:val="000000" w:themeColor="text1"/>
                <w:sz w:val="21"/>
              </w:rPr>
              <w:t>爆炸下限（</w:t>
            </w:r>
            <w:r>
              <w:rPr>
                <w:color w:val="000000" w:themeColor="text1"/>
                <w:sz w:val="21"/>
              </w:rPr>
              <w:t>V/%</w:t>
            </w:r>
            <w:r>
              <w:rPr>
                <w:color w:val="000000" w:themeColor="text1"/>
                <w:sz w:val="21"/>
              </w:rPr>
              <w:t>）</w:t>
            </w:r>
          </w:p>
        </w:tc>
        <w:tc>
          <w:tcPr>
            <w:tcW w:w="833" w:type="pct"/>
            <w:vAlign w:val="center"/>
          </w:tcPr>
          <w:p w14:paraId="65D0FA27" w14:textId="77777777" w:rsidR="002E0859" w:rsidRDefault="00000000">
            <w:pPr>
              <w:spacing w:line="240" w:lineRule="auto"/>
              <w:ind w:firstLineChars="0" w:firstLine="0"/>
              <w:jc w:val="center"/>
              <w:rPr>
                <w:color w:val="000000" w:themeColor="text1"/>
                <w:sz w:val="21"/>
              </w:rPr>
            </w:pPr>
            <w:r>
              <w:rPr>
                <w:color w:val="000000" w:themeColor="text1"/>
                <w:sz w:val="21"/>
              </w:rPr>
              <w:t>无意义</w:t>
            </w:r>
          </w:p>
        </w:tc>
        <w:tc>
          <w:tcPr>
            <w:tcW w:w="1080" w:type="pct"/>
            <w:gridSpan w:val="2"/>
            <w:vMerge/>
            <w:vAlign w:val="center"/>
          </w:tcPr>
          <w:p w14:paraId="1D198668" w14:textId="77777777" w:rsidR="002E0859" w:rsidRDefault="002E0859">
            <w:pPr>
              <w:spacing w:line="240" w:lineRule="auto"/>
              <w:ind w:firstLineChars="0" w:firstLine="0"/>
              <w:jc w:val="center"/>
              <w:rPr>
                <w:color w:val="000000" w:themeColor="text1"/>
                <w:sz w:val="21"/>
              </w:rPr>
            </w:pPr>
          </w:p>
        </w:tc>
        <w:tc>
          <w:tcPr>
            <w:tcW w:w="1698" w:type="pct"/>
            <w:gridSpan w:val="4"/>
            <w:vMerge/>
            <w:vAlign w:val="center"/>
          </w:tcPr>
          <w:p w14:paraId="77460E42" w14:textId="77777777" w:rsidR="002E0859" w:rsidRDefault="002E0859">
            <w:pPr>
              <w:spacing w:line="240" w:lineRule="auto"/>
              <w:ind w:firstLineChars="0" w:firstLine="0"/>
              <w:jc w:val="center"/>
              <w:rPr>
                <w:color w:val="000000" w:themeColor="text1"/>
                <w:sz w:val="21"/>
              </w:rPr>
            </w:pPr>
          </w:p>
        </w:tc>
      </w:tr>
      <w:tr w:rsidR="002E0859" w14:paraId="392D761F" w14:textId="77777777">
        <w:trPr>
          <w:trHeight w:val="397"/>
          <w:jc w:val="center"/>
        </w:trPr>
        <w:tc>
          <w:tcPr>
            <w:tcW w:w="349" w:type="pct"/>
            <w:vMerge/>
            <w:vAlign w:val="center"/>
          </w:tcPr>
          <w:p w14:paraId="25FE6634" w14:textId="77777777" w:rsidR="002E0859" w:rsidRDefault="002E0859">
            <w:pPr>
              <w:spacing w:line="240" w:lineRule="auto"/>
              <w:ind w:firstLineChars="0" w:firstLine="0"/>
              <w:jc w:val="center"/>
              <w:rPr>
                <w:color w:val="000000" w:themeColor="text1"/>
                <w:sz w:val="21"/>
              </w:rPr>
            </w:pPr>
          </w:p>
        </w:tc>
        <w:tc>
          <w:tcPr>
            <w:tcW w:w="1038" w:type="pct"/>
            <w:vAlign w:val="center"/>
          </w:tcPr>
          <w:p w14:paraId="2BA3AE03" w14:textId="77777777" w:rsidR="002E0859" w:rsidRDefault="00000000">
            <w:pPr>
              <w:spacing w:line="240" w:lineRule="auto"/>
              <w:ind w:firstLineChars="0" w:firstLine="0"/>
              <w:jc w:val="center"/>
              <w:rPr>
                <w:color w:val="000000" w:themeColor="text1"/>
                <w:sz w:val="21"/>
              </w:rPr>
            </w:pPr>
            <w:r>
              <w:rPr>
                <w:color w:val="000000" w:themeColor="text1"/>
                <w:sz w:val="21"/>
              </w:rPr>
              <w:t>爆炸上限（</w:t>
            </w:r>
            <w:r>
              <w:rPr>
                <w:color w:val="000000" w:themeColor="text1"/>
                <w:sz w:val="21"/>
              </w:rPr>
              <w:t>V/%</w:t>
            </w:r>
            <w:r>
              <w:rPr>
                <w:color w:val="000000" w:themeColor="text1"/>
                <w:sz w:val="21"/>
              </w:rPr>
              <w:t>）</w:t>
            </w:r>
          </w:p>
        </w:tc>
        <w:tc>
          <w:tcPr>
            <w:tcW w:w="833" w:type="pct"/>
            <w:vAlign w:val="center"/>
          </w:tcPr>
          <w:p w14:paraId="415769C1" w14:textId="77777777" w:rsidR="002E0859" w:rsidRDefault="00000000">
            <w:pPr>
              <w:spacing w:line="240" w:lineRule="auto"/>
              <w:ind w:firstLineChars="0" w:firstLine="0"/>
              <w:jc w:val="center"/>
              <w:rPr>
                <w:color w:val="000000" w:themeColor="text1"/>
                <w:sz w:val="21"/>
              </w:rPr>
            </w:pPr>
            <w:r>
              <w:rPr>
                <w:color w:val="000000" w:themeColor="text1"/>
                <w:sz w:val="21"/>
              </w:rPr>
              <w:t>无意义</w:t>
            </w:r>
          </w:p>
        </w:tc>
        <w:tc>
          <w:tcPr>
            <w:tcW w:w="1080" w:type="pct"/>
            <w:gridSpan w:val="2"/>
            <w:vAlign w:val="center"/>
          </w:tcPr>
          <w:p w14:paraId="5180E196" w14:textId="77777777" w:rsidR="002E0859" w:rsidRDefault="00000000">
            <w:pPr>
              <w:spacing w:line="240" w:lineRule="auto"/>
              <w:ind w:firstLineChars="0" w:firstLine="0"/>
              <w:jc w:val="center"/>
              <w:rPr>
                <w:color w:val="000000" w:themeColor="text1"/>
                <w:sz w:val="21"/>
              </w:rPr>
            </w:pPr>
            <w:r>
              <w:rPr>
                <w:color w:val="000000" w:themeColor="text1"/>
                <w:sz w:val="21"/>
              </w:rPr>
              <w:t>燃烧（分解）产物</w:t>
            </w:r>
          </w:p>
        </w:tc>
        <w:tc>
          <w:tcPr>
            <w:tcW w:w="1698" w:type="pct"/>
            <w:gridSpan w:val="4"/>
            <w:vAlign w:val="center"/>
          </w:tcPr>
          <w:p w14:paraId="585B147A" w14:textId="77777777" w:rsidR="002E0859" w:rsidRDefault="00000000">
            <w:pPr>
              <w:spacing w:line="240" w:lineRule="auto"/>
              <w:ind w:firstLineChars="0" w:firstLine="0"/>
              <w:rPr>
                <w:color w:val="000000" w:themeColor="text1"/>
                <w:sz w:val="21"/>
              </w:rPr>
            </w:pPr>
            <w:r>
              <w:rPr>
                <w:rFonts w:hint="eastAsia"/>
                <w:color w:val="000000" w:themeColor="text1"/>
                <w:sz w:val="21"/>
              </w:rPr>
              <w:t>/</w:t>
            </w:r>
          </w:p>
        </w:tc>
      </w:tr>
      <w:tr w:rsidR="002E0859" w14:paraId="4BD43326" w14:textId="77777777">
        <w:trPr>
          <w:trHeight w:val="397"/>
          <w:jc w:val="center"/>
        </w:trPr>
        <w:tc>
          <w:tcPr>
            <w:tcW w:w="349" w:type="pct"/>
            <w:vMerge/>
            <w:vAlign w:val="center"/>
          </w:tcPr>
          <w:p w14:paraId="20194906" w14:textId="77777777" w:rsidR="002E0859" w:rsidRDefault="002E0859">
            <w:pPr>
              <w:spacing w:line="240" w:lineRule="auto"/>
              <w:ind w:firstLineChars="0" w:firstLine="0"/>
              <w:jc w:val="center"/>
              <w:rPr>
                <w:color w:val="000000" w:themeColor="text1"/>
                <w:sz w:val="21"/>
              </w:rPr>
            </w:pPr>
          </w:p>
        </w:tc>
        <w:tc>
          <w:tcPr>
            <w:tcW w:w="1038" w:type="pct"/>
            <w:vAlign w:val="center"/>
          </w:tcPr>
          <w:p w14:paraId="051322C8" w14:textId="77777777" w:rsidR="002E0859" w:rsidRDefault="00000000">
            <w:pPr>
              <w:spacing w:line="240" w:lineRule="auto"/>
              <w:ind w:firstLineChars="0" w:firstLine="0"/>
              <w:jc w:val="center"/>
              <w:rPr>
                <w:color w:val="000000" w:themeColor="text1"/>
                <w:sz w:val="21"/>
              </w:rPr>
            </w:pPr>
            <w:r>
              <w:rPr>
                <w:color w:val="000000" w:themeColor="text1"/>
                <w:sz w:val="21"/>
              </w:rPr>
              <w:t>稳定性</w:t>
            </w:r>
          </w:p>
        </w:tc>
        <w:tc>
          <w:tcPr>
            <w:tcW w:w="833" w:type="pct"/>
            <w:vAlign w:val="center"/>
          </w:tcPr>
          <w:p w14:paraId="4A29FD97" w14:textId="77777777" w:rsidR="002E0859" w:rsidRDefault="00000000">
            <w:pPr>
              <w:spacing w:line="240" w:lineRule="auto"/>
              <w:ind w:firstLineChars="0" w:firstLine="0"/>
              <w:jc w:val="center"/>
              <w:rPr>
                <w:color w:val="000000" w:themeColor="text1"/>
                <w:sz w:val="21"/>
              </w:rPr>
            </w:pPr>
            <w:r>
              <w:rPr>
                <w:color w:val="000000" w:themeColor="text1"/>
                <w:sz w:val="21"/>
              </w:rPr>
              <w:t>稳定</w:t>
            </w:r>
          </w:p>
        </w:tc>
        <w:tc>
          <w:tcPr>
            <w:tcW w:w="664" w:type="pct"/>
            <w:vAlign w:val="center"/>
          </w:tcPr>
          <w:p w14:paraId="47F266C4" w14:textId="77777777" w:rsidR="002E0859" w:rsidRDefault="00000000">
            <w:pPr>
              <w:spacing w:line="240" w:lineRule="auto"/>
              <w:ind w:firstLineChars="0" w:firstLine="0"/>
              <w:jc w:val="center"/>
              <w:rPr>
                <w:color w:val="000000" w:themeColor="text1"/>
                <w:sz w:val="21"/>
              </w:rPr>
            </w:pPr>
            <w:r>
              <w:rPr>
                <w:color w:val="000000" w:themeColor="text1"/>
                <w:sz w:val="21"/>
              </w:rPr>
              <w:t>灭火方法</w:t>
            </w:r>
          </w:p>
        </w:tc>
        <w:tc>
          <w:tcPr>
            <w:tcW w:w="2114" w:type="pct"/>
            <w:gridSpan w:val="5"/>
            <w:vAlign w:val="center"/>
          </w:tcPr>
          <w:p w14:paraId="395D5009" w14:textId="77777777" w:rsidR="002E0859" w:rsidRDefault="00000000">
            <w:pPr>
              <w:spacing w:line="240" w:lineRule="auto"/>
              <w:ind w:firstLineChars="0" w:firstLine="0"/>
              <w:rPr>
                <w:color w:val="000000" w:themeColor="text1"/>
                <w:sz w:val="21"/>
              </w:rPr>
            </w:pPr>
            <w:r>
              <w:rPr>
                <w:color w:val="000000" w:themeColor="text1"/>
                <w:sz w:val="21"/>
              </w:rPr>
              <w:t>本品不燃。尽可能将容器从火场移至空阔处。喷水保持火场容器冷却，直至灭火结束。</w:t>
            </w:r>
          </w:p>
        </w:tc>
      </w:tr>
      <w:tr w:rsidR="002E0859" w14:paraId="3DA2DF1F" w14:textId="77777777">
        <w:trPr>
          <w:trHeight w:val="397"/>
          <w:jc w:val="center"/>
        </w:trPr>
        <w:tc>
          <w:tcPr>
            <w:tcW w:w="349" w:type="pct"/>
            <w:vMerge/>
            <w:vAlign w:val="center"/>
          </w:tcPr>
          <w:p w14:paraId="26BB1664" w14:textId="77777777" w:rsidR="002E0859" w:rsidRDefault="002E0859">
            <w:pPr>
              <w:spacing w:line="240" w:lineRule="auto"/>
              <w:ind w:firstLineChars="0" w:firstLine="0"/>
              <w:jc w:val="center"/>
              <w:rPr>
                <w:color w:val="000000" w:themeColor="text1"/>
                <w:sz w:val="21"/>
              </w:rPr>
            </w:pPr>
          </w:p>
        </w:tc>
        <w:tc>
          <w:tcPr>
            <w:tcW w:w="1038" w:type="pct"/>
            <w:vAlign w:val="center"/>
          </w:tcPr>
          <w:p w14:paraId="7256CF25" w14:textId="77777777" w:rsidR="002E0859" w:rsidRDefault="00000000">
            <w:pPr>
              <w:spacing w:line="240" w:lineRule="auto"/>
              <w:ind w:firstLineChars="0" w:firstLine="0"/>
              <w:jc w:val="center"/>
              <w:rPr>
                <w:color w:val="000000" w:themeColor="text1"/>
                <w:sz w:val="21"/>
              </w:rPr>
            </w:pPr>
            <w:r>
              <w:rPr>
                <w:color w:val="000000" w:themeColor="text1"/>
                <w:sz w:val="21"/>
              </w:rPr>
              <w:t>聚合危害</w:t>
            </w:r>
          </w:p>
        </w:tc>
        <w:tc>
          <w:tcPr>
            <w:tcW w:w="833" w:type="pct"/>
            <w:vAlign w:val="center"/>
          </w:tcPr>
          <w:p w14:paraId="0755AFF6"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不聚合</w:t>
            </w:r>
          </w:p>
        </w:tc>
        <w:tc>
          <w:tcPr>
            <w:tcW w:w="1164" w:type="pct"/>
            <w:gridSpan w:val="3"/>
            <w:vAlign w:val="center"/>
          </w:tcPr>
          <w:p w14:paraId="7D4C2B08" w14:textId="77777777" w:rsidR="002E0859" w:rsidRDefault="00000000">
            <w:pPr>
              <w:spacing w:line="240" w:lineRule="auto"/>
              <w:ind w:firstLineChars="0" w:firstLine="0"/>
              <w:jc w:val="center"/>
              <w:rPr>
                <w:color w:val="000000" w:themeColor="text1"/>
                <w:sz w:val="21"/>
              </w:rPr>
            </w:pPr>
            <w:r>
              <w:rPr>
                <w:color w:val="000000" w:themeColor="text1"/>
                <w:sz w:val="21"/>
              </w:rPr>
              <w:t>禁忌物</w:t>
            </w:r>
          </w:p>
        </w:tc>
        <w:tc>
          <w:tcPr>
            <w:tcW w:w="1614" w:type="pct"/>
            <w:gridSpan w:val="3"/>
            <w:vAlign w:val="center"/>
          </w:tcPr>
          <w:p w14:paraId="6E1BDAB9"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w:t>
            </w:r>
          </w:p>
        </w:tc>
      </w:tr>
      <w:tr w:rsidR="002E0859" w14:paraId="662EDF9D" w14:textId="77777777">
        <w:trPr>
          <w:trHeight w:val="397"/>
          <w:jc w:val="center"/>
        </w:trPr>
        <w:tc>
          <w:tcPr>
            <w:tcW w:w="349" w:type="pct"/>
            <w:vMerge w:val="restart"/>
            <w:vAlign w:val="center"/>
          </w:tcPr>
          <w:p w14:paraId="2C56821A" w14:textId="77777777" w:rsidR="002E0859" w:rsidRDefault="00000000">
            <w:pPr>
              <w:spacing w:line="240" w:lineRule="auto"/>
              <w:ind w:firstLineChars="0" w:firstLine="0"/>
              <w:jc w:val="center"/>
              <w:rPr>
                <w:color w:val="000000" w:themeColor="text1"/>
                <w:sz w:val="21"/>
              </w:rPr>
            </w:pPr>
            <w:r>
              <w:rPr>
                <w:color w:val="000000" w:themeColor="text1"/>
                <w:sz w:val="21"/>
              </w:rPr>
              <w:t>包装与储运</w:t>
            </w:r>
          </w:p>
        </w:tc>
        <w:tc>
          <w:tcPr>
            <w:tcW w:w="1038" w:type="pct"/>
            <w:vAlign w:val="center"/>
          </w:tcPr>
          <w:p w14:paraId="0DC9F11F" w14:textId="77777777" w:rsidR="002E0859" w:rsidRDefault="00000000">
            <w:pPr>
              <w:spacing w:line="240" w:lineRule="auto"/>
              <w:ind w:firstLineChars="0" w:firstLine="0"/>
              <w:jc w:val="center"/>
              <w:rPr>
                <w:color w:val="000000" w:themeColor="text1"/>
                <w:sz w:val="21"/>
              </w:rPr>
            </w:pPr>
            <w:r>
              <w:rPr>
                <w:color w:val="000000" w:themeColor="text1"/>
                <w:sz w:val="21"/>
              </w:rPr>
              <w:t>危险性类别</w:t>
            </w:r>
          </w:p>
        </w:tc>
        <w:tc>
          <w:tcPr>
            <w:tcW w:w="833" w:type="pct"/>
            <w:vAlign w:val="center"/>
          </w:tcPr>
          <w:p w14:paraId="1733E54A" w14:textId="77777777" w:rsidR="002E0859" w:rsidRDefault="00000000">
            <w:pPr>
              <w:spacing w:line="240" w:lineRule="auto"/>
              <w:ind w:firstLineChars="0" w:firstLine="0"/>
              <w:jc w:val="center"/>
              <w:rPr>
                <w:color w:val="000000" w:themeColor="text1"/>
                <w:sz w:val="21"/>
              </w:rPr>
            </w:pPr>
            <w:r>
              <w:rPr>
                <w:color w:val="000000" w:themeColor="text1"/>
                <w:sz w:val="21"/>
              </w:rPr>
              <w:t>类别</w:t>
            </w:r>
            <w:r>
              <w:rPr>
                <w:color w:val="000000" w:themeColor="text1"/>
                <w:sz w:val="21"/>
              </w:rPr>
              <w:t>3</w:t>
            </w:r>
          </w:p>
        </w:tc>
        <w:tc>
          <w:tcPr>
            <w:tcW w:w="1164" w:type="pct"/>
            <w:gridSpan w:val="3"/>
            <w:vAlign w:val="center"/>
          </w:tcPr>
          <w:p w14:paraId="3CF0161C" w14:textId="77777777" w:rsidR="002E0859" w:rsidRDefault="00000000">
            <w:pPr>
              <w:spacing w:line="240" w:lineRule="auto"/>
              <w:ind w:firstLineChars="0" w:firstLine="0"/>
              <w:jc w:val="center"/>
              <w:rPr>
                <w:color w:val="000000" w:themeColor="text1"/>
                <w:sz w:val="21"/>
              </w:rPr>
            </w:pPr>
            <w:r>
              <w:rPr>
                <w:color w:val="000000" w:themeColor="text1"/>
                <w:sz w:val="21"/>
              </w:rPr>
              <w:t>危险货物包装标志</w:t>
            </w:r>
          </w:p>
        </w:tc>
        <w:tc>
          <w:tcPr>
            <w:tcW w:w="499" w:type="pct"/>
            <w:vAlign w:val="center"/>
          </w:tcPr>
          <w:p w14:paraId="618CFBEC"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2</w:t>
            </w:r>
          </w:p>
        </w:tc>
        <w:tc>
          <w:tcPr>
            <w:tcW w:w="664" w:type="pct"/>
            <w:vAlign w:val="center"/>
          </w:tcPr>
          <w:p w14:paraId="78A97F12" w14:textId="77777777" w:rsidR="002E0859" w:rsidRDefault="00000000">
            <w:pPr>
              <w:spacing w:line="240" w:lineRule="auto"/>
              <w:ind w:firstLineChars="0" w:firstLine="0"/>
              <w:jc w:val="center"/>
              <w:rPr>
                <w:color w:val="000000" w:themeColor="text1"/>
                <w:sz w:val="21"/>
              </w:rPr>
            </w:pPr>
            <w:r>
              <w:rPr>
                <w:color w:val="000000" w:themeColor="text1"/>
                <w:sz w:val="21"/>
              </w:rPr>
              <w:t>包装类别</w:t>
            </w:r>
          </w:p>
        </w:tc>
        <w:tc>
          <w:tcPr>
            <w:tcW w:w="449" w:type="pct"/>
            <w:vAlign w:val="center"/>
          </w:tcPr>
          <w:p w14:paraId="197CDCCA" w14:textId="77777777" w:rsidR="002E0859" w:rsidRDefault="00000000">
            <w:pPr>
              <w:spacing w:line="240" w:lineRule="auto"/>
              <w:ind w:firstLineChars="0" w:firstLine="0"/>
              <w:jc w:val="center"/>
              <w:rPr>
                <w:color w:val="000000" w:themeColor="text1"/>
                <w:sz w:val="21"/>
              </w:rPr>
            </w:pPr>
            <w:r>
              <w:rPr>
                <w:rFonts w:hint="eastAsia"/>
                <w:color w:val="000000" w:themeColor="text1"/>
                <w:sz w:val="21"/>
              </w:rPr>
              <w:t>O53</w:t>
            </w:r>
          </w:p>
        </w:tc>
      </w:tr>
      <w:tr w:rsidR="002E0859" w14:paraId="4436C67A" w14:textId="77777777">
        <w:trPr>
          <w:trHeight w:val="397"/>
          <w:jc w:val="center"/>
        </w:trPr>
        <w:tc>
          <w:tcPr>
            <w:tcW w:w="349" w:type="pct"/>
            <w:vMerge/>
            <w:vAlign w:val="center"/>
          </w:tcPr>
          <w:p w14:paraId="2F4566A6" w14:textId="77777777" w:rsidR="002E0859" w:rsidRDefault="002E0859">
            <w:pPr>
              <w:spacing w:line="240" w:lineRule="auto"/>
              <w:ind w:firstLineChars="0" w:firstLine="0"/>
              <w:jc w:val="center"/>
              <w:rPr>
                <w:color w:val="000000" w:themeColor="text1"/>
                <w:sz w:val="21"/>
              </w:rPr>
            </w:pPr>
          </w:p>
        </w:tc>
        <w:tc>
          <w:tcPr>
            <w:tcW w:w="1038" w:type="pct"/>
            <w:vAlign w:val="center"/>
          </w:tcPr>
          <w:p w14:paraId="147FB544" w14:textId="77777777" w:rsidR="002E0859" w:rsidRDefault="00000000">
            <w:pPr>
              <w:spacing w:line="240" w:lineRule="auto"/>
              <w:ind w:firstLineChars="0" w:firstLine="0"/>
              <w:rPr>
                <w:color w:val="000000" w:themeColor="text1"/>
                <w:sz w:val="21"/>
              </w:rPr>
            </w:pPr>
            <w:r>
              <w:rPr>
                <w:color w:val="000000" w:themeColor="text1"/>
                <w:sz w:val="21"/>
              </w:rPr>
              <w:t>储运注意事项：</w:t>
            </w:r>
          </w:p>
        </w:tc>
        <w:tc>
          <w:tcPr>
            <w:tcW w:w="3612" w:type="pct"/>
            <w:gridSpan w:val="7"/>
            <w:vAlign w:val="center"/>
          </w:tcPr>
          <w:p w14:paraId="0259A5B5" w14:textId="77777777" w:rsidR="002E0859" w:rsidRDefault="00000000">
            <w:pPr>
              <w:spacing w:line="240" w:lineRule="auto"/>
              <w:ind w:firstLineChars="0" w:firstLine="0"/>
              <w:jc w:val="left"/>
              <w:rPr>
                <w:color w:val="000000" w:themeColor="text1"/>
                <w:sz w:val="21"/>
              </w:rPr>
            </w:pPr>
            <w:r>
              <w:rPr>
                <w:color w:val="000000" w:themeColor="text1"/>
                <w:sz w:val="21"/>
              </w:rPr>
              <w:t>装运该物品的车辆排气管必须配备阻火装置，禁止使用易产生火花的机械设备和工具装卸。严禁与氧化剂、卤素等混运。高度不得超过车辆的防护栏板，并用三角木垫卡牢，防止滚动。钢瓶一般平放，并应将瓶口朝同一方向，不可交叉。采用钢瓶运输时必须戴好钢瓶上的安全帽。运输时运输车辆应配备相应品种和数量的消防器材及泄漏应急处理设备。运输前应先检查包装容器是否完整、密封。运输工具上应根据相关运输要求张贴危险标志、公告。</w:t>
            </w:r>
          </w:p>
        </w:tc>
      </w:tr>
      <w:tr w:rsidR="002E0859" w14:paraId="0C28795F" w14:textId="77777777">
        <w:trPr>
          <w:trHeight w:val="397"/>
          <w:jc w:val="center"/>
        </w:trPr>
        <w:tc>
          <w:tcPr>
            <w:tcW w:w="349" w:type="pct"/>
            <w:vMerge w:val="restart"/>
            <w:vAlign w:val="center"/>
          </w:tcPr>
          <w:p w14:paraId="0469193B" w14:textId="77777777" w:rsidR="002E0859" w:rsidRDefault="00000000">
            <w:pPr>
              <w:spacing w:line="240" w:lineRule="auto"/>
              <w:ind w:firstLineChars="0" w:firstLine="0"/>
              <w:jc w:val="center"/>
              <w:rPr>
                <w:color w:val="000000" w:themeColor="text1"/>
                <w:sz w:val="21"/>
              </w:rPr>
            </w:pPr>
            <w:r>
              <w:rPr>
                <w:color w:val="000000" w:themeColor="text1"/>
                <w:sz w:val="21"/>
              </w:rPr>
              <w:t>毒性与健康危害性</w:t>
            </w:r>
          </w:p>
        </w:tc>
        <w:tc>
          <w:tcPr>
            <w:tcW w:w="1038" w:type="pct"/>
            <w:vAlign w:val="center"/>
          </w:tcPr>
          <w:p w14:paraId="4EF9ADEC" w14:textId="77777777" w:rsidR="002E0859" w:rsidRDefault="00000000">
            <w:pPr>
              <w:spacing w:line="240" w:lineRule="auto"/>
              <w:ind w:firstLineChars="0" w:firstLine="0"/>
              <w:jc w:val="center"/>
              <w:rPr>
                <w:color w:val="000000" w:themeColor="text1"/>
                <w:sz w:val="21"/>
              </w:rPr>
            </w:pPr>
            <w:r>
              <w:rPr>
                <w:color w:val="000000" w:themeColor="text1"/>
                <w:sz w:val="21"/>
              </w:rPr>
              <w:t>健康危害</w:t>
            </w:r>
          </w:p>
        </w:tc>
        <w:tc>
          <w:tcPr>
            <w:tcW w:w="3612" w:type="pct"/>
            <w:gridSpan w:val="7"/>
            <w:vAlign w:val="center"/>
          </w:tcPr>
          <w:p w14:paraId="5B920722" w14:textId="77777777" w:rsidR="002E0859" w:rsidRDefault="00000000">
            <w:pPr>
              <w:spacing w:line="240" w:lineRule="auto"/>
              <w:ind w:firstLineChars="0" w:firstLine="0"/>
              <w:rPr>
                <w:color w:val="000000" w:themeColor="text1"/>
                <w:sz w:val="21"/>
              </w:rPr>
            </w:pPr>
            <w:r>
              <w:rPr>
                <w:color w:val="000000" w:themeColor="text1"/>
                <w:sz w:val="21"/>
              </w:rPr>
              <w:t>吸入本品可能引起瞌睡和头昏眼花，可能伴随嗜睡、警惕性下降、反射作用消失、失去协调性并感到眩晕。吸入该物质可能会引起对健康有害的影响或呼吸道不适。由于本品的物理状态，一般没有危害。在商业</w:t>
            </w:r>
            <w:r>
              <w:rPr>
                <w:color w:val="000000" w:themeColor="text1"/>
                <w:sz w:val="21"/>
              </w:rPr>
              <w:t>/</w:t>
            </w:r>
            <w:r>
              <w:rPr>
                <w:color w:val="000000" w:themeColor="text1"/>
                <w:sz w:val="21"/>
              </w:rPr>
              <w:t>工业场合中，认为本品不太可能进入体内。通过割伤、擦伤或病变处进入血液，可能产生全身损伤的有害作用。眼睛直接接触本品可导致暂时不适。</w:t>
            </w:r>
          </w:p>
        </w:tc>
      </w:tr>
      <w:tr w:rsidR="002E0859" w14:paraId="5C5652E2" w14:textId="77777777">
        <w:trPr>
          <w:trHeight w:val="397"/>
          <w:jc w:val="center"/>
        </w:trPr>
        <w:tc>
          <w:tcPr>
            <w:tcW w:w="349" w:type="pct"/>
            <w:vMerge/>
            <w:vAlign w:val="center"/>
          </w:tcPr>
          <w:p w14:paraId="07C4F912" w14:textId="77777777" w:rsidR="002E0859" w:rsidRDefault="002E0859">
            <w:pPr>
              <w:spacing w:line="240" w:lineRule="auto"/>
              <w:ind w:firstLineChars="0" w:firstLine="0"/>
              <w:jc w:val="center"/>
              <w:rPr>
                <w:color w:val="000000" w:themeColor="text1"/>
                <w:sz w:val="21"/>
              </w:rPr>
            </w:pPr>
          </w:p>
        </w:tc>
        <w:tc>
          <w:tcPr>
            <w:tcW w:w="1038" w:type="pct"/>
            <w:vAlign w:val="center"/>
          </w:tcPr>
          <w:p w14:paraId="2A93ECED" w14:textId="77777777" w:rsidR="002E0859" w:rsidRDefault="00000000">
            <w:pPr>
              <w:spacing w:line="240" w:lineRule="auto"/>
              <w:ind w:firstLineChars="0" w:firstLine="0"/>
              <w:jc w:val="center"/>
              <w:rPr>
                <w:color w:val="000000" w:themeColor="text1"/>
                <w:sz w:val="21"/>
              </w:rPr>
            </w:pPr>
            <w:r>
              <w:rPr>
                <w:color w:val="000000" w:themeColor="text1"/>
                <w:sz w:val="21"/>
              </w:rPr>
              <w:t>侵入途径</w:t>
            </w:r>
          </w:p>
        </w:tc>
        <w:tc>
          <w:tcPr>
            <w:tcW w:w="3612" w:type="pct"/>
            <w:gridSpan w:val="7"/>
            <w:vAlign w:val="center"/>
          </w:tcPr>
          <w:p w14:paraId="07F4FB38" w14:textId="77777777" w:rsidR="002E0859" w:rsidRDefault="00000000">
            <w:pPr>
              <w:spacing w:line="240" w:lineRule="auto"/>
              <w:ind w:firstLineChars="0" w:firstLine="0"/>
              <w:rPr>
                <w:color w:val="000000" w:themeColor="text1"/>
                <w:sz w:val="21"/>
              </w:rPr>
            </w:pPr>
            <w:r>
              <w:rPr>
                <w:rFonts w:hint="eastAsia"/>
                <w:color w:val="000000" w:themeColor="text1"/>
                <w:sz w:val="21"/>
              </w:rPr>
              <w:t>吸入、皮肤接触</w:t>
            </w:r>
          </w:p>
        </w:tc>
      </w:tr>
      <w:tr w:rsidR="002E0859" w14:paraId="57AFD04B" w14:textId="77777777">
        <w:trPr>
          <w:trHeight w:val="397"/>
          <w:jc w:val="center"/>
        </w:trPr>
        <w:tc>
          <w:tcPr>
            <w:tcW w:w="349" w:type="pct"/>
            <w:vMerge w:val="restart"/>
            <w:vAlign w:val="center"/>
          </w:tcPr>
          <w:p w14:paraId="76B68323" w14:textId="77777777" w:rsidR="002E0859" w:rsidRDefault="00000000">
            <w:pPr>
              <w:spacing w:line="240" w:lineRule="auto"/>
              <w:ind w:firstLineChars="0" w:firstLine="0"/>
              <w:jc w:val="center"/>
              <w:rPr>
                <w:color w:val="000000" w:themeColor="text1"/>
                <w:sz w:val="21"/>
              </w:rPr>
            </w:pPr>
            <w:r>
              <w:rPr>
                <w:color w:val="000000" w:themeColor="text1"/>
                <w:sz w:val="21"/>
              </w:rPr>
              <w:t>急救</w:t>
            </w:r>
          </w:p>
        </w:tc>
        <w:tc>
          <w:tcPr>
            <w:tcW w:w="1038" w:type="pct"/>
            <w:vAlign w:val="center"/>
          </w:tcPr>
          <w:p w14:paraId="52D1CA27" w14:textId="77777777" w:rsidR="002E0859" w:rsidRDefault="00000000">
            <w:pPr>
              <w:spacing w:line="240" w:lineRule="auto"/>
              <w:ind w:firstLineChars="0" w:firstLine="0"/>
              <w:jc w:val="center"/>
              <w:rPr>
                <w:color w:val="000000" w:themeColor="text1"/>
                <w:sz w:val="21"/>
              </w:rPr>
            </w:pPr>
            <w:r>
              <w:rPr>
                <w:color w:val="000000" w:themeColor="text1"/>
                <w:sz w:val="21"/>
              </w:rPr>
              <w:t>皮肤接触</w:t>
            </w:r>
          </w:p>
        </w:tc>
        <w:tc>
          <w:tcPr>
            <w:tcW w:w="3612" w:type="pct"/>
            <w:gridSpan w:val="7"/>
            <w:vAlign w:val="center"/>
          </w:tcPr>
          <w:p w14:paraId="55451E7F" w14:textId="77777777" w:rsidR="002E0859" w:rsidRDefault="00000000">
            <w:pPr>
              <w:spacing w:line="240" w:lineRule="auto"/>
              <w:ind w:firstLineChars="0" w:firstLine="0"/>
              <w:rPr>
                <w:color w:val="000000" w:themeColor="text1"/>
                <w:sz w:val="21"/>
              </w:rPr>
            </w:pPr>
            <w:r>
              <w:rPr>
                <w:rFonts w:hint="eastAsia"/>
                <w:color w:val="000000" w:themeColor="text1"/>
                <w:sz w:val="21"/>
              </w:rPr>
              <w:t>如有冻伤，</w:t>
            </w:r>
            <w:r>
              <w:rPr>
                <w:color w:val="000000" w:themeColor="text1"/>
                <w:sz w:val="21"/>
              </w:rPr>
              <w:t>就医。</w:t>
            </w:r>
          </w:p>
        </w:tc>
      </w:tr>
      <w:tr w:rsidR="002E0859" w14:paraId="3C4989C2" w14:textId="77777777">
        <w:trPr>
          <w:trHeight w:val="397"/>
          <w:jc w:val="center"/>
        </w:trPr>
        <w:tc>
          <w:tcPr>
            <w:tcW w:w="349" w:type="pct"/>
            <w:vMerge/>
            <w:vAlign w:val="center"/>
          </w:tcPr>
          <w:p w14:paraId="0ED6A524" w14:textId="77777777" w:rsidR="002E0859" w:rsidRDefault="002E0859">
            <w:pPr>
              <w:spacing w:line="240" w:lineRule="auto"/>
              <w:ind w:firstLineChars="0" w:firstLine="0"/>
              <w:jc w:val="center"/>
              <w:rPr>
                <w:color w:val="000000" w:themeColor="text1"/>
                <w:sz w:val="21"/>
              </w:rPr>
            </w:pPr>
          </w:p>
        </w:tc>
        <w:tc>
          <w:tcPr>
            <w:tcW w:w="1038" w:type="pct"/>
            <w:vAlign w:val="center"/>
          </w:tcPr>
          <w:p w14:paraId="5B8A0C06" w14:textId="77777777" w:rsidR="002E0859" w:rsidRDefault="00000000">
            <w:pPr>
              <w:spacing w:line="240" w:lineRule="auto"/>
              <w:ind w:firstLineChars="0" w:firstLine="0"/>
              <w:jc w:val="center"/>
              <w:rPr>
                <w:color w:val="000000" w:themeColor="text1"/>
                <w:sz w:val="21"/>
              </w:rPr>
            </w:pPr>
            <w:r>
              <w:rPr>
                <w:color w:val="000000" w:themeColor="text1"/>
                <w:sz w:val="21"/>
              </w:rPr>
              <w:t>眼睛接触</w:t>
            </w:r>
          </w:p>
        </w:tc>
        <w:tc>
          <w:tcPr>
            <w:tcW w:w="3612" w:type="pct"/>
            <w:gridSpan w:val="7"/>
            <w:vAlign w:val="center"/>
          </w:tcPr>
          <w:p w14:paraId="59FC39FD" w14:textId="77777777" w:rsidR="002E0859" w:rsidRDefault="00000000">
            <w:pPr>
              <w:spacing w:line="240" w:lineRule="auto"/>
              <w:ind w:firstLineChars="0" w:firstLine="0"/>
              <w:rPr>
                <w:color w:val="000000" w:themeColor="text1"/>
                <w:sz w:val="21"/>
              </w:rPr>
            </w:pPr>
            <w:r>
              <w:rPr>
                <w:rFonts w:hint="eastAsia"/>
                <w:color w:val="000000" w:themeColor="text1"/>
                <w:sz w:val="21"/>
              </w:rPr>
              <w:t>如有冻伤，</w:t>
            </w:r>
            <w:r>
              <w:rPr>
                <w:color w:val="000000" w:themeColor="text1"/>
                <w:sz w:val="21"/>
              </w:rPr>
              <w:t>就医。</w:t>
            </w:r>
          </w:p>
        </w:tc>
      </w:tr>
      <w:tr w:rsidR="002E0859" w14:paraId="40841C36" w14:textId="77777777">
        <w:trPr>
          <w:trHeight w:val="397"/>
          <w:jc w:val="center"/>
        </w:trPr>
        <w:tc>
          <w:tcPr>
            <w:tcW w:w="349" w:type="pct"/>
            <w:vMerge/>
            <w:vAlign w:val="center"/>
          </w:tcPr>
          <w:p w14:paraId="6C36B210" w14:textId="77777777" w:rsidR="002E0859" w:rsidRDefault="002E0859">
            <w:pPr>
              <w:spacing w:line="240" w:lineRule="auto"/>
              <w:ind w:firstLineChars="0" w:firstLine="0"/>
              <w:jc w:val="center"/>
              <w:rPr>
                <w:color w:val="000000" w:themeColor="text1"/>
                <w:sz w:val="21"/>
              </w:rPr>
            </w:pPr>
          </w:p>
        </w:tc>
        <w:tc>
          <w:tcPr>
            <w:tcW w:w="1038" w:type="pct"/>
            <w:vAlign w:val="center"/>
          </w:tcPr>
          <w:p w14:paraId="095A00CF" w14:textId="77777777" w:rsidR="002E0859" w:rsidRDefault="00000000">
            <w:pPr>
              <w:spacing w:line="240" w:lineRule="auto"/>
              <w:ind w:firstLineChars="0" w:firstLine="0"/>
              <w:jc w:val="center"/>
              <w:rPr>
                <w:color w:val="000000" w:themeColor="text1"/>
                <w:sz w:val="21"/>
              </w:rPr>
            </w:pPr>
            <w:r>
              <w:rPr>
                <w:color w:val="000000" w:themeColor="text1"/>
                <w:sz w:val="21"/>
              </w:rPr>
              <w:t>吸入</w:t>
            </w:r>
          </w:p>
        </w:tc>
        <w:tc>
          <w:tcPr>
            <w:tcW w:w="3612" w:type="pct"/>
            <w:gridSpan w:val="7"/>
            <w:vAlign w:val="center"/>
          </w:tcPr>
          <w:p w14:paraId="5CDDB560" w14:textId="77777777" w:rsidR="002E0859" w:rsidRDefault="00000000">
            <w:pPr>
              <w:spacing w:line="240" w:lineRule="auto"/>
              <w:ind w:firstLineChars="0" w:firstLine="0"/>
              <w:rPr>
                <w:color w:val="000000" w:themeColor="text1"/>
                <w:sz w:val="21"/>
              </w:rPr>
            </w:pPr>
            <w:r>
              <w:rPr>
                <w:color w:val="000000" w:themeColor="text1"/>
                <w:sz w:val="21"/>
              </w:rPr>
              <w:t>立即将患者移到新鲜空气处，保持呼吸畅通。如果呼吸困难，给于吸氧。如患者食入或吸入本物质，不得进行口对口人工呼吸。如果呼吸停止。立即进行心肺复苏术。立即就医。</w:t>
            </w:r>
          </w:p>
        </w:tc>
      </w:tr>
      <w:tr w:rsidR="002E0859" w14:paraId="2B417948" w14:textId="77777777">
        <w:trPr>
          <w:trHeight w:val="397"/>
          <w:jc w:val="center"/>
        </w:trPr>
        <w:tc>
          <w:tcPr>
            <w:tcW w:w="349" w:type="pct"/>
            <w:vMerge w:val="restart"/>
            <w:vAlign w:val="center"/>
          </w:tcPr>
          <w:p w14:paraId="273B1285" w14:textId="77777777" w:rsidR="002E0859" w:rsidRDefault="00000000">
            <w:pPr>
              <w:spacing w:line="240" w:lineRule="auto"/>
              <w:ind w:firstLineChars="0" w:firstLine="0"/>
              <w:jc w:val="center"/>
              <w:rPr>
                <w:color w:val="000000" w:themeColor="text1"/>
                <w:sz w:val="21"/>
              </w:rPr>
            </w:pPr>
            <w:r>
              <w:rPr>
                <w:color w:val="000000" w:themeColor="text1"/>
                <w:sz w:val="21"/>
              </w:rPr>
              <w:t>防护措施</w:t>
            </w:r>
          </w:p>
        </w:tc>
        <w:tc>
          <w:tcPr>
            <w:tcW w:w="1038" w:type="pct"/>
            <w:vAlign w:val="center"/>
          </w:tcPr>
          <w:p w14:paraId="2042360F" w14:textId="77777777" w:rsidR="002E0859" w:rsidRDefault="00000000">
            <w:pPr>
              <w:spacing w:line="240" w:lineRule="auto"/>
              <w:ind w:firstLineChars="0" w:firstLine="0"/>
              <w:jc w:val="center"/>
              <w:rPr>
                <w:color w:val="000000" w:themeColor="text1"/>
                <w:sz w:val="21"/>
              </w:rPr>
            </w:pPr>
            <w:r>
              <w:rPr>
                <w:color w:val="000000" w:themeColor="text1"/>
                <w:sz w:val="21"/>
              </w:rPr>
              <w:t>工程控制</w:t>
            </w:r>
          </w:p>
        </w:tc>
        <w:tc>
          <w:tcPr>
            <w:tcW w:w="3612" w:type="pct"/>
            <w:gridSpan w:val="7"/>
            <w:vAlign w:val="center"/>
          </w:tcPr>
          <w:p w14:paraId="2720AAB4" w14:textId="77777777" w:rsidR="002E0859" w:rsidRDefault="00000000">
            <w:pPr>
              <w:spacing w:line="240" w:lineRule="auto"/>
              <w:ind w:firstLineChars="0" w:firstLine="0"/>
              <w:jc w:val="left"/>
              <w:rPr>
                <w:color w:val="000000" w:themeColor="text1"/>
                <w:sz w:val="21"/>
              </w:rPr>
            </w:pPr>
            <w:r>
              <w:rPr>
                <w:rFonts w:hint="eastAsia"/>
                <w:color w:val="000000" w:themeColor="text1"/>
                <w:sz w:val="21"/>
              </w:rPr>
              <w:t>密闭操作，</w:t>
            </w:r>
            <w:r>
              <w:rPr>
                <w:color w:val="000000" w:themeColor="text1"/>
                <w:sz w:val="21"/>
              </w:rPr>
              <w:t>保持充分的</w:t>
            </w:r>
            <w:r>
              <w:rPr>
                <w:rFonts w:hint="eastAsia"/>
                <w:color w:val="000000" w:themeColor="text1"/>
                <w:sz w:val="21"/>
              </w:rPr>
              <w:t>自然</w:t>
            </w:r>
            <w:r>
              <w:rPr>
                <w:color w:val="000000" w:themeColor="text1"/>
                <w:sz w:val="21"/>
              </w:rPr>
              <w:t>通风。</w:t>
            </w:r>
          </w:p>
        </w:tc>
      </w:tr>
      <w:tr w:rsidR="002E0859" w14:paraId="7870143A" w14:textId="77777777">
        <w:trPr>
          <w:trHeight w:val="397"/>
          <w:jc w:val="center"/>
        </w:trPr>
        <w:tc>
          <w:tcPr>
            <w:tcW w:w="349" w:type="pct"/>
            <w:vMerge/>
            <w:vAlign w:val="center"/>
          </w:tcPr>
          <w:p w14:paraId="09D69A59" w14:textId="77777777" w:rsidR="002E0859" w:rsidRDefault="002E0859">
            <w:pPr>
              <w:spacing w:line="240" w:lineRule="auto"/>
              <w:ind w:firstLineChars="0" w:firstLine="0"/>
              <w:jc w:val="center"/>
              <w:rPr>
                <w:color w:val="000000" w:themeColor="text1"/>
                <w:sz w:val="21"/>
              </w:rPr>
            </w:pPr>
          </w:p>
        </w:tc>
        <w:tc>
          <w:tcPr>
            <w:tcW w:w="1038" w:type="pct"/>
            <w:vAlign w:val="center"/>
          </w:tcPr>
          <w:p w14:paraId="08EBFDFC" w14:textId="77777777" w:rsidR="002E0859" w:rsidRDefault="00000000">
            <w:pPr>
              <w:spacing w:line="240" w:lineRule="auto"/>
              <w:ind w:firstLineChars="0" w:firstLine="0"/>
              <w:jc w:val="center"/>
              <w:rPr>
                <w:color w:val="000000" w:themeColor="text1"/>
                <w:sz w:val="21"/>
              </w:rPr>
            </w:pPr>
            <w:r>
              <w:rPr>
                <w:color w:val="000000" w:themeColor="text1"/>
                <w:sz w:val="21"/>
              </w:rPr>
              <w:t>呼吸系统防护</w:t>
            </w:r>
          </w:p>
        </w:tc>
        <w:tc>
          <w:tcPr>
            <w:tcW w:w="3612" w:type="pct"/>
            <w:gridSpan w:val="7"/>
            <w:vAlign w:val="center"/>
          </w:tcPr>
          <w:p w14:paraId="607B621E" w14:textId="77777777" w:rsidR="002E0859" w:rsidRDefault="00000000">
            <w:pPr>
              <w:spacing w:line="240" w:lineRule="auto"/>
              <w:ind w:firstLineChars="0" w:firstLine="0"/>
              <w:jc w:val="left"/>
              <w:rPr>
                <w:color w:val="000000" w:themeColor="text1"/>
                <w:sz w:val="21"/>
              </w:rPr>
            </w:pPr>
            <w:r>
              <w:rPr>
                <w:color w:val="000000" w:themeColor="text1"/>
                <w:sz w:val="21"/>
              </w:rPr>
              <w:t>一般不需要特别防备，高浓度接触时可</w:t>
            </w:r>
            <w:r>
              <w:rPr>
                <w:rFonts w:hint="eastAsia"/>
                <w:color w:val="000000" w:themeColor="text1"/>
                <w:sz w:val="21"/>
              </w:rPr>
              <w:t>佩</w:t>
            </w:r>
            <w:r>
              <w:rPr>
                <w:color w:val="000000" w:themeColor="text1"/>
                <w:sz w:val="21"/>
              </w:rPr>
              <w:t>戴空气呼吸器。</w:t>
            </w:r>
          </w:p>
        </w:tc>
      </w:tr>
      <w:tr w:rsidR="002E0859" w14:paraId="6DA4DDB3" w14:textId="77777777">
        <w:trPr>
          <w:trHeight w:val="397"/>
          <w:jc w:val="center"/>
        </w:trPr>
        <w:tc>
          <w:tcPr>
            <w:tcW w:w="349" w:type="pct"/>
            <w:vMerge/>
            <w:vAlign w:val="center"/>
          </w:tcPr>
          <w:p w14:paraId="7EC4F485" w14:textId="77777777" w:rsidR="002E0859" w:rsidRDefault="002E0859">
            <w:pPr>
              <w:spacing w:line="240" w:lineRule="auto"/>
              <w:ind w:firstLineChars="0" w:firstLine="0"/>
              <w:jc w:val="center"/>
              <w:rPr>
                <w:color w:val="000000" w:themeColor="text1"/>
                <w:sz w:val="21"/>
              </w:rPr>
            </w:pPr>
          </w:p>
        </w:tc>
        <w:tc>
          <w:tcPr>
            <w:tcW w:w="1038" w:type="pct"/>
            <w:vAlign w:val="center"/>
          </w:tcPr>
          <w:p w14:paraId="64E59178" w14:textId="77777777" w:rsidR="002E0859" w:rsidRDefault="00000000">
            <w:pPr>
              <w:spacing w:line="240" w:lineRule="auto"/>
              <w:ind w:firstLineChars="0" w:firstLine="0"/>
              <w:jc w:val="center"/>
              <w:rPr>
                <w:color w:val="000000" w:themeColor="text1"/>
                <w:sz w:val="21"/>
              </w:rPr>
            </w:pPr>
            <w:r>
              <w:rPr>
                <w:color w:val="000000" w:themeColor="text1"/>
                <w:sz w:val="21"/>
              </w:rPr>
              <w:t>眼睛防护</w:t>
            </w:r>
          </w:p>
        </w:tc>
        <w:tc>
          <w:tcPr>
            <w:tcW w:w="3612" w:type="pct"/>
            <w:gridSpan w:val="7"/>
            <w:vAlign w:val="center"/>
          </w:tcPr>
          <w:p w14:paraId="560A8BDF" w14:textId="77777777" w:rsidR="002E0859" w:rsidRDefault="00000000">
            <w:pPr>
              <w:spacing w:line="240" w:lineRule="auto"/>
              <w:ind w:firstLineChars="0" w:firstLine="0"/>
              <w:jc w:val="left"/>
              <w:rPr>
                <w:color w:val="000000" w:themeColor="text1"/>
                <w:sz w:val="21"/>
              </w:rPr>
            </w:pPr>
            <w:r>
              <w:rPr>
                <w:color w:val="000000" w:themeColor="text1"/>
                <w:sz w:val="21"/>
              </w:rPr>
              <w:t>一般不需要特别防备</w:t>
            </w:r>
            <w:r>
              <w:rPr>
                <w:rFonts w:hint="eastAsia"/>
                <w:color w:val="000000" w:themeColor="text1"/>
                <w:sz w:val="21"/>
              </w:rPr>
              <w:t>。</w:t>
            </w:r>
          </w:p>
        </w:tc>
      </w:tr>
      <w:tr w:rsidR="002E0859" w14:paraId="23ED91DF" w14:textId="77777777">
        <w:trPr>
          <w:trHeight w:val="397"/>
          <w:jc w:val="center"/>
        </w:trPr>
        <w:tc>
          <w:tcPr>
            <w:tcW w:w="349" w:type="pct"/>
            <w:vMerge/>
            <w:vAlign w:val="center"/>
          </w:tcPr>
          <w:p w14:paraId="68DA073F" w14:textId="77777777" w:rsidR="002E0859" w:rsidRDefault="002E0859">
            <w:pPr>
              <w:spacing w:line="240" w:lineRule="auto"/>
              <w:ind w:firstLineChars="0" w:firstLine="0"/>
              <w:jc w:val="center"/>
              <w:rPr>
                <w:color w:val="000000" w:themeColor="text1"/>
                <w:sz w:val="21"/>
              </w:rPr>
            </w:pPr>
          </w:p>
        </w:tc>
        <w:tc>
          <w:tcPr>
            <w:tcW w:w="1038" w:type="pct"/>
            <w:vAlign w:val="center"/>
          </w:tcPr>
          <w:p w14:paraId="0F54F965" w14:textId="77777777" w:rsidR="002E0859" w:rsidRDefault="00000000">
            <w:pPr>
              <w:spacing w:line="240" w:lineRule="auto"/>
              <w:ind w:firstLineChars="0" w:firstLine="0"/>
              <w:jc w:val="center"/>
              <w:rPr>
                <w:color w:val="000000" w:themeColor="text1"/>
                <w:sz w:val="21"/>
              </w:rPr>
            </w:pPr>
            <w:r>
              <w:rPr>
                <w:color w:val="000000" w:themeColor="text1"/>
                <w:sz w:val="21"/>
              </w:rPr>
              <w:t>防护服</w:t>
            </w:r>
          </w:p>
        </w:tc>
        <w:tc>
          <w:tcPr>
            <w:tcW w:w="3612" w:type="pct"/>
            <w:gridSpan w:val="7"/>
            <w:vAlign w:val="center"/>
          </w:tcPr>
          <w:p w14:paraId="49F054AF" w14:textId="77777777" w:rsidR="002E0859" w:rsidRDefault="00000000">
            <w:pPr>
              <w:spacing w:line="240" w:lineRule="auto"/>
              <w:ind w:firstLineChars="0" w:firstLine="0"/>
              <w:jc w:val="left"/>
              <w:rPr>
                <w:color w:val="000000" w:themeColor="text1"/>
                <w:sz w:val="21"/>
              </w:rPr>
            </w:pPr>
            <w:r>
              <w:rPr>
                <w:color w:val="000000" w:themeColor="text1"/>
                <w:sz w:val="21"/>
              </w:rPr>
              <w:t>穿一般作业工作服。</w:t>
            </w:r>
          </w:p>
        </w:tc>
      </w:tr>
      <w:tr w:rsidR="002E0859" w14:paraId="34FD30CE" w14:textId="77777777">
        <w:trPr>
          <w:trHeight w:val="397"/>
          <w:jc w:val="center"/>
        </w:trPr>
        <w:tc>
          <w:tcPr>
            <w:tcW w:w="349" w:type="pct"/>
            <w:vMerge/>
            <w:vAlign w:val="center"/>
          </w:tcPr>
          <w:p w14:paraId="6C01D8BF" w14:textId="77777777" w:rsidR="002E0859" w:rsidRDefault="002E0859">
            <w:pPr>
              <w:spacing w:line="240" w:lineRule="auto"/>
              <w:ind w:firstLineChars="0" w:firstLine="0"/>
              <w:jc w:val="center"/>
              <w:rPr>
                <w:color w:val="000000" w:themeColor="text1"/>
                <w:sz w:val="21"/>
              </w:rPr>
            </w:pPr>
          </w:p>
        </w:tc>
        <w:tc>
          <w:tcPr>
            <w:tcW w:w="1038" w:type="pct"/>
            <w:vAlign w:val="center"/>
          </w:tcPr>
          <w:p w14:paraId="1DE51532" w14:textId="77777777" w:rsidR="002E0859" w:rsidRDefault="00000000">
            <w:pPr>
              <w:spacing w:line="240" w:lineRule="auto"/>
              <w:ind w:firstLineChars="0" w:firstLine="0"/>
              <w:jc w:val="center"/>
              <w:rPr>
                <w:color w:val="000000" w:themeColor="text1"/>
                <w:sz w:val="21"/>
              </w:rPr>
            </w:pPr>
            <w:r>
              <w:rPr>
                <w:color w:val="000000" w:themeColor="text1"/>
                <w:sz w:val="21"/>
              </w:rPr>
              <w:t>手防护</w:t>
            </w:r>
          </w:p>
        </w:tc>
        <w:tc>
          <w:tcPr>
            <w:tcW w:w="3612" w:type="pct"/>
            <w:gridSpan w:val="7"/>
            <w:vAlign w:val="center"/>
          </w:tcPr>
          <w:p w14:paraId="786AD1BD" w14:textId="77777777" w:rsidR="002E0859" w:rsidRDefault="00000000">
            <w:pPr>
              <w:spacing w:line="240" w:lineRule="auto"/>
              <w:ind w:firstLineChars="0" w:firstLine="0"/>
              <w:jc w:val="left"/>
              <w:rPr>
                <w:color w:val="000000" w:themeColor="text1"/>
                <w:sz w:val="21"/>
              </w:rPr>
            </w:pPr>
            <w:r>
              <w:rPr>
                <w:color w:val="000000" w:themeColor="text1"/>
                <w:sz w:val="21"/>
              </w:rPr>
              <w:t>戴一般作业防备手套。</w:t>
            </w:r>
          </w:p>
        </w:tc>
      </w:tr>
      <w:tr w:rsidR="002E0859" w14:paraId="3C3CA41A" w14:textId="77777777">
        <w:trPr>
          <w:trHeight w:val="397"/>
          <w:jc w:val="center"/>
        </w:trPr>
        <w:tc>
          <w:tcPr>
            <w:tcW w:w="349" w:type="pct"/>
            <w:vMerge/>
            <w:vAlign w:val="center"/>
          </w:tcPr>
          <w:p w14:paraId="70460D19" w14:textId="77777777" w:rsidR="002E0859" w:rsidRDefault="002E0859">
            <w:pPr>
              <w:spacing w:line="240" w:lineRule="auto"/>
              <w:ind w:firstLineChars="0" w:firstLine="0"/>
              <w:jc w:val="center"/>
              <w:rPr>
                <w:color w:val="000000" w:themeColor="text1"/>
                <w:sz w:val="21"/>
              </w:rPr>
            </w:pPr>
          </w:p>
        </w:tc>
        <w:tc>
          <w:tcPr>
            <w:tcW w:w="1038" w:type="pct"/>
            <w:vAlign w:val="center"/>
          </w:tcPr>
          <w:p w14:paraId="4A71761C" w14:textId="77777777" w:rsidR="002E0859" w:rsidRDefault="00000000">
            <w:pPr>
              <w:spacing w:line="240" w:lineRule="auto"/>
              <w:ind w:firstLineChars="0" w:firstLine="0"/>
              <w:jc w:val="center"/>
              <w:rPr>
                <w:color w:val="000000" w:themeColor="text1"/>
                <w:sz w:val="21"/>
              </w:rPr>
            </w:pPr>
            <w:r>
              <w:rPr>
                <w:color w:val="000000" w:themeColor="text1"/>
                <w:sz w:val="21"/>
              </w:rPr>
              <w:t>其它</w:t>
            </w:r>
          </w:p>
        </w:tc>
        <w:tc>
          <w:tcPr>
            <w:tcW w:w="3612" w:type="pct"/>
            <w:gridSpan w:val="7"/>
            <w:vAlign w:val="center"/>
          </w:tcPr>
          <w:p w14:paraId="7DCCFE17" w14:textId="77777777" w:rsidR="002E0859" w:rsidRDefault="00000000">
            <w:pPr>
              <w:spacing w:line="240" w:lineRule="auto"/>
              <w:ind w:firstLineChars="0" w:firstLine="0"/>
              <w:jc w:val="left"/>
              <w:rPr>
                <w:color w:val="000000" w:themeColor="text1"/>
                <w:sz w:val="21"/>
              </w:rPr>
            </w:pPr>
            <w:r>
              <w:rPr>
                <w:color w:val="000000" w:themeColor="text1"/>
                <w:sz w:val="21"/>
              </w:rPr>
              <w:t>防止高浓度吸入。进入罐、限制性空间或其余高浓度区作业，须有人监护。</w:t>
            </w:r>
          </w:p>
        </w:tc>
      </w:tr>
      <w:tr w:rsidR="002E0859" w14:paraId="1D94DAF9" w14:textId="77777777">
        <w:trPr>
          <w:trHeight w:val="397"/>
          <w:jc w:val="center"/>
        </w:trPr>
        <w:tc>
          <w:tcPr>
            <w:tcW w:w="349" w:type="pct"/>
            <w:vAlign w:val="center"/>
          </w:tcPr>
          <w:p w14:paraId="7D705B13" w14:textId="77777777" w:rsidR="002E0859" w:rsidRDefault="00000000">
            <w:pPr>
              <w:spacing w:line="240" w:lineRule="auto"/>
              <w:ind w:firstLineChars="0" w:firstLine="0"/>
              <w:jc w:val="center"/>
              <w:rPr>
                <w:color w:val="000000" w:themeColor="text1"/>
                <w:sz w:val="21"/>
              </w:rPr>
            </w:pPr>
            <w:r>
              <w:rPr>
                <w:color w:val="000000" w:themeColor="text1"/>
                <w:sz w:val="21"/>
              </w:rPr>
              <w:t>泄漏处置</w:t>
            </w:r>
          </w:p>
        </w:tc>
        <w:tc>
          <w:tcPr>
            <w:tcW w:w="4650" w:type="pct"/>
            <w:gridSpan w:val="8"/>
            <w:vAlign w:val="center"/>
          </w:tcPr>
          <w:p w14:paraId="5A62DBBD" w14:textId="77777777" w:rsidR="002E0859" w:rsidRDefault="00000000">
            <w:pPr>
              <w:spacing w:line="240" w:lineRule="auto"/>
              <w:ind w:firstLineChars="0" w:firstLine="0"/>
              <w:jc w:val="left"/>
              <w:rPr>
                <w:color w:val="000000" w:themeColor="text1"/>
                <w:sz w:val="21"/>
              </w:rPr>
            </w:pPr>
            <w:r>
              <w:rPr>
                <w:color w:val="000000" w:themeColor="text1"/>
                <w:sz w:val="21"/>
              </w:rPr>
              <w:t>快速撤退泄露污染区人员至上风处，并进行隔绝，严格限制进出。建议应急办理人员戴自给正压式呼吸器，穿一般作业工作服。尽可能切断泄露源。合理通风，加快扩散。漏气容器要妥当办理，修复、查验后再用。</w:t>
            </w:r>
          </w:p>
        </w:tc>
      </w:tr>
    </w:tbl>
    <w:p w14:paraId="72A138DA" w14:textId="77777777" w:rsidR="002E0859" w:rsidRDefault="00000000">
      <w:pPr>
        <w:numPr>
          <w:ilvl w:val="3"/>
          <w:numId w:val="1"/>
        </w:numPr>
        <w:spacing w:line="360" w:lineRule="auto"/>
        <w:ind w:firstLineChars="0"/>
        <w:outlineLvl w:val="3"/>
        <w:rPr>
          <w:b/>
          <w:bCs/>
          <w:color w:val="000000" w:themeColor="text1"/>
          <w:sz w:val="24"/>
          <w:szCs w:val="24"/>
        </w:rPr>
      </w:pPr>
      <w:r>
        <w:rPr>
          <w:rFonts w:hint="eastAsia"/>
          <w:b/>
          <w:bCs/>
          <w:color w:val="000000" w:themeColor="text1"/>
          <w:sz w:val="24"/>
          <w:szCs w:val="24"/>
        </w:rPr>
        <w:t>汽油</w:t>
      </w:r>
    </w:p>
    <w:p w14:paraId="2E0EFE74" w14:textId="77777777" w:rsidR="002E0859" w:rsidRDefault="00000000">
      <w:pPr>
        <w:spacing w:line="360" w:lineRule="auto"/>
        <w:ind w:firstLine="480"/>
        <w:rPr>
          <w:color w:val="000000" w:themeColor="text1"/>
          <w:sz w:val="24"/>
          <w:szCs w:val="24"/>
        </w:rPr>
      </w:pPr>
      <w:r>
        <w:rPr>
          <w:rFonts w:hint="eastAsia"/>
          <w:color w:val="000000" w:themeColor="text1"/>
          <w:sz w:val="24"/>
          <w:szCs w:val="24"/>
        </w:rPr>
        <w:t>汽油</w:t>
      </w:r>
      <w:r>
        <w:rPr>
          <w:color w:val="000000" w:themeColor="text1"/>
          <w:sz w:val="24"/>
          <w:szCs w:val="24"/>
        </w:rPr>
        <w:t>的主要危险有害特性见表</w:t>
      </w:r>
      <w:r>
        <w:rPr>
          <w:rFonts w:hint="eastAsia"/>
          <w:color w:val="000000" w:themeColor="text1"/>
          <w:sz w:val="24"/>
          <w:szCs w:val="24"/>
        </w:rPr>
        <w:t>3.1-5</w:t>
      </w:r>
      <w:r>
        <w:rPr>
          <w:color w:val="000000" w:themeColor="text1"/>
          <w:sz w:val="24"/>
          <w:szCs w:val="24"/>
        </w:rPr>
        <w:t>。</w:t>
      </w:r>
    </w:p>
    <w:p w14:paraId="10447A57" w14:textId="77777777" w:rsidR="002E0859" w:rsidRDefault="00000000">
      <w:pPr>
        <w:pStyle w:val="a8"/>
        <w:spacing w:before="42" w:line="359" w:lineRule="auto"/>
        <w:ind w:right="103"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5</w:t>
      </w:r>
      <w:r>
        <w:rPr>
          <w:rFonts w:ascii="Times New Roman" w:eastAsia="黑体" w:hAnsi="Times New Roman" w:cs="Times New Roman"/>
          <w:color w:val="000000" w:themeColor="text1"/>
          <w:sz w:val="21"/>
          <w:szCs w:val="21"/>
          <w:lang w:eastAsia="zh-CN"/>
        </w:rPr>
        <w:t xml:space="preserve"> </w:t>
      </w:r>
      <w:r>
        <w:rPr>
          <w:rFonts w:ascii="Times New Roman" w:eastAsia="黑体" w:hAnsi="Times New Roman" w:cs="Times New Roman" w:hint="eastAsia"/>
          <w:color w:val="000000" w:themeColor="text1"/>
          <w:sz w:val="21"/>
          <w:szCs w:val="21"/>
          <w:lang w:eastAsia="zh-CN"/>
        </w:rPr>
        <w:t>汽油主要危险有害特性</w:t>
      </w:r>
      <w:r>
        <w:rPr>
          <w:rFonts w:ascii="Times New Roman" w:eastAsia="黑体" w:hAnsi="Times New Roman" w:cs="Times New Roman"/>
          <w:color w:val="000000" w:themeColor="text1"/>
          <w:sz w:val="21"/>
          <w:szCs w:val="21"/>
          <w:lang w:eastAsia="zh-CN"/>
        </w:rPr>
        <w:t>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91"/>
        <w:gridCol w:w="882"/>
        <w:gridCol w:w="117"/>
        <w:gridCol w:w="428"/>
        <w:gridCol w:w="553"/>
        <w:gridCol w:w="917"/>
        <w:gridCol w:w="481"/>
        <w:gridCol w:w="246"/>
        <w:gridCol w:w="555"/>
        <w:gridCol w:w="648"/>
        <w:gridCol w:w="1003"/>
        <w:gridCol w:w="1533"/>
      </w:tblGrid>
      <w:tr w:rsidR="002E0859" w14:paraId="7717F5EA" w14:textId="77777777">
        <w:trPr>
          <w:trHeight w:val="397"/>
          <w:jc w:val="center"/>
        </w:trPr>
        <w:tc>
          <w:tcPr>
            <w:tcW w:w="1816" w:type="dxa"/>
            <w:vAlign w:val="center"/>
          </w:tcPr>
          <w:p w14:paraId="2E16190C"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中文名称</w:t>
            </w:r>
          </w:p>
        </w:tc>
        <w:tc>
          <w:tcPr>
            <w:tcW w:w="3675" w:type="dxa"/>
            <w:gridSpan w:val="7"/>
            <w:vAlign w:val="center"/>
          </w:tcPr>
          <w:p w14:paraId="20CBB91A"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汽油</w:t>
            </w:r>
          </w:p>
        </w:tc>
        <w:tc>
          <w:tcPr>
            <w:tcW w:w="2238" w:type="dxa"/>
            <w:gridSpan w:val="3"/>
            <w:vAlign w:val="center"/>
          </w:tcPr>
          <w:p w14:paraId="4288E8D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包装标志</w:t>
            </w:r>
          </w:p>
        </w:tc>
        <w:tc>
          <w:tcPr>
            <w:tcW w:w="1555" w:type="dxa"/>
            <w:vAlign w:val="center"/>
          </w:tcPr>
          <w:p w14:paraId="195899FB"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易燃液体</w:t>
            </w:r>
          </w:p>
        </w:tc>
      </w:tr>
      <w:tr w:rsidR="002E0859" w14:paraId="7D431F40" w14:textId="77777777">
        <w:trPr>
          <w:trHeight w:val="397"/>
          <w:jc w:val="center"/>
        </w:trPr>
        <w:tc>
          <w:tcPr>
            <w:tcW w:w="1816" w:type="dxa"/>
            <w:vAlign w:val="center"/>
          </w:tcPr>
          <w:p w14:paraId="6D421A0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英文名称</w:t>
            </w:r>
          </w:p>
        </w:tc>
        <w:tc>
          <w:tcPr>
            <w:tcW w:w="3675" w:type="dxa"/>
            <w:gridSpan w:val="7"/>
            <w:vAlign w:val="center"/>
          </w:tcPr>
          <w:p w14:paraId="1BEC65EB"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Gasoline</w:t>
            </w:r>
            <w:r>
              <w:rPr>
                <w:color w:val="000000" w:themeColor="text1"/>
                <w:sz w:val="21"/>
                <w:szCs w:val="21"/>
              </w:rPr>
              <w:t>；</w:t>
            </w:r>
            <w:r>
              <w:rPr>
                <w:color w:val="000000" w:themeColor="text1"/>
                <w:sz w:val="21"/>
                <w:szCs w:val="21"/>
              </w:rPr>
              <w:t>Petrol</w:t>
            </w:r>
          </w:p>
        </w:tc>
        <w:tc>
          <w:tcPr>
            <w:tcW w:w="2238" w:type="dxa"/>
            <w:gridSpan w:val="3"/>
            <w:vAlign w:val="center"/>
          </w:tcPr>
          <w:p w14:paraId="570E9BD9"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包装类别</w:t>
            </w:r>
          </w:p>
        </w:tc>
        <w:tc>
          <w:tcPr>
            <w:tcW w:w="1555" w:type="dxa"/>
            <w:vAlign w:val="center"/>
          </w:tcPr>
          <w:p w14:paraId="667DA58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Ⅱ</w:t>
            </w:r>
            <w:r>
              <w:rPr>
                <w:color w:val="000000" w:themeColor="text1"/>
                <w:sz w:val="21"/>
                <w:szCs w:val="21"/>
              </w:rPr>
              <w:t>类包装</w:t>
            </w:r>
          </w:p>
        </w:tc>
      </w:tr>
      <w:tr w:rsidR="002E0859" w14:paraId="2DBAED35" w14:textId="77777777">
        <w:trPr>
          <w:trHeight w:val="397"/>
          <w:jc w:val="center"/>
        </w:trPr>
        <w:tc>
          <w:tcPr>
            <w:tcW w:w="1816" w:type="dxa"/>
            <w:vAlign w:val="center"/>
          </w:tcPr>
          <w:p w14:paraId="1312CED7"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危险化学品序号</w:t>
            </w:r>
          </w:p>
        </w:tc>
        <w:tc>
          <w:tcPr>
            <w:tcW w:w="3675" w:type="dxa"/>
            <w:gridSpan w:val="7"/>
            <w:vAlign w:val="center"/>
          </w:tcPr>
          <w:p w14:paraId="5395D9DB"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1630</w:t>
            </w:r>
          </w:p>
        </w:tc>
        <w:tc>
          <w:tcPr>
            <w:tcW w:w="2238" w:type="dxa"/>
            <w:gridSpan w:val="3"/>
            <w:vAlign w:val="center"/>
          </w:tcPr>
          <w:p w14:paraId="36D398E6"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CAS</w:t>
            </w:r>
            <w:r>
              <w:rPr>
                <w:color w:val="000000" w:themeColor="text1"/>
                <w:sz w:val="21"/>
                <w:szCs w:val="21"/>
              </w:rPr>
              <w:t>号</w:t>
            </w:r>
          </w:p>
        </w:tc>
        <w:tc>
          <w:tcPr>
            <w:tcW w:w="1555" w:type="dxa"/>
            <w:vAlign w:val="center"/>
          </w:tcPr>
          <w:p w14:paraId="6E9D906F" w14:textId="77777777" w:rsidR="002E0859" w:rsidRDefault="00000000">
            <w:pPr>
              <w:topLinePunct w:val="0"/>
              <w:spacing w:line="240" w:lineRule="auto"/>
              <w:ind w:firstLineChars="0" w:firstLine="0"/>
              <w:rPr>
                <w:color w:val="000000" w:themeColor="text1"/>
                <w:sz w:val="21"/>
                <w:szCs w:val="21"/>
              </w:rPr>
            </w:pPr>
            <w:r>
              <w:rPr>
                <w:color w:val="000000" w:themeColor="text1"/>
                <w:kern w:val="0"/>
                <w:sz w:val="21"/>
                <w:szCs w:val="21"/>
              </w:rPr>
              <w:t>86290-81-5</w:t>
            </w:r>
          </w:p>
        </w:tc>
      </w:tr>
      <w:tr w:rsidR="002E0859" w14:paraId="647BE568" w14:textId="77777777">
        <w:trPr>
          <w:trHeight w:val="397"/>
          <w:jc w:val="center"/>
        </w:trPr>
        <w:tc>
          <w:tcPr>
            <w:tcW w:w="1816" w:type="dxa"/>
            <w:vAlign w:val="center"/>
          </w:tcPr>
          <w:p w14:paraId="772ADFE5"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UN</w:t>
            </w:r>
            <w:r>
              <w:rPr>
                <w:color w:val="000000" w:themeColor="text1"/>
                <w:sz w:val="21"/>
                <w:szCs w:val="21"/>
              </w:rPr>
              <w:t>编号</w:t>
            </w:r>
          </w:p>
        </w:tc>
        <w:tc>
          <w:tcPr>
            <w:tcW w:w="3675" w:type="dxa"/>
            <w:gridSpan w:val="7"/>
            <w:vAlign w:val="center"/>
          </w:tcPr>
          <w:p w14:paraId="42DC45A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1203</w:t>
            </w:r>
          </w:p>
        </w:tc>
        <w:tc>
          <w:tcPr>
            <w:tcW w:w="2238" w:type="dxa"/>
            <w:gridSpan w:val="3"/>
            <w:vAlign w:val="center"/>
          </w:tcPr>
          <w:p w14:paraId="176831F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闪点（</w:t>
            </w:r>
            <w:r>
              <w:rPr>
                <w:color w:val="000000" w:themeColor="text1"/>
                <w:sz w:val="21"/>
                <w:szCs w:val="21"/>
              </w:rPr>
              <w:t>℃</w:t>
            </w:r>
            <w:r>
              <w:rPr>
                <w:color w:val="000000" w:themeColor="text1"/>
                <w:sz w:val="21"/>
                <w:szCs w:val="21"/>
              </w:rPr>
              <w:t>）</w:t>
            </w:r>
          </w:p>
        </w:tc>
        <w:tc>
          <w:tcPr>
            <w:tcW w:w="1555" w:type="dxa"/>
            <w:vAlign w:val="center"/>
          </w:tcPr>
          <w:p w14:paraId="1352A475"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-50</w:t>
            </w:r>
          </w:p>
        </w:tc>
      </w:tr>
      <w:tr w:rsidR="002E0859" w14:paraId="5C4B5EF0" w14:textId="77777777">
        <w:trPr>
          <w:trHeight w:val="397"/>
          <w:jc w:val="center"/>
        </w:trPr>
        <w:tc>
          <w:tcPr>
            <w:tcW w:w="1816" w:type="dxa"/>
            <w:vMerge w:val="restart"/>
            <w:vAlign w:val="center"/>
          </w:tcPr>
          <w:p w14:paraId="001CBCDF"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理化特性</w:t>
            </w:r>
          </w:p>
        </w:tc>
        <w:tc>
          <w:tcPr>
            <w:tcW w:w="1447" w:type="dxa"/>
            <w:gridSpan w:val="3"/>
            <w:vMerge w:val="restart"/>
            <w:vAlign w:val="center"/>
          </w:tcPr>
          <w:p w14:paraId="698674AD"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外观与性状</w:t>
            </w:r>
          </w:p>
        </w:tc>
        <w:tc>
          <w:tcPr>
            <w:tcW w:w="2228" w:type="dxa"/>
            <w:gridSpan w:val="4"/>
            <w:vMerge w:val="restart"/>
            <w:vAlign w:val="center"/>
          </w:tcPr>
          <w:p w14:paraId="6636FD7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无色或淡黄色易挥发液体，具有特殊臭味。</w:t>
            </w:r>
          </w:p>
        </w:tc>
        <w:tc>
          <w:tcPr>
            <w:tcW w:w="2238" w:type="dxa"/>
            <w:gridSpan w:val="3"/>
            <w:vAlign w:val="center"/>
          </w:tcPr>
          <w:p w14:paraId="66A7C188"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熔点（</w:t>
            </w:r>
            <w:r>
              <w:rPr>
                <w:color w:val="000000" w:themeColor="text1"/>
                <w:sz w:val="21"/>
                <w:szCs w:val="21"/>
              </w:rPr>
              <w:t>℃</w:t>
            </w:r>
            <w:r>
              <w:rPr>
                <w:color w:val="000000" w:themeColor="text1"/>
                <w:sz w:val="21"/>
                <w:szCs w:val="21"/>
              </w:rPr>
              <w:t>）</w:t>
            </w:r>
          </w:p>
        </w:tc>
        <w:tc>
          <w:tcPr>
            <w:tcW w:w="1555" w:type="dxa"/>
            <w:vAlign w:val="center"/>
          </w:tcPr>
          <w:p w14:paraId="4CB87AC9"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&lt;-60</w:t>
            </w:r>
            <w:r>
              <w:rPr>
                <w:color w:val="000000" w:themeColor="text1"/>
                <w:sz w:val="21"/>
                <w:szCs w:val="21"/>
              </w:rPr>
              <w:tab/>
            </w:r>
          </w:p>
        </w:tc>
      </w:tr>
      <w:tr w:rsidR="002E0859" w14:paraId="6A0820FE" w14:textId="77777777">
        <w:trPr>
          <w:trHeight w:val="397"/>
          <w:jc w:val="center"/>
        </w:trPr>
        <w:tc>
          <w:tcPr>
            <w:tcW w:w="1816" w:type="dxa"/>
            <w:vMerge/>
            <w:vAlign w:val="center"/>
          </w:tcPr>
          <w:p w14:paraId="528608EF" w14:textId="77777777" w:rsidR="002E0859" w:rsidRDefault="002E0859">
            <w:pPr>
              <w:topLinePunct w:val="0"/>
              <w:spacing w:line="240" w:lineRule="auto"/>
              <w:ind w:firstLineChars="0" w:firstLine="0"/>
              <w:rPr>
                <w:color w:val="000000" w:themeColor="text1"/>
                <w:sz w:val="21"/>
                <w:szCs w:val="21"/>
              </w:rPr>
            </w:pPr>
          </w:p>
        </w:tc>
        <w:tc>
          <w:tcPr>
            <w:tcW w:w="1447" w:type="dxa"/>
            <w:gridSpan w:val="3"/>
            <w:vMerge/>
            <w:vAlign w:val="center"/>
          </w:tcPr>
          <w:p w14:paraId="7B119A4D" w14:textId="77777777" w:rsidR="002E0859" w:rsidRDefault="002E0859">
            <w:pPr>
              <w:topLinePunct w:val="0"/>
              <w:spacing w:line="240" w:lineRule="auto"/>
              <w:ind w:firstLineChars="0" w:firstLine="0"/>
              <w:rPr>
                <w:color w:val="000000" w:themeColor="text1"/>
                <w:sz w:val="21"/>
                <w:szCs w:val="21"/>
              </w:rPr>
            </w:pPr>
          </w:p>
        </w:tc>
        <w:tc>
          <w:tcPr>
            <w:tcW w:w="2228" w:type="dxa"/>
            <w:gridSpan w:val="4"/>
            <w:vMerge/>
            <w:vAlign w:val="center"/>
          </w:tcPr>
          <w:p w14:paraId="6D59883C" w14:textId="77777777" w:rsidR="002E0859" w:rsidRDefault="002E0859">
            <w:pPr>
              <w:topLinePunct w:val="0"/>
              <w:spacing w:line="240" w:lineRule="auto"/>
              <w:ind w:firstLineChars="0" w:firstLine="0"/>
              <w:rPr>
                <w:color w:val="000000" w:themeColor="text1"/>
                <w:sz w:val="21"/>
                <w:szCs w:val="21"/>
              </w:rPr>
            </w:pPr>
          </w:p>
        </w:tc>
        <w:tc>
          <w:tcPr>
            <w:tcW w:w="2238" w:type="dxa"/>
            <w:gridSpan w:val="3"/>
            <w:vAlign w:val="center"/>
          </w:tcPr>
          <w:p w14:paraId="1ECC6733"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沸点（</w:t>
            </w:r>
            <w:r>
              <w:rPr>
                <w:color w:val="000000" w:themeColor="text1"/>
                <w:sz w:val="21"/>
                <w:szCs w:val="21"/>
              </w:rPr>
              <w:t>℃</w:t>
            </w:r>
            <w:r>
              <w:rPr>
                <w:color w:val="000000" w:themeColor="text1"/>
                <w:sz w:val="21"/>
                <w:szCs w:val="21"/>
              </w:rPr>
              <w:t>）</w:t>
            </w:r>
          </w:p>
        </w:tc>
        <w:tc>
          <w:tcPr>
            <w:tcW w:w="1555" w:type="dxa"/>
            <w:vAlign w:val="center"/>
          </w:tcPr>
          <w:p w14:paraId="229FDDA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40</w:t>
            </w:r>
            <w:r>
              <w:rPr>
                <w:snapToGrid w:val="0"/>
                <w:color w:val="000000" w:themeColor="text1"/>
                <w:kern w:val="0"/>
                <w:sz w:val="21"/>
                <w:szCs w:val="21"/>
              </w:rPr>
              <w:t>～</w:t>
            </w:r>
            <w:r>
              <w:rPr>
                <w:color w:val="000000" w:themeColor="text1"/>
                <w:sz w:val="21"/>
                <w:szCs w:val="21"/>
              </w:rPr>
              <w:t>200</w:t>
            </w:r>
          </w:p>
        </w:tc>
      </w:tr>
      <w:tr w:rsidR="002E0859" w14:paraId="0984F41E" w14:textId="77777777">
        <w:trPr>
          <w:trHeight w:val="397"/>
          <w:jc w:val="center"/>
        </w:trPr>
        <w:tc>
          <w:tcPr>
            <w:tcW w:w="1816" w:type="dxa"/>
            <w:vMerge/>
            <w:vAlign w:val="center"/>
          </w:tcPr>
          <w:p w14:paraId="54E6A6BC" w14:textId="77777777" w:rsidR="002E0859" w:rsidRDefault="002E0859">
            <w:pPr>
              <w:topLinePunct w:val="0"/>
              <w:spacing w:line="240" w:lineRule="auto"/>
              <w:ind w:firstLineChars="0" w:firstLine="0"/>
              <w:rPr>
                <w:color w:val="000000" w:themeColor="text1"/>
                <w:sz w:val="21"/>
                <w:szCs w:val="21"/>
              </w:rPr>
            </w:pPr>
          </w:p>
        </w:tc>
        <w:tc>
          <w:tcPr>
            <w:tcW w:w="2008" w:type="dxa"/>
            <w:gridSpan w:val="4"/>
            <w:vAlign w:val="center"/>
          </w:tcPr>
          <w:p w14:paraId="2F975AC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相对密度（水＝</w:t>
            </w:r>
            <w:r>
              <w:rPr>
                <w:color w:val="000000" w:themeColor="text1"/>
                <w:sz w:val="21"/>
                <w:szCs w:val="21"/>
              </w:rPr>
              <w:t>1</w:t>
            </w:r>
            <w:r>
              <w:rPr>
                <w:color w:val="000000" w:themeColor="text1"/>
                <w:sz w:val="21"/>
                <w:szCs w:val="21"/>
              </w:rPr>
              <w:t>）</w:t>
            </w:r>
          </w:p>
        </w:tc>
        <w:tc>
          <w:tcPr>
            <w:tcW w:w="1667" w:type="dxa"/>
            <w:gridSpan w:val="3"/>
            <w:vAlign w:val="center"/>
          </w:tcPr>
          <w:p w14:paraId="5C8368E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0.72</w:t>
            </w:r>
            <w:r>
              <w:rPr>
                <w:snapToGrid w:val="0"/>
                <w:color w:val="000000" w:themeColor="text1"/>
                <w:kern w:val="0"/>
                <w:sz w:val="21"/>
                <w:szCs w:val="21"/>
              </w:rPr>
              <w:t>～</w:t>
            </w:r>
            <w:r>
              <w:rPr>
                <w:color w:val="000000" w:themeColor="text1"/>
                <w:sz w:val="21"/>
                <w:szCs w:val="21"/>
              </w:rPr>
              <w:t>0.77</w:t>
            </w:r>
          </w:p>
        </w:tc>
        <w:tc>
          <w:tcPr>
            <w:tcW w:w="2238" w:type="dxa"/>
            <w:gridSpan w:val="3"/>
            <w:vAlign w:val="center"/>
          </w:tcPr>
          <w:p w14:paraId="385B43A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引燃温度（</w:t>
            </w:r>
            <w:r>
              <w:rPr>
                <w:color w:val="000000" w:themeColor="text1"/>
                <w:sz w:val="21"/>
                <w:szCs w:val="21"/>
              </w:rPr>
              <w:t>℃</w:t>
            </w:r>
            <w:r>
              <w:rPr>
                <w:color w:val="000000" w:themeColor="text1"/>
                <w:sz w:val="21"/>
                <w:szCs w:val="21"/>
              </w:rPr>
              <w:t>）</w:t>
            </w:r>
          </w:p>
        </w:tc>
        <w:tc>
          <w:tcPr>
            <w:tcW w:w="1555" w:type="dxa"/>
            <w:vAlign w:val="center"/>
          </w:tcPr>
          <w:p w14:paraId="203E1A55"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415</w:t>
            </w:r>
            <w:r>
              <w:rPr>
                <w:snapToGrid w:val="0"/>
                <w:color w:val="000000" w:themeColor="text1"/>
                <w:kern w:val="0"/>
                <w:sz w:val="21"/>
                <w:szCs w:val="21"/>
              </w:rPr>
              <w:t>～</w:t>
            </w:r>
            <w:r>
              <w:rPr>
                <w:color w:val="000000" w:themeColor="text1"/>
                <w:sz w:val="21"/>
                <w:szCs w:val="21"/>
              </w:rPr>
              <w:t>530</w:t>
            </w:r>
          </w:p>
        </w:tc>
      </w:tr>
      <w:tr w:rsidR="002E0859" w14:paraId="2133F7BE" w14:textId="77777777">
        <w:trPr>
          <w:trHeight w:val="397"/>
          <w:jc w:val="center"/>
        </w:trPr>
        <w:tc>
          <w:tcPr>
            <w:tcW w:w="1816" w:type="dxa"/>
            <w:vMerge/>
            <w:vAlign w:val="center"/>
          </w:tcPr>
          <w:p w14:paraId="4C95D014" w14:textId="77777777" w:rsidR="002E0859" w:rsidRDefault="002E0859">
            <w:pPr>
              <w:topLinePunct w:val="0"/>
              <w:spacing w:line="240" w:lineRule="auto"/>
              <w:ind w:firstLineChars="0" w:firstLine="0"/>
              <w:rPr>
                <w:color w:val="000000" w:themeColor="text1"/>
                <w:sz w:val="21"/>
                <w:szCs w:val="21"/>
              </w:rPr>
            </w:pPr>
          </w:p>
        </w:tc>
        <w:tc>
          <w:tcPr>
            <w:tcW w:w="2008" w:type="dxa"/>
            <w:gridSpan w:val="4"/>
            <w:vAlign w:val="center"/>
          </w:tcPr>
          <w:p w14:paraId="2A5C7D69"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相对密度（空气＝</w:t>
            </w:r>
            <w:r>
              <w:rPr>
                <w:color w:val="000000" w:themeColor="text1"/>
                <w:sz w:val="21"/>
                <w:szCs w:val="21"/>
              </w:rPr>
              <w:t>1</w:t>
            </w:r>
            <w:r>
              <w:rPr>
                <w:color w:val="000000" w:themeColor="text1"/>
                <w:sz w:val="21"/>
                <w:szCs w:val="21"/>
              </w:rPr>
              <w:t>）</w:t>
            </w:r>
          </w:p>
        </w:tc>
        <w:tc>
          <w:tcPr>
            <w:tcW w:w="1667" w:type="dxa"/>
            <w:gridSpan w:val="3"/>
            <w:vAlign w:val="center"/>
          </w:tcPr>
          <w:p w14:paraId="3943FF6F"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3.5</w:t>
            </w:r>
          </w:p>
        </w:tc>
        <w:tc>
          <w:tcPr>
            <w:tcW w:w="2238" w:type="dxa"/>
            <w:gridSpan w:val="3"/>
            <w:vAlign w:val="center"/>
          </w:tcPr>
          <w:p w14:paraId="00AB1A7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最大爆炸压力（</w:t>
            </w:r>
            <w:r>
              <w:rPr>
                <w:color w:val="000000" w:themeColor="text1"/>
                <w:sz w:val="21"/>
                <w:szCs w:val="21"/>
              </w:rPr>
              <w:t>MPa</w:t>
            </w:r>
            <w:r>
              <w:rPr>
                <w:color w:val="000000" w:themeColor="text1"/>
                <w:sz w:val="21"/>
                <w:szCs w:val="21"/>
              </w:rPr>
              <w:t>）</w:t>
            </w:r>
          </w:p>
        </w:tc>
        <w:tc>
          <w:tcPr>
            <w:tcW w:w="1555" w:type="dxa"/>
            <w:vAlign w:val="center"/>
          </w:tcPr>
          <w:p w14:paraId="3F22481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0.813</w:t>
            </w:r>
          </w:p>
        </w:tc>
      </w:tr>
      <w:tr w:rsidR="002E0859" w14:paraId="6DD03D42" w14:textId="77777777">
        <w:trPr>
          <w:trHeight w:val="397"/>
          <w:jc w:val="center"/>
        </w:trPr>
        <w:tc>
          <w:tcPr>
            <w:tcW w:w="1816" w:type="dxa"/>
            <w:vMerge/>
            <w:vAlign w:val="center"/>
          </w:tcPr>
          <w:p w14:paraId="61B3F61C" w14:textId="77777777" w:rsidR="002E0859" w:rsidRDefault="002E0859">
            <w:pPr>
              <w:topLinePunct w:val="0"/>
              <w:spacing w:line="240" w:lineRule="auto"/>
              <w:ind w:firstLineChars="0" w:firstLine="0"/>
              <w:rPr>
                <w:color w:val="000000" w:themeColor="text1"/>
                <w:sz w:val="21"/>
                <w:szCs w:val="21"/>
              </w:rPr>
            </w:pPr>
          </w:p>
        </w:tc>
        <w:tc>
          <w:tcPr>
            <w:tcW w:w="2008" w:type="dxa"/>
            <w:gridSpan w:val="4"/>
            <w:vAlign w:val="center"/>
          </w:tcPr>
          <w:p w14:paraId="4FF571F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爆炸下限〔％（</w:t>
            </w:r>
            <w:r>
              <w:rPr>
                <w:color w:val="000000" w:themeColor="text1"/>
                <w:sz w:val="21"/>
                <w:szCs w:val="21"/>
              </w:rPr>
              <w:t>V/V</w:t>
            </w:r>
            <w:r>
              <w:rPr>
                <w:color w:val="000000" w:themeColor="text1"/>
                <w:sz w:val="21"/>
                <w:szCs w:val="21"/>
              </w:rPr>
              <w:t>）〕</w:t>
            </w:r>
          </w:p>
        </w:tc>
        <w:tc>
          <w:tcPr>
            <w:tcW w:w="1667" w:type="dxa"/>
            <w:gridSpan w:val="3"/>
            <w:vAlign w:val="center"/>
          </w:tcPr>
          <w:p w14:paraId="1621790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1.3</w:t>
            </w:r>
          </w:p>
        </w:tc>
        <w:tc>
          <w:tcPr>
            <w:tcW w:w="2238" w:type="dxa"/>
            <w:gridSpan w:val="3"/>
            <w:vAlign w:val="center"/>
          </w:tcPr>
          <w:p w14:paraId="1D2DD8A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爆炸上限〔％（</w:t>
            </w:r>
            <w:r>
              <w:rPr>
                <w:color w:val="000000" w:themeColor="text1"/>
                <w:sz w:val="21"/>
                <w:szCs w:val="21"/>
              </w:rPr>
              <w:t>V/V</w:t>
            </w:r>
            <w:r>
              <w:rPr>
                <w:color w:val="000000" w:themeColor="text1"/>
                <w:sz w:val="21"/>
                <w:szCs w:val="21"/>
              </w:rPr>
              <w:t>）〕</w:t>
            </w:r>
          </w:p>
        </w:tc>
        <w:tc>
          <w:tcPr>
            <w:tcW w:w="1555" w:type="dxa"/>
            <w:vAlign w:val="center"/>
          </w:tcPr>
          <w:p w14:paraId="02DCDB28"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7.6</w:t>
            </w:r>
          </w:p>
        </w:tc>
      </w:tr>
      <w:tr w:rsidR="002E0859" w14:paraId="440E8535" w14:textId="77777777">
        <w:trPr>
          <w:trHeight w:val="397"/>
          <w:jc w:val="center"/>
        </w:trPr>
        <w:tc>
          <w:tcPr>
            <w:tcW w:w="1816" w:type="dxa"/>
            <w:vMerge/>
            <w:vAlign w:val="center"/>
          </w:tcPr>
          <w:p w14:paraId="68CB01DD" w14:textId="77777777" w:rsidR="002E0859" w:rsidRDefault="002E0859">
            <w:pPr>
              <w:topLinePunct w:val="0"/>
              <w:spacing w:line="240" w:lineRule="auto"/>
              <w:ind w:firstLineChars="0" w:firstLine="0"/>
              <w:rPr>
                <w:color w:val="000000" w:themeColor="text1"/>
                <w:sz w:val="21"/>
                <w:szCs w:val="21"/>
              </w:rPr>
            </w:pPr>
          </w:p>
        </w:tc>
        <w:tc>
          <w:tcPr>
            <w:tcW w:w="893" w:type="dxa"/>
            <w:vAlign w:val="center"/>
          </w:tcPr>
          <w:p w14:paraId="4F1379FD"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溶解性</w:t>
            </w:r>
          </w:p>
        </w:tc>
        <w:tc>
          <w:tcPr>
            <w:tcW w:w="6575" w:type="dxa"/>
            <w:gridSpan w:val="10"/>
            <w:vAlign w:val="center"/>
          </w:tcPr>
          <w:p w14:paraId="393BBEAB"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不溶于水，易溶于苯、二硫化碳、醇、脂肪</w:t>
            </w:r>
          </w:p>
        </w:tc>
      </w:tr>
      <w:tr w:rsidR="002E0859" w14:paraId="650DD9AC" w14:textId="77777777">
        <w:trPr>
          <w:trHeight w:val="397"/>
          <w:jc w:val="center"/>
        </w:trPr>
        <w:tc>
          <w:tcPr>
            <w:tcW w:w="1816" w:type="dxa"/>
            <w:vAlign w:val="center"/>
          </w:tcPr>
          <w:p w14:paraId="7C1908FC"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主要用途</w:t>
            </w:r>
          </w:p>
        </w:tc>
        <w:tc>
          <w:tcPr>
            <w:tcW w:w="7468" w:type="dxa"/>
            <w:gridSpan w:val="11"/>
            <w:vAlign w:val="center"/>
          </w:tcPr>
          <w:p w14:paraId="677A975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主要用作汽油机的燃料，用于橡胶、制鞋、印刷、制、颜料等行业，也可用作机械零件的去污剂。</w:t>
            </w:r>
          </w:p>
        </w:tc>
      </w:tr>
      <w:tr w:rsidR="002E0859" w14:paraId="46FC4249" w14:textId="77777777">
        <w:trPr>
          <w:trHeight w:val="397"/>
          <w:jc w:val="center"/>
        </w:trPr>
        <w:tc>
          <w:tcPr>
            <w:tcW w:w="1816" w:type="dxa"/>
            <w:vAlign w:val="center"/>
          </w:tcPr>
          <w:p w14:paraId="5F64843C"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侵入途径</w:t>
            </w:r>
          </w:p>
        </w:tc>
        <w:tc>
          <w:tcPr>
            <w:tcW w:w="7468" w:type="dxa"/>
            <w:gridSpan w:val="11"/>
            <w:vAlign w:val="center"/>
          </w:tcPr>
          <w:p w14:paraId="2E31C917"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吸入、食入、经皮吸收</w:t>
            </w:r>
          </w:p>
        </w:tc>
      </w:tr>
      <w:tr w:rsidR="002E0859" w14:paraId="0C6D893B" w14:textId="77777777">
        <w:trPr>
          <w:trHeight w:val="397"/>
          <w:jc w:val="center"/>
        </w:trPr>
        <w:tc>
          <w:tcPr>
            <w:tcW w:w="1816" w:type="dxa"/>
            <w:vAlign w:val="center"/>
          </w:tcPr>
          <w:p w14:paraId="5687B69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健康危害</w:t>
            </w:r>
          </w:p>
        </w:tc>
        <w:tc>
          <w:tcPr>
            <w:tcW w:w="7468" w:type="dxa"/>
            <w:gridSpan w:val="11"/>
            <w:vAlign w:val="center"/>
          </w:tcPr>
          <w:p w14:paraId="2F73E6E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r>
              <w:rPr>
                <w:bCs/>
                <w:color w:val="000000" w:themeColor="text1"/>
                <w:sz w:val="21"/>
                <w:szCs w:val="21"/>
              </w:rPr>
              <w:t>溅入眼内可致角膜溃疡、穿孔，甚至失明。</w:t>
            </w:r>
            <w:r>
              <w:rPr>
                <w:color w:val="000000" w:themeColor="text1"/>
                <w:sz w:val="21"/>
                <w:szCs w:val="21"/>
              </w:rPr>
              <w:t>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燃爆危险：本品极度易燃。</w:t>
            </w:r>
          </w:p>
        </w:tc>
      </w:tr>
      <w:tr w:rsidR="002E0859" w14:paraId="76483763" w14:textId="77777777">
        <w:trPr>
          <w:trHeight w:val="397"/>
          <w:jc w:val="center"/>
        </w:trPr>
        <w:tc>
          <w:tcPr>
            <w:tcW w:w="1816" w:type="dxa"/>
            <w:vAlign w:val="center"/>
          </w:tcPr>
          <w:p w14:paraId="61364C16"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毒理学资料</w:t>
            </w:r>
          </w:p>
        </w:tc>
        <w:tc>
          <w:tcPr>
            <w:tcW w:w="7468" w:type="dxa"/>
            <w:gridSpan w:val="11"/>
            <w:vAlign w:val="center"/>
          </w:tcPr>
          <w:p w14:paraId="7B11D5E9"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急性毒性：</w:t>
            </w:r>
            <w:r>
              <w:rPr>
                <w:color w:val="000000" w:themeColor="text1"/>
                <w:sz w:val="21"/>
                <w:szCs w:val="21"/>
              </w:rPr>
              <w:t>LD</w:t>
            </w:r>
            <w:r>
              <w:rPr>
                <w:color w:val="000000" w:themeColor="text1"/>
                <w:sz w:val="21"/>
                <w:szCs w:val="21"/>
                <w:vertAlign w:val="subscript"/>
              </w:rPr>
              <w:t>50</w:t>
            </w:r>
            <w:r>
              <w:rPr>
                <w:color w:val="000000" w:themeColor="text1"/>
                <w:sz w:val="21"/>
                <w:szCs w:val="21"/>
              </w:rPr>
              <w:t>：</w:t>
            </w:r>
            <w:r>
              <w:rPr>
                <w:color w:val="000000" w:themeColor="text1"/>
                <w:sz w:val="21"/>
                <w:szCs w:val="21"/>
              </w:rPr>
              <w:t>67000mg/kg</w:t>
            </w:r>
            <w:r>
              <w:rPr>
                <w:color w:val="000000" w:themeColor="text1"/>
                <w:sz w:val="21"/>
                <w:szCs w:val="21"/>
              </w:rPr>
              <w:t>（小鼠经口）（</w:t>
            </w:r>
            <w:r>
              <w:rPr>
                <w:color w:val="000000" w:themeColor="text1"/>
                <w:sz w:val="21"/>
                <w:szCs w:val="21"/>
              </w:rPr>
              <w:t>120</w:t>
            </w:r>
            <w:r>
              <w:rPr>
                <w:color w:val="000000" w:themeColor="text1"/>
                <w:sz w:val="21"/>
                <w:szCs w:val="21"/>
              </w:rPr>
              <w:t>号溶剂汽油）；</w:t>
            </w:r>
            <w:r>
              <w:rPr>
                <w:color w:val="000000" w:themeColor="text1"/>
                <w:sz w:val="21"/>
                <w:szCs w:val="21"/>
              </w:rPr>
              <w:t>LC</w:t>
            </w:r>
            <w:r>
              <w:rPr>
                <w:color w:val="000000" w:themeColor="text1"/>
                <w:sz w:val="21"/>
                <w:szCs w:val="21"/>
                <w:vertAlign w:val="subscript"/>
              </w:rPr>
              <w:t>50</w:t>
            </w:r>
            <w:r>
              <w:rPr>
                <w:color w:val="000000" w:themeColor="text1"/>
                <w:sz w:val="21"/>
                <w:szCs w:val="21"/>
              </w:rPr>
              <w:t>：</w:t>
            </w:r>
            <w:r>
              <w:rPr>
                <w:color w:val="000000" w:themeColor="text1"/>
                <w:sz w:val="21"/>
                <w:szCs w:val="21"/>
              </w:rPr>
              <w:t>103000mg/m</w:t>
            </w:r>
            <w:r>
              <w:rPr>
                <w:color w:val="000000" w:themeColor="text1"/>
                <w:sz w:val="21"/>
                <w:szCs w:val="21"/>
                <w:vertAlign w:val="superscript"/>
              </w:rPr>
              <w:t>3</w:t>
            </w:r>
            <w:r>
              <w:rPr>
                <w:color w:val="000000" w:themeColor="text1"/>
                <w:sz w:val="21"/>
                <w:szCs w:val="21"/>
              </w:rPr>
              <w:t>，</w:t>
            </w:r>
            <w:r>
              <w:rPr>
                <w:color w:val="000000" w:themeColor="text1"/>
                <w:sz w:val="21"/>
                <w:szCs w:val="21"/>
              </w:rPr>
              <w:t>2</w:t>
            </w:r>
            <w:r>
              <w:rPr>
                <w:color w:val="000000" w:themeColor="text1"/>
                <w:sz w:val="21"/>
                <w:szCs w:val="21"/>
              </w:rPr>
              <w:t>小时（小鼠吸入）（</w:t>
            </w:r>
            <w:r>
              <w:rPr>
                <w:color w:val="000000" w:themeColor="text1"/>
                <w:sz w:val="21"/>
                <w:szCs w:val="21"/>
              </w:rPr>
              <w:t>120</w:t>
            </w:r>
            <w:r>
              <w:rPr>
                <w:color w:val="000000" w:themeColor="text1"/>
                <w:sz w:val="21"/>
                <w:szCs w:val="21"/>
              </w:rPr>
              <w:t>号溶剂汽油）。刺激性：家兔经眼：</w:t>
            </w:r>
            <w:r>
              <w:rPr>
                <w:color w:val="000000" w:themeColor="text1"/>
                <w:sz w:val="21"/>
                <w:szCs w:val="21"/>
              </w:rPr>
              <w:t>2mg/24h</w:t>
            </w:r>
            <w:r>
              <w:rPr>
                <w:color w:val="000000" w:themeColor="text1"/>
                <w:sz w:val="21"/>
                <w:szCs w:val="21"/>
              </w:rPr>
              <w:t>，重度刺激。亚急性与慢性毒性：大鼠吸入</w:t>
            </w:r>
            <w:r>
              <w:rPr>
                <w:color w:val="000000" w:themeColor="text1"/>
                <w:sz w:val="21"/>
                <w:szCs w:val="21"/>
              </w:rPr>
              <w:t>3g/m</w:t>
            </w:r>
            <w:r>
              <w:rPr>
                <w:color w:val="000000" w:themeColor="text1"/>
                <w:sz w:val="21"/>
                <w:szCs w:val="21"/>
                <w:vertAlign w:val="superscript"/>
              </w:rPr>
              <w:t>3</w:t>
            </w:r>
            <w:r>
              <w:rPr>
                <w:color w:val="000000" w:themeColor="text1"/>
                <w:sz w:val="21"/>
                <w:szCs w:val="21"/>
              </w:rPr>
              <w:t>，</w:t>
            </w:r>
            <w:r>
              <w:rPr>
                <w:color w:val="000000" w:themeColor="text1"/>
                <w:sz w:val="21"/>
                <w:szCs w:val="21"/>
              </w:rPr>
              <w:t>12</w:t>
            </w:r>
            <w:r>
              <w:rPr>
                <w:color w:val="000000" w:themeColor="text1"/>
                <w:sz w:val="21"/>
                <w:szCs w:val="21"/>
              </w:rPr>
              <w:t>～</w:t>
            </w:r>
            <w:r>
              <w:rPr>
                <w:color w:val="000000" w:themeColor="text1"/>
                <w:sz w:val="21"/>
                <w:szCs w:val="21"/>
              </w:rPr>
              <w:t>24</w:t>
            </w:r>
            <w:r>
              <w:rPr>
                <w:color w:val="000000" w:themeColor="text1"/>
                <w:sz w:val="21"/>
                <w:szCs w:val="21"/>
              </w:rPr>
              <w:t>小时</w:t>
            </w:r>
            <w:r>
              <w:rPr>
                <w:color w:val="000000" w:themeColor="text1"/>
                <w:sz w:val="21"/>
                <w:szCs w:val="21"/>
              </w:rPr>
              <w:t>/</w:t>
            </w:r>
            <w:r>
              <w:rPr>
                <w:color w:val="000000" w:themeColor="text1"/>
                <w:sz w:val="21"/>
                <w:szCs w:val="21"/>
              </w:rPr>
              <w:t>天，</w:t>
            </w:r>
            <w:r>
              <w:rPr>
                <w:color w:val="000000" w:themeColor="text1"/>
                <w:sz w:val="21"/>
                <w:szCs w:val="21"/>
              </w:rPr>
              <w:t>78</w:t>
            </w:r>
            <w:r>
              <w:rPr>
                <w:color w:val="000000" w:themeColor="text1"/>
                <w:sz w:val="21"/>
                <w:szCs w:val="21"/>
              </w:rPr>
              <w:t>天（</w:t>
            </w:r>
            <w:r>
              <w:rPr>
                <w:color w:val="000000" w:themeColor="text1"/>
                <w:sz w:val="21"/>
                <w:szCs w:val="21"/>
              </w:rPr>
              <w:t>120</w:t>
            </w:r>
            <w:r>
              <w:rPr>
                <w:color w:val="000000" w:themeColor="text1"/>
                <w:sz w:val="21"/>
                <w:szCs w:val="21"/>
              </w:rPr>
              <w:t>号溶剂汽油），未见中毒症状。大鼠吸入</w:t>
            </w:r>
            <w:r>
              <w:rPr>
                <w:color w:val="000000" w:themeColor="text1"/>
                <w:sz w:val="21"/>
                <w:szCs w:val="21"/>
              </w:rPr>
              <w:t>2500 mg/m</w:t>
            </w:r>
            <w:r>
              <w:rPr>
                <w:color w:val="000000" w:themeColor="text1"/>
                <w:sz w:val="21"/>
                <w:szCs w:val="21"/>
                <w:vertAlign w:val="superscript"/>
              </w:rPr>
              <w:t>3</w:t>
            </w:r>
            <w:r>
              <w:rPr>
                <w:color w:val="000000" w:themeColor="text1"/>
                <w:sz w:val="21"/>
                <w:szCs w:val="21"/>
              </w:rPr>
              <w:t>，</w:t>
            </w:r>
            <w:r>
              <w:rPr>
                <w:color w:val="000000" w:themeColor="text1"/>
                <w:sz w:val="21"/>
                <w:szCs w:val="21"/>
              </w:rPr>
              <w:t>130</w:t>
            </w:r>
            <w:r>
              <w:rPr>
                <w:color w:val="000000" w:themeColor="text1"/>
                <w:sz w:val="21"/>
                <w:szCs w:val="21"/>
              </w:rPr>
              <w:t>号催化裂隙解汽油，</w:t>
            </w:r>
            <w:r>
              <w:rPr>
                <w:color w:val="000000" w:themeColor="text1"/>
                <w:sz w:val="21"/>
                <w:szCs w:val="21"/>
              </w:rPr>
              <w:t>4</w:t>
            </w:r>
            <w:r>
              <w:rPr>
                <w:color w:val="000000" w:themeColor="text1"/>
                <w:sz w:val="21"/>
                <w:szCs w:val="21"/>
              </w:rPr>
              <w:t>小时</w:t>
            </w:r>
            <w:r>
              <w:rPr>
                <w:color w:val="000000" w:themeColor="text1"/>
                <w:sz w:val="21"/>
                <w:szCs w:val="21"/>
              </w:rPr>
              <w:t>/</w:t>
            </w:r>
            <w:r>
              <w:rPr>
                <w:color w:val="000000" w:themeColor="text1"/>
                <w:sz w:val="21"/>
                <w:szCs w:val="21"/>
              </w:rPr>
              <w:t>天，</w:t>
            </w:r>
            <w:r>
              <w:rPr>
                <w:color w:val="000000" w:themeColor="text1"/>
                <w:sz w:val="21"/>
                <w:szCs w:val="21"/>
              </w:rPr>
              <w:t>6</w:t>
            </w:r>
            <w:r>
              <w:rPr>
                <w:color w:val="000000" w:themeColor="text1"/>
                <w:sz w:val="21"/>
                <w:szCs w:val="21"/>
              </w:rPr>
              <w:t>天</w:t>
            </w:r>
            <w:r>
              <w:rPr>
                <w:color w:val="000000" w:themeColor="text1"/>
                <w:sz w:val="21"/>
                <w:szCs w:val="21"/>
              </w:rPr>
              <w:t>/</w:t>
            </w:r>
            <w:r>
              <w:rPr>
                <w:color w:val="000000" w:themeColor="text1"/>
                <w:sz w:val="21"/>
                <w:szCs w:val="21"/>
              </w:rPr>
              <w:t>周，</w:t>
            </w:r>
            <w:r>
              <w:rPr>
                <w:color w:val="000000" w:themeColor="text1"/>
                <w:sz w:val="21"/>
                <w:szCs w:val="21"/>
              </w:rPr>
              <w:t>8</w:t>
            </w:r>
            <w:r>
              <w:rPr>
                <w:color w:val="000000" w:themeColor="text1"/>
                <w:sz w:val="21"/>
                <w:szCs w:val="21"/>
              </w:rPr>
              <w:t>周，体力活动能力降低，神经系统发生机能性改变。</w:t>
            </w:r>
          </w:p>
        </w:tc>
      </w:tr>
      <w:tr w:rsidR="002E0859" w14:paraId="28E16B23" w14:textId="77777777">
        <w:trPr>
          <w:trHeight w:val="397"/>
          <w:jc w:val="center"/>
        </w:trPr>
        <w:tc>
          <w:tcPr>
            <w:tcW w:w="1816" w:type="dxa"/>
            <w:vAlign w:val="center"/>
          </w:tcPr>
          <w:p w14:paraId="4B81D8F6"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消防措施</w:t>
            </w:r>
          </w:p>
        </w:tc>
        <w:tc>
          <w:tcPr>
            <w:tcW w:w="7468" w:type="dxa"/>
            <w:gridSpan w:val="11"/>
            <w:vAlign w:val="center"/>
          </w:tcPr>
          <w:p w14:paraId="4F6D22EB"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危险特性：其蒸气与空气可形成爆炸性混合物，遇明火、高热极易燃烧爆炸。与氧化剂能发生强烈反应。其蒸气比空气重，能在较低处扩散到相当远的地方，遇火源会着火回燃。有害燃烧产物：一氧化碳、二氧化碳。灭火方法：喷水冷却容器，可能的话将容器从火场移至空旷处。灭火剂：泡沫、干粉、二氧化碳。用水灭火无效。</w:t>
            </w:r>
          </w:p>
        </w:tc>
      </w:tr>
      <w:tr w:rsidR="002E0859" w14:paraId="7F320A40" w14:textId="77777777">
        <w:trPr>
          <w:trHeight w:val="397"/>
          <w:jc w:val="center"/>
        </w:trPr>
        <w:tc>
          <w:tcPr>
            <w:tcW w:w="1816" w:type="dxa"/>
            <w:vMerge w:val="restart"/>
            <w:vAlign w:val="center"/>
          </w:tcPr>
          <w:p w14:paraId="6AD7E86B"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稳定性和反应活</w:t>
            </w:r>
            <w:r>
              <w:rPr>
                <w:color w:val="000000" w:themeColor="text1"/>
                <w:sz w:val="21"/>
                <w:szCs w:val="21"/>
              </w:rPr>
              <w:lastRenderedPageBreak/>
              <w:t>性</w:t>
            </w:r>
          </w:p>
        </w:tc>
        <w:tc>
          <w:tcPr>
            <w:tcW w:w="1447" w:type="dxa"/>
            <w:gridSpan w:val="3"/>
            <w:vAlign w:val="center"/>
          </w:tcPr>
          <w:p w14:paraId="77FC2E61"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lastRenderedPageBreak/>
              <w:t>稳定性</w:t>
            </w:r>
          </w:p>
        </w:tc>
        <w:tc>
          <w:tcPr>
            <w:tcW w:w="1491" w:type="dxa"/>
            <w:gridSpan w:val="2"/>
            <w:vAlign w:val="center"/>
          </w:tcPr>
          <w:p w14:paraId="208C337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稳定</w:t>
            </w:r>
          </w:p>
        </w:tc>
        <w:tc>
          <w:tcPr>
            <w:tcW w:w="1300" w:type="dxa"/>
            <w:gridSpan w:val="3"/>
            <w:vAlign w:val="center"/>
          </w:tcPr>
          <w:p w14:paraId="3D9EB87D"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聚合危害</w:t>
            </w:r>
          </w:p>
        </w:tc>
        <w:tc>
          <w:tcPr>
            <w:tcW w:w="3230" w:type="dxa"/>
            <w:gridSpan w:val="3"/>
            <w:vAlign w:val="center"/>
          </w:tcPr>
          <w:p w14:paraId="0D187AF7"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不聚合</w:t>
            </w:r>
          </w:p>
        </w:tc>
      </w:tr>
      <w:tr w:rsidR="002E0859" w14:paraId="7EDC8095" w14:textId="77777777">
        <w:trPr>
          <w:trHeight w:val="397"/>
          <w:jc w:val="center"/>
        </w:trPr>
        <w:tc>
          <w:tcPr>
            <w:tcW w:w="1816" w:type="dxa"/>
            <w:vMerge/>
            <w:vAlign w:val="center"/>
          </w:tcPr>
          <w:p w14:paraId="3DC0461E" w14:textId="77777777" w:rsidR="002E0859" w:rsidRDefault="002E0859">
            <w:pPr>
              <w:topLinePunct w:val="0"/>
              <w:spacing w:line="240" w:lineRule="auto"/>
              <w:ind w:firstLineChars="0" w:firstLine="0"/>
              <w:rPr>
                <w:color w:val="000000" w:themeColor="text1"/>
                <w:sz w:val="21"/>
                <w:szCs w:val="21"/>
              </w:rPr>
            </w:pPr>
          </w:p>
        </w:tc>
        <w:tc>
          <w:tcPr>
            <w:tcW w:w="1447" w:type="dxa"/>
            <w:gridSpan w:val="3"/>
            <w:vAlign w:val="center"/>
          </w:tcPr>
          <w:p w14:paraId="144EB2F6"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避免接触条件</w:t>
            </w:r>
          </w:p>
        </w:tc>
        <w:tc>
          <w:tcPr>
            <w:tcW w:w="1491" w:type="dxa"/>
            <w:gridSpan w:val="2"/>
            <w:vAlign w:val="center"/>
          </w:tcPr>
          <w:p w14:paraId="2A34347A" w14:textId="77777777" w:rsidR="002E0859" w:rsidRDefault="002E0859">
            <w:pPr>
              <w:topLinePunct w:val="0"/>
              <w:spacing w:line="240" w:lineRule="auto"/>
              <w:ind w:firstLineChars="0" w:firstLine="0"/>
              <w:rPr>
                <w:color w:val="000000" w:themeColor="text1"/>
                <w:sz w:val="21"/>
                <w:szCs w:val="21"/>
              </w:rPr>
            </w:pPr>
          </w:p>
        </w:tc>
        <w:tc>
          <w:tcPr>
            <w:tcW w:w="1300" w:type="dxa"/>
            <w:gridSpan w:val="3"/>
            <w:vAlign w:val="center"/>
          </w:tcPr>
          <w:p w14:paraId="2FCDED2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禁配物</w:t>
            </w:r>
          </w:p>
        </w:tc>
        <w:tc>
          <w:tcPr>
            <w:tcW w:w="3230" w:type="dxa"/>
            <w:gridSpan w:val="3"/>
            <w:vAlign w:val="center"/>
          </w:tcPr>
          <w:p w14:paraId="0A0F0FC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强氧化剂</w:t>
            </w:r>
          </w:p>
        </w:tc>
      </w:tr>
      <w:tr w:rsidR="002E0859" w14:paraId="0F163A08" w14:textId="77777777">
        <w:trPr>
          <w:trHeight w:val="397"/>
          <w:jc w:val="center"/>
        </w:trPr>
        <w:tc>
          <w:tcPr>
            <w:tcW w:w="1816" w:type="dxa"/>
            <w:vAlign w:val="center"/>
          </w:tcPr>
          <w:p w14:paraId="6C3DBEAD"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操作处置</w:t>
            </w:r>
          </w:p>
        </w:tc>
        <w:tc>
          <w:tcPr>
            <w:tcW w:w="7468" w:type="dxa"/>
            <w:gridSpan w:val="11"/>
            <w:vAlign w:val="center"/>
          </w:tcPr>
          <w:p w14:paraId="17C8D81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密闭操作，全面通风。操作人员必须经过专门培训，严格遵守操作规程。建议操作人员穿防静电工作服，戴橡胶耐油手套。远离火种、热源，工作场所严禁吸烟。使用防暴型的通风系统和设备。防止蒸汽泄漏到工作场所空气中。避免与氧化剂接触。罐装时应控制流速，且有接地装置，防止静电积聚。搬运时要轻装轻卸，防止包装及容器损坏。配备相应品种和数量的消防器材及泄漏应急设备。倒空的容器可能残留有害物。</w:t>
            </w:r>
          </w:p>
        </w:tc>
      </w:tr>
      <w:tr w:rsidR="002E0859" w14:paraId="366A6AAD" w14:textId="77777777">
        <w:trPr>
          <w:trHeight w:val="397"/>
          <w:jc w:val="center"/>
        </w:trPr>
        <w:tc>
          <w:tcPr>
            <w:tcW w:w="1816" w:type="dxa"/>
            <w:vAlign w:val="center"/>
          </w:tcPr>
          <w:p w14:paraId="62BCF25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储存注意事项</w:t>
            </w:r>
          </w:p>
        </w:tc>
        <w:tc>
          <w:tcPr>
            <w:tcW w:w="7468" w:type="dxa"/>
            <w:gridSpan w:val="11"/>
            <w:vAlign w:val="center"/>
          </w:tcPr>
          <w:p w14:paraId="05A8C3C1"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储存于阴凉、通风的库房。远离火种、热源。库存不宜超过</w:t>
            </w:r>
            <w:r>
              <w:rPr>
                <w:color w:val="000000" w:themeColor="text1"/>
                <w:sz w:val="21"/>
                <w:szCs w:val="21"/>
              </w:rPr>
              <w:t>30℃.</w:t>
            </w:r>
            <w:r>
              <w:rPr>
                <w:color w:val="000000" w:themeColor="text1"/>
                <w:sz w:val="21"/>
                <w:szCs w:val="21"/>
              </w:rPr>
              <w:t>保持容器密封。应与氧化剂分开存放，切忌混储。采用防爆型照明、通风设施。禁止使用易产生火花的机械设备和工具。存储区应备有泄漏应急处理设备和合适的收容材料。</w:t>
            </w:r>
          </w:p>
        </w:tc>
      </w:tr>
      <w:tr w:rsidR="002E0859" w14:paraId="58F6B44F" w14:textId="77777777">
        <w:trPr>
          <w:trHeight w:val="397"/>
          <w:jc w:val="center"/>
        </w:trPr>
        <w:tc>
          <w:tcPr>
            <w:tcW w:w="1816" w:type="dxa"/>
            <w:vAlign w:val="center"/>
          </w:tcPr>
          <w:p w14:paraId="2B8B4517"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运输注意事项</w:t>
            </w:r>
          </w:p>
        </w:tc>
        <w:tc>
          <w:tcPr>
            <w:tcW w:w="7468" w:type="dxa"/>
            <w:gridSpan w:val="11"/>
            <w:vAlign w:val="center"/>
          </w:tcPr>
          <w:p w14:paraId="18E65FD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rsidR="002E0859" w14:paraId="7B22F46E" w14:textId="77777777">
        <w:trPr>
          <w:trHeight w:val="397"/>
          <w:jc w:val="center"/>
        </w:trPr>
        <w:tc>
          <w:tcPr>
            <w:tcW w:w="1816" w:type="dxa"/>
            <w:vAlign w:val="center"/>
          </w:tcPr>
          <w:p w14:paraId="0B701D4F"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急救措施</w:t>
            </w:r>
          </w:p>
        </w:tc>
        <w:tc>
          <w:tcPr>
            <w:tcW w:w="7468" w:type="dxa"/>
            <w:gridSpan w:val="11"/>
            <w:vAlign w:val="center"/>
          </w:tcPr>
          <w:p w14:paraId="672114AC"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皮肤接触：立即脱去污染的衣着，用肥皂水和清水彻底冲洗皮肤。就医。眼睛接触：立即翻开上下眼睑，用大量流动清水或生理盐水彻底冲洗至少</w:t>
            </w:r>
            <w:r>
              <w:rPr>
                <w:color w:val="000000" w:themeColor="text1"/>
                <w:sz w:val="21"/>
                <w:szCs w:val="21"/>
              </w:rPr>
              <w:t>15</w:t>
            </w:r>
            <w:r>
              <w:rPr>
                <w:color w:val="000000" w:themeColor="text1"/>
                <w:sz w:val="21"/>
                <w:szCs w:val="21"/>
              </w:rPr>
              <w:t>分钟。就医。吸入：迅速脱离现场至空气新鲜处。保持呼吸道通畅。如呼吸困难，给输氧。如呼吸停止，立即进行人工呼吸。就医。食入：给饮牛奶或用植物油洗胃和灌肠。就医。</w:t>
            </w:r>
          </w:p>
        </w:tc>
      </w:tr>
      <w:tr w:rsidR="002E0859" w14:paraId="59BFC4AF" w14:textId="77777777">
        <w:trPr>
          <w:trHeight w:val="397"/>
          <w:jc w:val="center"/>
        </w:trPr>
        <w:tc>
          <w:tcPr>
            <w:tcW w:w="1816" w:type="dxa"/>
            <w:vAlign w:val="center"/>
          </w:tcPr>
          <w:p w14:paraId="07081A06"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泄漏应急处理及废弃处置</w:t>
            </w:r>
          </w:p>
        </w:tc>
        <w:tc>
          <w:tcPr>
            <w:tcW w:w="7468" w:type="dxa"/>
            <w:gridSpan w:val="11"/>
            <w:vAlign w:val="center"/>
          </w:tcPr>
          <w:p w14:paraId="5CDB079C"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转运至废物处理场所。废弃处置方法：用焚烧法处置。</w:t>
            </w:r>
          </w:p>
        </w:tc>
      </w:tr>
      <w:tr w:rsidR="002E0859" w14:paraId="77328069" w14:textId="77777777">
        <w:trPr>
          <w:trHeight w:val="397"/>
          <w:jc w:val="center"/>
        </w:trPr>
        <w:tc>
          <w:tcPr>
            <w:tcW w:w="1816" w:type="dxa"/>
            <w:vMerge w:val="restart"/>
            <w:vAlign w:val="center"/>
          </w:tcPr>
          <w:p w14:paraId="2CE965B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个体防护</w:t>
            </w:r>
          </w:p>
        </w:tc>
        <w:tc>
          <w:tcPr>
            <w:tcW w:w="1012" w:type="dxa"/>
            <w:gridSpan w:val="2"/>
            <w:vAlign w:val="center"/>
          </w:tcPr>
          <w:p w14:paraId="10EECAEF"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工程控制</w:t>
            </w:r>
          </w:p>
        </w:tc>
        <w:tc>
          <w:tcPr>
            <w:tcW w:w="2414" w:type="dxa"/>
            <w:gridSpan w:val="4"/>
            <w:vAlign w:val="center"/>
          </w:tcPr>
          <w:p w14:paraId="33EBFCEE"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生产过程密闭，全面通风。</w:t>
            </w:r>
          </w:p>
        </w:tc>
        <w:tc>
          <w:tcPr>
            <w:tcW w:w="1469" w:type="dxa"/>
            <w:gridSpan w:val="3"/>
            <w:vMerge w:val="restart"/>
            <w:vAlign w:val="center"/>
          </w:tcPr>
          <w:p w14:paraId="7F530296"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呼吸系统防护</w:t>
            </w:r>
          </w:p>
        </w:tc>
        <w:tc>
          <w:tcPr>
            <w:tcW w:w="2573" w:type="dxa"/>
            <w:gridSpan w:val="2"/>
            <w:vMerge w:val="restart"/>
            <w:vAlign w:val="center"/>
          </w:tcPr>
          <w:p w14:paraId="2E972350"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一般不需要特殊防护，高浓度接触时可佩戴自吸过滤式防毒面具（半面罩）。</w:t>
            </w:r>
          </w:p>
        </w:tc>
      </w:tr>
      <w:tr w:rsidR="002E0859" w14:paraId="32BC26BE" w14:textId="77777777">
        <w:trPr>
          <w:trHeight w:val="397"/>
          <w:jc w:val="center"/>
        </w:trPr>
        <w:tc>
          <w:tcPr>
            <w:tcW w:w="1816" w:type="dxa"/>
            <w:vMerge/>
            <w:vAlign w:val="center"/>
          </w:tcPr>
          <w:p w14:paraId="67753FDE" w14:textId="77777777" w:rsidR="002E0859" w:rsidRDefault="002E0859">
            <w:pPr>
              <w:topLinePunct w:val="0"/>
              <w:spacing w:line="240" w:lineRule="auto"/>
              <w:ind w:firstLineChars="0" w:firstLine="0"/>
              <w:rPr>
                <w:color w:val="000000" w:themeColor="text1"/>
                <w:sz w:val="21"/>
                <w:szCs w:val="21"/>
              </w:rPr>
            </w:pPr>
          </w:p>
        </w:tc>
        <w:tc>
          <w:tcPr>
            <w:tcW w:w="1012" w:type="dxa"/>
            <w:gridSpan w:val="2"/>
            <w:vAlign w:val="center"/>
          </w:tcPr>
          <w:p w14:paraId="18200E14"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最高容许浓度</w:t>
            </w:r>
          </w:p>
        </w:tc>
        <w:tc>
          <w:tcPr>
            <w:tcW w:w="2414" w:type="dxa"/>
            <w:gridSpan w:val="4"/>
            <w:vAlign w:val="center"/>
          </w:tcPr>
          <w:p w14:paraId="20C8D45C"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中国</w:t>
            </w:r>
            <w:r>
              <w:rPr>
                <w:color w:val="000000" w:themeColor="text1"/>
                <w:sz w:val="21"/>
                <w:szCs w:val="21"/>
              </w:rPr>
              <w:t>MAC</w:t>
            </w:r>
            <w:r>
              <w:rPr>
                <w:color w:val="000000" w:themeColor="text1"/>
                <w:sz w:val="21"/>
                <w:szCs w:val="21"/>
              </w:rPr>
              <w:t>（</w:t>
            </w:r>
            <w:r>
              <w:rPr>
                <w:color w:val="000000" w:themeColor="text1"/>
                <w:sz w:val="21"/>
                <w:szCs w:val="21"/>
              </w:rPr>
              <w:t>mg\m</w:t>
            </w:r>
            <w:r>
              <w:rPr>
                <w:color w:val="000000" w:themeColor="text1"/>
                <w:sz w:val="21"/>
                <w:szCs w:val="21"/>
                <w:vertAlign w:val="superscript"/>
              </w:rPr>
              <w:t>3</w:t>
            </w:r>
            <w:r>
              <w:rPr>
                <w:color w:val="000000" w:themeColor="text1"/>
                <w:sz w:val="21"/>
                <w:szCs w:val="21"/>
              </w:rPr>
              <w:t>）：</w:t>
            </w:r>
            <w:r>
              <w:rPr>
                <w:color w:val="000000" w:themeColor="text1"/>
                <w:sz w:val="21"/>
                <w:szCs w:val="21"/>
              </w:rPr>
              <w:t>300</w:t>
            </w:r>
            <w:r>
              <w:rPr>
                <w:color w:val="000000" w:themeColor="text1"/>
                <w:sz w:val="21"/>
                <w:szCs w:val="21"/>
              </w:rPr>
              <w:t>（溶剂汽油）</w:t>
            </w:r>
          </w:p>
        </w:tc>
        <w:tc>
          <w:tcPr>
            <w:tcW w:w="1469" w:type="dxa"/>
            <w:gridSpan w:val="3"/>
            <w:vMerge/>
            <w:vAlign w:val="center"/>
          </w:tcPr>
          <w:p w14:paraId="53877EA6" w14:textId="77777777" w:rsidR="002E0859" w:rsidRDefault="002E0859">
            <w:pPr>
              <w:topLinePunct w:val="0"/>
              <w:spacing w:line="240" w:lineRule="auto"/>
              <w:ind w:firstLineChars="0" w:firstLine="0"/>
              <w:rPr>
                <w:color w:val="000000" w:themeColor="text1"/>
                <w:sz w:val="21"/>
                <w:szCs w:val="21"/>
              </w:rPr>
            </w:pPr>
          </w:p>
        </w:tc>
        <w:tc>
          <w:tcPr>
            <w:tcW w:w="2573" w:type="dxa"/>
            <w:gridSpan w:val="2"/>
            <w:vMerge/>
            <w:vAlign w:val="center"/>
          </w:tcPr>
          <w:p w14:paraId="10128D1C" w14:textId="77777777" w:rsidR="002E0859" w:rsidRDefault="002E0859">
            <w:pPr>
              <w:topLinePunct w:val="0"/>
              <w:spacing w:line="240" w:lineRule="auto"/>
              <w:ind w:firstLineChars="0" w:firstLine="0"/>
              <w:rPr>
                <w:color w:val="000000" w:themeColor="text1"/>
                <w:sz w:val="21"/>
                <w:szCs w:val="21"/>
              </w:rPr>
            </w:pPr>
          </w:p>
        </w:tc>
      </w:tr>
      <w:tr w:rsidR="002E0859" w14:paraId="1D644758" w14:textId="77777777">
        <w:trPr>
          <w:trHeight w:val="397"/>
          <w:jc w:val="center"/>
        </w:trPr>
        <w:tc>
          <w:tcPr>
            <w:tcW w:w="1816" w:type="dxa"/>
            <w:vMerge/>
            <w:vAlign w:val="center"/>
          </w:tcPr>
          <w:p w14:paraId="77270A02" w14:textId="77777777" w:rsidR="002E0859" w:rsidRDefault="002E0859">
            <w:pPr>
              <w:topLinePunct w:val="0"/>
              <w:spacing w:line="240" w:lineRule="auto"/>
              <w:ind w:firstLineChars="0" w:firstLine="0"/>
              <w:rPr>
                <w:color w:val="000000" w:themeColor="text1"/>
                <w:sz w:val="21"/>
                <w:szCs w:val="21"/>
              </w:rPr>
            </w:pPr>
          </w:p>
        </w:tc>
        <w:tc>
          <w:tcPr>
            <w:tcW w:w="1012" w:type="dxa"/>
            <w:gridSpan w:val="2"/>
            <w:vAlign w:val="center"/>
          </w:tcPr>
          <w:p w14:paraId="2FB7D767"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眼睛防护</w:t>
            </w:r>
          </w:p>
        </w:tc>
        <w:tc>
          <w:tcPr>
            <w:tcW w:w="2414" w:type="dxa"/>
            <w:gridSpan w:val="4"/>
            <w:vAlign w:val="center"/>
          </w:tcPr>
          <w:p w14:paraId="3ACF5AD1"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一般不需要特殊防护，高浓度接触时可戴化学安全防护眼镜。</w:t>
            </w:r>
          </w:p>
        </w:tc>
        <w:tc>
          <w:tcPr>
            <w:tcW w:w="1469" w:type="dxa"/>
            <w:gridSpan w:val="3"/>
            <w:vAlign w:val="center"/>
          </w:tcPr>
          <w:p w14:paraId="3FDBD9F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身体防护</w:t>
            </w:r>
          </w:p>
        </w:tc>
        <w:tc>
          <w:tcPr>
            <w:tcW w:w="2573" w:type="dxa"/>
            <w:gridSpan w:val="2"/>
            <w:vAlign w:val="center"/>
          </w:tcPr>
          <w:p w14:paraId="7044E078"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穿防静电工作服。</w:t>
            </w:r>
          </w:p>
        </w:tc>
      </w:tr>
      <w:tr w:rsidR="002E0859" w14:paraId="25DD5AE4" w14:textId="77777777">
        <w:trPr>
          <w:trHeight w:val="397"/>
          <w:jc w:val="center"/>
        </w:trPr>
        <w:tc>
          <w:tcPr>
            <w:tcW w:w="1816" w:type="dxa"/>
            <w:vMerge/>
            <w:vAlign w:val="center"/>
          </w:tcPr>
          <w:p w14:paraId="2B11B63D" w14:textId="77777777" w:rsidR="002E0859" w:rsidRDefault="002E0859">
            <w:pPr>
              <w:topLinePunct w:val="0"/>
              <w:spacing w:line="240" w:lineRule="auto"/>
              <w:ind w:firstLineChars="0" w:firstLine="0"/>
              <w:rPr>
                <w:color w:val="000000" w:themeColor="text1"/>
                <w:sz w:val="21"/>
                <w:szCs w:val="21"/>
              </w:rPr>
            </w:pPr>
          </w:p>
        </w:tc>
        <w:tc>
          <w:tcPr>
            <w:tcW w:w="1012" w:type="dxa"/>
            <w:gridSpan w:val="2"/>
            <w:vAlign w:val="center"/>
          </w:tcPr>
          <w:p w14:paraId="61890FA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手防护</w:t>
            </w:r>
          </w:p>
        </w:tc>
        <w:tc>
          <w:tcPr>
            <w:tcW w:w="2414" w:type="dxa"/>
            <w:gridSpan w:val="4"/>
            <w:vAlign w:val="center"/>
          </w:tcPr>
          <w:p w14:paraId="6229B302"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戴橡胶耐油手套。</w:t>
            </w:r>
          </w:p>
        </w:tc>
        <w:tc>
          <w:tcPr>
            <w:tcW w:w="1469" w:type="dxa"/>
            <w:gridSpan w:val="3"/>
            <w:vAlign w:val="center"/>
          </w:tcPr>
          <w:p w14:paraId="74C548E9"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其他防护</w:t>
            </w:r>
          </w:p>
        </w:tc>
        <w:tc>
          <w:tcPr>
            <w:tcW w:w="2573" w:type="dxa"/>
            <w:gridSpan w:val="2"/>
            <w:vAlign w:val="center"/>
          </w:tcPr>
          <w:p w14:paraId="4F8B1625" w14:textId="77777777" w:rsidR="002E0859" w:rsidRDefault="00000000">
            <w:pPr>
              <w:topLinePunct w:val="0"/>
              <w:spacing w:line="240" w:lineRule="auto"/>
              <w:ind w:firstLineChars="0" w:firstLine="0"/>
              <w:rPr>
                <w:color w:val="000000" w:themeColor="text1"/>
                <w:sz w:val="21"/>
                <w:szCs w:val="21"/>
              </w:rPr>
            </w:pPr>
            <w:r>
              <w:rPr>
                <w:color w:val="000000" w:themeColor="text1"/>
                <w:sz w:val="21"/>
                <w:szCs w:val="21"/>
              </w:rPr>
              <w:t>工作现场严禁吸烟。避免长期反复接触。</w:t>
            </w:r>
          </w:p>
        </w:tc>
      </w:tr>
    </w:tbl>
    <w:p w14:paraId="37F4A150"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柴油</w:t>
      </w:r>
    </w:p>
    <w:p w14:paraId="3EDD54A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钻井施工、采气压裂施工过程中</w:t>
      </w:r>
      <w:r>
        <w:rPr>
          <w:color w:val="000000" w:themeColor="text1"/>
          <w:sz w:val="24"/>
          <w:szCs w:val="24"/>
        </w:rPr>
        <w:t>柴油发电机、大型车辆等使用柴油</w:t>
      </w:r>
      <w:r>
        <w:rPr>
          <w:rFonts w:hint="eastAsia"/>
          <w:color w:val="000000" w:themeColor="text1"/>
          <w:sz w:val="24"/>
          <w:szCs w:val="24"/>
        </w:rPr>
        <w:t>。</w:t>
      </w:r>
      <w:r>
        <w:rPr>
          <w:color w:val="000000" w:themeColor="text1"/>
          <w:sz w:val="24"/>
          <w:szCs w:val="24"/>
        </w:rPr>
        <w:t>柴油属于高闪点易燃液体，火灾危险类别乙</w:t>
      </w:r>
      <w:r>
        <w:rPr>
          <w:color w:val="000000" w:themeColor="text1"/>
          <w:sz w:val="24"/>
          <w:szCs w:val="24"/>
          <w:vertAlign w:val="subscript"/>
        </w:rPr>
        <w:t>B</w:t>
      </w:r>
      <w:r>
        <w:rPr>
          <w:color w:val="000000" w:themeColor="text1"/>
          <w:sz w:val="24"/>
          <w:szCs w:val="24"/>
        </w:rPr>
        <w:t>类，柴油是轻质石油产品，烃类（碳原子数约</w:t>
      </w:r>
      <w:r>
        <w:rPr>
          <w:color w:val="000000" w:themeColor="text1"/>
          <w:sz w:val="24"/>
          <w:szCs w:val="24"/>
        </w:rPr>
        <w:t>10</w:t>
      </w:r>
      <w:r>
        <w:rPr>
          <w:color w:val="000000" w:themeColor="text1"/>
          <w:sz w:val="24"/>
          <w:szCs w:val="24"/>
        </w:rPr>
        <w:t>～</w:t>
      </w:r>
      <w:r>
        <w:rPr>
          <w:color w:val="000000" w:themeColor="text1"/>
          <w:sz w:val="24"/>
          <w:szCs w:val="24"/>
        </w:rPr>
        <w:t>22</w:t>
      </w:r>
      <w:r>
        <w:rPr>
          <w:color w:val="000000" w:themeColor="text1"/>
          <w:sz w:val="24"/>
          <w:szCs w:val="24"/>
        </w:rPr>
        <w:t>）混合物，具有易燃、易扩散、毒性等特性。遇明火、雷击、高热或与氧化剂接触，有引起燃烧爆炸的危险。吸入高浓度蒸气，表现为乏力，头痛、酩酊感、神志恍惚、肌肉震颤，重者出现定力障碍，意识模糊等，皮肤接触柴油可引起接触性皮炎、油性痤疮。</w:t>
      </w:r>
    </w:p>
    <w:p w14:paraId="4C05554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柴油</w:t>
      </w:r>
      <w:r>
        <w:rPr>
          <w:color w:val="000000" w:themeColor="text1"/>
          <w:sz w:val="24"/>
          <w:szCs w:val="24"/>
        </w:rPr>
        <w:t>的主要危险有害特性见表</w:t>
      </w:r>
      <w:r>
        <w:rPr>
          <w:rFonts w:hint="eastAsia"/>
          <w:color w:val="000000" w:themeColor="text1"/>
          <w:sz w:val="24"/>
          <w:szCs w:val="24"/>
        </w:rPr>
        <w:t>3.1-8</w:t>
      </w:r>
      <w:r>
        <w:rPr>
          <w:color w:val="000000" w:themeColor="text1"/>
          <w:sz w:val="24"/>
          <w:szCs w:val="24"/>
        </w:rPr>
        <w:t>。</w:t>
      </w:r>
    </w:p>
    <w:p w14:paraId="03A61B28"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lastRenderedPageBreak/>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8 </w:t>
      </w:r>
      <w:r>
        <w:rPr>
          <w:rFonts w:ascii="Times New Roman" w:eastAsia="黑体" w:hAnsi="Times New Roman" w:cs="Times New Roman" w:hint="eastAsia"/>
          <w:color w:val="000000" w:themeColor="text1"/>
          <w:sz w:val="21"/>
          <w:szCs w:val="21"/>
          <w:lang w:eastAsia="zh-CN"/>
        </w:rPr>
        <w:t>柴油主要危险有害特性</w:t>
      </w:r>
      <w:r>
        <w:rPr>
          <w:rFonts w:ascii="Times New Roman" w:eastAsia="黑体" w:hAnsi="Times New Roman" w:cs="Times New Roman"/>
          <w:color w:val="000000" w:themeColor="text1"/>
          <w:sz w:val="21"/>
          <w:szCs w:val="21"/>
          <w:lang w:eastAsia="zh-CN"/>
        </w:rPr>
        <w:t>一览表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5"/>
        <w:gridCol w:w="1904"/>
        <w:gridCol w:w="1525"/>
        <w:gridCol w:w="1213"/>
        <w:gridCol w:w="765"/>
        <w:gridCol w:w="152"/>
        <w:gridCol w:w="913"/>
        <w:gridCol w:w="1369"/>
        <w:gridCol w:w="664"/>
      </w:tblGrid>
      <w:tr w:rsidR="002E0859" w14:paraId="4DF76AAE" w14:textId="77777777">
        <w:trPr>
          <w:cantSplit/>
          <w:jc w:val="center"/>
        </w:trPr>
        <w:tc>
          <w:tcPr>
            <w:tcW w:w="352" w:type="pct"/>
            <w:vMerge w:val="restart"/>
            <w:vAlign w:val="center"/>
          </w:tcPr>
          <w:p w14:paraId="166C7924" w14:textId="77777777" w:rsidR="002E0859" w:rsidRDefault="00000000">
            <w:pPr>
              <w:spacing w:line="240" w:lineRule="auto"/>
              <w:ind w:firstLineChars="0" w:firstLine="0"/>
              <w:jc w:val="center"/>
              <w:rPr>
                <w:color w:val="000000" w:themeColor="text1"/>
                <w:sz w:val="21"/>
              </w:rPr>
            </w:pPr>
            <w:r>
              <w:rPr>
                <w:color w:val="000000" w:themeColor="text1"/>
                <w:sz w:val="21"/>
              </w:rPr>
              <w:t>标识</w:t>
            </w:r>
          </w:p>
        </w:tc>
        <w:tc>
          <w:tcPr>
            <w:tcW w:w="1040" w:type="pct"/>
            <w:vAlign w:val="center"/>
          </w:tcPr>
          <w:p w14:paraId="5A7028FA" w14:textId="77777777" w:rsidR="002E0859" w:rsidRDefault="00000000">
            <w:pPr>
              <w:spacing w:line="240" w:lineRule="auto"/>
              <w:ind w:firstLineChars="0" w:firstLine="0"/>
              <w:jc w:val="center"/>
              <w:rPr>
                <w:color w:val="000000" w:themeColor="text1"/>
                <w:sz w:val="21"/>
              </w:rPr>
            </w:pPr>
            <w:r>
              <w:rPr>
                <w:color w:val="000000" w:themeColor="text1"/>
                <w:sz w:val="21"/>
              </w:rPr>
              <w:t>中文名</w:t>
            </w:r>
          </w:p>
        </w:tc>
        <w:tc>
          <w:tcPr>
            <w:tcW w:w="833" w:type="pct"/>
            <w:vAlign w:val="center"/>
          </w:tcPr>
          <w:p w14:paraId="1BE0E2ED" w14:textId="77777777" w:rsidR="002E0859" w:rsidRDefault="00000000">
            <w:pPr>
              <w:spacing w:line="240" w:lineRule="auto"/>
              <w:ind w:firstLineChars="0" w:firstLine="0"/>
              <w:jc w:val="center"/>
              <w:rPr>
                <w:color w:val="000000" w:themeColor="text1"/>
                <w:sz w:val="21"/>
              </w:rPr>
            </w:pPr>
            <w:r>
              <w:rPr>
                <w:color w:val="000000" w:themeColor="text1"/>
                <w:sz w:val="21"/>
              </w:rPr>
              <w:t>柴油</w:t>
            </w:r>
          </w:p>
        </w:tc>
        <w:tc>
          <w:tcPr>
            <w:tcW w:w="1081" w:type="pct"/>
            <w:gridSpan w:val="2"/>
            <w:vAlign w:val="center"/>
          </w:tcPr>
          <w:p w14:paraId="1D6E6B5A" w14:textId="77777777" w:rsidR="002E0859" w:rsidRDefault="00000000">
            <w:pPr>
              <w:spacing w:line="240" w:lineRule="auto"/>
              <w:ind w:firstLineChars="0" w:firstLine="0"/>
              <w:jc w:val="center"/>
              <w:rPr>
                <w:color w:val="000000" w:themeColor="text1"/>
                <w:sz w:val="21"/>
              </w:rPr>
            </w:pPr>
            <w:r>
              <w:rPr>
                <w:color w:val="000000" w:themeColor="text1"/>
                <w:sz w:val="21"/>
              </w:rPr>
              <w:t>CAS</w:t>
            </w:r>
          </w:p>
        </w:tc>
        <w:tc>
          <w:tcPr>
            <w:tcW w:w="1693" w:type="pct"/>
            <w:gridSpan w:val="4"/>
            <w:vAlign w:val="center"/>
          </w:tcPr>
          <w:p w14:paraId="30191996"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r>
      <w:tr w:rsidR="002E0859" w14:paraId="6B2FE453" w14:textId="77777777">
        <w:trPr>
          <w:cantSplit/>
          <w:jc w:val="center"/>
        </w:trPr>
        <w:tc>
          <w:tcPr>
            <w:tcW w:w="352" w:type="pct"/>
            <w:vMerge/>
            <w:vAlign w:val="center"/>
          </w:tcPr>
          <w:p w14:paraId="27C4713A" w14:textId="77777777" w:rsidR="002E0859" w:rsidRDefault="002E0859">
            <w:pPr>
              <w:spacing w:line="240" w:lineRule="auto"/>
              <w:ind w:firstLineChars="0" w:firstLine="0"/>
              <w:jc w:val="center"/>
              <w:rPr>
                <w:color w:val="000000" w:themeColor="text1"/>
                <w:sz w:val="21"/>
              </w:rPr>
            </w:pPr>
          </w:p>
        </w:tc>
        <w:tc>
          <w:tcPr>
            <w:tcW w:w="1040" w:type="pct"/>
            <w:vAlign w:val="center"/>
          </w:tcPr>
          <w:p w14:paraId="363873A5" w14:textId="77777777" w:rsidR="002E0859" w:rsidRDefault="00000000">
            <w:pPr>
              <w:spacing w:line="240" w:lineRule="auto"/>
              <w:ind w:firstLineChars="0" w:firstLine="0"/>
              <w:jc w:val="center"/>
              <w:rPr>
                <w:color w:val="000000" w:themeColor="text1"/>
                <w:sz w:val="21"/>
              </w:rPr>
            </w:pPr>
            <w:r>
              <w:rPr>
                <w:color w:val="000000" w:themeColor="text1"/>
                <w:sz w:val="21"/>
              </w:rPr>
              <w:t>分子式</w:t>
            </w:r>
          </w:p>
        </w:tc>
        <w:tc>
          <w:tcPr>
            <w:tcW w:w="833" w:type="pct"/>
            <w:vAlign w:val="center"/>
          </w:tcPr>
          <w:p w14:paraId="2EB955E9"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1081" w:type="pct"/>
            <w:gridSpan w:val="2"/>
            <w:vAlign w:val="center"/>
          </w:tcPr>
          <w:p w14:paraId="1721A4BD" w14:textId="77777777" w:rsidR="002E0859" w:rsidRDefault="00000000">
            <w:pPr>
              <w:spacing w:line="240" w:lineRule="auto"/>
              <w:ind w:firstLineChars="0" w:firstLine="0"/>
              <w:jc w:val="center"/>
              <w:rPr>
                <w:color w:val="000000" w:themeColor="text1"/>
                <w:sz w:val="21"/>
              </w:rPr>
            </w:pPr>
            <w:r>
              <w:rPr>
                <w:color w:val="000000" w:themeColor="text1"/>
                <w:sz w:val="21"/>
              </w:rPr>
              <w:t>危化品序号</w:t>
            </w:r>
          </w:p>
        </w:tc>
        <w:tc>
          <w:tcPr>
            <w:tcW w:w="1693" w:type="pct"/>
            <w:gridSpan w:val="4"/>
            <w:vAlign w:val="center"/>
          </w:tcPr>
          <w:p w14:paraId="00B99904" w14:textId="77777777" w:rsidR="002E0859" w:rsidRDefault="00000000">
            <w:pPr>
              <w:spacing w:line="240" w:lineRule="auto"/>
              <w:ind w:firstLineChars="0" w:firstLine="0"/>
              <w:jc w:val="center"/>
              <w:rPr>
                <w:color w:val="000000" w:themeColor="text1"/>
                <w:sz w:val="21"/>
              </w:rPr>
            </w:pPr>
            <w:r>
              <w:rPr>
                <w:color w:val="000000" w:themeColor="text1"/>
                <w:sz w:val="21"/>
              </w:rPr>
              <w:t>1674</w:t>
            </w:r>
          </w:p>
        </w:tc>
      </w:tr>
      <w:tr w:rsidR="002E0859" w14:paraId="73110C41" w14:textId="77777777">
        <w:trPr>
          <w:cantSplit/>
          <w:jc w:val="center"/>
        </w:trPr>
        <w:tc>
          <w:tcPr>
            <w:tcW w:w="352" w:type="pct"/>
            <w:vMerge/>
            <w:vAlign w:val="center"/>
          </w:tcPr>
          <w:p w14:paraId="275734FF" w14:textId="77777777" w:rsidR="002E0859" w:rsidRDefault="002E0859">
            <w:pPr>
              <w:spacing w:line="240" w:lineRule="auto"/>
              <w:ind w:firstLineChars="0" w:firstLine="0"/>
              <w:jc w:val="center"/>
              <w:rPr>
                <w:color w:val="000000" w:themeColor="text1"/>
                <w:sz w:val="21"/>
              </w:rPr>
            </w:pPr>
          </w:p>
        </w:tc>
        <w:tc>
          <w:tcPr>
            <w:tcW w:w="1040" w:type="pct"/>
            <w:vAlign w:val="center"/>
          </w:tcPr>
          <w:p w14:paraId="5798EEC8" w14:textId="77777777" w:rsidR="002E0859" w:rsidRDefault="00000000">
            <w:pPr>
              <w:spacing w:line="240" w:lineRule="auto"/>
              <w:ind w:firstLineChars="0" w:firstLine="0"/>
              <w:jc w:val="center"/>
              <w:rPr>
                <w:color w:val="000000" w:themeColor="text1"/>
                <w:sz w:val="21"/>
              </w:rPr>
            </w:pPr>
            <w:r>
              <w:rPr>
                <w:color w:val="000000" w:themeColor="text1"/>
                <w:sz w:val="21"/>
              </w:rPr>
              <w:t>分子量</w:t>
            </w:r>
          </w:p>
        </w:tc>
        <w:tc>
          <w:tcPr>
            <w:tcW w:w="833" w:type="pct"/>
            <w:vAlign w:val="center"/>
          </w:tcPr>
          <w:p w14:paraId="210D47D3"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1081" w:type="pct"/>
            <w:gridSpan w:val="2"/>
            <w:vAlign w:val="center"/>
          </w:tcPr>
          <w:p w14:paraId="158922FA" w14:textId="77777777" w:rsidR="002E0859" w:rsidRDefault="00000000">
            <w:pPr>
              <w:spacing w:line="240" w:lineRule="auto"/>
              <w:ind w:firstLineChars="0" w:firstLine="0"/>
              <w:jc w:val="center"/>
              <w:rPr>
                <w:color w:val="000000" w:themeColor="text1"/>
                <w:sz w:val="21"/>
              </w:rPr>
            </w:pPr>
            <w:r>
              <w:rPr>
                <w:color w:val="000000" w:themeColor="text1"/>
                <w:sz w:val="21"/>
              </w:rPr>
              <w:t>UN</w:t>
            </w:r>
            <w:r>
              <w:rPr>
                <w:color w:val="000000" w:themeColor="text1"/>
                <w:sz w:val="21"/>
              </w:rPr>
              <w:t>编号</w:t>
            </w:r>
          </w:p>
        </w:tc>
        <w:tc>
          <w:tcPr>
            <w:tcW w:w="1693" w:type="pct"/>
            <w:gridSpan w:val="4"/>
            <w:vAlign w:val="center"/>
          </w:tcPr>
          <w:p w14:paraId="490F8293"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r>
      <w:tr w:rsidR="002E0859" w14:paraId="78E8F02A" w14:textId="77777777">
        <w:trPr>
          <w:cantSplit/>
          <w:jc w:val="center"/>
        </w:trPr>
        <w:tc>
          <w:tcPr>
            <w:tcW w:w="352" w:type="pct"/>
            <w:vMerge w:val="restart"/>
            <w:vAlign w:val="center"/>
          </w:tcPr>
          <w:p w14:paraId="7010050F" w14:textId="77777777" w:rsidR="002E0859" w:rsidRDefault="00000000">
            <w:pPr>
              <w:spacing w:line="240" w:lineRule="auto"/>
              <w:ind w:firstLineChars="0" w:firstLine="0"/>
              <w:jc w:val="center"/>
              <w:rPr>
                <w:color w:val="000000" w:themeColor="text1"/>
                <w:sz w:val="21"/>
              </w:rPr>
            </w:pPr>
            <w:r>
              <w:rPr>
                <w:color w:val="000000" w:themeColor="text1"/>
                <w:sz w:val="21"/>
              </w:rPr>
              <w:t>理化性质</w:t>
            </w:r>
          </w:p>
        </w:tc>
        <w:tc>
          <w:tcPr>
            <w:tcW w:w="1040" w:type="pct"/>
            <w:vAlign w:val="center"/>
          </w:tcPr>
          <w:p w14:paraId="319EFC92" w14:textId="77777777" w:rsidR="002E0859" w:rsidRDefault="00000000">
            <w:pPr>
              <w:spacing w:line="240" w:lineRule="auto"/>
              <w:ind w:firstLineChars="0" w:firstLine="0"/>
              <w:jc w:val="center"/>
              <w:rPr>
                <w:color w:val="000000" w:themeColor="text1"/>
                <w:sz w:val="21"/>
              </w:rPr>
            </w:pPr>
            <w:r>
              <w:rPr>
                <w:color w:val="000000" w:themeColor="text1"/>
                <w:sz w:val="21"/>
              </w:rPr>
              <w:t>外观性状</w:t>
            </w:r>
          </w:p>
        </w:tc>
        <w:tc>
          <w:tcPr>
            <w:tcW w:w="3607" w:type="pct"/>
            <w:gridSpan w:val="7"/>
            <w:vAlign w:val="center"/>
          </w:tcPr>
          <w:p w14:paraId="3B4C4B13" w14:textId="77777777" w:rsidR="002E0859" w:rsidRDefault="00000000">
            <w:pPr>
              <w:spacing w:line="240" w:lineRule="auto"/>
              <w:ind w:firstLineChars="0" w:firstLine="0"/>
              <w:rPr>
                <w:color w:val="000000" w:themeColor="text1"/>
                <w:sz w:val="21"/>
              </w:rPr>
            </w:pPr>
            <w:r>
              <w:rPr>
                <w:color w:val="000000" w:themeColor="text1"/>
                <w:sz w:val="21"/>
              </w:rPr>
              <w:t>稍有粘性的棕色液体。</w:t>
            </w:r>
          </w:p>
        </w:tc>
      </w:tr>
      <w:tr w:rsidR="002E0859" w14:paraId="5999DBF5" w14:textId="77777777">
        <w:trPr>
          <w:cantSplit/>
          <w:jc w:val="center"/>
        </w:trPr>
        <w:tc>
          <w:tcPr>
            <w:tcW w:w="352" w:type="pct"/>
            <w:vMerge/>
            <w:vAlign w:val="center"/>
          </w:tcPr>
          <w:p w14:paraId="1B527A6A" w14:textId="77777777" w:rsidR="002E0859" w:rsidRDefault="002E0859">
            <w:pPr>
              <w:spacing w:line="240" w:lineRule="auto"/>
              <w:ind w:firstLineChars="0" w:firstLine="0"/>
              <w:jc w:val="center"/>
              <w:rPr>
                <w:color w:val="000000" w:themeColor="text1"/>
                <w:sz w:val="21"/>
              </w:rPr>
            </w:pPr>
          </w:p>
        </w:tc>
        <w:tc>
          <w:tcPr>
            <w:tcW w:w="1040" w:type="pct"/>
            <w:vAlign w:val="center"/>
          </w:tcPr>
          <w:p w14:paraId="462EF16D" w14:textId="77777777" w:rsidR="002E0859" w:rsidRDefault="00000000">
            <w:pPr>
              <w:spacing w:line="240" w:lineRule="auto"/>
              <w:ind w:firstLineChars="0" w:firstLine="0"/>
              <w:jc w:val="center"/>
              <w:rPr>
                <w:color w:val="000000" w:themeColor="text1"/>
                <w:sz w:val="21"/>
              </w:rPr>
            </w:pPr>
            <w:r>
              <w:rPr>
                <w:color w:val="000000" w:themeColor="text1"/>
                <w:sz w:val="21"/>
              </w:rPr>
              <w:t>主要用途</w:t>
            </w:r>
          </w:p>
        </w:tc>
        <w:tc>
          <w:tcPr>
            <w:tcW w:w="3607" w:type="pct"/>
            <w:gridSpan w:val="7"/>
            <w:vAlign w:val="center"/>
          </w:tcPr>
          <w:p w14:paraId="11F0AFED" w14:textId="77777777" w:rsidR="002E0859" w:rsidRDefault="00000000">
            <w:pPr>
              <w:spacing w:line="240" w:lineRule="auto"/>
              <w:ind w:firstLineChars="0" w:firstLine="0"/>
              <w:rPr>
                <w:color w:val="000000" w:themeColor="text1"/>
                <w:sz w:val="21"/>
              </w:rPr>
            </w:pPr>
            <w:r>
              <w:rPr>
                <w:color w:val="000000" w:themeColor="text1"/>
                <w:sz w:val="21"/>
              </w:rPr>
              <w:t>用作柴油机的燃料。</w:t>
            </w:r>
          </w:p>
        </w:tc>
      </w:tr>
      <w:tr w:rsidR="002E0859" w14:paraId="0D09E331" w14:textId="77777777">
        <w:trPr>
          <w:cantSplit/>
          <w:jc w:val="center"/>
        </w:trPr>
        <w:tc>
          <w:tcPr>
            <w:tcW w:w="352" w:type="pct"/>
            <w:vMerge/>
            <w:vAlign w:val="center"/>
          </w:tcPr>
          <w:p w14:paraId="7E981D11" w14:textId="77777777" w:rsidR="002E0859" w:rsidRDefault="002E0859">
            <w:pPr>
              <w:spacing w:line="240" w:lineRule="auto"/>
              <w:ind w:firstLineChars="0" w:firstLine="0"/>
              <w:jc w:val="center"/>
              <w:rPr>
                <w:color w:val="000000" w:themeColor="text1"/>
                <w:sz w:val="21"/>
              </w:rPr>
            </w:pPr>
          </w:p>
        </w:tc>
        <w:tc>
          <w:tcPr>
            <w:tcW w:w="1040" w:type="pct"/>
            <w:vAlign w:val="center"/>
          </w:tcPr>
          <w:p w14:paraId="2CA017ED" w14:textId="77777777" w:rsidR="002E0859" w:rsidRDefault="00000000">
            <w:pPr>
              <w:spacing w:line="240" w:lineRule="auto"/>
              <w:ind w:firstLineChars="0" w:firstLine="0"/>
              <w:jc w:val="center"/>
              <w:rPr>
                <w:color w:val="000000" w:themeColor="text1"/>
                <w:sz w:val="21"/>
              </w:rPr>
            </w:pPr>
            <w:r>
              <w:rPr>
                <w:color w:val="000000" w:themeColor="text1"/>
                <w:sz w:val="21"/>
              </w:rPr>
              <w:t>溶解性</w:t>
            </w:r>
          </w:p>
        </w:tc>
        <w:tc>
          <w:tcPr>
            <w:tcW w:w="3607" w:type="pct"/>
            <w:gridSpan w:val="7"/>
            <w:vAlign w:val="center"/>
          </w:tcPr>
          <w:p w14:paraId="14C2B797" w14:textId="77777777" w:rsidR="002E0859" w:rsidRDefault="00000000">
            <w:pPr>
              <w:spacing w:line="240" w:lineRule="auto"/>
              <w:ind w:firstLineChars="0" w:firstLine="0"/>
              <w:rPr>
                <w:color w:val="000000" w:themeColor="text1"/>
                <w:sz w:val="21"/>
              </w:rPr>
            </w:pPr>
            <w:r>
              <w:rPr>
                <w:color w:val="000000" w:themeColor="text1"/>
                <w:sz w:val="21"/>
              </w:rPr>
              <w:t>无资料</w:t>
            </w:r>
          </w:p>
        </w:tc>
      </w:tr>
      <w:tr w:rsidR="002E0859" w14:paraId="45E1407A" w14:textId="77777777">
        <w:trPr>
          <w:cantSplit/>
          <w:jc w:val="center"/>
        </w:trPr>
        <w:tc>
          <w:tcPr>
            <w:tcW w:w="352" w:type="pct"/>
            <w:vMerge/>
            <w:vAlign w:val="center"/>
          </w:tcPr>
          <w:p w14:paraId="4F5D7F47" w14:textId="77777777" w:rsidR="002E0859" w:rsidRDefault="002E0859">
            <w:pPr>
              <w:spacing w:line="240" w:lineRule="auto"/>
              <w:ind w:firstLineChars="0" w:firstLine="0"/>
              <w:jc w:val="center"/>
              <w:rPr>
                <w:color w:val="000000" w:themeColor="text1"/>
                <w:sz w:val="21"/>
              </w:rPr>
            </w:pPr>
          </w:p>
        </w:tc>
        <w:tc>
          <w:tcPr>
            <w:tcW w:w="1040" w:type="pct"/>
            <w:vAlign w:val="center"/>
          </w:tcPr>
          <w:p w14:paraId="50E8B4A3" w14:textId="77777777" w:rsidR="002E0859" w:rsidRDefault="00000000">
            <w:pPr>
              <w:spacing w:line="240" w:lineRule="auto"/>
              <w:ind w:firstLineChars="0" w:firstLine="0"/>
              <w:jc w:val="center"/>
              <w:rPr>
                <w:color w:val="000000" w:themeColor="text1"/>
                <w:sz w:val="21"/>
              </w:rPr>
            </w:pPr>
            <w:r>
              <w:rPr>
                <w:color w:val="000000" w:themeColor="text1"/>
                <w:sz w:val="21"/>
              </w:rPr>
              <w:t>熔点（</w:t>
            </w:r>
            <w:r>
              <w:rPr>
                <w:color w:val="000000" w:themeColor="text1"/>
                <w:sz w:val="21"/>
              </w:rPr>
              <w:t>℃</w:t>
            </w:r>
            <w:r>
              <w:rPr>
                <w:color w:val="000000" w:themeColor="text1"/>
                <w:sz w:val="21"/>
              </w:rPr>
              <w:t>）</w:t>
            </w:r>
          </w:p>
        </w:tc>
        <w:tc>
          <w:tcPr>
            <w:tcW w:w="833" w:type="pct"/>
            <w:vAlign w:val="center"/>
          </w:tcPr>
          <w:p w14:paraId="0A66B5FF" w14:textId="77777777" w:rsidR="002E0859" w:rsidRDefault="00000000">
            <w:pPr>
              <w:spacing w:line="240" w:lineRule="auto"/>
              <w:ind w:firstLineChars="0" w:firstLine="0"/>
              <w:jc w:val="center"/>
              <w:rPr>
                <w:color w:val="000000" w:themeColor="text1"/>
                <w:sz w:val="21"/>
              </w:rPr>
            </w:pPr>
            <w:r>
              <w:rPr>
                <w:color w:val="000000" w:themeColor="text1"/>
                <w:sz w:val="21"/>
              </w:rPr>
              <w:t>-18</w:t>
            </w:r>
          </w:p>
        </w:tc>
        <w:tc>
          <w:tcPr>
            <w:tcW w:w="1081" w:type="pct"/>
            <w:gridSpan w:val="2"/>
            <w:vAlign w:val="center"/>
          </w:tcPr>
          <w:p w14:paraId="2160B6E1" w14:textId="77777777" w:rsidR="002E0859" w:rsidRDefault="00000000">
            <w:pPr>
              <w:spacing w:line="240" w:lineRule="auto"/>
              <w:ind w:firstLineChars="0" w:firstLine="0"/>
              <w:jc w:val="center"/>
              <w:rPr>
                <w:color w:val="000000" w:themeColor="text1"/>
                <w:sz w:val="21"/>
              </w:rPr>
            </w:pPr>
            <w:r>
              <w:rPr>
                <w:color w:val="000000" w:themeColor="text1"/>
                <w:sz w:val="21"/>
              </w:rPr>
              <w:t>燃烧热（</w:t>
            </w:r>
            <w:r>
              <w:rPr>
                <w:color w:val="000000" w:themeColor="text1"/>
                <w:sz w:val="21"/>
              </w:rPr>
              <w:t>kJ/mol</w:t>
            </w:r>
            <w:r>
              <w:rPr>
                <w:color w:val="000000" w:themeColor="text1"/>
                <w:sz w:val="21"/>
              </w:rPr>
              <w:t>）</w:t>
            </w:r>
          </w:p>
        </w:tc>
        <w:tc>
          <w:tcPr>
            <w:tcW w:w="1693" w:type="pct"/>
            <w:gridSpan w:val="4"/>
            <w:vAlign w:val="center"/>
          </w:tcPr>
          <w:p w14:paraId="165494E8"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r>
      <w:tr w:rsidR="002E0859" w14:paraId="5B8B31F6" w14:textId="77777777">
        <w:trPr>
          <w:cantSplit/>
          <w:jc w:val="center"/>
        </w:trPr>
        <w:tc>
          <w:tcPr>
            <w:tcW w:w="352" w:type="pct"/>
            <w:vMerge/>
            <w:vAlign w:val="center"/>
          </w:tcPr>
          <w:p w14:paraId="6D736B00" w14:textId="77777777" w:rsidR="002E0859" w:rsidRDefault="002E0859">
            <w:pPr>
              <w:spacing w:line="240" w:lineRule="auto"/>
              <w:ind w:firstLineChars="0" w:firstLine="0"/>
              <w:jc w:val="center"/>
              <w:rPr>
                <w:color w:val="000000" w:themeColor="text1"/>
                <w:sz w:val="21"/>
              </w:rPr>
            </w:pPr>
          </w:p>
        </w:tc>
        <w:tc>
          <w:tcPr>
            <w:tcW w:w="1040" w:type="pct"/>
            <w:vAlign w:val="center"/>
          </w:tcPr>
          <w:p w14:paraId="7FDCC14D" w14:textId="77777777" w:rsidR="002E0859" w:rsidRDefault="00000000">
            <w:pPr>
              <w:spacing w:line="240" w:lineRule="auto"/>
              <w:ind w:firstLineChars="0" w:firstLine="0"/>
              <w:jc w:val="center"/>
              <w:rPr>
                <w:color w:val="000000" w:themeColor="text1"/>
                <w:sz w:val="21"/>
              </w:rPr>
            </w:pPr>
            <w:r>
              <w:rPr>
                <w:color w:val="000000" w:themeColor="text1"/>
                <w:sz w:val="21"/>
              </w:rPr>
              <w:t>沸点（</w:t>
            </w:r>
            <w:r>
              <w:rPr>
                <w:color w:val="000000" w:themeColor="text1"/>
                <w:sz w:val="21"/>
              </w:rPr>
              <w:t>℃</w:t>
            </w:r>
            <w:r>
              <w:rPr>
                <w:color w:val="000000" w:themeColor="text1"/>
                <w:sz w:val="21"/>
              </w:rPr>
              <w:t>）</w:t>
            </w:r>
          </w:p>
        </w:tc>
        <w:tc>
          <w:tcPr>
            <w:tcW w:w="833" w:type="pct"/>
            <w:vAlign w:val="center"/>
          </w:tcPr>
          <w:p w14:paraId="52F0B32A" w14:textId="77777777" w:rsidR="002E0859" w:rsidRDefault="00000000">
            <w:pPr>
              <w:spacing w:line="240" w:lineRule="auto"/>
              <w:ind w:firstLineChars="0" w:firstLine="0"/>
              <w:jc w:val="center"/>
              <w:rPr>
                <w:color w:val="000000" w:themeColor="text1"/>
                <w:sz w:val="21"/>
              </w:rPr>
            </w:pPr>
            <w:r>
              <w:rPr>
                <w:color w:val="000000" w:themeColor="text1"/>
                <w:sz w:val="21"/>
              </w:rPr>
              <w:t>282</w:t>
            </w:r>
            <w:r>
              <w:rPr>
                <w:rFonts w:hint="eastAsia"/>
                <w:color w:val="000000" w:themeColor="text1"/>
                <w:sz w:val="21"/>
              </w:rPr>
              <w:t>～</w:t>
            </w:r>
            <w:r>
              <w:rPr>
                <w:color w:val="000000" w:themeColor="text1"/>
                <w:sz w:val="21"/>
              </w:rPr>
              <w:t>338</w:t>
            </w:r>
          </w:p>
        </w:tc>
        <w:tc>
          <w:tcPr>
            <w:tcW w:w="1081" w:type="pct"/>
            <w:gridSpan w:val="2"/>
            <w:vAlign w:val="center"/>
          </w:tcPr>
          <w:p w14:paraId="77162666" w14:textId="77777777" w:rsidR="002E0859" w:rsidRDefault="00000000">
            <w:pPr>
              <w:spacing w:line="240" w:lineRule="auto"/>
              <w:ind w:firstLineChars="0" w:firstLine="0"/>
              <w:jc w:val="center"/>
              <w:rPr>
                <w:color w:val="000000" w:themeColor="text1"/>
                <w:sz w:val="21"/>
              </w:rPr>
            </w:pPr>
            <w:r>
              <w:rPr>
                <w:color w:val="000000" w:themeColor="text1"/>
                <w:sz w:val="21"/>
              </w:rPr>
              <w:t>饱和蒸气压（</w:t>
            </w:r>
            <w:r>
              <w:rPr>
                <w:color w:val="000000" w:themeColor="text1"/>
                <w:sz w:val="21"/>
              </w:rPr>
              <w:t>kPa</w:t>
            </w:r>
            <w:r>
              <w:rPr>
                <w:color w:val="000000" w:themeColor="text1"/>
                <w:sz w:val="21"/>
              </w:rPr>
              <w:t>）</w:t>
            </w:r>
          </w:p>
        </w:tc>
        <w:tc>
          <w:tcPr>
            <w:tcW w:w="1693" w:type="pct"/>
            <w:gridSpan w:val="4"/>
            <w:vAlign w:val="center"/>
          </w:tcPr>
          <w:p w14:paraId="27CC1696"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r>
      <w:tr w:rsidR="002E0859" w14:paraId="1E77DFD3" w14:textId="77777777">
        <w:trPr>
          <w:cantSplit/>
          <w:jc w:val="center"/>
        </w:trPr>
        <w:tc>
          <w:tcPr>
            <w:tcW w:w="352" w:type="pct"/>
            <w:vMerge/>
            <w:vAlign w:val="center"/>
          </w:tcPr>
          <w:p w14:paraId="0608906C" w14:textId="77777777" w:rsidR="002E0859" w:rsidRDefault="002E0859">
            <w:pPr>
              <w:spacing w:line="240" w:lineRule="auto"/>
              <w:ind w:firstLineChars="0" w:firstLine="0"/>
              <w:jc w:val="center"/>
              <w:rPr>
                <w:color w:val="000000" w:themeColor="text1"/>
                <w:sz w:val="21"/>
              </w:rPr>
            </w:pPr>
          </w:p>
        </w:tc>
        <w:tc>
          <w:tcPr>
            <w:tcW w:w="1040" w:type="pct"/>
            <w:vAlign w:val="center"/>
          </w:tcPr>
          <w:p w14:paraId="119941D9" w14:textId="77777777" w:rsidR="002E0859" w:rsidRDefault="00000000">
            <w:pPr>
              <w:spacing w:line="240" w:lineRule="auto"/>
              <w:ind w:firstLineChars="0" w:firstLine="0"/>
              <w:jc w:val="center"/>
              <w:rPr>
                <w:color w:val="000000" w:themeColor="text1"/>
                <w:sz w:val="21"/>
              </w:rPr>
            </w:pPr>
            <w:r>
              <w:rPr>
                <w:color w:val="000000" w:themeColor="text1"/>
                <w:sz w:val="21"/>
              </w:rPr>
              <w:t>相对密度（水</w:t>
            </w:r>
            <w:r>
              <w:rPr>
                <w:color w:val="000000" w:themeColor="text1"/>
                <w:sz w:val="21"/>
              </w:rPr>
              <w:t>=1</w:t>
            </w:r>
            <w:r>
              <w:rPr>
                <w:color w:val="000000" w:themeColor="text1"/>
                <w:sz w:val="21"/>
              </w:rPr>
              <w:t>）</w:t>
            </w:r>
          </w:p>
        </w:tc>
        <w:tc>
          <w:tcPr>
            <w:tcW w:w="833" w:type="pct"/>
            <w:vAlign w:val="center"/>
          </w:tcPr>
          <w:p w14:paraId="3F7FE7AA" w14:textId="77777777" w:rsidR="002E0859" w:rsidRDefault="00000000">
            <w:pPr>
              <w:spacing w:line="240" w:lineRule="auto"/>
              <w:ind w:firstLineChars="0" w:firstLine="0"/>
              <w:jc w:val="center"/>
              <w:rPr>
                <w:color w:val="000000" w:themeColor="text1"/>
                <w:sz w:val="21"/>
              </w:rPr>
            </w:pPr>
            <w:r>
              <w:rPr>
                <w:color w:val="000000" w:themeColor="text1"/>
                <w:sz w:val="21"/>
              </w:rPr>
              <w:t>0.87</w:t>
            </w:r>
            <w:r>
              <w:rPr>
                <w:rFonts w:hint="eastAsia"/>
                <w:color w:val="000000" w:themeColor="text1"/>
                <w:sz w:val="21"/>
              </w:rPr>
              <w:t>～</w:t>
            </w:r>
            <w:r>
              <w:rPr>
                <w:color w:val="000000" w:themeColor="text1"/>
                <w:sz w:val="21"/>
              </w:rPr>
              <w:t>0.9</w:t>
            </w:r>
          </w:p>
        </w:tc>
        <w:tc>
          <w:tcPr>
            <w:tcW w:w="1081" w:type="pct"/>
            <w:gridSpan w:val="2"/>
            <w:vAlign w:val="center"/>
          </w:tcPr>
          <w:p w14:paraId="28E749B0" w14:textId="77777777" w:rsidR="002E0859" w:rsidRDefault="00000000">
            <w:pPr>
              <w:spacing w:line="240" w:lineRule="auto"/>
              <w:ind w:firstLineChars="0" w:firstLine="0"/>
              <w:jc w:val="center"/>
              <w:rPr>
                <w:color w:val="000000" w:themeColor="text1"/>
                <w:sz w:val="21"/>
              </w:rPr>
            </w:pPr>
            <w:r>
              <w:rPr>
                <w:color w:val="000000" w:themeColor="text1"/>
                <w:sz w:val="21"/>
              </w:rPr>
              <w:t>临界温度（</w:t>
            </w:r>
            <w:r>
              <w:rPr>
                <w:color w:val="000000" w:themeColor="text1"/>
                <w:sz w:val="21"/>
              </w:rPr>
              <w:t>℃</w:t>
            </w:r>
            <w:r>
              <w:rPr>
                <w:color w:val="000000" w:themeColor="text1"/>
                <w:sz w:val="21"/>
              </w:rPr>
              <w:t>）</w:t>
            </w:r>
          </w:p>
        </w:tc>
        <w:tc>
          <w:tcPr>
            <w:tcW w:w="1693" w:type="pct"/>
            <w:gridSpan w:val="4"/>
            <w:vAlign w:val="center"/>
          </w:tcPr>
          <w:p w14:paraId="4C02B21D"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r>
      <w:tr w:rsidR="002E0859" w14:paraId="277C64EE" w14:textId="77777777">
        <w:trPr>
          <w:cantSplit/>
          <w:jc w:val="center"/>
        </w:trPr>
        <w:tc>
          <w:tcPr>
            <w:tcW w:w="352" w:type="pct"/>
            <w:vMerge/>
            <w:vAlign w:val="center"/>
          </w:tcPr>
          <w:p w14:paraId="77D25A98" w14:textId="77777777" w:rsidR="002E0859" w:rsidRDefault="002E0859">
            <w:pPr>
              <w:spacing w:line="240" w:lineRule="auto"/>
              <w:ind w:firstLineChars="0" w:firstLine="0"/>
              <w:jc w:val="center"/>
              <w:rPr>
                <w:color w:val="000000" w:themeColor="text1"/>
                <w:sz w:val="21"/>
              </w:rPr>
            </w:pPr>
          </w:p>
        </w:tc>
        <w:tc>
          <w:tcPr>
            <w:tcW w:w="1040" w:type="pct"/>
            <w:vAlign w:val="center"/>
          </w:tcPr>
          <w:p w14:paraId="5BEA7B38" w14:textId="77777777" w:rsidR="002E0859" w:rsidRDefault="00000000">
            <w:pPr>
              <w:spacing w:line="240" w:lineRule="auto"/>
              <w:ind w:firstLineChars="0" w:firstLine="0"/>
              <w:jc w:val="center"/>
              <w:rPr>
                <w:color w:val="000000" w:themeColor="text1"/>
                <w:sz w:val="21"/>
              </w:rPr>
            </w:pPr>
            <w:r>
              <w:rPr>
                <w:color w:val="000000" w:themeColor="text1"/>
                <w:sz w:val="21"/>
              </w:rPr>
              <w:t>相对密度（空气</w:t>
            </w:r>
            <w:r>
              <w:rPr>
                <w:color w:val="000000" w:themeColor="text1"/>
                <w:sz w:val="21"/>
              </w:rPr>
              <w:t>=1</w:t>
            </w:r>
            <w:r>
              <w:rPr>
                <w:color w:val="000000" w:themeColor="text1"/>
                <w:sz w:val="21"/>
              </w:rPr>
              <w:t>）</w:t>
            </w:r>
          </w:p>
        </w:tc>
        <w:tc>
          <w:tcPr>
            <w:tcW w:w="833" w:type="pct"/>
            <w:vAlign w:val="center"/>
          </w:tcPr>
          <w:p w14:paraId="4D85F2E0"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1081" w:type="pct"/>
            <w:gridSpan w:val="2"/>
            <w:vAlign w:val="center"/>
          </w:tcPr>
          <w:p w14:paraId="26C36BEB" w14:textId="77777777" w:rsidR="002E0859" w:rsidRDefault="00000000">
            <w:pPr>
              <w:spacing w:line="240" w:lineRule="auto"/>
              <w:ind w:firstLineChars="0" w:firstLine="0"/>
              <w:jc w:val="center"/>
              <w:rPr>
                <w:color w:val="000000" w:themeColor="text1"/>
                <w:sz w:val="21"/>
              </w:rPr>
            </w:pPr>
            <w:r>
              <w:rPr>
                <w:color w:val="000000" w:themeColor="text1"/>
                <w:sz w:val="21"/>
              </w:rPr>
              <w:t>临界压力（</w:t>
            </w:r>
            <w:r>
              <w:rPr>
                <w:color w:val="000000" w:themeColor="text1"/>
                <w:sz w:val="21"/>
              </w:rPr>
              <w:t>MPa</w:t>
            </w:r>
            <w:r>
              <w:rPr>
                <w:color w:val="000000" w:themeColor="text1"/>
                <w:sz w:val="21"/>
              </w:rPr>
              <w:t>）</w:t>
            </w:r>
          </w:p>
        </w:tc>
        <w:tc>
          <w:tcPr>
            <w:tcW w:w="1693" w:type="pct"/>
            <w:gridSpan w:val="4"/>
            <w:vAlign w:val="center"/>
          </w:tcPr>
          <w:p w14:paraId="320FE978"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r>
      <w:tr w:rsidR="002E0859" w14:paraId="3DDCC0D5" w14:textId="77777777">
        <w:trPr>
          <w:cantSplit/>
          <w:jc w:val="center"/>
        </w:trPr>
        <w:tc>
          <w:tcPr>
            <w:tcW w:w="352" w:type="pct"/>
            <w:vMerge w:val="restart"/>
            <w:vAlign w:val="center"/>
          </w:tcPr>
          <w:p w14:paraId="6A38CB1C" w14:textId="77777777" w:rsidR="002E0859" w:rsidRDefault="00000000">
            <w:pPr>
              <w:spacing w:line="240" w:lineRule="auto"/>
              <w:ind w:firstLineChars="0" w:firstLine="0"/>
              <w:jc w:val="center"/>
              <w:rPr>
                <w:color w:val="000000" w:themeColor="text1"/>
                <w:sz w:val="21"/>
              </w:rPr>
            </w:pPr>
            <w:r>
              <w:rPr>
                <w:color w:val="000000" w:themeColor="text1"/>
                <w:sz w:val="21"/>
              </w:rPr>
              <w:t>燃烧爆炸危险性</w:t>
            </w:r>
          </w:p>
        </w:tc>
        <w:tc>
          <w:tcPr>
            <w:tcW w:w="1040" w:type="pct"/>
            <w:vAlign w:val="center"/>
          </w:tcPr>
          <w:p w14:paraId="1FD4EA68" w14:textId="77777777" w:rsidR="002E0859" w:rsidRDefault="00000000">
            <w:pPr>
              <w:spacing w:line="240" w:lineRule="auto"/>
              <w:ind w:firstLineChars="0" w:firstLine="0"/>
              <w:jc w:val="center"/>
              <w:rPr>
                <w:color w:val="000000" w:themeColor="text1"/>
                <w:sz w:val="21"/>
              </w:rPr>
            </w:pPr>
            <w:r>
              <w:rPr>
                <w:color w:val="000000" w:themeColor="text1"/>
                <w:sz w:val="21"/>
              </w:rPr>
              <w:t>燃烧性：</w:t>
            </w:r>
          </w:p>
        </w:tc>
        <w:tc>
          <w:tcPr>
            <w:tcW w:w="833" w:type="pct"/>
            <w:vAlign w:val="center"/>
          </w:tcPr>
          <w:p w14:paraId="46316D93" w14:textId="77777777" w:rsidR="002E0859" w:rsidRDefault="00000000">
            <w:pPr>
              <w:spacing w:line="240" w:lineRule="auto"/>
              <w:ind w:firstLineChars="0" w:firstLine="0"/>
              <w:jc w:val="center"/>
              <w:rPr>
                <w:color w:val="000000" w:themeColor="text1"/>
                <w:sz w:val="21"/>
              </w:rPr>
            </w:pPr>
            <w:r>
              <w:rPr>
                <w:color w:val="000000" w:themeColor="text1"/>
                <w:sz w:val="21"/>
              </w:rPr>
              <w:t>易燃</w:t>
            </w:r>
          </w:p>
        </w:tc>
        <w:tc>
          <w:tcPr>
            <w:tcW w:w="1081" w:type="pct"/>
            <w:gridSpan w:val="2"/>
            <w:vMerge w:val="restart"/>
            <w:vAlign w:val="center"/>
          </w:tcPr>
          <w:p w14:paraId="7145796A" w14:textId="77777777" w:rsidR="002E0859" w:rsidRDefault="00000000">
            <w:pPr>
              <w:spacing w:line="240" w:lineRule="auto"/>
              <w:ind w:firstLineChars="0" w:firstLine="0"/>
              <w:jc w:val="center"/>
              <w:rPr>
                <w:color w:val="000000" w:themeColor="text1"/>
                <w:sz w:val="21"/>
              </w:rPr>
            </w:pPr>
            <w:r>
              <w:rPr>
                <w:color w:val="000000" w:themeColor="text1"/>
                <w:sz w:val="21"/>
              </w:rPr>
              <w:t>危险特性</w:t>
            </w:r>
          </w:p>
        </w:tc>
        <w:tc>
          <w:tcPr>
            <w:tcW w:w="1693" w:type="pct"/>
            <w:gridSpan w:val="4"/>
            <w:vMerge w:val="restart"/>
            <w:vAlign w:val="center"/>
          </w:tcPr>
          <w:p w14:paraId="114FCF9F" w14:textId="77777777" w:rsidR="002E0859" w:rsidRDefault="00000000">
            <w:pPr>
              <w:spacing w:line="240" w:lineRule="auto"/>
              <w:ind w:firstLineChars="0" w:firstLine="0"/>
              <w:jc w:val="left"/>
              <w:rPr>
                <w:color w:val="000000" w:themeColor="text1"/>
                <w:sz w:val="21"/>
              </w:rPr>
            </w:pPr>
            <w:r>
              <w:rPr>
                <w:color w:val="000000" w:themeColor="text1"/>
                <w:sz w:val="21"/>
              </w:rPr>
              <w:t>遇明火、高热或与氧化剂接触，有引起燃烧爆炸的危险。若遇高热，容器内压增大，有开裂和爆炸的危险。</w:t>
            </w:r>
          </w:p>
        </w:tc>
      </w:tr>
      <w:tr w:rsidR="002E0859" w14:paraId="3A88B5AB" w14:textId="77777777">
        <w:trPr>
          <w:cantSplit/>
          <w:jc w:val="center"/>
        </w:trPr>
        <w:tc>
          <w:tcPr>
            <w:tcW w:w="352" w:type="pct"/>
            <w:vMerge/>
            <w:vAlign w:val="center"/>
          </w:tcPr>
          <w:p w14:paraId="58DE7C73" w14:textId="77777777" w:rsidR="002E0859" w:rsidRDefault="002E0859">
            <w:pPr>
              <w:spacing w:line="240" w:lineRule="auto"/>
              <w:ind w:firstLineChars="0" w:firstLine="0"/>
              <w:jc w:val="center"/>
              <w:rPr>
                <w:color w:val="000000" w:themeColor="text1"/>
                <w:sz w:val="21"/>
              </w:rPr>
            </w:pPr>
          </w:p>
        </w:tc>
        <w:tc>
          <w:tcPr>
            <w:tcW w:w="1040" w:type="pct"/>
            <w:vAlign w:val="center"/>
          </w:tcPr>
          <w:p w14:paraId="6A593625" w14:textId="77777777" w:rsidR="002E0859" w:rsidRDefault="00000000">
            <w:pPr>
              <w:spacing w:line="240" w:lineRule="auto"/>
              <w:ind w:firstLineChars="0" w:firstLine="0"/>
              <w:jc w:val="center"/>
              <w:rPr>
                <w:color w:val="000000" w:themeColor="text1"/>
                <w:sz w:val="21"/>
              </w:rPr>
            </w:pPr>
            <w:r>
              <w:rPr>
                <w:color w:val="000000" w:themeColor="text1"/>
                <w:sz w:val="21"/>
              </w:rPr>
              <w:t>建规火险分级</w:t>
            </w:r>
          </w:p>
        </w:tc>
        <w:tc>
          <w:tcPr>
            <w:tcW w:w="833" w:type="pct"/>
            <w:vAlign w:val="center"/>
          </w:tcPr>
          <w:p w14:paraId="7B7F18A2" w14:textId="77777777" w:rsidR="002E0859" w:rsidRDefault="00000000">
            <w:pPr>
              <w:spacing w:line="240" w:lineRule="auto"/>
              <w:ind w:firstLineChars="0" w:firstLine="0"/>
              <w:jc w:val="center"/>
              <w:rPr>
                <w:color w:val="000000" w:themeColor="text1"/>
                <w:sz w:val="21"/>
              </w:rPr>
            </w:pPr>
            <w:r>
              <w:rPr>
                <w:color w:val="000000" w:themeColor="text1"/>
                <w:sz w:val="21"/>
              </w:rPr>
              <w:t>乙</w:t>
            </w:r>
          </w:p>
        </w:tc>
        <w:tc>
          <w:tcPr>
            <w:tcW w:w="1081" w:type="pct"/>
            <w:gridSpan w:val="2"/>
            <w:vMerge/>
            <w:vAlign w:val="center"/>
          </w:tcPr>
          <w:p w14:paraId="55E0EDF8" w14:textId="77777777" w:rsidR="002E0859" w:rsidRDefault="002E0859">
            <w:pPr>
              <w:spacing w:line="240" w:lineRule="auto"/>
              <w:ind w:firstLineChars="0" w:firstLine="0"/>
              <w:jc w:val="center"/>
              <w:rPr>
                <w:color w:val="000000" w:themeColor="text1"/>
                <w:sz w:val="21"/>
              </w:rPr>
            </w:pPr>
          </w:p>
        </w:tc>
        <w:tc>
          <w:tcPr>
            <w:tcW w:w="1693" w:type="pct"/>
            <w:gridSpan w:val="4"/>
            <w:vMerge/>
            <w:vAlign w:val="center"/>
          </w:tcPr>
          <w:p w14:paraId="31162B52" w14:textId="77777777" w:rsidR="002E0859" w:rsidRDefault="002E0859">
            <w:pPr>
              <w:spacing w:line="240" w:lineRule="auto"/>
              <w:ind w:firstLineChars="0" w:firstLine="0"/>
              <w:jc w:val="center"/>
              <w:rPr>
                <w:color w:val="000000" w:themeColor="text1"/>
                <w:sz w:val="21"/>
              </w:rPr>
            </w:pPr>
          </w:p>
        </w:tc>
      </w:tr>
      <w:tr w:rsidR="002E0859" w14:paraId="3DEFFF3F" w14:textId="77777777">
        <w:trPr>
          <w:cantSplit/>
          <w:jc w:val="center"/>
        </w:trPr>
        <w:tc>
          <w:tcPr>
            <w:tcW w:w="352" w:type="pct"/>
            <w:vMerge/>
            <w:vAlign w:val="center"/>
          </w:tcPr>
          <w:p w14:paraId="29AE2289" w14:textId="77777777" w:rsidR="002E0859" w:rsidRDefault="002E0859">
            <w:pPr>
              <w:spacing w:line="240" w:lineRule="auto"/>
              <w:ind w:firstLineChars="0" w:firstLine="0"/>
              <w:jc w:val="center"/>
              <w:rPr>
                <w:color w:val="000000" w:themeColor="text1"/>
                <w:sz w:val="21"/>
              </w:rPr>
            </w:pPr>
          </w:p>
        </w:tc>
        <w:tc>
          <w:tcPr>
            <w:tcW w:w="1040" w:type="pct"/>
            <w:vAlign w:val="center"/>
          </w:tcPr>
          <w:p w14:paraId="186FAB34" w14:textId="77777777" w:rsidR="002E0859" w:rsidRDefault="00000000">
            <w:pPr>
              <w:spacing w:line="240" w:lineRule="auto"/>
              <w:ind w:firstLineChars="0" w:firstLine="0"/>
              <w:jc w:val="center"/>
              <w:rPr>
                <w:color w:val="000000" w:themeColor="text1"/>
                <w:sz w:val="21"/>
              </w:rPr>
            </w:pPr>
            <w:r>
              <w:rPr>
                <w:color w:val="000000" w:themeColor="text1"/>
                <w:sz w:val="21"/>
              </w:rPr>
              <w:t>闪点（</w:t>
            </w:r>
            <w:r>
              <w:rPr>
                <w:color w:val="000000" w:themeColor="text1"/>
                <w:sz w:val="21"/>
              </w:rPr>
              <w:t>℃</w:t>
            </w:r>
            <w:r>
              <w:rPr>
                <w:color w:val="000000" w:themeColor="text1"/>
                <w:sz w:val="21"/>
              </w:rPr>
              <w:t>）</w:t>
            </w:r>
          </w:p>
        </w:tc>
        <w:tc>
          <w:tcPr>
            <w:tcW w:w="833" w:type="pct"/>
            <w:vAlign w:val="center"/>
          </w:tcPr>
          <w:p w14:paraId="0F079DAB" w14:textId="77777777" w:rsidR="002E0859" w:rsidRDefault="00000000">
            <w:pPr>
              <w:spacing w:line="240" w:lineRule="auto"/>
              <w:ind w:firstLineChars="0" w:firstLine="0"/>
              <w:jc w:val="center"/>
              <w:rPr>
                <w:color w:val="000000" w:themeColor="text1"/>
                <w:sz w:val="21"/>
              </w:rPr>
            </w:pPr>
            <w:r>
              <w:rPr>
                <w:color w:val="000000" w:themeColor="text1"/>
                <w:sz w:val="21"/>
              </w:rPr>
              <w:t>58</w:t>
            </w:r>
          </w:p>
        </w:tc>
        <w:tc>
          <w:tcPr>
            <w:tcW w:w="1081" w:type="pct"/>
            <w:gridSpan w:val="2"/>
            <w:vMerge/>
            <w:vAlign w:val="center"/>
          </w:tcPr>
          <w:p w14:paraId="3238704E" w14:textId="77777777" w:rsidR="002E0859" w:rsidRDefault="002E0859">
            <w:pPr>
              <w:spacing w:line="240" w:lineRule="auto"/>
              <w:ind w:firstLineChars="0" w:firstLine="0"/>
              <w:jc w:val="center"/>
              <w:rPr>
                <w:color w:val="000000" w:themeColor="text1"/>
                <w:sz w:val="21"/>
              </w:rPr>
            </w:pPr>
          </w:p>
        </w:tc>
        <w:tc>
          <w:tcPr>
            <w:tcW w:w="1693" w:type="pct"/>
            <w:gridSpan w:val="4"/>
            <w:vMerge/>
            <w:vAlign w:val="center"/>
          </w:tcPr>
          <w:p w14:paraId="3A39293E" w14:textId="77777777" w:rsidR="002E0859" w:rsidRDefault="002E0859">
            <w:pPr>
              <w:spacing w:line="240" w:lineRule="auto"/>
              <w:ind w:firstLineChars="0" w:firstLine="0"/>
              <w:jc w:val="center"/>
              <w:rPr>
                <w:color w:val="000000" w:themeColor="text1"/>
                <w:sz w:val="21"/>
              </w:rPr>
            </w:pPr>
          </w:p>
        </w:tc>
      </w:tr>
      <w:tr w:rsidR="002E0859" w14:paraId="513F2D7A" w14:textId="77777777">
        <w:trPr>
          <w:cantSplit/>
          <w:jc w:val="center"/>
        </w:trPr>
        <w:tc>
          <w:tcPr>
            <w:tcW w:w="352" w:type="pct"/>
            <w:vMerge/>
            <w:vAlign w:val="center"/>
          </w:tcPr>
          <w:p w14:paraId="3B1FF7EB" w14:textId="77777777" w:rsidR="002E0859" w:rsidRDefault="002E0859">
            <w:pPr>
              <w:spacing w:line="240" w:lineRule="auto"/>
              <w:ind w:firstLineChars="0" w:firstLine="0"/>
              <w:jc w:val="center"/>
              <w:rPr>
                <w:color w:val="000000" w:themeColor="text1"/>
                <w:sz w:val="21"/>
              </w:rPr>
            </w:pPr>
          </w:p>
        </w:tc>
        <w:tc>
          <w:tcPr>
            <w:tcW w:w="1040" w:type="pct"/>
            <w:vAlign w:val="center"/>
          </w:tcPr>
          <w:p w14:paraId="5476B8A7" w14:textId="77777777" w:rsidR="002E0859" w:rsidRDefault="00000000">
            <w:pPr>
              <w:spacing w:line="240" w:lineRule="auto"/>
              <w:ind w:firstLineChars="0" w:firstLine="0"/>
              <w:jc w:val="center"/>
              <w:rPr>
                <w:color w:val="000000" w:themeColor="text1"/>
                <w:sz w:val="21"/>
              </w:rPr>
            </w:pPr>
            <w:r>
              <w:rPr>
                <w:color w:val="000000" w:themeColor="text1"/>
                <w:sz w:val="21"/>
              </w:rPr>
              <w:t>引燃温度（</w:t>
            </w:r>
            <w:r>
              <w:rPr>
                <w:color w:val="000000" w:themeColor="text1"/>
                <w:sz w:val="21"/>
              </w:rPr>
              <w:t>℃</w:t>
            </w:r>
            <w:r>
              <w:rPr>
                <w:color w:val="000000" w:themeColor="text1"/>
                <w:sz w:val="21"/>
              </w:rPr>
              <w:t>）</w:t>
            </w:r>
          </w:p>
        </w:tc>
        <w:tc>
          <w:tcPr>
            <w:tcW w:w="833" w:type="pct"/>
            <w:vAlign w:val="center"/>
          </w:tcPr>
          <w:p w14:paraId="6996C70A" w14:textId="77777777" w:rsidR="002E0859" w:rsidRDefault="00000000">
            <w:pPr>
              <w:spacing w:line="240" w:lineRule="auto"/>
              <w:ind w:firstLineChars="0" w:firstLine="0"/>
              <w:jc w:val="center"/>
              <w:rPr>
                <w:color w:val="000000" w:themeColor="text1"/>
                <w:sz w:val="21"/>
              </w:rPr>
            </w:pPr>
            <w:r>
              <w:rPr>
                <w:color w:val="000000" w:themeColor="text1"/>
                <w:sz w:val="21"/>
              </w:rPr>
              <w:t>257</w:t>
            </w:r>
          </w:p>
        </w:tc>
        <w:tc>
          <w:tcPr>
            <w:tcW w:w="1081" w:type="pct"/>
            <w:gridSpan w:val="2"/>
            <w:vMerge/>
            <w:vAlign w:val="center"/>
          </w:tcPr>
          <w:p w14:paraId="585ECBCF" w14:textId="77777777" w:rsidR="002E0859" w:rsidRDefault="002E0859">
            <w:pPr>
              <w:spacing w:line="240" w:lineRule="auto"/>
              <w:ind w:firstLineChars="0" w:firstLine="0"/>
              <w:jc w:val="center"/>
              <w:rPr>
                <w:color w:val="000000" w:themeColor="text1"/>
                <w:sz w:val="21"/>
              </w:rPr>
            </w:pPr>
          </w:p>
        </w:tc>
        <w:tc>
          <w:tcPr>
            <w:tcW w:w="1693" w:type="pct"/>
            <w:gridSpan w:val="4"/>
            <w:vMerge/>
            <w:vAlign w:val="center"/>
          </w:tcPr>
          <w:p w14:paraId="47BDA3BC" w14:textId="77777777" w:rsidR="002E0859" w:rsidRDefault="002E0859">
            <w:pPr>
              <w:spacing w:line="240" w:lineRule="auto"/>
              <w:ind w:firstLineChars="0" w:firstLine="0"/>
              <w:jc w:val="center"/>
              <w:rPr>
                <w:color w:val="000000" w:themeColor="text1"/>
                <w:sz w:val="21"/>
              </w:rPr>
            </w:pPr>
          </w:p>
        </w:tc>
      </w:tr>
      <w:tr w:rsidR="002E0859" w14:paraId="27EA9075" w14:textId="77777777">
        <w:trPr>
          <w:cantSplit/>
          <w:jc w:val="center"/>
        </w:trPr>
        <w:tc>
          <w:tcPr>
            <w:tcW w:w="352" w:type="pct"/>
            <w:vMerge/>
            <w:vAlign w:val="center"/>
          </w:tcPr>
          <w:p w14:paraId="7FC0746A" w14:textId="77777777" w:rsidR="002E0859" w:rsidRDefault="002E0859">
            <w:pPr>
              <w:spacing w:line="240" w:lineRule="auto"/>
              <w:ind w:firstLineChars="0" w:firstLine="0"/>
              <w:jc w:val="center"/>
              <w:rPr>
                <w:color w:val="000000" w:themeColor="text1"/>
                <w:sz w:val="21"/>
              </w:rPr>
            </w:pPr>
          </w:p>
        </w:tc>
        <w:tc>
          <w:tcPr>
            <w:tcW w:w="1040" w:type="pct"/>
            <w:vAlign w:val="center"/>
          </w:tcPr>
          <w:p w14:paraId="153EF135" w14:textId="77777777" w:rsidR="002E0859" w:rsidRDefault="00000000">
            <w:pPr>
              <w:spacing w:line="240" w:lineRule="auto"/>
              <w:ind w:firstLineChars="0" w:firstLine="0"/>
              <w:jc w:val="center"/>
              <w:rPr>
                <w:color w:val="000000" w:themeColor="text1"/>
                <w:sz w:val="21"/>
              </w:rPr>
            </w:pPr>
            <w:r>
              <w:rPr>
                <w:color w:val="000000" w:themeColor="text1"/>
                <w:sz w:val="21"/>
              </w:rPr>
              <w:t>爆炸下限（</w:t>
            </w:r>
            <w:r>
              <w:rPr>
                <w:color w:val="000000" w:themeColor="text1"/>
                <w:sz w:val="21"/>
              </w:rPr>
              <w:t>V/%</w:t>
            </w:r>
            <w:r>
              <w:rPr>
                <w:color w:val="000000" w:themeColor="text1"/>
                <w:sz w:val="21"/>
              </w:rPr>
              <w:t>）</w:t>
            </w:r>
          </w:p>
        </w:tc>
        <w:tc>
          <w:tcPr>
            <w:tcW w:w="833" w:type="pct"/>
            <w:vAlign w:val="center"/>
          </w:tcPr>
          <w:p w14:paraId="2AB84AE8"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1081" w:type="pct"/>
            <w:gridSpan w:val="2"/>
            <w:vMerge/>
            <w:vAlign w:val="center"/>
          </w:tcPr>
          <w:p w14:paraId="7B1E7926" w14:textId="77777777" w:rsidR="002E0859" w:rsidRDefault="002E0859">
            <w:pPr>
              <w:spacing w:line="240" w:lineRule="auto"/>
              <w:ind w:firstLineChars="0" w:firstLine="0"/>
              <w:jc w:val="center"/>
              <w:rPr>
                <w:color w:val="000000" w:themeColor="text1"/>
                <w:sz w:val="21"/>
              </w:rPr>
            </w:pPr>
          </w:p>
        </w:tc>
        <w:tc>
          <w:tcPr>
            <w:tcW w:w="1693" w:type="pct"/>
            <w:gridSpan w:val="4"/>
            <w:vMerge/>
            <w:vAlign w:val="center"/>
          </w:tcPr>
          <w:p w14:paraId="5B1AA2F6" w14:textId="77777777" w:rsidR="002E0859" w:rsidRDefault="002E0859">
            <w:pPr>
              <w:spacing w:line="240" w:lineRule="auto"/>
              <w:ind w:firstLineChars="0" w:firstLine="0"/>
              <w:jc w:val="center"/>
              <w:rPr>
                <w:color w:val="000000" w:themeColor="text1"/>
                <w:sz w:val="21"/>
              </w:rPr>
            </w:pPr>
          </w:p>
        </w:tc>
      </w:tr>
      <w:tr w:rsidR="002E0859" w14:paraId="77027EF8" w14:textId="77777777">
        <w:trPr>
          <w:cantSplit/>
          <w:jc w:val="center"/>
        </w:trPr>
        <w:tc>
          <w:tcPr>
            <w:tcW w:w="352" w:type="pct"/>
            <w:vMerge/>
            <w:vAlign w:val="center"/>
          </w:tcPr>
          <w:p w14:paraId="6CB4B137" w14:textId="77777777" w:rsidR="002E0859" w:rsidRDefault="002E0859">
            <w:pPr>
              <w:spacing w:line="240" w:lineRule="auto"/>
              <w:ind w:firstLineChars="0" w:firstLine="0"/>
              <w:jc w:val="center"/>
              <w:rPr>
                <w:color w:val="000000" w:themeColor="text1"/>
                <w:sz w:val="21"/>
              </w:rPr>
            </w:pPr>
          </w:p>
        </w:tc>
        <w:tc>
          <w:tcPr>
            <w:tcW w:w="1040" w:type="pct"/>
            <w:vAlign w:val="center"/>
          </w:tcPr>
          <w:p w14:paraId="6AFF8D94" w14:textId="77777777" w:rsidR="002E0859" w:rsidRDefault="00000000">
            <w:pPr>
              <w:spacing w:line="240" w:lineRule="auto"/>
              <w:ind w:firstLineChars="0" w:firstLine="0"/>
              <w:jc w:val="center"/>
              <w:rPr>
                <w:color w:val="000000" w:themeColor="text1"/>
                <w:sz w:val="21"/>
              </w:rPr>
            </w:pPr>
            <w:r>
              <w:rPr>
                <w:color w:val="000000" w:themeColor="text1"/>
                <w:sz w:val="21"/>
              </w:rPr>
              <w:t>爆炸上限（</w:t>
            </w:r>
            <w:r>
              <w:rPr>
                <w:color w:val="000000" w:themeColor="text1"/>
                <w:sz w:val="21"/>
              </w:rPr>
              <w:t>V/%</w:t>
            </w:r>
            <w:r>
              <w:rPr>
                <w:color w:val="000000" w:themeColor="text1"/>
                <w:sz w:val="21"/>
              </w:rPr>
              <w:t>）</w:t>
            </w:r>
          </w:p>
        </w:tc>
        <w:tc>
          <w:tcPr>
            <w:tcW w:w="833" w:type="pct"/>
            <w:vAlign w:val="center"/>
          </w:tcPr>
          <w:p w14:paraId="68E757AE"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1081" w:type="pct"/>
            <w:gridSpan w:val="2"/>
            <w:vAlign w:val="center"/>
          </w:tcPr>
          <w:p w14:paraId="0E1BA43A" w14:textId="77777777" w:rsidR="002E0859" w:rsidRDefault="00000000">
            <w:pPr>
              <w:spacing w:line="240" w:lineRule="auto"/>
              <w:ind w:firstLineChars="0" w:firstLine="0"/>
              <w:jc w:val="center"/>
              <w:rPr>
                <w:color w:val="000000" w:themeColor="text1"/>
                <w:sz w:val="21"/>
              </w:rPr>
            </w:pPr>
            <w:r>
              <w:rPr>
                <w:color w:val="000000" w:themeColor="text1"/>
                <w:sz w:val="21"/>
              </w:rPr>
              <w:t>燃烧（分解）产物</w:t>
            </w:r>
          </w:p>
        </w:tc>
        <w:tc>
          <w:tcPr>
            <w:tcW w:w="1693" w:type="pct"/>
            <w:gridSpan w:val="4"/>
            <w:vAlign w:val="center"/>
          </w:tcPr>
          <w:p w14:paraId="5577FBC4" w14:textId="77777777" w:rsidR="002E0859" w:rsidRDefault="00000000">
            <w:pPr>
              <w:spacing w:line="240" w:lineRule="auto"/>
              <w:ind w:firstLineChars="0" w:firstLine="0"/>
              <w:rPr>
                <w:color w:val="000000" w:themeColor="text1"/>
                <w:sz w:val="21"/>
              </w:rPr>
            </w:pPr>
            <w:r>
              <w:rPr>
                <w:color w:val="000000" w:themeColor="text1"/>
                <w:sz w:val="21"/>
              </w:rPr>
              <w:t>一氧化碳、二氧化碳。</w:t>
            </w:r>
          </w:p>
        </w:tc>
      </w:tr>
      <w:tr w:rsidR="002E0859" w14:paraId="301CD096" w14:textId="77777777">
        <w:trPr>
          <w:cantSplit/>
          <w:jc w:val="center"/>
        </w:trPr>
        <w:tc>
          <w:tcPr>
            <w:tcW w:w="352" w:type="pct"/>
            <w:vMerge/>
            <w:vAlign w:val="center"/>
          </w:tcPr>
          <w:p w14:paraId="35CDD818" w14:textId="77777777" w:rsidR="002E0859" w:rsidRDefault="002E0859">
            <w:pPr>
              <w:spacing w:line="240" w:lineRule="auto"/>
              <w:ind w:firstLineChars="0" w:firstLine="0"/>
              <w:jc w:val="center"/>
              <w:rPr>
                <w:color w:val="000000" w:themeColor="text1"/>
                <w:sz w:val="21"/>
              </w:rPr>
            </w:pPr>
          </w:p>
        </w:tc>
        <w:tc>
          <w:tcPr>
            <w:tcW w:w="1040" w:type="pct"/>
            <w:vAlign w:val="center"/>
          </w:tcPr>
          <w:p w14:paraId="34E7EF0E" w14:textId="77777777" w:rsidR="002E0859" w:rsidRDefault="00000000">
            <w:pPr>
              <w:spacing w:line="240" w:lineRule="auto"/>
              <w:ind w:firstLineChars="0" w:firstLine="0"/>
              <w:jc w:val="center"/>
              <w:rPr>
                <w:color w:val="000000" w:themeColor="text1"/>
                <w:sz w:val="21"/>
              </w:rPr>
            </w:pPr>
            <w:r>
              <w:rPr>
                <w:color w:val="000000" w:themeColor="text1"/>
                <w:sz w:val="21"/>
              </w:rPr>
              <w:t>稳定性</w:t>
            </w:r>
          </w:p>
        </w:tc>
        <w:tc>
          <w:tcPr>
            <w:tcW w:w="833" w:type="pct"/>
            <w:vAlign w:val="center"/>
          </w:tcPr>
          <w:p w14:paraId="40CAB9DD" w14:textId="77777777" w:rsidR="002E0859" w:rsidRDefault="00000000">
            <w:pPr>
              <w:spacing w:line="240" w:lineRule="auto"/>
              <w:ind w:firstLineChars="0" w:firstLine="0"/>
              <w:jc w:val="center"/>
              <w:rPr>
                <w:color w:val="000000" w:themeColor="text1"/>
                <w:sz w:val="21"/>
              </w:rPr>
            </w:pPr>
            <w:r>
              <w:rPr>
                <w:color w:val="000000" w:themeColor="text1"/>
                <w:sz w:val="21"/>
              </w:rPr>
              <w:t>稳定</w:t>
            </w:r>
          </w:p>
        </w:tc>
        <w:tc>
          <w:tcPr>
            <w:tcW w:w="663" w:type="pct"/>
            <w:vAlign w:val="center"/>
          </w:tcPr>
          <w:p w14:paraId="3C491B97" w14:textId="77777777" w:rsidR="002E0859" w:rsidRDefault="00000000">
            <w:pPr>
              <w:spacing w:line="240" w:lineRule="auto"/>
              <w:ind w:firstLineChars="0" w:firstLine="0"/>
              <w:jc w:val="center"/>
              <w:rPr>
                <w:color w:val="000000" w:themeColor="text1"/>
                <w:sz w:val="21"/>
              </w:rPr>
            </w:pPr>
            <w:r>
              <w:rPr>
                <w:color w:val="000000" w:themeColor="text1"/>
                <w:sz w:val="21"/>
              </w:rPr>
              <w:t>灭火方法</w:t>
            </w:r>
          </w:p>
        </w:tc>
        <w:tc>
          <w:tcPr>
            <w:tcW w:w="2110" w:type="pct"/>
            <w:gridSpan w:val="5"/>
            <w:vAlign w:val="center"/>
          </w:tcPr>
          <w:p w14:paraId="5BB4548F" w14:textId="77777777" w:rsidR="002E0859" w:rsidRDefault="00000000">
            <w:pPr>
              <w:spacing w:line="240" w:lineRule="auto"/>
              <w:ind w:firstLineChars="0" w:firstLine="0"/>
              <w:rPr>
                <w:color w:val="000000" w:themeColor="text1"/>
                <w:sz w:val="21"/>
              </w:rPr>
            </w:pPr>
            <w:r>
              <w:rPr>
                <w:color w:val="000000" w:themeColor="text1"/>
                <w:sz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2E0859" w14:paraId="61591901" w14:textId="77777777">
        <w:trPr>
          <w:cantSplit/>
          <w:jc w:val="center"/>
        </w:trPr>
        <w:tc>
          <w:tcPr>
            <w:tcW w:w="352" w:type="pct"/>
            <w:vMerge/>
            <w:vAlign w:val="center"/>
          </w:tcPr>
          <w:p w14:paraId="5C7ACDC7" w14:textId="77777777" w:rsidR="002E0859" w:rsidRDefault="002E0859">
            <w:pPr>
              <w:spacing w:line="240" w:lineRule="auto"/>
              <w:ind w:firstLineChars="0" w:firstLine="0"/>
              <w:jc w:val="center"/>
              <w:rPr>
                <w:color w:val="000000" w:themeColor="text1"/>
                <w:sz w:val="21"/>
              </w:rPr>
            </w:pPr>
          </w:p>
        </w:tc>
        <w:tc>
          <w:tcPr>
            <w:tcW w:w="1040" w:type="pct"/>
            <w:vAlign w:val="center"/>
          </w:tcPr>
          <w:p w14:paraId="6E35297A" w14:textId="77777777" w:rsidR="002E0859" w:rsidRDefault="00000000">
            <w:pPr>
              <w:spacing w:line="240" w:lineRule="auto"/>
              <w:ind w:firstLineChars="0" w:firstLine="0"/>
              <w:jc w:val="center"/>
              <w:rPr>
                <w:color w:val="000000" w:themeColor="text1"/>
                <w:sz w:val="21"/>
              </w:rPr>
            </w:pPr>
            <w:r>
              <w:rPr>
                <w:color w:val="000000" w:themeColor="text1"/>
                <w:sz w:val="21"/>
              </w:rPr>
              <w:t>聚合危害</w:t>
            </w:r>
          </w:p>
        </w:tc>
        <w:tc>
          <w:tcPr>
            <w:tcW w:w="833" w:type="pct"/>
            <w:vAlign w:val="center"/>
          </w:tcPr>
          <w:p w14:paraId="08851387" w14:textId="77777777" w:rsidR="002E0859" w:rsidRDefault="00000000">
            <w:pPr>
              <w:spacing w:line="240" w:lineRule="auto"/>
              <w:ind w:firstLineChars="0" w:firstLine="0"/>
              <w:jc w:val="center"/>
              <w:rPr>
                <w:color w:val="000000" w:themeColor="text1"/>
                <w:sz w:val="21"/>
              </w:rPr>
            </w:pPr>
            <w:r>
              <w:rPr>
                <w:color w:val="000000" w:themeColor="text1"/>
                <w:sz w:val="21"/>
              </w:rPr>
              <w:t>不能出现</w:t>
            </w:r>
          </w:p>
        </w:tc>
        <w:tc>
          <w:tcPr>
            <w:tcW w:w="1164" w:type="pct"/>
            <w:gridSpan w:val="3"/>
            <w:vAlign w:val="center"/>
          </w:tcPr>
          <w:p w14:paraId="744ACC3A" w14:textId="77777777" w:rsidR="002E0859" w:rsidRDefault="00000000">
            <w:pPr>
              <w:spacing w:line="240" w:lineRule="auto"/>
              <w:ind w:firstLineChars="0" w:firstLine="0"/>
              <w:jc w:val="center"/>
              <w:rPr>
                <w:color w:val="000000" w:themeColor="text1"/>
                <w:sz w:val="21"/>
              </w:rPr>
            </w:pPr>
            <w:r>
              <w:rPr>
                <w:color w:val="000000" w:themeColor="text1"/>
                <w:sz w:val="21"/>
              </w:rPr>
              <w:t>禁忌物</w:t>
            </w:r>
          </w:p>
        </w:tc>
        <w:tc>
          <w:tcPr>
            <w:tcW w:w="1610" w:type="pct"/>
            <w:gridSpan w:val="3"/>
            <w:vAlign w:val="center"/>
          </w:tcPr>
          <w:p w14:paraId="7489B106" w14:textId="77777777" w:rsidR="002E0859" w:rsidRDefault="00000000">
            <w:pPr>
              <w:spacing w:line="240" w:lineRule="auto"/>
              <w:ind w:firstLineChars="0" w:firstLine="0"/>
              <w:jc w:val="center"/>
              <w:rPr>
                <w:color w:val="000000" w:themeColor="text1"/>
                <w:sz w:val="21"/>
              </w:rPr>
            </w:pPr>
            <w:r>
              <w:rPr>
                <w:color w:val="000000" w:themeColor="text1"/>
                <w:sz w:val="21"/>
              </w:rPr>
              <w:t>强氧化剂、卤素。</w:t>
            </w:r>
          </w:p>
        </w:tc>
      </w:tr>
      <w:tr w:rsidR="002E0859" w14:paraId="70E47937" w14:textId="77777777">
        <w:trPr>
          <w:cantSplit/>
          <w:jc w:val="center"/>
        </w:trPr>
        <w:tc>
          <w:tcPr>
            <w:tcW w:w="352" w:type="pct"/>
            <w:vMerge w:val="restart"/>
            <w:vAlign w:val="center"/>
          </w:tcPr>
          <w:p w14:paraId="322135DF" w14:textId="77777777" w:rsidR="002E0859" w:rsidRDefault="00000000">
            <w:pPr>
              <w:spacing w:line="240" w:lineRule="auto"/>
              <w:ind w:firstLineChars="0" w:firstLine="0"/>
              <w:jc w:val="center"/>
              <w:rPr>
                <w:color w:val="000000" w:themeColor="text1"/>
                <w:sz w:val="21"/>
              </w:rPr>
            </w:pPr>
            <w:r>
              <w:rPr>
                <w:color w:val="000000" w:themeColor="text1"/>
                <w:sz w:val="21"/>
              </w:rPr>
              <w:t>包装与储运</w:t>
            </w:r>
          </w:p>
        </w:tc>
        <w:tc>
          <w:tcPr>
            <w:tcW w:w="1040" w:type="pct"/>
            <w:vAlign w:val="center"/>
          </w:tcPr>
          <w:p w14:paraId="3F1C852D" w14:textId="77777777" w:rsidR="002E0859" w:rsidRDefault="00000000">
            <w:pPr>
              <w:spacing w:line="240" w:lineRule="auto"/>
              <w:ind w:firstLineChars="0" w:firstLine="0"/>
              <w:jc w:val="center"/>
              <w:rPr>
                <w:color w:val="000000" w:themeColor="text1"/>
                <w:sz w:val="21"/>
              </w:rPr>
            </w:pPr>
            <w:r>
              <w:rPr>
                <w:color w:val="000000" w:themeColor="text1"/>
                <w:sz w:val="21"/>
              </w:rPr>
              <w:t>危险性类别</w:t>
            </w:r>
          </w:p>
        </w:tc>
        <w:tc>
          <w:tcPr>
            <w:tcW w:w="833" w:type="pct"/>
            <w:vAlign w:val="center"/>
          </w:tcPr>
          <w:p w14:paraId="442DEF08"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1164" w:type="pct"/>
            <w:gridSpan w:val="3"/>
            <w:vAlign w:val="center"/>
          </w:tcPr>
          <w:p w14:paraId="3137DE06" w14:textId="77777777" w:rsidR="002E0859" w:rsidRDefault="00000000">
            <w:pPr>
              <w:spacing w:line="240" w:lineRule="auto"/>
              <w:ind w:firstLineChars="0" w:firstLine="0"/>
              <w:jc w:val="center"/>
              <w:rPr>
                <w:color w:val="000000" w:themeColor="text1"/>
                <w:sz w:val="21"/>
              </w:rPr>
            </w:pPr>
            <w:r>
              <w:rPr>
                <w:color w:val="000000" w:themeColor="text1"/>
                <w:sz w:val="21"/>
              </w:rPr>
              <w:t>危险货物包装标志</w:t>
            </w:r>
          </w:p>
        </w:tc>
        <w:tc>
          <w:tcPr>
            <w:tcW w:w="499" w:type="pct"/>
            <w:vAlign w:val="center"/>
          </w:tcPr>
          <w:p w14:paraId="474D5708" w14:textId="77777777" w:rsidR="002E0859" w:rsidRDefault="00000000">
            <w:pPr>
              <w:spacing w:line="240" w:lineRule="auto"/>
              <w:ind w:firstLineChars="0" w:firstLine="0"/>
              <w:jc w:val="center"/>
              <w:rPr>
                <w:color w:val="000000" w:themeColor="text1"/>
                <w:sz w:val="21"/>
              </w:rPr>
            </w:pPr>
            <w:r>
              <w:rPr>
                <w:color w:val="000000" w:themeColor="text1"/>
                <w:sz w:val="21"/>
              </w:rPr>
              <w:t>无资料</w:t>
            </w:r>
          </w:p>
        </w:tc>
        <w:tc>
          <w:tcPr>
            <w:tcW w:w="748" w:type="pct"/>
            <w:vAlign w:val="center"/>
          </w:tcPr>
          <w:p w14:paraId="7D10B95A" w14:textId="77777777" w:rsidR="002E0859" w:rsidRDefault="00000000">
            <w:pPr>
              <w:spacing w:line="240" w:lineRule="auto"/>
              <w:ind w:firstLineChars="0" w:firstLine="0"/>
              <w:jc w:val="center"/>
              <w:rPr>
                <w:color w:val="000000" w:themeColor="text1"/>
                <w:sz w:val="21"/>
              </w:rPr>
            </w:pPr>
            <w:r>
              <w:rPr>
                <w:color w:val="000000" w:themeColor="text1"/>
                <w:sz w:val="21"/>
              </w:rPr>
              <w:t>包装类别</w:t>
            </w:r>
          </w:p>
        </w:tc>
        <w:tc>
          <w:tcPr>
            <w:tcW w:w="363" w:type="pct"/>
            <w:vAlign w:val="center"/>
          </w:tcPr>
          <w:p w14:paraId="05A39DAC" w14:textId="77777777" w:rsidR="002E0859" w:rsidRDefault="00000000">
            <w:pPr>
              <w:spacing w:line="240" w:lineRule="auto"/>
              <w:ind w:firstLineChars="0" w:firstLine="0"/>
              <w:jc w:val="center"/>
              <w:rPr>
                <w:color w:val="000000" w:themeColor="text1"/>
                <w:sz w:val="21"/>
              </w:rPr>
            </w:pPr>
            <w:r>
              <w:rPr>
                <w:color w:val="000000" w:themeColor="text1"/>
                <w:sz w:val="21"/>
              </w:rPr>
              <w:t>Z01</w:t>
            </w:r>
          </w:p>
        </w:tc>
      </w:tr>
      <w:tr w:rsidR="002E0859" w14:paraId="665BE0E8" w14:textId="77777777">
        <w:trPr>
          <w:cantSplit/>
          <w:jc w:val="center"/>
        </w:trPr>
        <w:tc>
          <w:tcPr>
            <w:tcW w:w="352" w:type="pct"/>
            <w:vMerge/>
            <w:vAlign w:val="center"/>
          </w:tcPr>
          <w:p w14:paraId="080B39DB" w14:textId="77777777" w:rsidR="002E0859" w:rsidRDefault="002E0859">
            <w:pPr>
              <w:spacing w:line="240" w:lineRule="auto"/>
              <w:ind w:firstLineChars="0" w:firstLine="0"/>
              <w:jc w:val="center"/>
              <w:rPr>
                <w:color w:val="000000" w:themeColor="text1"/>
                <w:sz w:val="21"/>
              </w:rPr>
            </w:pPr>
          </w:p>
        </w:tc>
        <w:tc>
          <w:tcPr>
            <w:tcW w:w="1040" w:type="pct"/>
            <w:vAlign w:val="center"/>
          </w:tcPr>
          <w:p w14:paraId="31B7383D" w14:textId="77777777" w:rsidR="002E0859" w:rsidRDefault="00000000">
            <w:pPr>
              <w:spacing w:line="240" w:lineRule="auto"/>
              <w:ind w:firstLineChars="0" w:firstLine="0"/>
              <w:jc w:val="center"/>
              <w:rPr>
                <w:color w:val="000000" w:themeColor="text1"/>
                <w:sz w:val="21"/>
              </w:rPr>
            </w:pPr>
            <w:r>
              <w:rPr>
                <w:color w:val="000000" w:themeColor="text1"/>
                <w:sz w:val="21"/>
              </w:rPr>
              <w:t>储运注意事项：</w:t>
            </w:r>
          </w:p>
        </w:tc>
        <w:tc>
          <w:tcPr>
            <w:tcW w:w="3607" w:type="pct"/>
            <w:gridSpan w:val="7"/>
            <w:vAlign w:val="center"/>
          </w:tcPr>
          <w:p w14:paraId="5CF5400B" w14:textId="77777777" w:rsidR="002E0859" w:rsidRDefault="00000000">
            <w:pPr>
              <w:spacing w:line="240" w:lineRule="auto"/>
              <w:ind w:firstLineChars="0" w:firstLine="0"/>
              <w:jc w:val="left"/>
              <w:rPr>
                <w:color w:val="000000" w:themeColor="text1"/>
                <w:sz w:val="21"/>
              </w:rPr>
            </w:pPr>
            <w:r>
              <w:rPr>
                <w:color w:val="000000" w:themeColor="text1"/>
                <w:sz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14:paraId="47A6D590" w14:textId="77777777" w:rsidR="002E0859" w:rsidRDefault="00000000">
            <w:pPr>
              <w:spacing w:line="240" w:lineRule="auto"/>
              <w:ind w:firstLineChars="0" w:firstLine="0"/>
              <w:jc w:val="left"/>
              <w:rPr>
                <w:color w:val="000000" w:themeColor="text1"/>
                <w:sz w:val="21"/>
              </w:rPr>
            </w:pPr>
            <w:r>
              <w:rPr>
                <w:color w:val="000000" w:themeColor="text1"/>
                <w:sz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rsidR="002E0859" w14:paraId="64EE40BB" w14:textId="77777777">
        <w:trPr>
          <w:cantSplit/>
          <w:jc w:val="center"/>
        </w:trPr>
        <w:tc>
          <w:tcPr>
            <w:tcW w:w="352" w:type="pct"/>
            <w:vMerge w:val="restart"/>
            <w:vAlign w:val="center"/>
          </w:tcPr>
          <w:p w14:paraId="6DD01E30" w14:textId="77777777" w:rsidR="002E0859" w:rsidRDefault="00000000">
            <w:pPr>
              <w:spacing w:line="240" w:lineRule="auto"/>
              <w:ind w:firstLineChars="0" w:firstLine="0"/>
              <w:jc w:val="center"/>
              <w:rPr>
                <w:color w:val="000000" w:themeColor="text1"/>
                <w:sz w:val="21"/>
              </w:rPr>
            </w:pPr>
            <w:r>
              <w:rPr>
                <w:color w:val="000000" w:themeColor="text1"/>
                <w:sz w:val="21"/>
              </w:rPr>
              <w:t>毒性与健康危害性</w:t>
            </w:r>
          </w:p>
        </w:tc>
        <w:tc>
          <w:tcPr>
            <w:tcW w:w="1040" w:type="pct"/>
            <w:vAlign w:val="center"/>
          </w:tcPr>
          <w:p w14:paraId="64230595" w14:textId="77777777" w:rsidR="002E0859" w:rsidRDefault="00000000">
            <w:pPr>
              <w:spacing w:line="240" w:lineRule="auto"/>
              <w:ind w:firstLineChars="0" w:firstLine="0"/>
              <w:jc w:val="center"/>
              <w:rPr>
                <w:color w:val="000000" w:themeColor="text1"/>
                <w:sz w:val="21"/>
              </w:rPr>
            </w:pPr>
            <w:r>
              <w:rPr>
                <w:color w:val="000000" w:themeColor="text1"/>
                <w:sz w:val="21"/>
              </w:rPr>
              <w:t>接触限值</w:t>
            </w:r>
          </w:p>
        </w:tc>
        <w:tc>
          <w:tcPr>
            <w:tcW w:w="3607" w:type="pct"/>
            <w:gridSpan w:val="7"/>
            <w:vAlign w:val="center"/>
          </w:tcPr>
          <w:p w14:paraId="2E99FF92" w14:textId="77777777" w:rsidR="002E0859" w:rsidRDefault="00000000">
            <w:pPr>
              <w:spacing w:line="240" w:lineRule="auto"/>
              <w:ind w:firstLineChars="0" w:firstLine="0"/>
              <w:rPr>
                <w:color w:val="000000" w:themeColor="text1"/>
                <w:sz w:val="21"/>
              </w:rPr>
            </w:pPr>
            <w:r>
              <w:rPr>
                <w:color w:val="000000" w:themeColor="text1"/>
                <w:sz w:val="21"/>
              </w:rPr>
              <w:t>无资料</w:t>
            </w:r>
          </w:p>
        </w:tc>
      </w:tr>
      <w:tr w:rsidR="002E0859" w14:paraId="20ED37ED" w14:textId="77777777">
        <w:trPr>
          <w:cantSplit/>
          <w:jc w:val="center"/>
        </w:trPr>
        <w:tc>
          <w:tcPr>
            <w:tcW w:w="352" w:type="pct"/>
            <w:vMerge/>
            <w:vAlign w:val="center"/>
          </w:tcPr>
          <w:p w14:paraId="233624B8" w14:textId="77777777" w:rsidR="002E0859" w:rsidRDefault="002E0859">
            <w:pPr>
              <w:spacing w:line="240" w:lineRule="auto"/>
              <w:ind w:firstLineChars="0" w:firstLine="0"/>
              <w:jc w:val="center"/>
              <w:rPr>
                <w:color w:val="000000" w:themeColor="text1"/>
                <w:sz w:val="21"/>
              </w:rPr>
            </w:pPr>
          </w:p>
        </w:tc>
        <w:tc>
          <w:tcPr>
            <w:tcW w:w="1040" w:type="pct"/>
            <w:vAlign w:val="center"/>
          </w:tcPr>
          <w:p w14:paraId="6F2B7810" w14:textId="77777777" w:rsidR="002E0859" w:rsidRDefault="00000000">
            <w:pPr>
              <w:spacing w:line="240" w:lineRule="auto"/>
              <w:ind w:firstLineChars="0" w:firstLine="0"/>
              <w:jc w:val="center"/>
              <w:rPr>
                <w:color w:val="000000" w:themeColor="text1"/>
                <w:sz w:val="21"/>
              </w:rPr>
            </w:pPr>
            <w:r>
              <w:rPr>
                <w:color w:val="000000" w:themeColor="text1"/>
                <w:sz w:val="21"/>
              </w:rPr>
              <w:t>毒性</w:t>
            </w:r>
          </w:p>
        </w:tc>
        <w:tc>
          <w:tcPr>
            <w:tcW w:w="3607" w:type="pct"/>
            <w:gridSpan w:val="7"/>
            <w:vAlign w:val="center"/>
          </w:tcPr>
          <w:p w14:paraId="71A9FA1E" w14:textId="77777777" w:rsidR="002E0859" w:rsidRDefault="00000000">
            <w:pPr>
              <w:spacing w:line="240" w:lineRule="auto"/>
              <w:ind w:firstLineChars="0" w:firstLine="0"/>
              <w:rPr>
                <w:color w:val="000000" w:themeColor="text1"/>
                <w:sz w:val="21"/>
              </w:rPr>
            </w:pPr>
            <w:r>
              <w:rPr>
                <w:color w:val="000000" w:themeColor="text1"/>
                <w:sz w:val="21"/>
              </w:rPr>
              <w:t>无资料</w:t>
            </w:r>
          </w:p>
        </w:tc>
      </w:tr>
      <w:tr w:rsidR="002E0859" w14:paraId="6E269F24" w14:textId="77777777">
        <w:trPr>
          <w:cantSplit/>
          <w:jc w:val="center"/>
        </w:trPr>
        <w:tc>
          <w:tcPr>
            <w:tcW w:w="352" w:type="pct"/>
            <w:vMerge/>
            <w:vAlign w:val="center"/>
          </w:tcPr>
          <w:p w14:paraId="47874FA5" w14:textId="77777777" w:rsidR="002E0859" w:rsidRDefault="002E0859">
            <w:pPr>
              <w:spacing w:line="240" w:lineRule="auto"/>
              <w:ind w:firstLineChars="0" w:firstLine="0"/>
              <w:jc w:val="center"/>
              <w:rPr>
                <w:color w:val="000000" w:themeColor="text1"/>
                <w:sz w:val="21"/>
              </w:rPr>
            </w:pPr>
          </w:p>
        </w:tc>
        <w:tc>
          <w:tcPr>
            <w:tcW w:w="1040" w:type="pct"/>
            <w:vAlign w:val="center"/>
          </w:tcPr>
          <w:p w14:paraId="2D0750E6" w14:textId="77777777" w:rsidR="002E0859" w:rsidRDefault="00000000">
            <w:pPr>
              <w:spacing w:line="240" w:lineRule="auto"/>
              <w:ind w:firstLineChars="0" w:firstLine="0"/>
              <w:jc w:val="center"/>
              <w:rPr>
                <w:color w:val="000000" w:themeColor="text1"/>
                <w:sz w:val="21"/>
              </w:rPr>
            </w:pPr>
            <w:r>
              <w:rPr>
                <w:color w:val="000000" w:themeColor="text1"/>
                <w:sz w:val="21"/>
              </w:rPr>
              <w:t>健康危害</w:t>
            </w:r>
          </w:p>
        </w:tc>
        <w:tc>
          <w:tcPr>
            <w:tcW w:w="3607" w:type="pct"/>
            <w:gridSpan w:val="7"/>
            <w:vAlign w:val="center"/>
          </w:tcPr>
          <w:p w14:paraId="0CB746DF" w14:textId="77777777" w:rsidR="002E0859" w:rsidRDefault="00000000">
            <w:pPr>
              <w:spacing w:line="240" w:lineRule="auto"/>
              <w:ind w:firstLineChars="0" w:firstLine="0"/>
              <w:rPr>
                <w:color w:val="000000" w:themeColor="text1"/>
                <w:sz w:val="21"/>
              </w:rPr>
            </w:pPr>
            <w:r>
              <w:rPr>
                <w:color w:val="000000" w:themeColor="text1"/>
                <w:sz w:val="21"/>
              </w:rPr>
              <w:t>皮肤接触可为主要吸收途径，可致急性肾脏损害。柴油可引起接触性皮炎、油性痤疮。吸入其雾滴或液体呛入可引起吸入性肺炎。能经胎盘进入胎儿血中。柴油废气可引起眼、鼻刺激症状，头晕及头痛。</w:t>
            </w:r>
          </w:p>
        </w:tc>
      </w:tr>
      <w:tr w:rsidR="002E0859" w14:paraId="772B3084" w14:textId="77777777">
        <w:trPr>
          <w:cantSplit/>
          <w:jc w:val="center"/>
        </w:trPr>
        <w:tc>
          <w:tcPr>
            <w:tcW w:w="352" w:type="pct"/>
            <w:vMerge/>
            <w:vAlign w:val="center"/>
          </w:tcPr>
          <w:p w14:paraId="5AB428E1" w14:textId="77777777" w:rsidR="002E0859" w:rsidRDefault="002E0859">
            <w:pPr>
              <w:spacing w:line="240" w:lineRule="auto"/>
              <w:ind w:firstLineChars="0" w:firstLine="0"/>
              <w:jc w:val="center"/>
              <w:rPr>
                <w:color w:val="000000" w:themeColor="text1"/>
                <w:sz w:val="21"/>
              </w:rPr>
            </w:pPr>
          </w:p>
        </w:tc>
        <w:tc>
          <w:tcPr>
            <w:tcW w:w="1040" w:type="pct"/>
            <w:vAlign w:val="center"/>
          </w:tcPr>
          <w:p w14:paraId="4C9122DE" w14:textId="77777777" w:rsidR="002E0859" w:rsidRDefault="00000000">
            <w:pPr>
              <w:spacing w:line="240" w:lineRule="auto"/>
              <w:ind w:firstLineChars="0" w:firstLine="0"/>
              <w:jc w:val="center"/>
              <w:rPr>
                <w:color w:val="000000" w:themeColor="text1"/>
                <w:sz w:val="21"/>
              </w:rPr>
            </w:pPr>
            <w:r>
              <w:rPr>
                <w:color w:val="000000" w:themeColor="text1"/>
                <w:sz w:val="21"/>
              </w:rPr>
              <w:t>侵入途径</w:t>
            </w:r>
          </w:p>
        </w:tc>
        <w:tc>
          <w:tcPr>
            <w:tcW w:w="3607" w:type="pct"/>
            <w:gridSpan w:val="7"/>
            <w:vAlign w:val="center"/>
          </w:tcPr>
          <w:p w14:paraId="76F38466" w14:textId="77777777" w:rsidR="002E0859" w:rsidRDefault="00000000">
            <w:pPr>
              <w:spacing w:line="240" w:lineRule="auto"/>
              <w:ind w:firstLineChars="0" w:firstLine="0"/>
              <w:rPr>
                <w:color w:val="000000" w:themeColor="text1"/>
                <w:sz w:val="21"/>
              </w:rPr>
            </w:pPr>
            <w:r>
              <w:rPr>
                <w:color w:val="000000" w:themeColor="text1"/>
                <w:sz w:val="21"/>
              </w:rPr>
              <w:t>接触、吸入、食入</w:t>
            </w:r>
          </w:p>
        </w:tc>
      </w:tr>
      <w:tr w:rsidR="002E0859" w14:paraId="544A94F2" w14:textId="77777777">
        <w:trPr>
          <w:cantSplit/>
          <w:jc w:val="center"/>
        </w:trPr>
        <w:tc>
          <w:tcPr>
            <w:tcW w:w="352" w:type="pct"/>
            <w:vMerge w:val="restart"/>
            <w:vAlign w:val="center"/>
          </w:tcPr>
          <w:p w14:paraId="4EF134B5" w14:textId="77777777" w:rsidR="002E0859" w:rsidRDefault="00000000">
            <w:pPr>
              <w:spacing w:line="240" w:lineRule="auto"/>
              <w:ind w:firstLineChars="0" w:firstLine="0"/>
              <w:jc w:val="center"/>
              <w:rPr>
                <w:color w:val="000000" w:themeColor="text1"/>
                <w:sz w:val="21"/>
              </w:rPr>
            </w:pPr>
            <w:r>
              <w:rPr>
                <w:color w:val="000000" w:themeColor="text1"/>
                <w:sz w:val="21"/>
              </w:rPr>
              <w:t>急救</w:t>
            </w:r>
          </w:p>
        </w:tc>
        <w:tc>
          <w:tcPr>
            <w:tcW w:w="1040" w:type="pct"/>
            <w:vAlign w:val="center"/>
          </w:tcPr>
          <w:p w14:paraId="167FEE3B" w14:textId="77777777" w:rsidR="002E0859" w:rsidRDefault="00000000">
            <w:pPr>
              <w:spacing w:line="240" w:lineRule="auto"/>
              <w:ind w:firstLineChars="0" w:firstLine="0"/>
              <w:jc w:val="center"/>
              <w:rPr>
                <w:color w:val="000000" w:themeColor="text1"/>
                <w:sz w:val="21"/>
              </w:rPr>
            </w:pPr>
            <w:r>
              <w:rPr>
                <w:color w:val="000000" w:themeColor="text1"/>
                <w:sz w:val="21"/>
              </w:rPr>
              <w:t>皮肤接触</w:t>
            </w:r>
          </w:p>
        </w:tc>
        <w:tc>
          <w:tcPr>
            <w:tcW w:w="3607" w:type="pct"/>
            <w:gridSpan w:val="7"/>
            <w:vAlign w:val="center"/>
          </w:tcPr>
          <w:p w14:paraId="44E3052E" w14:textId="77777777" w:rsidR="002E0859" w:rsidRDefault="00000000">
            <w:pPr>
              <w:spacing w:line="240" w:lineRule="auto"/>
              <w:ind w:firstLineChars="0" w:firstLine="0"/>
              <w:rPr>
                <w:color w:val="000000" w:themeColor="text1"/>
                <w:sz w:val="21"/>
              </w:rPr>
            </w:pPr>
            <w:r>
              <w:rPr>
                <w:color w:val="000000" w:themeColor="text1"/>
                <w:sz w:val="21"/>
              </w:rPr>
              <w:t>立即脱去污染的衣着，用肥皂水和清水彻底冲洗皮肤。就医。</w:t>
            </w:r>
          </w:p>
        </w:tc>
      </w:tr>
      <w:tr w:rsidR="002E0859" w14:paraId="3E51CE61" w14:textId="77777777">
        <w:trPr>
          <w:cantSplit/>
          <w:jc w:val="center"/>
        </w:trPr>
        <w:tc>
          <w:tcPr>
            <w:tcW w:w="352" w:type="pct"/>
            <w:vMerge/>
            <w:vAlign w:val="center"/>
          </w:tcPr>
          <w:p w14:paraId="4C40DC95" w14:textId="77777777" w:rsidR="002E0859" w:rsidRDefault="002E0859">
            <w:pPr>
              <w:spacing w:line="240" w:lineRule="auto"/>
              <w:ind w:firstLineChars="0" w:firstLine="0"/>
              <w:jc w:val="center"/>
              <w:rPr>
                <w:color w:val="000000" w:themeColor="text1"/>
                <w:sz w:val="21"/>
              </w:rPr>
            </w:pPr>
          </w:p>
        </w:tc>
        <w:tc>
          <w:tcPr>
            <w:tcW w:w="1040" w:type="pct"/>
            <w:vAlign w:val="center"/>
          </w:tcPr>
          <w:p w14:paraId="6F5B23B5" w14:textId="77777777" w:rsidR="002E0859" w:rsidRDefault="00000000">
            <w:pPr>
              <w:spacing w:line="240" w:lineRule="auto"/>
              <w:ind w:firstLineChars="0" w:firstLine="0"/>
              <w:jc w:val="center"/>
              <w:rPr>
                <w:color w:val="000000" w:themeColor="text1"/>
                <w:sz w:val="21"/>
              </w:rPr>
            </w:pPr>
            <w:r>
              <w:rPr>
                <w:color w:val="000000" w:themeColor="text1"/>
                <w:sz w:val="21"/>
              </w:rPr>
              <w:t>眼睛接触</w:t>
            </w:r>
          </w:p>
        </w:tc>
        <w:tc>
          <w:tcPr>
            <w:tcW w:w="3607" w:type="pct"/>
            <w:gridSpan w:val="7"/>
            <w:vAlign w:val="center"/>
          </w:tcPr>
          <w:p w14:paraId="1675BFF5" w14:textId="77777777" w:rsidR="002E0859" w:rsidRDefault="00000000">
            <w:pPr>
              <w:spacing w:line="240" w:lineRule="auto"/>
              <w:ind w:firstLineChars="0" w:firstLine="0"/>
              <w:rPr>
                <w:color w:val="000000" w:themeColor="text1"/>
                <w:sz w:val="21"/>
              </w:rPr>
            </w:pPr>
            <w:r>
              <w:rPr>
                <w:color w:val="000000" w:themeColor="text1"/>
                <w:sz w:val="21"/>
              </w:rPr>
              <w:t>提起眼睑，用流动清水或生理盐水冲洗。就医。</w:t>
            </w:r>
          </w:p>
        </w:tc>
      </w:tr>
      <w:tr w:rsidR="002E0859" w14:paraId="2F33A58C" w14:textId="77777777">
        <w:trPr>
          <w:cantSplit/>
          <w:jc w:val="center"/>
        </w:trPr>
        <w:tc>
          <w:tcPr>
            <w:tcW w:w="352" w:type="pct"/>
            <w:vMerge/>
            <w:vAlign w:val="center"/>
          </w:tcPr>
          <w:p w14:paraId="636737CD" w14:textId="77777777" w:rsidR="002E0859" w:rsidRDefault="002E0859">
            <w:pPr>
              <w:spacing w:line="240" w:lineRule="auto"/>
              <w:ind w:firstLineChars="0" w:firstLine="0"/>
              <w:jc w:val="center"/>
              <w:rPr>
                <w:color w:val="000000" w:themeColor="text1"/>
                <w:sz w:val="21"/>
              </w:rPr>
            </w:pPr>
          </w:p>
        </w:tc>
        <w:tc>
          <w:tcPr>
            <w:tcW w:w="1040" w:type="pct"/>
            <w:vAlign w:val="center"/>
          </w:tcPr>
          <w:p w14:paraId="09D4A824" w14:textId="77777777" w:rsidR="002E0859" w:rsidRDefault="00000000">
            <w:pPr>
              <w:spacing w:line="240" w:lineRule="auto"/>
              <w:ind w:firstLineChars="0" w:firstLine="0"/>
              <w:jc w:val="center"/>
              <w:rPr>
                <w:color w:val="000000" w:themeColor="text1"/>
                <w:sz w:val="21"/>
              </w:rPr>
            </w:pPr>
            <w:r>
              <w:rPr>
                <w:color w:val="000000" w:themeColor="text1"/>
                <w:sz w:val="21"/>
              </w:rPr>
              <w:t>吸入</w:t>
            </w:r>
          </w:p>
        </w:tc>
        <w:tc>
          <w:tcPr>
            <w:tcW w:w="3607" w:type="pct"/>
            <w:gridSpan w:val="7"/>
            <w:vAlign w:val="center"/>
          </w:tcPr>
          <w:p w14:paraId="3E431970" w14:textId="77777777" w:rsidR="002E0859" w:rsidRDefault="00000000">
            <w:pPr>
              <w:spacing w:line="240" w:lineRule="auto"/>
              <w:ind w:firstLineChars="0" w:firstLine="0"/>
              <w:rPr>
                <w:color w:val="000000" w:themeColor="text1"/>
                <w:sz w:val="21"/>
              </w:rPr>
            </w:pPr>
            <w:r>
              <w:rPr>
                <w:color w:val="000000" w:themeColor="text1"/>
                <w:sz w:val="21"/>
              </w:rPr>
              <w:t>迅速脱离现场至空气新鲜处。保持呼吸道通畅。如呼吸困难，给输氧。如呼吸停止，立即进行人工呼吸。就医。</w:t>
            </w:r>
          </w:p>
        </w:tc>
      </w:tr>
      <w:tr w:rsidR="002E0859" w14:paraId="1DFD6C3A" w14:textId="77777777">
        <w:trPr>
          <w:cantSplit/>
          <w:jc w:val="center"/>
        </w:trPr>
        <w:tc>
          <w:tcPr>
            <w:tcW w:w="352" w:type="pct"/>
            <w:vMerge/>
            <w:vAlign w:val="center"/>
          </w:tcPr>
          <w:p w14:paraId="6B62A6C0" w14:textId="77777777" w:rsidR="002E0859" w:rsidRDefault="002E0859">
            <w:pPr>
              <w:spacing w:line="240" w:lineRule="auto"/>
              <w:ind w:firstLineChars="0" w:firstLine="0"/>
              <w:jc w:val="center"/>
              <w:rPr>
                <w:color w:val="000000" w:themeColor="text1"/>
                <w:sz w:val="21"/>
              </w:rPr>
            </w:pPr>
          </w:p>
        </w:tc>
        <w:tc>
          <w:tcPr>
            <w:tcW w:w="1040" w:type="pct"/>
            <w:vAlign w:val="center"/>
          </w:tcPr>
          <w:p w14:paraId="42A40B1C" w14:textId="77777777" w:rsidR="002E0859" w:rsidRDefault="00000000">
            <w:pPr>
              <w:spacing w:line="240" w:lineRule="auto"/>
              <w:ind w:firstLineChars="0" w:firstLine="0"/>
              <w:jc w:val="center"/>
              <w:rPr>
                <w:color w:val="000000" w:themeColor="text1"/>
                <w:sz w:val="21"/>
              </w:rPr>
            </w:pPr>
            <w:r>
              <w:rPr>
                <w:color w:val="000000" w:themeColor="text1"/>
                <w:sz w:val="21"/>
              </w:rPr>
              <w:t>食入</w:t>
            </w:r>
          </w:p>
        </w:tc>
        <w:tc>
          <w:tcPr>
            <w:tcW w:w="3607" w:type="pct"/>
            <w:gridSpan w:val="7"/>
            <w:vAlign w:val="center"/>
          </w:tcPr>
          <w:p w14:paraId="2A4B18A6" w14:textId="77777777" w:rsidR="002E0859" w:rsidRDefault="00000000">
            <w:pPr>
              <w:spacing w:line="240" w:lineRule="auto"/>
              <w:ind w:firstLineChars="0" w:firstLine="0"/>
              <w:rPr>
                <w:color w:val="000000" w:themeColor="text1"/>
                <w:sz w:val="21"/>
              </w:rPr>
            </w:pPr>
            <w:r>
              <w:rPr>
                <w:color w:val="000000" w:themeColor="text1"/>
                <w:sz w:val="21"/>
              </w:rPr>
              <w:t>尽快彻底洗胃。就医。</w:t>
            </w:r>
          </w:p>
        </w:tc>
      </w:tr>
      <w:tr w:rsidR="002E0859" w14:paraId="58A8EBC1" w14:textId="77777777">
        <w:trPr>
          <w:cantSplit/>
          <w:jc w:val="center"/>
        </w:trPr>
        <w:tc>
          <w:tcPr>
            <w:tcW w:w="352" w:type="pct"/>
            <w:vMerge w:val="restart"/>
            <w:vAlign w:val="center"/>
          </w:tcPr>
          <w:p w14:paraId="1E2DB155" w14:textId="77777777" w:rsidR="002E0859" w:rsidRDefault="00000000">
            <w:pPr>
              <w:spacing w:line="240" w:lineRule="auto"/>
              <w:ind w:firstLineChars="0" w:firstLine="0"/>
              <w:jc w:val="center"/>
              <w:rPr>
                <w:color w:val="000000" w:themeColor="text1"/>
                <w:sz w:val="21"/>
              </w:rPr>
            </w:pPr>
            <w:r>
              <w:rPr>
                <w:color w:val="000000" w:themeColor="text1"/>
                <w:sz w:val="21"/>
              </w:rPr>
              <w:t>防护措施</w:t>
            </w:r>
          </w:p>
        </w:tc>
        <w:tc>
          <w:tcPr>
            <w:tcW w:w="1040" w:type="pct"/>
            <w:vAlign w:val="center"/>
          </w:tcPr>
          <w:p w14:paraId="59F8CF90" w14:textId="77777777" w:rsidR="002E0859" w:rsidRDefault="00000000">
            <w:pPr>
              <w:spacing w:line="240" w:lineRule="auto"/>
              <w:ind w:firstLineChars="0" w:firstLine="0"/>
              <w:jc w:val="center"/>
              <w:rPr>
                <w:color w:val="000000" w:themeColor="text1"/>
                <w:sz w:val="21"/>
              </w:rPr>
            </w:pPr>
            <w:r>
              <w:rPr>
                <w:color w:val="000000" w:themeColor="text1"/>
                <w:sz w:val="21"/>
              </w:rPr>
              <w:t>工程控制</w:t>
            </w:r>
          </w:p>
        </w:tc>
        <w:tc>
          <w:tcPr>
            <w:tcW w:w="3607" w:type="pct"/>
            <w:gridSpan w:val="7"/>
            <w:vAlign w:val="center"/>
          </w:tcPr>
          <w:p w14:paraId="393F9E4E" w14:textId="77777777" w:rsidR="002E0859" w:rsidRDefault="00000000">
            <w:pPr>
              <w:spacing w:line="240" w:lineRule="auto"/>
              <w:ind w:firstLineChars="0" w:firstLine="0"/>
              <w:jc w:val="left"/>
              <w:rPr>
                <w:color w:val="000000" w:themeColor="text1"/>
                <w:sz w:val="21"/>
              </w:rPr>
            </w:pPr>
            <w:r>
              <w:rPr>
                <w:color w:val="000000" w:themeColor="text1"/>
                <w:sz w:val="21"/>
              </w:rPr>
              <w:t>密闭操作，注意通风。</w:t>
            </w:r>
          </w:p>
        </w:tc>
      </w:tr>
      <w:tr w:rsidR="002E0859" w14:paraId="47F0DBAA" w14:textId="77777777">
        <w:trPr>
          <w:cantSplit/>
          <w:jc w:val="center"/>
        </w:trPr>
        <w:tc>
          <w:tcPr>
            <w:tcW w:w="352" w:type="pct"/>
            <w:vMerge/>
            <w:vAlign w:val="center"/>
          </w:tcPr>
          <w:p w14:paraId="636927A6" w14:textId="77777777" w:rsidR="002E0859" w:rsidRDefault="002E0859">
            <w:pPr>
              <w:spacing w:line="240" w:lineRule="auto"/>
              <w:ind w:firstLineChars="0" w:firstLine="0"/>
              <w:jc w:val="center"/>
              <w:rPr>
                <w:color w:val="000000" w:themeColor="text1"/>
                <w:sz w:val="21"/>
              </w:rPr>
            </w:pPr>
          </w:p>
        </w:tc>
        <w:tc>
          <w:tcPr>
            <w:tcW w:w="1040" w:type="pct"/>
            <w:vAlign w:val="center"/>
          </w:tcPr>
          <w:p w14:paraId="5422F1A8" w14:textId="77777777" w:rsidR="002E0859" w:rsidRDefault="00000000">
            <w:pPr>
              <w:spacing w:line="240" w:lineRule="auto"/>
              <w:ind w:firstLineChars="0" w:firstLine="0"/>
              <w:jc w:val="center"/>
              <w:rPr>
                <w:color w:val="000000" w:themeColor="text1"/>
                <w:sz w:val="21"/>
              </w:rPr>
            </w:pPr>
            <w:r>
              <w:rPr>
                <w:color w:val="000000" w:themeColor="text1"/>
                <w:sz w:val="21"/>
              </w:rPr>
              <w:t>呼吸系统防护</w:t>
            </w:r>
          </w:p>
        </w:tc>
        <w:tc>
          <w:tcPr>
            <w:tcW w:w="3607" w:type="pct"/>
            <w:gridSpan w:val="7"/>
            <w:vAlign w:val="center"/>
          </w:tcPr>
          <w:p w14:paraId="5B9D9884" w14:textId="77777777" w:rsidR="002E0859" w:rsidRDefault="00000000">
            <w:pPr>
              <w:spacing w:line="240" w:lineRule="auto"/>
              <w:ind w:firstLineChars="0" w:firstLine="0"/>
              <w:jc w:val="left"/>
              <w:rPr>
                <w:color w:val="000000" w:themeColor="text1"/>
                <w:sz w:val="21"/>
              </w:rPr>
            </w:pPr>
            <w:r>
              <w:rPr>
                <w:color w:val="000000" w:themeColor="text1"/>
                <w:sz w:val="21"/>
              </w:rPr>
              <w:t>空气中浓度超标时，建议佩戴自吸过滤式防毒面具（半面罩）。紧急事态抢救或撤离时，应该佩戴空气呼吸器。</w:t>
            </w:r>
          </w:p>
        </w:tc>
      </w:tr>
      <w:tr w:rsidR="002E0859" w14:paraId="10319266" w14:textId="77777777">
        <w:trPr>
          <w:cantSplit/>
          <w:jc w:val="center"/>
        </w:trPr>
        <w:tc>
          <w:tcPr>
            <w:tcW w:w="352" w:type="pct"/>
            <w:vMerge/>
            <w:vAlign w:val="center"/>
          </w:tcPr>
          <w:p w14:paraId="7E27EF2E" w14:textId="77777777" w:rsidR="002E0859" w:rsidRDefault="002E0859">
            <w:pPr>
              <w:spacing w:line="240" w:lineRule="auto"/>
              <w:ind w:firstLineChars="0" w:firstLine="0"/>
              <w:jc w:val="center"/>
              <w:rPr>
                <w:color w:val="000000" w:themeColor="text1"/>
                <w:sz w:val="21"/>
              </w:rPr>
            </w:pPr>
          </w:p>
        </w:tc>
        <w:tc>
          <w:tcPr>
            <w:tcW w:w="1040" w:type="pct"/>
            <w:vAlign w:val="center"/>
          </w:tcPr>
          <w:p w14:paraId="5D0FC387" w14:textId="77777777" w:rsidR="002E0859" w:rsidRDefault="00000000">
            <w:pPr>
              <w:spacing w:line="240" w:lineRule="auto"/>
              <w:ind w:firstLineChars="0" w:firstLine="0"/>
              <w:jc w:val="center"/>
              <w:rPr>
                <w:color w:val="000000" w:themeColor="text1"/>
                <w:sz w:val="21"/>
              </w:rPr>
            </w:pPr>
            <w:r>
              <w:rPr>
                <w:color w:val="000000" w:themeColor="text1"/>
                <w:sz w:val="21"/>
              </w:rPr>
              <w:t>眼睛防护</w:t>
            </w:r>
          </w:p>
        </w:tc>
        <w:tc>
          <w:tcPr>
            <w:tcW w:w="3607" w:type="pct"/>
            <w:gridSpan w:val="7"/>
            <w:vAlign w:val="center"/>
          </w:tcPr>
          <w:p w14:paraId="40CCE9C9" w14:textId="77777777" w:rsidR="002E0859" w:rsidRDefault="00000000">
            <w:pPr>
              <w:spacing w:line="240" w:lineRule="auto"/>
              <w:ind w:firstLineChars="0" w:firstLine="0"/>
              <w:jc w:val="left"/>
              <w:rPr>
                <w:color w:val="000000" w:themeColor="text1"/>
                <w:sz w:val="21"/>
              </w:rPr>
            </w:pPr>
            <w:r>
              <w:rPr>
                <w:color w:val="000000" w:themeColor="text1"/>
                <w:sz w:val="21"/>
              </w:rPr>
              <w:t>戴化学安全防护眼镜。</w:t>
            </w:r>
          </w:p>
        </w:tc>
      </w:tr>
      <w:tr w:rsidR="002E0859" w14:paraId="22B8FBDA" w14:textId="77777777">
        <w:trPr>
          <w:cantSplit/>
          <w:jc w:val="center"/>
        </w:trPr>
        <w:tc>
          <w:tcPr>
            <w:tcW w:w="352" w:type="pct"/>
            <w:vMerge/>
            <w:vAlign w:val="center"/>
          </w:tcPr>
          <w:p w14:paraId="58CA0661" w14:textId="77777777" w:rsidR="002E0859" w:rsidRDefault="002E0859">
            <w:pPr>
              <w:spacing w:line="240" w:lineRule="auto"/>
              <w:ind w:firstLineChars="0" w:firstLine="0"/>
              <w:jc w:val="center"/>
              <w:rPr>
                <w:color w:val="000000" w:themeColor="text1"/>
                <w:sz w:val="21"/>
              </w:rPr>
            </w:pPr>
          </w:p>
        </w:tc>
        <w:tc>
          <w:tcPr>
            <w:tcW w:w="1040" w:type="pct"/>
            <w:vAlign w:val="center"/>
          </w:tcPr>
          <w:p w14:paraId="5963A156" w14:textId="77777777" w:rsidR="002E0859" w:rsidRDefault="00000000">
            <w:pPr>
              <w:spacing w:line="240" w:lineRule="auto"/>
              <w:ind w:firstLineChars="0" w:firstLine="0"/>
              <w:jc w:val="center"/>
              <w:rPr>
                <w:color w:val="000000" w:themeColor="text1"/>
                <w:sz w:val="21"/>
              </w:rPr>
            </w:pPr>
            <w:r>
              <w:rPr>
                <w:color w:val="000000" w:themeColor="text1"/>
                <w:sz w:val="21"/>
              </w:rPr>
              <w:t>防护服</w:t>
            </w:r>
          </w:p>
        </w:tc>
        <w:tc>
          <w:tcPr>
            <w:tcW w:w="3607" w:type="pct"/>
            <w:gridSpan w:val="7"/>
            <w:vAlign w:val="center"/>
          </w:tcPr>
          <w:p w14:paraId="5E3141DF" w14:textId="77777777" w:rsidR="002E0859" w:rsidRDefault="00000000">
            <w:pPr>
              <w:spacing w:line="240" w:lineRule="auto"/>
              <w:ind w:firstLineChars="0" w:firstLine="0"/>
              <w:jc w:val="left"/>
              <w:rPr>
                <w:color w:val="000000" w:themeColor="text1"/>
                <w:sz w:val="21"/>
              </w:rPr>
            </w:pPr>
            <w:r>
              <w:rPr>
                <w:color w:val="000000" w:themeColor="text1"/>
                <w:sz w:val="21"/>
              </w:rPr>
              <w:t>穿一般作业防护服。</w:t>
            </w:r>
          </w:p>
        </w:tc>
      </w:tr>
      <w:tr w:rsidR="002E0859" w14:paraId="706754B7" w14:textId="77777777">
        <w:trPr>
          <w:cantSplit/>
          <w:jc w:val="center"/>
        </w:trPr>
        <w:tc>
          <w:tcPr>
            <w:tcW w:w="352" w:type="pct"/>
            <w:vMerge/>
            <w:vAlign w:val="center"/>
          </w:tcPr>
          <w:p w14:paraId="2DA2ACFE" w14:textId="77777777" w:rsidR="002E0859" w:rsidRDefault="002E0859">
            <w:pPr>
              <w:spacing w:line="240" w:lineRule="auto"/>
              <w:ind w:firstLineChars="0" w:firstLine="0"/>
              <w:jc w:val="center"/>
              <w:rPr>
                <w:color w:val="000000" w:themeColor="text1"/>
                <w:sz w:val="21"/>
              </w:rPr>
            </w:pPr>
          </w:p>
        </w:tc>
        <w:tc>
          <w:tcPr>
            <w:tcW w:w="1040" w:type="pct"/>
            <w:vAlign w:val="center"/>
          </w:tcPr>
          <w:p w14:paraId="54D35B19" w14:textId="77777777" w:rsidR="002E0859" w:rsidRDefault="00000000">
            <w:pPr>
              <w:spacing w:line="240" w:lineRule="auto"/>
              <w:ind w:firstLineChars="0" w:firstLine="0"/>
              <w:jc w:val="center"/>
              <w:rPr>
                <w:color w:val="000000" w:themeColor="text1"/>
                <w:sz w:val="21"/>
              </w:rPr>
            </w:pPr>
            <w:r>
              <w:rPr>
                <w:color w:val="000000" w:themeColor="text1"/>
                <w:sz w:val="21"/>
              </w:rPr>
              <w:t>手防护</w:t>
            </w:r>
          </w:p>
        </w:tc>
        <w:tc>
          <w:tcPr>
            <w:tcW w:w="3607" w:type="pct"/>
            <w:gridSpan w:val="7"/>
            <w:vAlign w:val="center"/>
          </w:tcPr>
          <w:p w14:paraId="4B5AAB38" w14:textId="77777777" w:rsidR="002E0859" w:rsidRDefault="00000000">
            <w:pPr>
              <w:spacing w:line="240" w:lineRule="auto"/>
              <w:ind w:firstLineChars="0" w:firstLine="0"/>
              <w:jc w:val="left"/>
              <w:rPr>
                <w:color w:val="000000" w:themeColor="text1"/>
                <w:sz w:val="21"/>
              </w:rPr>
            </w:pPr>
            <w:r>
              <w:rPr>
                <w:color w:val="000000" w:themeColor="text1"/>
                <w:sz w:val="21"/>
              </w:rPr>
              <w:t>戴橡胶耐油手套。</w:t>
            </w:r>
          </w:p>
        </w:tc>
      </w:tr>
      <w:tr w:rsidR="002E0859" w14:paraId="21DCA444" w14:textId="77777777">
        <w:trPr>
          <w:cantSplit/>
          <w:jc w:val="center"/>
        </w:trPr>
        <w:tc>
          <w:tcPr>
            <w:tcW w:w="352" w:type="pct"/>
            <w:vMerge/>
            <w:vAlign w:val="center"/>
          </w:tcPr>
          <w:p w14:paraId="4729D45C" w14:textId="77777777" w:rsidR="002E0859" w:rsidRDefault="002E0859">
            <w:pPr>
              <w:spacing w:line="240" w:lineRule="auto"/>
              <w:ind w:firstLineChars="0" w:firstLine="0"/>
              <w:jc w:val="center"/>
              <w:rPr>
                <w:color w:val="000000" w:themeColor="text1"/>
                <w:sz w:val="21"/>
              </w:rPr>
            </w:pPr>
          </w:p>
        </w:tc>
        <w:tc>
          <w:tcPr>
            <w:tcW w:w="1040" w:type="pct"/>
            <w:vAlign w:val="center"/>
          </w:tcPr>
          <w:p w14:paraId="2AC4AC35" w14:textId="77777777" w:rsidR="002E0859" w:rsidRDefault="00000000">
            <w:pPr>
              <w:spacing w:line="240" w:lineRule="auto"/>
              <w:ind w:firstLineChars="0" w:firstLine="0"/>
              <w:jc w:val="center"/>
              <w:rPr>
                <w:color w:val="000000" w:themeColor="text1"/>
                <w:sz w:val="21"/>
              </w:rPr>
            </w:pPr>
            <w:r>
              <w:rPr>
                <w:color w:val="000000" w:themeColor="text1"/>
                <w:sz w:val="21"/>
              </w:rPr>
              <w:t>其它</w:t>
            </w:r>
          </w:p>
        </w:tc>
        <w:tc>
          <w:tcPr>
            <w:tcW w:w="3607" w:type="pct"/>
            <w:gridSpan w:val="7"/>
            <w:vAlign w:val="center"/>
          </w:tcPr>
          <w:p w14:paraId="560F3E7A" w14:textId="77777777" w:rsidR="002E0859" w:rsidRDefault="00000000">
            <w:pPr>
              <w:spacing w:line="240" w:lineRule="auto"/>
              <w:ind w:firstLineChars="0" w:firstLine="0"/>
              <w:jc w:val="left"/>
              <w:rPr>
                <w:color w:val="000000" w:themeColor="text1"/>
                <w:sz w:val="21"/>
              </w:rPr>
            </w:pPr>
            <w:r>
              <w:rPr>
                <w:color w:val="000000" w:themeColor="text1"/>
                <w:sz w:val="21"/>
              </w:rPr>
              <w:t>工作现场严禁吸烟。避免长期反复接触。</w:t>
            </w:r>
          </w:p>
        </w:tc>
      </w:tr>
      <w:tr w:rsidR="002E0859" w14:paraId="3D2741DC" w14:textId="77777777">
        <w:trPr>
          <w:cantSplit/>
          <w:jc w:val="center"/>
        </w:trPr>
        <w:tc>
          <w:tcPr>
            <w:tcW w:w="352" w:type="pct"/>
            <w:vAlign w:val="center"/>
          </w:tcPr>
          <w:p w14:paraId="2896854B" w14:textId="77777777" w:rsidR="002E0859" w:rsidRDefault="00000000">
            <w:pPr>
              <w:spacing w:line="240" w:lineRule="auto"/>
              <w:ind w:firstLineChars="0" w:firstLine="0"/>
              <w:jc w:val="center"/>
              <w:rPr>
                <w:color w:val="000000" w:themeColor="text1"/>
                <w:sz w:val="21"/>
              </w:rPr>
            </w:pPr>
            <w:r>
              <w:rPr>
                <w:color w:val="000000" w:themeColor="text1"/>
                <w:sz w:val="21"/>
              </w:rPr>
              <w:t>泄漏处置</w:t>
            </w:r>
          </w:p>
        </w:tc>
        <w:tc>
          <w:tcPr>
            <w:tcW w:w="4647" w:type="pct"/>
            <w:gridSpan w:val="8"/>
            <w:vAlign w:val="center"/>
          </w:tcPr>
          <w:p w14:paraId="318457C1" w14:textId="77777777" w:rsidR="002E0859" w:rsidRDefault="00000000">
            <w:pPr>
              <w:spacing w:line="240" w:lineRule="auto"/>
              <w:ind w:firstLineChars="0" w:firstLine="0"/>
              <w:jc w:val="left"/>
              <w:rPr>
                <w:color w:val="000000" w:themeColor="text1"/>
                <w:sz w:val="21"/>
              </w:rPr>
            </w:pPr>
            <w:r>
              <w:rPr>
                <w:color w:val="000000" w:themeColor="text1"/>
                <w:sz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14:paraId="261657FC"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盐酸</w:t>
      </w:r>
    </w:p>
    <w:p w14:paraId="423A27D4" w14:textId="77777777" w:rsidR="002E0859" w:rsidRDefault="00000000">
      <w:pPr>
        <w:pStyle w:val="a0"/>
        <w:spacing w:line="360" w:lineRule="auto"/>
        <w:ind w:firstLine="480"/>
        <w:rPr>
          <w:color w:val="000000" w:themeColor="text1"/>
          <w:sz w:val="24"/>
          <w:szCs w:val="24"/>
        </w:rPr>
      </w:pPr>
      <w:r>
        <w:rPr>
          <w:color w:val="000000" w:themeColor="text1"/>
          <w:sz w:val="24"/>
          <w:szCs w:val="24"/>
        </w:rPr>
        <w:t>酸化采用盐酸和胶凝剂配制而成，盐酸具有腐蚀性，刺激皮肤发生皮炎，吸入蒸汽慢性支气管炎等病变。误服盐酸中毒，可引起消化道灼伤、溃疡形成，有可能胃穿孔、腹膜炎等。</w:t>
      </w:r>
    </w:p>
    <w:p w14:paraId="4C16BC3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盐酸</w:t>
      </w:r>
      <w:r>
        <w:rPr>
          <w:color w:val="000000" w:themeColor="text1"/>
          <w:sz w:val="24"/>
          <w:szCs w:val="24"/>
        </w:rPr>
        <w:t>的主要危险有害特性见表</w:t>
      </w:r>
      <w:r>
        <w:rPr>
          <w:rFonts w:hint="eastAsia"/>
          <w:color w:val="000000" w:themeColor="text1"/>
          <w:sz w:val="24"/>
          <w:szCs w:val="24"/>
        </w:rPr>
        <w:t>3.1-9</w:t>
      </w:r>
      <w:r>
        <w:rPr>
          <w:color w:val="000000" w:themeColor="text1"/>
          <w:sz w:val="24"/>
          <w:szCs w:val="24"/>
        </w:rPr>
        <w:t>。</w:t>
      </w:r>
    </w:p>
    <w:p w14:paraId="1F3F7FC5"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9 </w:t>
      </w:r>
      <w:r>
        <w:rPr>
          <w:rFonts w:ascii="Times New Roman" w:eastAsia="黑体" w:hAnsi="Times New Roman" w:cs="Times New Roman" w:hint="eastAsia"/>
          <w:color w:val="000000" w:themeColor="text1"/>
          <w:sz w:val="21"/>
          <w:szCs w:val="21"/>
          <w:lang w:eastAsia="zh-CN"/>
        </w:rPr>
        <w:t>盐酸主要危险有害特性</w:t>
      </w:r>
      <w:r>
        <w:rPr>
          <w:rFonts w:ascii="Times New Roman" w:eastAsia="黑体" w:hAnsi="Times New Roman" w:cs="Times New Roman"/>
          <w:color w:val="000000" w:themeColor="text1"/>
          <w:sz w:val="21"/>
          <w:szCs w:val="21"/>
          <w:lang w:eastAsia="zh-CN"/>
        </w:rPr>
        <w:t>一览表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3"/>
        <w:gridCol w:w="1488"/>
        <w:gridCol w:w="198"/>
        <w:gridCol w:w="203"/>
        <w:gridCol w:w="1266"/>
        <w:gridCol w:w="338"/>
        <w:gridCol w:w="637"/>
        <w:gridCol w:w="307"/>
        <w:gridCol w:w="456"/>
        <w:gridCol w:w="1041"/>
        <w:gridCol w:w="1690"/>
      </w:tblGrid>
      <w:tr w:rsidR="002E0859" w14:paraId="0017F265" w14:textId="77777777">
        <w:trPr>
          <w:cantSplit/>
          <w:jc w:val="center"/>
        </w:trPr>
        <w:tc>
          <w:tcPr>
            <w:tcW w:w="832" w:type="pct"/>
            <w:tcBorders>
              <w:tl2br w:val="nil"/>
              <w:tr2bl w:val="nil"/>
            </w:tcBorders>
            <w:vAlign w:val="center"/>
          </w:tcPr>
          <w:p w14:paraId="621570B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中文名称</w:t>
            </w:r>
          </w:p>
        </w:tc>
        <w:tc>
          <w:tcPr>
            <w:tcW w:w="2257" w:type="pct"/>
            <w:gridSpan w:val="6"/>
            <w:tcBorders>
              <w:tl2br w:val="nil"/>
              <w:tr2bl w:val="nil"/>
            </w:tcBorders>
            <w:vAlign w:val="center"/>
          </w:tcPr>
          <w:p w14:paraId="6B923FF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盐酸、氢氯酸</w:t>
            </w:r>
          </w:p>
        </w:tc>
        <w:tc>
          <w:tcPr>
            <w:tcW w:w="986" w:type="pct"/>
            <w:gridSpan w:val="3"/>
            <w:tcBorders>
              <w:tl2br w:val="nil"/>
              <w:tr2bl w:val="nil"/>
            </w:tcBorders>
            <w:vAlign w:val="center"/>
          </w:tcPr>
          <w:p w14:paraId="64AD1A5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包装标志</w:t>
            </w:r>
          </w:p>
        </w:tc>
        <w:tc>
          <w:tcPr>
            <w:tcW w:w="923" w:type="pct"/>
            <w:tcBorders>
              <w:tl2br w:val="nil"/>
              <w:tr2bl w:val="nil"/>
            </w:tcBorders>
            <w:vAlign w:val="center"/>
          </w:tcPr>
          <w:p w14:paraId="5FD817D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腐蚀性物质</w:t>
            </w:r>
          </w:p>
        </w:tc>
      </w:tr>
      <w:tr w:rsidR="002E0859" w14:paraId="3B084984" w14:textId="77777777">
        <w:trPr>
          <w:cantSplit/>
          <w:jc w:val="center"/>
        </w:trPr>
        <w:tc>
          <w:tcPr>
            <w:tcW w:w="832" w:type="pct"/>
            <w:tcBorders>
              <w:tl2br w:val="nil"/>
              <w:tr2bl w:val="nil"/>
            </w:tcBorders>
            <w:vAlign w:val="center"/>
          </w:tcPr>
          <w:p w14:paraId="31BACB4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英文名称</w:t>
            </w:r>
          </w:p>
        </w:tc>
        <w:tc>
          <w:tcPr>
            <w:tcW w:w="2257" w:type="pct"/>
            <w:gridSpan w:val="6"/>
            <w:tcBorders>
              <w:tl2br w:val="nil"/>
              <w:tr2bl w:val="nil"/>
            </w:tcBorders>
            <w:vAlign w:val="center"/>
          </w:tcPr>
          <w:p w14:paraId="6614702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hydrochlcricacid</w:t>
            </w:r>
          </w:p>
        </w:tc>
        <w:tc>
          <w:tcPr>
            <w:tcW w:w="986" w:type="pct"/>
            <w:gridSpan w:val="3"/>
            <w:tcBorders>
              <w:tl2br w:val="nil"/>
              <w:tr2bl w:val="nil"/>
            </w:tcBorders>
            <w:vAlign w:val="center"/>
          </w:tcPr>
          <w:p w14:paraId="391F731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包装类别</w:t>
            </w:r>
          </w:p>
        </w:tc>
        <w:tc>
          <w:tcPr>
            <w:tcW w:w="923" w:type="pct"/>
            <w:tcBorders>
              <w:tl2br w:val="nil"/>
              <w:tr2bl w:val="nil"/>
            </w:tcBorders>
            <w:vAlign w:val="center"/>
          </w:tcPr>
          <w:p w14:paraId="068F1AE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Ⅱ</w:t>
            </w:r>
          </w:p>
        </w:tc>
      </w:tr>
      <w:tr w:rsidR="002E0859" w14:paraId="65B7D809" w14:textId="77777777">
        <w:trPr>
          <w:cantSplit/>
          <w:jc w:val="center"/>
        </w:trPr>
        <w:tc>
          <w:tcPr>
            <w:tcW w:w="832" w:type="pct"/>
            <w:tcBorders>
              <w:tl2br w:val="nil"/>
              <w:tr2bl w:val="nil"/>
            </w:tcBorders>
            <w:vAlign w:val="center"/>
          </w:tcPr>
          <w:p w14:paraId="47F923D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UN</w:t>
            </w:r>
            <w:r>
              <w:rPr>
                <w:bCs/>
                <w:color w:val="000000" w:themeColor="text1"/>
                <w:sz w:val="21"/>
                <w:szCs w:val="21"/>
              </w:rPr>
              <w:t>编号</w:t>
            </w:r>
          </w:p>
        </w:tc>
        <w:tc>
          <w:tcPr>
            <w:tcW w:w="2257" w:type="pct"/>
            <w:gridSpan w:val="6"/>
            <w:tcBorders>
              <w:tl2br w:val="nil"/>
              <w:tr2bl w:val="nil"/>
            </w:tcBorders>
            <w:vAlign w:val="center"/>
          </w:tcPr>
          <w:p w14:paraId="3BE1F07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1789</w:t>
            </w:r>
          </w:p>
        </w:tc>
        <w:tc>
          <w:tcPr>
            <w:tcW w:w="986" w:type="pct"/>
            <w:gridSpan w:val="3"/>
            <w:tcBorders>
              <w:tl2br w:val="nil"/>
              <w:tr2bl w:val="nil"/>
            </w:tcBorders>
            <w:vAlign w:val="center"/>
          </w:tcPr>
          <w:p w14:paraId="65D2BF8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CAS</w:t>
            </w:r>
            <w:r>
              <w:rPr>
                <w:bCs/>
                <w:color w:val="000000" w:themeColor="text1"/>
                <w:sz w:val="21"/>
                <w:szCs w:val="21"/>
              </w:rPr>
              <w:t>号</w:t>
            </w:r>
          </w:p>
        </w:tc>
        <w:tc>
          <w:tcPr>
            <w:tcW w:w="923" w:type="pct"/>
            <w:tcBorders>
              <w:tl2br w:val="nil"/>
              <w:tr2bl w:val="nil"/>
            </w:tcBorders>
            <w:vAlign w:val="center"/>
          </w:tcPr>
          <w:p w14:paraId="610A5DA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7647-01-0</w:t>
            </w:r>
          </w:p>
        </w:tc>
      </w:tr>
      <w:tr w:rsidR="002E0859" w14:paraId="0E5C55DD" w14:textId="77777777">
        <w:trPr>
          <w:cantSplit/>
          <w:trHeight w:val="270"/>
          <w:jc w:val="center"/>
        </w:trPr>
        <w:tc>
          <w:tcPr>
            <w:tcW w:w="832" w:type="pct"/>
            <w:vMerge w:val="restart"/>
            <w:tcBorders>
              <w:tl2br w:val="nil"/>
              <w:tr2bl w:val="nil"/>
            </w:tcBorders>
            <w:vAlign w:val="center"/>
          </w:tcPr>
          <w:p w14:paraId="58E7C19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理化特性</w:t>
            </w:r>
          </w:p>
        </w:tc>
        <w:tc>
          <w:tcPr>
            <w:tcW w:w="1032" w:type="pct"/>
            <w:gridSpan w:val="3"/>
            <w:tcBorders>
              <w:tl2br w:val="nil"/>
              <w:tr2bl w:val="nil"/>
            </w:tcBorders>
            <w:vAlign w:val="center"/>
          </w:tcPr>
          <w:p w14:paraId="4DFA7C0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外观与性状</w:t>
            </w:r>
          </w:p>
        </w:tc>
        <w:tc>
          <w:tcPr>
            <w:tcW w:w="1225" w:type="pct"/>
            <w:gridSpan w:val="3"/>
            <w:tcBorders>
              <w:tl2br w:val="nil"/>
              <w:tr2bl w:val="nil"/>
            </w:tcBorders>
            <w:vAlign w:val="center"/>
          </w:tcPr>
          <w:p w14:paraId="1D75A90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纯盐酸为无色有刺激性臭的液体，工业盐酸为略带黄色的液体。</w:t>
            </w:r>
          </w:p>
        </w:tc>
        <w:tc>
          <w:tcPr>
            <w:tcW w:w="986" w:type="pct"/>
            <w:gridSpan w:val="3"/>
            <w:tcBorders>
              <w:tl2br w:val="nil"/>
              <w:tr2bl w:val="nil"/>
            </w:tcBorders>
            <w:vAlign w:val="center"/>
          </w:tcPr>
          <w:p w14:paraId="45E36FF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熔点</w:t>
            </w:r>
            <w:r>
              <w:rPr>
                <w:bCs/>
                <w:color w:val="000000" w:themeColor="text1"/>
                <w:sz w:val="21"/>
                <w:szCs w:val="21"/>
              </w:rPr>
              <w:t>/</w:t>
            </w:r>
            <w:r>
              <w:rPr>
                <w:bCs/>
                <w:color w:val="000000" w:themeColor="text1"/>
                <w:sz w:val="21"/>
                <w:szCs w:val="21"/>
              </w:rPr>
              <w:t>凝固点（</w:t>
            </w:r>
            <w:r>
              <w:rPr>
                <w:bCs/>
                <w:color w:val="000000" w:themeColor="text1"/>
                <w:sz w:val="21"/>
                <w:szCs w:val="21"/>
              </w:rPr>
              <w:t>℃</w:t>
            </w:r>
            <w:r>
              <w:rPr>
                <w:bCs/>
                <w:color w:val="000000" w:themeColor="text1"/>
                <w:sz w:val="21"/>
                <w:szCs w:val="21"/>
              </w:rPr>
              <w:t>）</w:t>
            </w:r>
          </w:p>
        </w:tc>
        <w:tc>
          <w:tcPr>
            <w:tcW w:w="923" w:type="pct"/>
            <w:tcBorders>
              <w:tl2br w:val="nil"/>
              <w:tr2bl w:val="nil"/>
            </w:tcBorders>
            <w:vAlign w:val="center"/>
          </w:tcPr>
          <w:p w14:paraId="414BA74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-114.8</w:t>
            </w:r>
          </w:p>
        </w:tc>
      </w:tr>
      <w:tr w:rsidR="002E0859" w14:paraId="05162D95" w14:textId="77777777">
        <w:trPr>
          <w:cantSplit/>
          <w:trHeight w:val="345"/>
          <w:jc w:val="center"/>
        </w:trPr>
        <w:tc>
          <w:tcPr>
            <w:tcW w:w="832" w:type="pct"/>
            <w:vMerge/>
            <w:tcBorders>
              <w:tl2br w:val="nil"/>
              <w:tr2bl w:val="nil"/>
            </w:tcBorders>
            <w:vAlign w:val="center"/>
          </w:tcPr>
          <w:p w14:paraId="0756AC52"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231D7FA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相对密度（水＝</w:t>
            </w:r>
            <w:r>
              <w:rPr>
                <w:bCs/>
                <w:color w:val="000000" w:themeColor="text1"/>
                <w:sz w:val="21"/>
                <w:szCs w:val="21"/>
              </w:rPr>
              <w:t>1</w:t>
            </w:r>
            <w:r>
              <w:rPr>
                <w:bCs/>
                <w:color w:val="000000" w:themeColor="text1"/>
                <w:sz w:val="21"/>
                <w:szCs w:val="21"/>
              </w:rPr>
              <w:t>）</w:t>
            </w:r>
          </w:p>
        </w:tc>
        <w:tc>
          <w:tcPr>
            <w:tcW w:w="1225" w:type="pct"/>
            <w:gridSpan w:val="3"/>
            <w:tcBorders>
              <w:tl2br w:val="nil"/>
              <w:tr2bl w:val="nil"/>
            </w:tcBorders>
            <w:vAlign w:val="center"/>
          </w:tcPr>
          <w:p w14:paraId="3DB64C6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1.2</w:t>
            </w:r>
          </w:p>
        </w:tc>
        <w:tc>
          <w:tcPr>
            <w:tcW w:w="986" w:type="pct"/>
            <w:gridSpan w:val="3"/>
            <w:tcBorders>
              <w:tl2br w:val="nil"/>
              <w:tr2bl w:val="nil"/>
            </w:tcBorders>
            <w:vAlign w:val="center"/>
          </w:tcPr>
          <w:p w14:paraId="159D1FF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沸点（</w:t>
            </w:r>
            <w:r>
              <w:rPr>
                <w:bCs/>
                <w:color w:val="000000" w:themeColor="text1"/>
                <w:sz w:val="21"/>
                <w:szCs w:val="21"/>
              </w:rPr>
              <w:t>℃</w:t>
            </w:r>
            <w:r>
              <w:rPr>
                <w:bCs/>
                <w:color w:val="000000" w:themeColor="text1"/>
                <w:sz w:val="21"/>
                <w:szCs w:val="21"/>
              </w:rPr>
              <w:t>）</w:t>
            </w:r>
          </w:p>
        </w:tc>
        <w:tc>
          <w:tcPr>
            <w:tcW w:w="923" w:type="pct"/>
            <w:tcBorders>
              <w:tl2br w:val="nil"/>
              <w:tr2bl w:val="nil"/>
            </w:tcBorders>
            <w:vAlign w:val="center"/>
          </w:tcPr>
          <w:p w14:paraId="47E05B2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108.6</w:t>
            </w:r>
          </w:p>
        </w:tc>
      </w:tr>
      <w:tr w:rsidR="002E0859" w14:paraId="2A026626" w14:textId="77777777">
        <w:trPr>
          <w:cantSplit/>
          <w:trHeight w:val="390"/>
          <w:jc w:val="center"/>
        </w:trPr>
        <w:tc>
          <w:tcPr>
            <w:tcW w:w="832" w:type="pct"/>
            <w:vMerge/>
            <w:tcBorders>
              <w:tl2br w:val="nil"/>
              <w:tr2bl w:val="nil"/>
            </w:tcBorders>
            <w:vAlign w:val="center"/>
          </w:tcPr>
          <w:p w14:paraId="3EDF6001"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1A72ED0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相对蒸气密度</w:t>
            </w:r>
          </w:p>
          <w:p w14:paraId="45FB867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（空气＝</w:t>
            </w:r>
            <w:r>
              <w:rPr>
                <w:bCs/>
                <w:color w:val="000000" w:themeColor="text1"/>
                <w:sz w:val="21"/>
                <w:szCs w:val="21"/>
              </w:rPr>
              <w:t>1</w:t>
            </w:r>
            <w:r>
              <w:rPr>
                <w:bCs/>
                <w:color w:val="000000" w:themeColor="text1"/>
                <w:sz w:val="21"/>
                <w:szCs w:val="21"/>
              </w:rPr>
              <w:t>）</w:t>
            </w:r>
          </w:p>
        </w:tc>
        <w:tc>
          <w:tcPr>
            <w:tcW w:w="1225" w:type="pct"/>
            <w:gridSpan w:val="3"/>
            <w:tcBorders>
              <w:tl2br w:val="nil"/>
              <w:tr2bl w:val="nil"/>
            </w:tcBorders>
            <w:vAlign w:val="center"/>
          </w:tcPr>
          <w:p w14:paraId="5D61B50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1.26</w:t>
            </w:r>
          </w:p>
        </w:tc>
        <w:tc>
          <w:tcPr>
            <w:tcW w:w="986" w:type="pct"/>
            <w:gridSpan w:val="3"/>
            <w:tcBorders>
              <w:tl2br w:val="nil"/>
              <w:tr2bl w:val="nil"/>
            </w:tcBorders>
            <w:vAlign w:val="center"/>
          </w:tcPr>
          <w:p w14:paraId="0869CF4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饱和蒸气压（</w:t>
            </w:r>
            <w:r>
              <w:rPr>
                <w:bCs/>
                <w:color w:val="000000" w:themeColor="text1"/>
                <w:sz w:val="21"/>
                <w:szCs w:val="21"/>
              </w:rPr>
              <w:t>kPa</w:t>
            </w:r>
            <w:r>
              <w:rPr>
                <w:bCs/>
                <w:color w:val="000000" w:themeColor="text1"/>
                <w:sz w:val="21"/>
                <w:szCs w:val="21"/>
              </w:rPr>
              <w:t>）</w:t>
            </w:r>
          </w:p>
        </w:tc>
        <w:tc>
          <w:tcPr>
            <w:tcW w:w="923" w:type="pct"/>
            <w:tcBorders>
              <w:tl2br w:val="nil"/>
              <w:tr2bl w:val="nil"/>
            </w:tcBorders>
            <w:vAlign w:val="center"/>
          </w:tcPr>
          <w:p w14:paraId="5E42213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r>
      <w:tr w:rsidR="002E0859" w14:paraId="4EDDF39F" w14:textId="77777777">
        <w:trPr>
          <w:cantSplit/>
          <w:trHeight w:val="225"/>
          <w:jc w:val="center"/>
        </w:trPr>
        <w:tc>
          <w:tcPr>
            <w:tcW w:w="832" w:type="pct"/>
            <w:vMerge/>
            <w:tcBorders>
              <w:tl2br w:val="nil"/>
              <w:tr2bl w:val="nil"/>
            </w:tcBorders>
            <w:vAlign w:val="center"/>
          </w:tcPr>
          <w:p w14:paraId="391587BD"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0A051F8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临界温度（</w:t>
            </w:r>
            <w:r>
              <w:rPr>
                <w:bCs/>
                <w:color w:val="000000" w:themeColor="text1"/>
                <w:sz w:val="21"/>
                <w:szCs w:val="21"/>
              </w:rPr>
              <w:t>℃</w:t>
            </w:r>
            <w:r>
              <w:rPr>
                <w:bCs/>
                <w:color w:val="000000" w:themeColor="text1"/>
                <w:sz w:val="21"/>
                <w:szCs w:val="21"/>
              </w:rPr>
              <w:t>）</w:t>
            </w:r>
          </w:p>
        </w:tc>
        <w:tc>
          <w:tcPr>
            <w:tcW w:w="1225" w:type="pct"/>
            <w:gridSpan w:val="3"/>
            <w:tcBorders>
              <w:tl2br w:val="nil"/>
              <w:tr2bl w:val="nil"/>
            </w:tcBorders>
            <w:vAlign w:val="center"/>
          </w:tcPr>
          <w:p w14:paraId="0197248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c>
          <w:tcPr>
            <w:tcW w:w="986" w:type="pct"/>
            <w:gridSpan w:val="3"/>
            <w:tcBorders>
              <w:tl2br w:val="nil"/>
              <w:tr2bl w:val="nil"/>
            </w:tcBorders>
            <w:vAlign w:val="center"/>
          </w:tcPr>
          <w:p w14:paraId="1E62435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临界压力（</w:t>
            </w:r>
            <w:r>
              <w:rPr>
                <w:bCs/>
                <w:color w:val="000000" w:themeColor="text1"/>
                <w:sz w:val="21"/>
                <w:szCs w:val="21"/>
              </w:rPr>
              <w:t>MPa</w:t>
            </w:r>
            <w:r>
              <w:rPr>
                <w:bCs/>
                <w:color w:val="000000" w:themeColor="text1"/>
                <w:sz w:val="21"/>
                <w:szCs w:val="21"/>
              </w:rPr>
              <w:t>）</w:t>
            </w:r>
          </w:p>
        </w:tc>
        <w:tc>
          <w:tcPr>
            <w:tcW w:w="923" w:type="pct"/>
            <w:tcBorders>
              <w:tl2br w:val="nil"/>
              <w:tr2bl w:val="nil"/>
            </w:tcBorders>
            <w:vAlign w:val="center"/>
          </w:tcPr>
          <w:p w14:paraId="3ABF103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r>
      <w:tr w:rsidR="002E0859" w14:paraId="516AA588" w14:textId="77777777">
        <w:trPr>
          <w:cantSplit/>
          <w:trHeight w:val="422"/>
          <w:jc w:val="center"/>
        </w:trPr>
        <w:tc>
          <w:tcPr>
            <w:tcW w:w="832" w:type="pct"/>
            <w:vMerge/>
            <w:tcBorders>
              <w:tl2br w:val="nil"/>
              <w:tr2bl w:val="nil"/>
            </w:tcBorders>
            <w:vAlign w:val="center"/>
          </w:tcPr>
          <w:p w14:paraId="33D7F0A1"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7E37307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爆炸下限〔％（</w:t>
            </w:r>
            <w:r>
              <w:rPr>
                <w:bCs/>
                <w:color w:val="000000" w:themeColor="text1"/>
                <w:sz w:val="21"/>
                <w:szCs w:val="21"/>
              </w:rPr>
              <w:t>V/V</w:t>
            </w:r>
            <w:r>
              <w:rPr>
                <w:bCs/>
                <w:color w:val="000000" w:themeColor="text1"/>
                <w:sz w:val="21"/>
                <w:szCs w:val="21"/>
              </w:rPr>
              <w:t>）〕</w:t>
            </w:r>
          </w:p>
        </w:tc>
        <w:tc>
          <w:tcPr>
            <w:tcW w:w="1225" w:type="pct"/>
            <w:gridSpan w:val="3"/>
            <w:tcBorders>
              <w:tl2br w:val="nil"/>
              <w:tr2bl w:val="nil"/>
            </w:tcBorders>
            <w:vAlign w:val="center"/>
          </w:tcPr>
          <w:p w14:paraId="264B5F9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c>
          <w:tcPr>
            <w:tcW w:w="986" w:type="pct"/>
            <w:gridSpan w:val="3"/>
            <w:tcBorders>
              <w:tl2br w:val="nil"/>
              <w:tr2bl w:val="nil"/>
            </w:tcBorders>
            <w:vAlign w:val="center"/>
          </w:tcPr>
          <w:p w14:paraId="349EB7D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爆炸上限〔％（</w:t>
            </w:r>
            <w:r>
              <w:rPr>
                <w:bCs/>
                <w:color w:val="000000" w:themeColor="text1"/>
                <w:sz w:val="21"/>
                <w:szCs w:val="21"/>
              </w:rPr>
              <w:t>V/V</w:t>
            </w:r>
            <w:r>
              <w:rPr>
                <w:bCs/>
                <w:color w:val="000000" w:themeColor="text1"/>
                <w:sz w:val="21"/>
                <w:szCs w:val="21"/>
              </w:rPr>
              <w:t>）〕</w:t>
            </w:r>
          </w:p>
        </w:tc>
        <w:tc>
          <w:tcPr>
            <w:tcW w:w="923" w:type="pct"/>
            <w:tcBorders>
              <w:tl2br w:val="nil"/>
              <w:tr2bl w:val="nil"/>
            </w:tcBorders>
            <w:vAlign w:val="center"/>
          </w:tcPr>
          <w:p w14:paraId="48005FD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r>
      <w:tr w:rsidR="002E0859" w14:paraId="3AC3E5CB" w14:textId="77777777">
        <w:trPr>
          <w:cantSplit/>
          <w:trHeight w:val="225"/>
          <w:jc w:val="center"/>
        </w:trPr>
        <w:tc>
          <w:tcPr>
            <w:tcW w:w="832" w:type="pct"/>
            <w:vMerge/>
            <w:tcBorders>
              <w:tl2br w:val="nil"/>
              <w:tr2bl w:val="nil"/>
            </w:tcBorders>
            <w:vAlign w:val="center"/>
          </w:tcPr>
          <w:p w14:paraId="035D431A"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2BE3F71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引燃温度（</w:t>
            </w:r>
            <w:r>
              <w:rPr>
                <w:bCs/>
                <w:color w:val="000000" w:themeColor="text1"/>
                <w:sz w:val="21"/>
                <w:szCs w:val="21"/>
              </w:rPr>
              <w:t>℃</w:t>
            </w:r>
            <w:r>
              <w:rPr>
                <w:bCs/>
                <w:color w:val="000000" w:themeColor="text1"/>
                <w:sz w:val="21"/>
                <w:szCs w:val="21"/>
              </w:rPr>
              <w:t>）</w:t>
            </w:r>
          </w:p>
        </w:tc>
        <w:tc>
          <w:tcPr>
            <w:tcW w:w="1225" w:type="pct"/>
            <w:gridSpan w:val="3"/>
            <w:tcBorders>
              <w:tl2br w:val="nil"/>
              <w:tr2bl w:val="nil"/>
            </w:tcBorders>
            <w:vAlign w:val="center"/>
          </w:tcPr>
          <w:p w14:paraId="638BF5F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c>
          <w:tcPr>
            <w:tcW w:w="986" w:type="pct"/>
            <w:gridSpan w:val="3"/>
            <w:tcBorders>
              <w:tl2br w:val="nil"/>
              <w:tr2bl w:val="nil"/>
            </w:tcBorders>
            <w:vAlign w:val="center"/>
          </w:tcPr>
          <w:p w14:paraId="0B68DEA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闪点（</w:t>
            </w:r>
            <w:r>
              <w:rPr>
                <w:bCs/>
                <w:color w:val="000000" w:themeColor="text1"/>
                <w:sz w:val="21"/>
                <w:szCs w:val="21"/>
              </w:rPr>
              <w:t>℃</w:t>
            </w:r>
            <w:r>
              <w:rPr>
                <w:bCs/>
                <w:color w:val="000000" w:themeColor="text1"/>
                <w:sz w:val="21"/>
                <w:szCs w:val="21"/>
              </w:rPr>
              <w:t>）</w:t>
            </w:r>
          </w:p>
        </w:tc>
        <w:tc>
          <w:tcPr>
            <w:tcW w:w="923" w:type="pct"/>
            <w:tcBorders>
              <w:tl2br w:val="nil"/>
              <w:tr2bl w:val="nil"/>
            </w:tcBorders>
            <w:vAlign w:val="center"/>
          </w:tcPr>
          <w:p w14:paraId="51335EA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r>
      <w:tr w:rsidR="002E0859" w14:paraId="153F1760" w14:textId="77777777">
        <w:trPr>
          <w:cantSplit/>
          <w:trHeight w:val="225"/>
          <w:jc w:val="center"/>
        </w:trPr>
        <w:tc>
          <w:tcPr>
            <w:tcW w:w="832" w:type="pct"/>
            <w:vMerge/>
            <w:tcBorders>
              <w:tl2br w:val="nil"/>
              <w:tr2bl w:val="nil"/>
            </w:tcBorders>
            <w:vAlign w:val="center"/>
          </w:tcPr>
          <w:p w14:paraId="08537983"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0569452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燃烧热（</w:t>
            </w:r>
            <w:r>
              <w:rPr>
                <w:bCs/>
                <w:color w:val="000000" w:themeColor="text1"/>
                <w:sz w:val="21"/>
                <w:szCs w:val="21"/>
              </w:rPr>
              <w:t>kJ/mol</w:t>
            </w:r>
            <w:r>
              <w:rPr>
                <w:bCs/>
                <w:color w:val="000000" w:themeColor="text1"/>
                <w:sz w:val="21"/>
                <w:szCs w:val="21"/>
              </w:rPr>
              <w:t>）</w:t>
            </w:r>
          </w:p>
        </w:tc>
        <w:tc>
          <w:tcPr>
            <w:tcW w:w="1225" w:type="pct"/>
            <w:gridSpan w:val="3"/>
            <w:tcBorders>
              <w:tl2br w:val="nil"/>
              <w:tr2bl w:val="nil"/>
            </w:tcBorders>
            <w:vAlign w:val="center"/>
          </w:tcPr>
          <w:p w14:paraId="328D886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c>
          <w:tcPr>
            <w:tcW w:w="986" w:type="pct"/>
            <w:gridSpan w:val="3"/>
            <w:tcBorders>
              <w:tl2br w:val="nil"/>
              <w:tr2bl w:val="nil"/>
            </w:tcBorders>
            <w:vAlign w:val="center"/>
          </w:tcPr>
          <w:p w14:paraId="7AB5F46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n-</w:t>
            </w:r>
            <w:r>
              <w:rPr>
                <w:bCs/>
                <w:color w:val="000000" w:themeColor="text1"/>
                <w:sz w:val="21"/>
                <w:szCs w:val="21"/>
              </w:rPr>
              <w:t>辛醇</w:t>
            </w:r>
            <w:r>
              <w:rPr>
                <w:bCs/>
                <w:color w:val="000000" w:themeColor="text1"/>
                <w:sz w:val="21"/>
                <w:szCs w:val="21"/>
              </w:rPr>
              <w:t>/</w:t>
            </w:r>
            <w:r>
              <w:rPr>
                <w:bCs/>
                <w:color w:val="000000" w:themeColor="text1"/>
                <w:sz w:val="21"/>
                <w:szCs w:val="21"/>
              </w:rPr>
              <w:t>水分配系数</w:t>
            </w:r>
          </w:p>
        </w:tc>
        <w:tc>
          <w:tcPr>
            <w:tcW w:w="923" w:type="pct"/>
            <w:tcBorders>
              <w:tl2br w:val="nil"/>
              <w:tr2bl w:val="nil"/>
            </w:tcBorders>
            <w:vAlign w:val="center"/>
          </w:tcPr>
          <w:p w14:paraId="316F488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r>
      <w:tr w:rsidR="002E0859" w14:paraId="3FF82133" w14:textId="77777777">
        <w:trPr>
          <w:cantSplit/>
          <w:trHeight w:val="368"/>
          <w:jc w:val="center"/>
        </w:trPr>
        <w:tc>
          <w:tcPr>
            <w:tcW w:w="832" w:type="pct"/>
            <w:vMerge/>
            <w:tcBorders>
              <w:tl2br w:val="nil"/>
              <w:tr2bl w:val="nil"/>
            </w:tcBorders>
            <w:vAlign w:val="center"/>
          </w:tcPr>
          <w:p w14:paraId="307082A9" w14:textId="77777777" w:rsidR="002E0859" w:rsidRDefault="002E0859">
            <w:pPr>
              <w:topLinePunct w:val="0"/>
              <w:spacing w:line="240" w:lineRule="auto"/>
              <w:ind w:firstLineChars="0" w:firstLine="0"/>
              <w:rPr>
                <w:bCs/>
                <w:color w:val="000000" w:themeColor="text1"/>
                <w:sz w:val="21"/>
                <w:szCs w:val="21"/>
              </w:rPr>
            </w:pPr>
          </w:p>
        </w:tc>
        <w:tc>
          <w:tcPr>
            <w:tcW w:w="1032" w:type="pct"/>
            <w:gridSpan w:val="3"/>
            <w:tcBorders>
              <w:tl2br w:val="nil"/>
              <w:tr2bl w:val="nil"/>
            </w:tcBorders>
            <w:vAlign w:val="center"/>
          </w:tcPr>
          <w:p w14:paraId="67515D7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溶解性</w:t>
            </w:r>
          </w:p>
        </w:tc>
        <w:tc>
          <w:tcPr>
            <w:tcW w:w="3134" w:type="pct"/>
            <w:gridSpan w:val="7"/>
            <w:tcBorders>
              <w:tl2br w:val="nil"/>
              <w:tr2bl w:val="nil"/>
            </w:tcBorders>
            <w:vAlign w:val="center"/>
          </w:tcPr>
          <w:p w14:paraId="377C8B4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与水混溶</w:t>
            </w:r>
          </w:p>
        </w:tc>
      </w:tr>
      <w:tr w:rsidR="002E0859" w14:paraId="6E629DB6" w14:textId="77777777">
        <w:trPr>
          <w:cantSplit/>
          <w:jc w:val="center"/>
        </w:trPr>
        <w:tc>
          <w:tcPr>
            <w:tcW w:w="832" w:type="pct"/>
            <w:tcBorders>
              <w:tl2br w:val="nil"/>
              <w:tr2bl w:val="nil"/>
            </w:tcBorders>
            <w:vAlign w:val="center"/>
          </w:tcPr>
          <w:p w14:paraId="2D1E656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主要用途</w:t>
            </w:r>
          </w:p>
        </w:tc>
        <w:tc>
          <w:tcPr>
            <w:tcW w:w="4167" w:type="pct"/>
            <w:gridSpan w:val="10"/>
            <w:tcBorders>
              <w:tl2br w:val="nil"/>
              <w:tr2bl w:val="nil"/>
            </w:tcBorders>
            <w:vAlign w:val="center"/>
          </w:tcPr>
          <w:p w14:paraId="02255CB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重要的无机化工原料，广泛用于染料、医药、食品、印染、皮革等。</w:t>
            </w:r>
          </w:p>
        </w:tc>
      </w:tr>
      <w:tr w:rsidR="002E0859" w14:paraId="637917BC" w14:textId="77777777">
        <w:trPr>
          <w:cantSplit/>
          <w:jc w:val="center"/>
        </w:trPr>
        <w:tc>
          <w:tcPr>
            <w:tcW w:w="832" w:type="pct"/>
            <w:tcBorders>
              <w:tl2br w:val="nil"/>
              <w:tr2bl w:val="nil"/>
            </w:tcBorders>
            <w:vAlign w:val="center"/>
          </w:tcPr>
          <w:p w14:paraId="5849490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健康危害</w:t>
            </w:r>
          </w:p>
        </w:tc>
        <w:tc>
          <w:tcPr>
            <w:tcW w:w="4167" w:type="pct"/>
            <w:gridSpan w:val="10"/>
            <w:tcBorders>
              <w:tl2br w:val="nil"/>
              <w:tr2bl w:val="nil"/>
            </w:tcBorders>
            <w:vAlign w:val="center"/>
          </w:tcPr>
          <w:p w14:paraId="0E83705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本品具有腐蚀性。接触能腐蚀眼睛、皮肤、呼吸道。吸入引起咳嗽、鼻、咽喉、上呼吸道发炎。高浓度吸入致肺炎、肺水肿和反应性呼吸器官功能紊乱综合征。食入灼伤口、咽喉、食道、胃肠道，引起恶心、呕吐、腹泻等症状。皮肤接触引起发红、疼痛、严重灼伤。眼睛接触引起严重灼伤和持久性损伤。长期反复接触引起慢性鼻炎、慢性支气管炎，牙齿酸蚀症和皮肤损伤。</w:t>
            </w:r>
          </w:p>
        </w:tc>
      </w:tr>
      <w:tr w:rsidR="002E0859" w14:paraId="5C8AEE0F" w14:textId="77777777">
        <w:trPr>
          <w:cantSplit/>
          <w:jc w:val="center"/>
        </w:trPr>
        <w:tc>
          <w:tcPr>
            <w:tcW w:w="832" w:type="pct"/>
            <w:tcBorders>
              <w:tl2br w:val="nil"/>
              <w:tr2bl w:val="nil"/>
            </w:tcBorders>
            <w:vAlign w:val="center"/>
          </w:tcPr>
          <w:p w14:paraId="3790839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毒理学资料</w:t>
            </w:r>
          </w:p>
        </w:tc>
        <w:tc>
          <w:tcPr>
            <w:tcW w:w="4167" w:type="pct"/>
            <w:gridSpan w:val="10"/>
            <w:tcBorders>
              <w:tl2br w:val="nil"/>
              <w:tr2bl w:val="nil"/>
            </w:tcBorders>
            <w:vAlign w:val="center"/>
          </w:tcPr>
          <w:p w14:paraId="3E1591E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急性毒性：</w:t>
            </w:r>
            <w:r>
              <w:rPr>
                <w:bCs/>
                <w:color w:val="000000" w:themeColor="text1"/>
                <w:sz w:val="21"/>
                <w:szCs w:val="21"/>
              </w:rPr>
              <w:t>LC50</w:t>
            </w:r>
            <w:r>
              <w:rPr>
                <w:bCs/>
                <w:color w:val="000000" w:themeColor="text1"/>
                <w:sz w:val="21"/>
                <w:szCs w:val="21"/>
              </w:rPr>
              <w:t>：</w:t>
            </w:r>
            <w:r>
              <w:rPr>
                <w:bCs/>
                <w:color w:val="000000" w:themeColor="text1"/>
                <w:sz w:val="21"/>
                <w:szCs w:val="21"/>
              </w:rPr>
              <w:t>3124ppm/1h</w:t>
            </w:r>
            <w:r>
              <w:rPr>
                <w:bCs/>
                <w:color w:val="000000" w:themeColor="text1"/>
                <w:sz w:val="21"/>
                <w:szCs w:val="21"/>
              </w:rPr>
              <w:t>（大鼠吸入）；</w:t>
            </w:r>
            <w:r>
              <w:rPr>
                <w:bCs/>
                <w:color w:val="000000" w:themeColor="text1"/>
                <w:sz w:val="21"/>
                <w:szCs w:val="21"/>
              </w:rPr>
              <w:t>1108ppm/1h</w:t>
            </w:r>
            <w:r>
              <w:rPr>
                <w:bCs/>
                <w:color w:val="000000" w:themeColor="text1"/>
                <w:sz w:val="21"/>
                <w:szCs w:val="21"/>
              </w:rPr>
              <w:t>（小鼠吸入）。</w:t>
            </w:r>
          </w:p>
        </w:tc>
      </w:tr>
      <w:tr w:rsidR="002E0859" w14:paraId="509D559A" w14:textId="77777777">
        <w:trPr>
          <w:cantSplit/>
          <w:trHeight w:val="1982"/>
          <w:jc w:val="center"/>
        </w:trPr>
        <w:tc>
          <w:tcPr>
            <w:tcW w:w="832" w:type="pct"/>
            <w:tcBorders>
              <w:tl2br w:val="nil"/>
              <w:tr2bl w:val="nil"/>
            </w:tcBorders>
            <w:vAlign w:val="center"/>
          </w:tcPr>
          <w:p w14:paraId="58DB968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lastRenderedPageBreak/>
              <w:t>消防措施</w:t>
            </w:r>
          </w:p>
        </w:tc>
        <w:tc>
          <w:tcPr>
            <w:tcW w:w="4167" w:type="pct"/>
            <w:gridSpan w:val="10"/>
            <w:tcBorders>
              <w:tl2br w:val="nil"/>
              <w:tr2bl w:val="nil"/>
            </w:tcBorders>
            <w:vAlign w:val="center"/>
          </w:tcPr>
          <w:p w14:paraId="7B2BAF0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危险特性：</w:t>
            </w:r>
            <w:r>
              <w:rPr>
                <w:bCs/>
                <w:color w:val="000000" w:themeColor="text1"/>
                <w:sz w:val="21"/>
                <w:szCs w:val="21"/>
              </w:rPr>
              <w:t>1.</w:t>
            </w:r>
            <w:r>
              <w:rPr>
                <w:bCs/>
                <w:color w:val="000000" w:themeColor="text1"/>
                <w:sz w:val="21"/>
                <w:szCs w:val="21"/>
              </w:rPr>
              <w:t>不可燃性；</w:t>
            </w:r>
            <w:r>
              <w:rPr>
                <w:bCs/>
                <w:color w:val="000000" w:themeColor="text1"/>
                <w:sz w:val="21"/>
                <w:szCs w:val="21"/>
              </w:rPr>
              <w:t>2.</w:t>
            </w:r>
            <w:r>
              <w:rPr>
                <w:bCs/>
                <w:color w:val="000000" w:themeColor="text1"/>
                <w:sz w:val="21"/>
                <w:szCs w:val="21"/>
              </w:rPr>
              <w:t>与金属接触会形成氢气（有爆炸危险）；</w:t>
            </w:r>
            <w:r>
              <w:rPr>
                <w:bCs/>
                <w:color w:val="000000" w:themeColor="text1"/>
                <w:sz w:val="21"/>
                <w:szCs w:val="21"/>
              </w:rPr>
              <w:t>3.</w:t>
            </w:r>
            <w:r>
              <w:rPr>
                <w:bCs/>
                <w:color w:val="000000" w:themeColor="text1"/>
                <w:sz w:val="21"/>
                <w:szCs w:val="21"/>
              </w:rPr>
              <w:t>被火围绕时会释放危害性蒸汽；</w:t>
            </w:r>
            <w:r>
              <w:rPr>
                <w:bCs/>
                <w:color w:val="000000" w:themeColor="text1"/>
                <w:sz w:val="21"/>
                <w:szCs w:val="21"/>
              </w:rPr>
              <w:t>4.</w:t>
            </w:r>
            <w:r>
              <w:rPr>
                <w:bCs/>
                <w:color w:val="000000" w:themeColor="text1"/>
                <w:sz w:val="21"/>
                <w:szCs w:val="21"/>
              </w:rPr>
              <w:t>在火灾时可能会有下列情形产生：氢氯酸。</w:t>
            </w:r>
          </w:p>
          <w:p w14:paraId="55E5CF5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有害燃烧产物：氢氯酸</w:t>
            </w:r>
          </w:p>
          <w:p w14:paraId="6C513BD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灭火剂：储存区应备有随时可用的适当灭火器材。</w:t>
            </w:r>
          </w:p>
          <w:p w14:paraId="03726AA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灭火注意事项：</w:t>
            </w:r>
            <w:r>
              <w:rPr>
                <w:bCs/>
                <w:color w:val="000000" w:themeColor="text1"/>
                <w:sz w:val="21"/>
                <w:szCs w:val="21"/>
              </w:rPr>
              <w:t>1.</w:t>
            </w:r>
            <w:r>
              <w:rPr>
                <w:bCs/>
                <w:color w:val="000000" w:themeColor="text1"/>
                <w:sz w:val="21"/>
                <w:szCs w:val="21"/>
              </w:rPr>
              <w:t>消防人员必须佩带全身式化学防护衣及自携式空气呼吸器（必要时外加抗闪火铝质被覆外套）。</w:t>
            </w:r>
          </w:p>
          <w:p w14:paraId="5772225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2.</w:t>
            </w:r>
            <w:r>
              <w:rPr>
                <w:bCs/>
                <w:color w:val="000000" w:themeColor="text1"/>
                <w:sz w:val="21"/>
                <w:szCs w:val="21"/>
              </w:rPr>
              <w:t>避免消防水用后直接进入地表或地下，以防二次污染。</w:t>
            </w:r>
          </w:p>
        </w:tc>
      </w:tr>
      <w:tr w:rsidR="002E0859" w14:paraId="694E29E4" w14:textId="77777777">
        <w:trPr>
          <w:cantSplit/>
          <w:trHeight w:val="411"/>
          <w:jc w:val="center"/>
        </w:trPr>
        <w:tc>
          <w:tcPr>
            <w:tcW w:w="832" w:type="pct"/>
            <w:vMerge w:val="restart"/>
            <w:tcBorders>
              <w:tl2br w:val="nil"/>
              <w:tr2bl w:val="nil"/>
            </w:tcBorders>
            <w:vAlign w:val="center"/>
          </w:tcPr>
          <w:p w14:paraId="3EE9CC8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稳定性和反应活性</w:t>
            </w:r>
          </w:p>
        </w:tc>
        <w:tc>
          <w:tcPr>
            <w:tcW w:w="921" w:type="pct"/>
            <w:gridSpan w:val="2"/>
            <w:tcBorders>
              <w:tl2br w:val="nil"/>
              <w:tr2bl w:val="nil"/>
            </w:tcBorders>
            <w:vAlign w:val="center"/>
          </w:tcPr>
          <w:p w14:paraId="2A588A9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稳定性</w:t>
            </w:r>
          </w:p>
        </w:tc>
        <w:tc>
          <w:tcPr>
            <w:tcW w:w="803" w:type="pct"/>
            <w:gridSpan w:val="2"/>
            <w:tcBorders>
              <w:tl2br w:val="nil"/>
              <w:tr2bl w:val="nil"/>
            </w:tcBorders>
            <w:vAlign w:val="center"/>
          </w:tcPr>
          <w:p w14:paraId="21C8E4F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在正常条件下稳定</w:t>
            </w:r>
          </w:p>
        </w:tc>
        <w:tc>
          <w:tcPr>
            <w:tcW w:w="701" w:type="pct"/>
            <w:gridSpan w:val="3"/>
            <w:tcBorders>
              <w:tl2br w:val="nil"/>
              <w:tr2bl w:val="nil"/>
            </w:tcBorders>
            <w:vAlign w:val="center"/>
          </w:tcPr>
          <w:p w14:paraId="3304E77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危险分解产物</w:t>
            </w:r>
          </w:p>
        </w:tc>
        <w:tc>
          <w:tcPr>
            <w:tcW w:w="1740" w:type="pct"/>
            <w:gridSpan w:val="3"/>
            <w:tcBorders>
              <w:tl2br w:val="nil"/>
              <w:tr2bl w:val="nil"/>
            </w:tcBorders>
            <w:vAlign w:val="center"/>
          </w:tcPr>
          <w:p w14:paraId="5E2FC2B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氯化氢气体</w:t>
            </w:r>
          </w:p>
        </w:tc>
      </w:tr>
      <w:tr w:rsidR="002E0859" w14:paraId="455C142E" w14:textId="77777777">
        <w:trPr>
          <w:cantSplit/>
          <w:trHeight w:val="411"/>
          <w:jc w:val="center"/>
        </w:trPr>
        <w:tc>
          <w:tcPr>
            <w:tcW w:w="832" w:type="pct"/>
            <w:vMerge/>
            <w:tcBorders>
              <w:tl2br w:val="nil"/>
              <w:tr2bl w:val="nil"/>
            </w:tcBorders>
            <w:vAlign w:val="center"/>
          </w:tcPr>
          <w:p w14:paraId="76AA053D" w14:textId="77777777" w:rsidR="002E0859" w:rsidRDefault="002E0859">
            <w:pPr>
              <w:topLinePunct w:val="0"/>
              <w:spacing w:line="240" w:lineRule="auto"/>
              <w:ind w:firstLineChars="0" w:firstLine="0"/>
              <w:rPr>
                <w:bCs/>
                <w:color w:val="000000" w:themeColor="text1"/>
                <w:sz w:val="21"/>
                <w:szCs w:val="21"/>
              </w:rPr>
            </w:pPr>
          </w:p>
        </w:tc>
        <w:tc>
          <w:tcPr>
            <w:tcW w:w="921" w:type="pct"/>
            <w:gridSpan w:val="2"/>
            <w:tcBorders>
              <w:tl2br w:val="nil"/>
              <w:tr2bl w:val="nil"/>
            </w:tcBorders>
            <w:vAlign w:val="center"/>
          </w:tcPr>
          <w:p w14:paraId="7397E73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避免接触条件</w:t>
            </w:r>
          </w:p>
        </w:tc>
        <w:tc>
          <w:tcPr>
            <w:tcW w:w="803" w:type="pct"/>
            <w:gridSpan w:val="2"/>
            <w:tcBorders>
              <w:tl2br w:val="nil"/>
              <w:tr2bl w:val="nil"/>
            </w:tcBorders>
            <w:vAlign w:val="center"/>
          </w:tcPr>
          <w:p w14:paraId="258D7B0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高热</w:t>
            </w:r>
          </w:p>
        </w:tc>
        <w:tc>
          <w:tcPr>
            <w:tcW w:w="701" w:type="pct"/>
            <w:gridSpan w:val="3"/>
            <w:tcBorders>
              <w:tl2br w:val="nil"/>
              <w:tr2bl w:val="nil"/>
            </w:tcBorders>
            <w:vAlign w:val="center"/>
          </w:tcPr>
          <w:p w14:paraId="3FB66E6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禁配物</w:t>
            </w:r>
          </w:p>
        </w:tc>
        <w:tc>
          <w:tcPr>
            <w:tcW w:w="1740" w:type="pct"/>
            <w:gridSpan w:val="3"/>
            <w:tcBorders>
              <w:tl2br w:val="nil"/>
              <w:tr2bl w:val="nil"/>
            </w:tcBorders>
            <w:vAlign w:val="center"/>
          </w:tcPr>
          <w:p w14:paraId="54B52BB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碱类、胺类、碱金属、强氧化剂等</w:t>
            </w:r>
          </w:p>
        </w:tc>
      </w:tr>
      <w:tr w:rsidR="002E0859" w14:paraId="219C19DC" w14:textId="77777777">
        <w:trPr>
          <w:cantSplit/>
          <w:jc w:val="center"/>
        </w:trPr>
        <w:tc>
          <w:tcPr>
            <w:tcW w:w="832" w:type="pct"/>
            <w:tcBorders>
              <w:tl2br w:val="nil"/>
              <w:tr2bl w:val="nil"/>
            </w:tcBorders>
            <w:vAlign w:val="center"/>
          </w:tcPr>
          <w:p w14:paraId="787F01B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操作处置</w:t>
            </w:r>
          </w:p>
        </w:tc>
        <w:tc>
          <w:tcPr>
            <w:tcW w:w="4167" w:type="pct"/>
            <w:gridSpan w:val="10"/>
            <w:tcBorders>
              <w:tl2br w:val="nil"/>
              <w:tr2bl w:val="nil"/>
            </w:tcBorders>
            <w:vAlign w:val="center"/>
          </w:tcPr>
          <w:p w14:paraId="3B720E5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适当通风。远离火种、热源。工作场所严禁吸烟。操作人员必须经过专门培训，严格遵守操作规程。建议操作人员戴防毒面罩、化学安全眼镜、耐酸碱手套，穿耐酸碱工作服。避免接触眼睛、皮肤，防止吸入、食入，操作后彻底清洗。避免与碱类、金属等接触。搬运时要轻装轻卸，防止包装及容器损坏。配备相应品种和数量的消防器材及泄漏应急处理设备。空的容器可能含有残留物，应小心处置。</w:t>
            </w:r>
          </w:p>
        </w:tc>
      </w:tr>
      <w:tr w:rsidR="002E0859" w14:paraId="208E4DD9" w14:textId="77777777">
        <w:trPr>
          <w:cantSplit/>
          <w:trHeight w:val="703"/>
          <w:jc w:val="center"/>
        </w:trPr>
        <w:tc>
          <w:tcPr>
            <w:tcW w:w="832" w:type="pct"/>
            <w:tcBorders>
              <w:tl2br w:val="nil"/>
              <w:tr2bl w:val="nil"/>
            </w:tcBorders>
            <w:vAlign w:val="center"/>
          </w:tcPr>
          <w:p w14:paraId="7C98DDF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储存注意事项</w:t>
            </w:r>
          </w:p>
        </w:tc>
        <w:tc>
          <w:tcPr>
            <w:tcW w:w="4167" w:type="pct"/>
            <w:gridSpan w:val="10"/>
            <w:tcBorders>
              <w:tl2br w:val="nil"/>
              <w:tr2bl w:val="nil"/>
            </w:tcBorders>
            <w:vAlign w:val="center"/>
          </w:tcPr>
          <w:p w14:paraId="0F8947A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保持容器密封。储存于阴凉、通风的库房。远离火种、热源。严禁与金属、氧化剂、碱金属、碱等一起储存。严禁使用金属容器盛装。配备相应品种和数量的消防器材。储区应备有泄漏应急处理设备和合适的收容材料。</w:t>
            </w:r>
          </w:p>
        </w:tc>
      </w:tr>
      <w:tr w:rsidR="002E0859" w14:paraId="487A87AE" w14:textId="77777777">
        <w:trPr>
          <w:cantSplit/>
          <w:jc w:val="center"/>
        </w:trPr>
        <w:tc>
          <w:tcPr>
            <w:tcW w:w="832" w:type="pct"/>
            <w:tcBorders>
              <w:tl2br w:val="nil"/>
              <w:tr2bl w:val="nil"/>
            </w:tcBorders>
            <w:vAlign w:val="center"/>
          </w:tcPr>
          <w:p w14:paraId="0E4D4D8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运输注意事项</w:t>
            </w:r>
          </w:p>
        </w:tc>
        <w:tc>
          <w:tcPr>
            <w:tcW w:w="4167" w:type="pct"/>
            <w:gridSpan w:val="10"/>
            <w:tcBorders>
              <w:tl2br w:val="nil"/>
              <w:tr2bl w:val="nil"/>
            </w:tcBorders>
            <w:vAlign w:val="center"/>
          </w:tcPr>
          <w:p w14:paraId="46A5249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运输前应检查包装容器是否完整、密封，运输过程中要确保容器不泄露、不倒塌、不坠落、不损坏。严禁与氧化剂、碱类、金属、食用化学品等混装混运。运输过程应防高温、曝晒、雨淋。公路运输时要按规定路线行驶，勿在居民区和人口稠密区停留。配备相应的消防器材和泄漏应急处理设备。</w:t>
            </w:r>
          </w:p>
        </w:tc>
      </w:tr>
      <w:tr w:rsidR="002E0859" w14:paraId="013934F7" w14:textId="77777777">
        <w:trPr>
          <w:cantSplit/>
          <w:jc w:val="center"/>
        </w:trPr>
        <w:tc>
          <w:tcPr>
            <w:tcW w:w="832" w:type="pct"/>
            <w:tcBorders>
              <w:tl2br w:val="nil"/>
              <w:tr2bl w:val="nil"/>
            </w:tcBorders>
            <w:vAlign w:val="center"/>
          </w:tcPr>
          <w:p w14:paraId="1FB4069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急救措施</w:t>
            </w:r>
          </w:p>
        </w:tc>
        <w:tc>
          <w:tcPr>
            <w:tcW w:w="4167" w:type="pct"/>
            <w:gridSpan w:val="10"/>
            <w:tcBorders>
              <w:tl2br w:val="nil"/>
              <w:tr2bl w:val="nil"/>
            </w:tcBorders>
            <w:vAlign w:val="center"/>
          </w:tcPr>
          <w:p w14:paraId="586D834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皮肤接触：以大量的水冲洗，并脱除沾有污染物的衣物。</w:t>
            </w:r>
          </w:p>
          <w:p w14:paraId="7C5326D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眼睛接触：将眼睑打开并用缓和流动的温水冲洗污染的眼睛</w:t>
            </w:r>
            <w:r>
              <w:rPr>
                <w:bCs/>
                <w:color w:val="000000" w:themeColor="text1"/>
                <w:sz w:val="21"/>
                <w:szCs w:val="21"/>
              </w:rPr>
              <w:t>20-30</w:t>
            </w:r>
            <w:r>
              <w:rPr>
                <w:bCs/>
                <w:color w:val="000000" w:themeColor="text1"/>
                <w:sz w:val="21"/>
                <w:szCs w:val="21"/>
              </w:rPr>
              <w:t>分钟，若仍觉得</w:t>
            </w:r>
          </w:p>
          <w:p w14:paraId="1D07033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疼痛请立即就医。</w:t>
            </w:r>
          </w:p>
          <w:p w14:paraId="3112420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吸入：立即移去污染源并将患者移到新鲜空气处，并看医生</w:t>
            </w:r>
          </w:p>
          <w:p w14:paraId="247C98A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食入：</w:t>
            </w:r>
            <w:r>
              <w:rPr>
                <w:bCs/>
                <w:color w:val="000000" w:themeColor="text1"/>
                <w:sz w:val="21"/>
                <w:szCs w:val="21"/>
              </w:rPr>
              <w:t>1</w:t>
            </w:r>
            <w:r>
              <w:rPr>
                <w:bCs/>
                <w:color w:val="000000" w:themeColor="text1"/>
                <w:sz w:val="21"/>
                <w:szCs w:val="21"/>
              </w:rPr>
              <w:t>、使患者喝大量的水；</w:t>
            </w:r>
            <w:r>
              <w:rPr>
                <w:bCs/>
                <w:color w:val="000000" w:themeColor="text1"/>
                <w:sz w:val="21"/>
                <w:szCs w:val="21"/>
              </w:rPr>
              <w:t>2</w:t>
            </w:r>
            <w:r>
              <w:rPr>
                <w:bCs/>
                <w:color w:val="000000" w:themeColor="text1"/>
                <w:sz w:val="21"/>
                <w:szCs w:val="21"/>
              </w:rPr>
              <w:t>、若有不舒服请通知医生。</w:t>
            </w:r>
          </w:p>
          <w:p w14:paraId="5AF8434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急救人员防护：应适时选用个人防护具确保自身安全</w:t>
            </w:r>
          </w:p>
        </w:tc>
      </w:tr>
      <w:tr w:rsidR="002E0859" w14:paraId="3B102EFD" w14:textId="77777777">
        <w:trPr>
          <w:cantSplit/>
          <w:jc w:val="center"/>
        </w:trPr>
        <w:tc>
          <w:tcPr>
            <w:tcW w:w="832" w:type="pct"/>
            <w:tcBorders>
              <w:tl2br w:val="nil"/>
              <w:tr2bl w:val="nil"/>
            </w:tcBorders>
            <w:vAlign w:val="center"/>
          </w:tcPr>
          <w:p w14:paraId="0AB1901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泄漏应急处理</w:t>
            </w:r>
          </w:p>
        </w:tc>
        <w:tc>
          <w:tcPr>
            <w:tcW w:w="4167" w:type="pct"/>
            <w:gridSpan w:val="10"/>
            <w:tcBorders>
              <w:tl2br w:val="nil"/>
              <w:tr2bl w:val="nil"/>
            </w:tcBorders>
            <w:vAlign w:val="center"/>
          </w:tcPr>
          <w:p w14:paraId="58F2A51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应急处理：</w:t>
            </w:r>
            <w:r>
              <w:rPr>
                <w:bCs/>
                <w:color w:val="000000" w:themeColor="text1"/>
                <w:sz w:val="21"/>
                <w:szCs w:val="21"/>
              </w:rPr>
              <w:t>1</w:t>
            </w:r>
            <w:r>
              <w:rPr>
                <w:bCs/>
                <w:color w:val="000000" w:themeColor="text1"/>
                <w:sz w:val="21"/>
                <w:szCs w:val="21"/>
              </w:rPr>
              <w:t>、避免与此物质直接接触；</w:t>
            </w:r>
            <w:r>
              <w:rPr>
                <w:bCs/>
                <w:color w:val="000000" w:themeColor="text1"/>
                <w:sz w:val="21"/>
                <w:szCs w:val="21"/>
              </w:rPr>
              <w:t>2</w:t>
            </w:r>
            <w:r>
              <w:rPr>
                <w:bCs/>
                <w:color w:val="000000" w:themeColor="text1"/>
                <w:sz w:val="21"/>
                <w:szCs w:val="21"/>
              </w:rPr>
              <w:t>、勿吸入蒸汽和气溶胶。</w:t>
            </w:r>
          </w:p>
          <w:p w14:paraId="6FB35E2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消除方法：</w:t>
            </w:r>
            <w:r>
              <w:rPr>
                <w:bCs/>
                <w:color w:val="000000" w:themeColor="text1"/>
                <w:sz w:val="21"/>
                <w:szCs w:val="21"/>
              </w:rPr>
              <w:t>1</w:t>
            </w:r>
            <w:r>
              <w:rPr>
                <w:bCs/>
                <w:color w:val="000000" w:themeColor="text1"/>
                <w:sz w:val="21"/>
                <w:szCs w:val="21"/>
              </w:rPr>
              <w:t>、以液体吸收剂吸取此污染物质；</w:t>
            </w:r>
            <w:r>
              <w:rPr>
                <w:bCs/>
                <w:color w:val="000000" w:themeColor="text1"/>
                <w:sz w:val="21"/>
                <w:szCs w:val="21"/>
              </w:rPr>
              <w:t>2</w:t>
            </w:r>
            <w:r>
              <w:rPr>
                <w:bCs/>
                <w:color w:val="000000" w:themeColor="text1"/>
                <w:sz w:val="21"/>
                <w:szCs w:val="21"/>
              </w:rPr>
              <w:t>、清理废弃物；</w:t>
            </w:r>
            <w:r>
              <w:rPr>
                <w:bCs/>
                <w:color w:val="000000" w:themeColor="text1"/>
                <w:sz w:val="21"/>
                <w:szCs w:val="21"/>
              </w:rPr>
              <w:t>3</w:t>
            </w:r>
            <w:r>
              <w:rPr>
                <w:bCs/>
                <w:color w:val="000000" w:themeColor="text1"/>
                <w:sz w:val="21"/>
                <w:szCs w:val="21"/>
              </w:rPr>
              <w:t>、清洗污染区；</w:t>
            </w:r>
            <w:r>
              <w:rPr>
                <w:bCs/>
                <w:color w:val="000000" w:themeColor="text1"/>
                <w:sz w:val="21"/>
                <w:szCs w:val="21"/>
              </w:rPr>
              <w:t>4</w:t>
            </w:r>
            <w:r>
              <w:rPr>
                <w:bCs/>
                <w:color w:val="000000" w:themeColor="text1"/>
                <w:sz w:val="21"/>
                <w:szCs w:val="21"/>
              </w:rPr>
              <w:t>、勿触碰泄漏物，避免让其流入下水道或狭隘之处。</w:t>
            </w:r>
          </w:p>
          <w:p w14:paraId="4F3089D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少量泄漏时：</w:t>
            </w:r>
          </w:p>
          <w:p w14:paraId="1423C38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w:t>
            </w:r>
            <w:r>
              <w:rPr>
                <w:bCs/>
                <w:color w:val="000000" w:themeColor="text1"/>
                <w:sz w:val="21"/>
                <w:szCs w:val="21"/>
              </w:rPr>
              <w:t>、用沙、泥土或其他惰性吸收剂围堵泄漏物；</w:t>
            </w:r>
            <w:r>
              <w:rPr>
                <w:bCs/>
                <w:color w:val="000000" w:themeColor="text1"/>
                <w:sz w:val="21"/>
                <w:szCs w:val="21"/>
              </w:rPr>
              <w:t>2</w:t>
            </w:r>
            <w:r>
              <w:rPr>
                <w:bCs/>
                <w:color w:val="000000" w:themeColor="text1"/>
                <w:sz w:val="21"/>
                <w:szCs w:val="21"/>
              </w:rPr>
              <w:t>、尽可能将外泄污染物挥手，置于适当且有标示的有盖容器中；</w:t>
            </w:r>
            <w:r>
              <w:rPr>
                <w:bCs/>
                <w:color w:val="000000" w:themeColor="text1"/>
                <w:sz w:val="21"/>
                <w:szCs w:val="21"/>
              </w:rPr>
              <w:t>3</w:t>
            </w:r>
            <w:r>
              <w:rPr>
                <w:bCs/>
                <w:color w:val="000000" w:themeColor="text1"/>
                <w:sz w:val="21"/>
                <w:szCs w:val="21"/>
              </w:rPr>
              <w:t>、用水清洗泄漏区。</w:t>
            </w:r>
          </w:p>
        </w:tc>
      </w:tr>
      <w:tr w:rsidR="002E0859" w14:paraId="37D36E18" w14:textId="77777777">
        <w:trPr>
          <w:cantSplit/>
          <w:jc w:val="center"/>
        </w:trPr>
        <w:tc>
          <w:tcPr>
            <w:tcW w:w="832" w:type="pct"/>
            <w:tcBorders>
              <w:tl2br w:val="nil"/>
              <w:tr2bl w:val="nil"/>
            </w:tcBorders>
            <w:vAlign w:val="center"/>
          </w:tcPr>
          <w:p w14:paraId="76E774C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废弃处置方法</w:t>
            </w:r>
          </w:p>
        </w:tc>
        <w:tc>
          <w:tcPr>
            <w:tcW w:w="4167" w:type="pct"/>
            <w:gridSpan w:val="10"/>
            <w:tcBorders>
              <w:tl2br w:val="nil"/>
              <w:tr2bl w:val="nil"/>
            </w:tcBorders>
            <w:vAlign w:val="center"/>
          </w:tcPr>
          <w:p w14:paraId="2878D4F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产品：建议中和、稀释后排入废水处理系统。</w:t>
            </w:r>
          </w:p>
          <w:p w14:paraId="3E8E97D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不洁的包装：把倒空的容器归还厂商或根据国家和地方法规处置。</w:t>
            </w:r>
          </w:p>
          <w:p w14:paraId="7F63EEF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废弃注意事项：处置前应参阅国家和地方有关法规。</w:t>
            </w:r>
          </w:p>
        </w:tc>
      </w:tr>
      <w:tr w:rsidR="002E0859" w14:paraId="40A4E76B" w14:textId="77777777">
        <w:trPr>
          <w:cantSplit/>
          <w:trHeight w:val="386"/>
          <w:jc w:val="center"/>
        </w:trPr>
        <w:tc>
          <w:tcPr>
            <w:tcW w:w="832" w:type="pct"/>
            <w:vMerge w:val="restart"/>
            <w:tcBorders>
              <w:tl2br w:val="nil"/>
              <w:tr2bl w:val="nil"/>
            </w:tcBorders>
            <w:vAlign w:val="center"/>
          </w:tcPr>
          <w:p w14:paraId="45336C0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个体防护</w:t>
            </w:r>
          </w:p>
        </w:tc>
        <w:tc>
          <w:tcPr>
            <w:tcW w:w="813" w:type="pct"/>
            <w:tcBorders>
              <w:tl2br w:val="nil"/>
              <w:tr2bl w:val="nil"/>
            </w:tcBorders>
            <w:vAlign w:val="center"/>
          </w:tcPr>
          <w:p w14:paraId="60C341A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呼吸系统防护</w:t>
            </w:r>
          </w:p>
        </w:tc>
        <w:tc>
          <w:tcPr>
            <w:tcW w:w="3353" w:type="pct"/>
            <w:gridSpan w:val="9"/>
            <w:tcBorders>
              <w:tl2br w:val="nil"/>
              <w:tr2bl w:val="nil"/>
            </w:tcBorders>
            <w:vAlign w:val="center"/>
          </w:tcPr>
          <w:p w14:paraId="3DBB3F1F" w14:textId="77777777" w:rsidR="002E0859" w:rsidRDefault="00000000">
            <w:pPr>
              <w:topLinePunct w:val="0"/>
              <w:spacing w:line="240" w:lineRule="auto"/>
              <w:ind w:firstLineChars="0" w:firstLine="0"/>
              <w:rPr>
                <w:bCs/>
                <w:color w:val="000000" w:themeColor="text1"/>
                <w:sz w:val="21"/>
                <w:szCs w:val="21"/>
                <w:shd w:val="clear" w:color="auto" w:fill="FFFFFF"/>
              </w:rPr>
            </w:pPr>
            <w:r>
              <w:rPr>
                <w:bCs/>
                <w:color w:val="000000" w:themeColor="text1"/>
                <w:sz w:val="21"/>
                <w:szCs w:val="21"/>
                <w:shd w:val="clear" w:color="auto" w:fill="FFFFFF"/>
              </w:rPr>
              <w:t>可能接触其蒸气或烟雾时，必须佩戴防毒面具或供气式头盔。紧急</w:t>
            </w:r>
          </w:p>
          <w:p w14:paraId="537167B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事态抢救或逃生时，建议佩带自给式呼吸器。</w:t>
            </w:r>
          </w:p>
        </w:tc>
      </w:tr>
      <w:tr w:rsidR="002E0859" w14:paraId="5F00790E" w14:textId="77777777">
        <w:trPr>
          <w:cantSplit/>
          <w:trHeight w:val="386"/>
          <w:jc w:val="center"/>
        </w:trPr>
        <w:tc>
          <w:tcPr>
            <w:tcW w:w="832" w:type="pct"/>
            <w:vMerge/>
            <w:tcBorders>
              <w:tl2br w:val="nil"/>
              <w:tr2bl w:val="nil"/>
            </w:tcBorders>
            <w:vAlign w:val="center"/>
          </w:tcPr>
          <w:p w14:paraId="114ECB17" w14:textId="77777777" w:rsidR="002E0859" w:rsidRDefault="002E0859">
            <w:pPr>
              <w:topLinePunct w:val="0"/>
              <w:spacing w:line="240" w:lineRule="auto"/>
              <w:ind w:firstLineChars="0" w:firstLine="0"/>
              <w:rPr>
                <w:bCs/>
                <w:color w:val="000000" w:themeColor="text1"/>
                <w:sz w:val="21"/>
                <w:szCs w:val="21"/>
              </w:rPr>
            </w:pPr>
          </w:p>
        </w:tc>
        <w:tc>
          <w:tcPr>
            <w:tcW w:w="813" w:type="pct"/>
            <w:tcBorders>
              <w:tl2br w:val="nil"/>
              <w:tr2bl w:val="nil"/>
            </w:tcBorders>
            <w:vAlign w:val="center"/>
          </w:tcPr>
          <w:p w14:paraId="16D1F55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身体防护</w:t>
            </w:r>
          </w:p>
        </w:tc>
        <w:tc>
          <w:tcPr>
            <w:tcW w:w="3353" w:type="pct"/>
            <w:gridSpan w:val="9"/>
            <w:tcBorders>
              <w:tl2br w:val="nil"/>
              <w:tr2bl w:val="nil"/>
            </w:tcBorders>
            <w:vAlign w:val="center"/>
          </w:tcPr>
          <w:p w14:paraId="0FBCF49A" w14:textId="77777777" w:rsidR="002E0859" w:rsidRDefault="00000000">
            <w:pPr>
              <w:topLinePunct w:val="0"/>
              <w:spacing w:line="240" w:lineRule="auto"/>
              <w:ind w:firstLineChars="0" w:firstLine="0"/>
              <w:rPr>
                <w:bCs/>
                <w:color w:val="000000" w:themeColor="text1"/>
                <w:sz w:val="21"/>
                <w:szCs w:val="21"/>
                <w:shd w:val="clear" w:color="auto" w:fill="FFFFFF"/>
              </w:rPr>
            </w:pPr>
            <w:r>
              <w:rPr>
                <w:bCs/>
                <w:color w:val="000000" w:themeColor="text1"/>
                <w:sz w:val="21"/>
                <w:szCs w:val="21"/>
                <w:shd w:val="clear" w:color="auto" w:fill="FFFFFF"/>
              </w:rPr>
              <w:t>应以环境中有害物质浓度与量来选择此作业场所使用之防护衣。应穿着供应商确认可防护此化合物之防护衣。</w:t>
            </w:r>
          </w:p>
        </w:tc>
      </w:tr>
      <w:tr w:rsidR="002E0859" w14:paraId="54BD9307" w14:textId="77777777">
        <w:trPr>
          <w:cantSplit/>
          <w:trHeight w:val="386"/>
          <w:jc w:val="center"/>
        </w:trPr>
        <w:tc>
          <w:tcPr>
            <w:tcW w:w="832" w:type="pct"/>
            <w:vMerge/>
            <w:tcBorders>
              <w:tl2br w:val="nil"/>
              <w:tr2bl w:val="nil"/>
            </w:tcBorders>
            <w:vAlign w:val="center"/>
          </w:tcPr>
          <w:p w14:paraId="3031085F" w14:textId="77777777" w:rsidR="002E0859" w:rsidRDefault="002E0859">
            <w:pPr>
              <w:topLinePunct w:val="0"/>
              <w:spacing w:line="240" w:lineRule="auto"/>
              <w:ind w:firstLineChars="0" w:firstLine="0"/>
              <w:rPr>
                <w:bCs/>
                <w:color w:val="000000" w:themeColor="text1"/>
                <w:sz w:val="21"/>
                <w:szCs w:val="21"/>
              </w:rPr>
            </w:pPr>
          </w:p>
        </w:tc>
        <w:tc>
          <w:tcPr>
            <w:tcW w:w="813" w:type="pct"/>
            <w:tcBorders>
              <w:tl2br w:val="nil"/>
              <w:tr2bl w:val="nil"/>
            </w:tcBorders>
            <w:vAlign w:val="center"/>
          </w:tcPr>
          <w:p w14:paraId="641AE8C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手防护</w:t>
            </w:r>
          </w:p>
        </w:tc>
        <w:tc>
          <w:tcPr>
            <w:tcW w:w="3353" w:type="pct"/>
            <w:gridSpan w:val="9"/>
            <w:tcBorders>
              <w:tl2br w:val="nil"/>
              <w:tr2bl w:val="nil"/>
            </w:tcBorders>
            <w:vAlign w:val="center"/>
          </w:tcPr>
          <w:p w14:paraId="7760B99C" w14:textId="77777777" w:rsidR="002E0859" w:rsidRDefault="00000000">
            <w:pPr>
              <w:topLinePunct w:val="0"/>
              <w:spacing w:line="240" w:lineRule="auto"/>
              <w:ind w:firstLineChars="0" w:firstLine="0"/>
              <w:rPr>
                <w:bCs/>
                <w:color w:val="000000" w:themeColor="text1"/>
                <w:sz w:val="21"/>
                <w:szCs w:val="21"/>
                <w:shd w:val="clear" w:color="auto" w:fill="FFFFFF"/>
              </w:rPr>
            </w:pPr>
            <w:r>
              <w:rPr>
                <w:bCs/>
                <w:color w:val="000000" w:themeColor="text1"/>
                <w:sz w:val="21"/>
                <w:szCs w:val="21"/>
                <w:shd w:val="clear" w:color="auto" w:fill="FFFFFF"/>
              </w:rPr>
              <w:t>丁基橡胶，聚乙烯，氯丁橡胶，聚氯乙烯，氟化弹性体等材质防渗手套</w:t>
            </w:r>
            <w:r>
              <w:rPr>
                <w:rFonts w:hint="eastAsia"/>
                <w:bCs/>
                <w:color w:val="000000" w:themeColor="text1"/>
                <w:sz w:val="21"/>
                <w:szCs w:val="21"/>
                <w:shd w:val="clear" w:color="auto" w:fill="FFFFFF"/>
              </w:rPr>
              <w:t>。</w:t>
            </w:r>
          </w:p>
        </w:tc>
      </w:tr>
      <w:tr w:rsidR="002E0859" w14:paraId="5CCE6828" w14:textId="77777777">
        <w:trPr>
          <w:cantSplit/>
          <w:trHeight w:val="321"/>
          <w:jc w:val="center"/>
        </w:trPr>
        <w:tc>
          <w:tcPr>
            <w:tcW w:w="832" w:type="pct"/>
            <w:vMerge/>
            <w:tcBorders>
              <w:tl2br w:val="nil"/>
              <w:tr2bl w:val="nil"/>
            </w:tcBorders>
            <w:vAlign w:val="center"/>
          </w:tcPr>
          <w:p w14:paraId="07BE490A" w14:textId="77777777" w:rsidR="002E0859" w:rsidRDefault="002E0859">
            <w:pPr>
              <w:topLinePunct w:val="0"/>
              <w:spacing w:line="240" w:lineRule="auto"/>
              <w:ind w:firstLineChars="0" w:firstLine="0"/>
              <w:rPr>
                <w:bCs/>
                <w:color w:val="000000" w:themeColor="text1"/>
                <w:sz w:val="21"/>
                <w:szCs w:val="21"/>
              </w:rPr>
            </w:pPr>
          </w:p>
        </w:tc>
        <w:tc>
          <w:tcPr>
            <w:tcW w:w="813" w:type="pct"/>
            <w:tcBorders>
              <w:tl2br w:val="nil"/>
              <w:tr2bl w:val="nil"/>
            </w:tcBorders>
            <w:vAlign w:val="center"/>
          </w:tcPr>
          <w:p w14:paraId="2A04C1C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眼睛防护</w:t>
            </w:r>
          </w:p>
        </w:tc>
        <w:tc>
          <w:tcPr>
            <w:tcW w:w="1096" w:type="pct"/>
            <w:gridSpan w:val="4"/>
            <w:tcBorders>
              <w:tl2br w:val="nil"/>
              <w:tr2bl w:val="nil"/>
            </w:tcBorders>
            <w:vAlign w:val="center"/>
          </w:tcPr>
          <w:p w14:paraId="138AAB2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需戴化学安全护目镜，护面罩</w:t>
            </w:r>
            <w:r>
              <w:rPr>
                <w:rFonts w:hint="eastAsia"/>
                <w:bCs/>
                <w:color w:val="000000" w:themeColor="text1"/>
                <w:sz w:val="21"/>
                <w:szCs w:val="21"/>
                <w:shd w:val="clear" w:color="auto" w:fill="FFFFFF"/>
              </w:rPr>
              <w:t>。</w:t>
            </w:r>
          </w:p>
        </w:tc>
        <w:tc>
          <w:tcPr>
            <w:tcW w:w="765" w:type="pct"/>
            <w:gridSpan w:val="3"/>
            <w:tcBorders>
              <w:tl2br w:val="nil"/>
              <w:tr2bl w:val="nil"/>
            </w:tcBorders>
            <w:vAlign w:val="center"/>
          </w:tcPr>
          <w:p w14:paraId="49D522C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其他防护</w:t>
            </w:r>
          </w:p>
        </w:tc>
        <w:tc>
          <w:tcPr>
            <w:tcW w:w="1491" w:type="pct"/>
            <w:gridSpan w:val="2"/>
            <w:tcBorders>
              <w:tl2br w:val="nil"/>
              <w:tr2bl w:val="nil"/>
            </w:tcBorders>
            <w:vAlign w:val="center"/>
          </w:tcPr>
          <w:p w14:paraId="10A31E4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工作现场禁止吸烟、进食和饮水。工作后沐浴更衣，保持良好的卫生习惯。</w:t>
            </w:r>
          </w:p>
        </w:tc>
      </w:tr>
    </w:tbl>
    <w:p w14:paraId="757EADDB"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氢氧化钠</w:t>
      </w:r>
    </w:p>
    <w:p w14:paraId="17E096E8"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有强烈刺激和腐蚀性。粉尘或烟雾会刺激眼和呼吸道，腐蚀鼻中隔，皮肤和眼与</w:t>
      </w:r>
      <w:r>
        <w:rPr>
          <w:color w:val="000000" w:themeColor="text1"/>
          <w:sz w:val="24"/>
          <w:szCs w:val="24"/>
        </w:rPr>
        <w:t>NaOH</w:t>
      </w:r>
      <w:r>
        <w:rPr>
          <w:color w:val="000000" w:themeColor="text1"/>
          <w:sz w:val="24"/>
          <w:szCs w:val="24"/>
        </w:rPr>
        <w:t>直接接触会引起灼伤，误服可造成消化道灼伤，粘膜糜烂、出血和休克。</w:t>
      </w:r>
    </w:p>
    <w:p w14:paraId="1E0A0EE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氢氧化钠</w:t>
      </w:r>
      <w:r>
        <w:rPr>
          <w:color w:val="000000" w:themeColor="text1"/>
          <w:sz w:val="24"/>
          <w:szCs w:val="24"/>
        </w:rPr>
        <w:t>的主要危险有害特性见表</w:t>
      </w:r>
      <w:r>
        <w:rPr>
          <w:rFonts w:hint="eastAsia"/>
          <w:color w:val="000000" w:themeColor="text1"/>
          <w:sz w:val="24"/>
          <w:szCs w:val="24"/>
        </w:rPr>
        <w:t>3.1-10</w:t>
      </w:r>
      <w:r>
        <w:rPr>
          <w:color w:val="000000" w:themeColor="text1"/>
          <w:sz w:val="24"/>
          <w:szCs w:val="24"/>
        </w:rPr>
        <w:t>。</w:t>
      </w:r>
    </w:p>
    <w:p w14:paraId="02EBB9B3"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10 </w:t>
      </w:r>
      <w:r>
        <w:rPr>
          <w:rFonts w:ascii="Times New Roman" w:eastAsia="黑体" w:hAnsi="Times New Roman" w:cs="Times New Roman" w:hint="eastAsia"/>
          <w:color w:val="000000" w:themeColor="text1"/>
          <w:sz w:val="21"/>
          <w:szCs w:val="21"/>
          <w:lang w:eastAsia="zh-CN"/>
        </w:rPr>
        <w:t>氢氧化钠主要危险有害特性</w:t>
      </w:r>
      <w:r>
        <w:rPr>
          <w:rFonts w:ascii="Times New Roman" w:eastAsia="黑体" w:hAnsi="Times New Roman" w:cs="Times New Roman"/>
          <w:color w:val="000000" w:themeColor="text1"/>
          <w:sz w:val="21"/>
          <w:szCs w:val="21"/>
          <w:lang w:eastAsia="zh-CN"/>
        </w:rPr>
        <w:t>一览表</w:t>
      </w:r>
    </w:p>
    <w:tbl>
      <w:tblPr>
        <w:tblW w:w="49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75"/>
        <w:gridCol w:w="1702"/>
        <w:gridCol w:w="427"/>
        <w:gridCol w:w="24"/>
        <w:gridCol w:w="1781"/>
        <w:gridCol w:w="647"/>
        <w:gridCol w:w="1024"/>
        <w:gridCol w:w="86"/>
        <w:gridCol w:w="1026"/>
        <w:gridCol w:w="1353"/>
      </w:tblGrid>
      <w:tr w:rsidR="002E0859" w14:paraId="41F0D886" w14:textId="77777777">
        <w:trPr>
          <w:cantSplit/>
          <w:jc w:val="center"/>
        </w:trPr>
        <w:tc>
          <w:tcPr>
            <w:tcW w:w="587" w:type="pct"/>
            <w:tcBorders>
              <w:tl2br w:val="nil"/>
              <w:tr2bl w:val="nil"/>
            </w:tcBorders>
            <w:vAlign w:val="center"/>
          </w:tcPr>
          <w:p w14:paraId="283FB77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中文名称</w:t>
            </w:r>
          </w:p>
        </w:tc>
        <w:tc>
          <w:tcPr>
            <w:tcW w:w="2504" w:type="pct"/>
            <w:gridSpan w:val="5"/>
            <w:tcBorders>
              <w:tl2br w:val="nil"/>
              <w:tr2bl w:val="nil"/>
            </w:tcBorders>
            <w:vAlign w:val="center"/>
          </w:tcPr>
          <w:p w14:paraId="2F6DDC8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烧碱；氢氧化钠</w:t>
            </w:r>
          </w:p>
        </w:tc>
        <w:tc>
          <w:tcPr>
            <w:tcW w:w="1168" w:type="pct"/>
            <w:gridSpan w:val="3"/>
            <w:tcBorders>
              <w:tl2br w:val="nil"/>
              <w:tr2bl w:val="nil"/>
            </w:tcBorders>
            <w:vAlign w:val="center"/>
          </w:tcPr>
          <w:p w14:paraId="24B1C31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包装标志</w:t>
            </w:r>
          </w:p>
        </w:tc>
        <w:tc>
          <w:tcPr>
            <w:tcW w:w="740" w:type="pct"/>
            <w:tcBorders>
              <w:tl2br w:val="nil"/>
              <w:tr2bl w:val="nil"/>
            </w:tcBorders>
            <w:vAlign w:val="center"/>
          </w:tcPr>
          <w:p w14:paraId="52953A7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腐蚀品</w:t>
            </w:r>
          </w:p>
        </w:tc>
      </w:tr>
      <w:tr w:rsidR="002E0859" w14:paraId="084BB863" w14:textId="77777777">
        <w:trPr>
          <w:cantSplit/>
          <w:jc w:val="center"/>
        </w:trPr>
        <w:tc>
          <w:tcPr>
            <w:tcW w:w="587" w:type="pct"/>
            <w:tcBorders>
              <w:tl2br w:val="nil"/>
              <w:tr2bl w:val="nil"/>
            </w:tcBorders>
            <w:vAlign w:val="center"/>
          </w:tcPr>
          <w:p w14:paraId="4FAF58B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英文名称</w:t>
            </w:r>
          </w:p>
        </w:tc>
        <w:tc>
          <w:tcPr>
            <w:tcW w:w="2504" w:type="pct"/>
            <w:gridSpan w:val="5"/>
            <w:tcBorders>
              <w:tl2br w:val="nil"/>
              <w:tr2bl w:val="nil"/>
            </w:tcBorders>
            <w:vAlign w:val="center"/>
          </w:tcPr>
          <w:p w14:paraId="14EBE5C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Sodiumhydroxide</w:t>
            </w:r>
            <w:r>
              <w:rPr>
                <w:bCs/>
                <w:color w:val="000000" w:themeColor="text1"/>
                <w:sz w:val="21"/>
                <w:szCs w:val="21"/>
                <w:shd w:val="clear" w:color="auto" w:fill="FFFFFF"/>
              </w:rPr>
              <w:t>；</w:t>
            </w:r>
            <w:r>
              <w:rPr>
                <w:bCs/>
                <w:color w:val="000000" w:themeColor="text1"/>
                <w:sz w:val="21"/>
                <w:szCs w:val="21"/>
                <w:shd w:val="clear" w:color="auto" w:fill="FFFFFF"/>
              </w:rPr>
              <w:t>Causticsoda</w:t>
            </w:r>
          </w:p>
        </w:tc>
        <w:tc>
          <w:tcPr>
            <w:tcW w:w="1168" w:type="pct"/>
            <w:gridSpan w:val="3"/>
            <w:tcBorders>
              <w:tl2br w:val="nil"/>
              <w:tr2bl w:val="nil"/>
            </w:tcBorders>
            <w:vAlign w:val="center"/>
          </w:tcPr>
          <w:p w14:paraId="38DB206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包装类别</w:t>
            </w:r>
          </w:p>
        </w:tc>
        <w:tc>
          <w:tcPr>
            <w:tcW w:w="740" w:type="pct"/>
            <w:tcBorders>
              <w:tl2br w:val="nil"/>
              <w:tr2bl w:val="nil"/>
            </w:tcBorders>
            <w:vAlign w:val="center"/>
          </w:tcPr>
          <w:p w14:paraId="49777EE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Ⅱ</w:t>
            </w:r>
          </w:p>
        </w:tc>
      </w:tr>
      <w:tr w:rsidR="002E0859" w14:paraId="5E1E6424" w14:textId="77777777">
        <w:trPr>
          <w:cantSplit/>
          <w:jc w:val="center"/>
        </w:trPr>
        <w:tc>
          <w:tcPr>
            <w:tcW w:w="587" w:type="pct"/>
            <w:tcBorders>
              <w:tl2br w:val="nil"/>
              <w:tr2bl w:val="nil"/>
            </w:tcBorders>
            <w:vAlign w:val="center"/>
          </w:tcPr>
          <w:p w14:paraId="5BED735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UN</w:t>
            </w:r>
            <w:r>
              <w:rPr>
                <w:bCs/>
                <w:color w:val="000000" w:themeColor="text1"/>
                <w:sz w:val="21"/>
                <w:szCs w:val="21"/>
              </w:rPr>
              <w:t>编号</w:t>
            </w:r>
          </w:p>
        </w:tc>
        <w:tc>
          <w:tcPr>
            <w:tcW w:w="2504" w:type="pct"/>
            <w:gridSpan w:val="5"/>
            <w:tcBorders>
              <w:tl2br w:val="nil"/>
              <w:tr2bl w:val="nil"/>
            </w:tcBorders>
            <w:vAlign w:val="center"/>
          </w:tcPr>
          <w:p w14:paraId="3F6EFED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固碱</w:t>
            </w:r>
            <w:r>
              <w:rPr>
                <w:bCs/>
                <w:color w:val="000000" w:themeColor="text1"/>
                <w:sz w:val="21"/>
                <w:szCs w:val="21"/>
              </w:rPr>
              <w:t>1823</w:t>
            </w:r>
            <w:r>
              <w:rPr>
                <w:bCs/>
                <w:color w:val="000000" w:themeColor="text1"/>
                <w:sz w:val="21"/>
                <w:szCs w:val="21"/>
              </w:rPr>
              <w:t>；液碱</w:t>
            </w:r>
            <w:r>
              <w:rPr>
                <w:bCs/>
                <w:color w:val="000000" w:themeColor="text1"/>
                <w:sz w:val="21"/>
                <w:szCs w:val="21"/>
              </w:rPr>
              <w:t>1824</w:t>
            </w:r>
          </w:p>
        </w:tc>
        <w:tc>
          <w:tcPr>
            <w:tcW w:w="1168" w:type="pct"/>
            <w:gridSpan w:val="3"/>
            <w:tcBorders>
              <w:tl2br w:val="nil"/>
              <w:tr2bl w:val="nil"/>
            </w:tcBorders>
            <w:vAlign w:val="center"/>
          </w:tcPr>
          <w:p w14:paraId="2032577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CAS</w:t>
            </w:r>
            <w:r>
              <w:rPr>
                <w:bCs/>
                <w:color w:val="000000" w:themeColor="text1"/>
                <w:sz w:val="21"/>
                <w:szCs w:val="21"/>
              </w:rPr>
              <w:t>号</w:t>
            </w:r>
          </w:p>
        </w:tc>
        <w:tc>
          <w:tcPr>
            <w:tcW w:w="740" w:type="pct"/>
            <w:tcBorders>
              <w:tl2br w:val="nil"/>
              <w:tr2bl w:val="nil"/>
            </w:tcBorders>
            <w:vAlign w:val="center"/>
          </w:tcPr>
          <w:p w14:paraId="46524B4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1310-73-2</w:t>
            </w:r>
          </w:p>
        </w:tc>
      </w:tr>
      <w:tr w:rsidR="002E0859" w14:paraId="1F869DA8" w14:textId="77777777">
        <w:trPr>
          <w:cantSplit/>
          <w:trHeight w:val="270"/>
          <w:jc w:val="center"/>
        </w:trPr>
        <w:tc>
          <w:tcPr>
            <w:tcW w:w="587" w:type="pct"/>
            <w:vMerge w:val="restart"/>
            <w:tcBorders>
              <w:tl2br w:val="nil"/>
              <w:tr2bl w:val="nil"/>
            </w:tcBorders>
            <w:vAlign w:val="center"/>
          </w:tcPr>
          <w:p w14:paraId="4EF49D4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理化特性</w:t>
            </w:r>
          </w:p>
        </w:tc>
        <w:tc>
          <w:tcPr>
            <w:tcW w:w="1176" w:type="pct"/>
            <w:gridSpan w:val="3"/>
            <w:tcBorders>
              <w:tl2br w:val="nil"/>
              <w:tr2bl w:val="nil"/>
            </w:tcBorders>
            <w:vAlign w:val="center"/>
          </w:tcPr>
          <w:p w14:paraId="1941C13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外观与性状</w:t>
            </w:r>
          </w:p>
        </w:tc>
        <w:tc>
          <w:tcPr>
            <w:tcW w:w="1328" w:type="pct"/>
            <w:gridSpan w:val="2"/>
            <w:tcBorders>
              <w:tl2br w:val="nil"/>
              <w:tr2bl w:val="nil"/>
            </w:tcBorders>
            <w:vAlign w:val="center"/>
          </w:tcPr>
          <w:p w14:paraId="0A9D7B4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固碱为白色不透明固体，易潮解；液碱为无色或略带暗红色的粘稠液体。</w:t>
            </w:r>
          </w:p>
        </w:tc>
        <w:tc>
          <w:tcPr>
            <w:tcW w:w="1168" w:type="pct"/>
            <w:gridSpan w:val="3"/>
            <w:tcBorders>
              <w:tl2br w:val="nil"/>
              <w:tr2bl w:val="nil"/>
            </w:tcBorders>
            <w:vAlign w:val="center"/>
          </w:tcPr>
          <w:p w14:paraId="568FEE2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熔点（</w:t>
            </w:r>
            <w:r>
              <w:rPr>
                <w:bCs/>
                <w:color w:val="000000" w:themeColor="text1"/>
                <w:sz w:val="21"/>
                <w:szCs w:val="21"/>
              </w:rPr>
              <w:t>℃</w:t>
            </w:r>
            <w:r>
              <w:rPr>
                <w:bCs/>
                <w:color w:val="000000" w:themeColor="text1"/>
                <w:sz w:val="21"/>
                <w:szCs w:val="21"/>
              </w:rPr>
              <w:t>）</w:t>
            </w:r>
          </w:p>
        </w:tc>
        <w:tc>
          <w:tcPr>
            <w:tcW w:w="740" w:type="pct"/>
            <w:tcBorders>
              <w:tl2br w:val="nil"/>
              <w:tr2bl w:val="nil"/>
            </w:tcBorders>
            <w:vAlign w:val="center"/>
          </w:tcPr>
          <w:p w14:paraId="6AB0E67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318.4</w:t>
            </w:r>
          </w:p>
        </w:tc>
      </w:tr>
      <w:tr w:rsidR="002E0859" w14:paraId="39B96FC3" w14:textId="77777777">
        <w:trPr>
          <w:cantSplit/>
          <w:trHeight w:val="345"/>
          <w:jc w:val="center"/>
        </w:trPr>
        <w:tc>
          <w:tcPr>
            <w:tcW w:w="587" w:type="pct"/>
            <w:vMerge/>
            <w:tcBorders>
              <w:tl2br w:val="nil"/>
              <w:tr2bl w:val="nil"/>
            </w:tcBorders>
            <w:vAlign w:val="center"/>
          </w:tcPr>
          <w:p w14:paraId="0A5AE683"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5C49F71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相对密度（水＝</w:t>
            </w:r>
            <w:r>
              <w:rPr>
                <w:bCs/>
                <w:color w:val="000000" w:themeColor="text1"/>
                <w:sz w:val="21"/>
                <w:szCs w:val="21"/>
              </w:rPr>
              <w:t>1</w:t>
            </w:r>
            <w:r>
              <w:rPr>
                <w:bCs/>
                <w:color w:val="000000" w:themeColor="text1"/>
                <w:sz w:val="21"/>
                <w:szCs w:val="21"/>
              </w:rPr>
              <w:t>）</w:t>
            </w:r>
          </w:p>
        </w:tc>
        <w:tc>
          <w:tcPr>
            <w:tcW w:w="1328" w:type="pct"/>
            <w:gridSpan w:val="2"/>
            <w:tcBorders>
              <w:tl2br w:val="nil"/>
              <w:tr2bl w:val="nil"/>
            </w:tcBorders>
            <w:vAlign w:val="center"/>
          </w:tcPr>
          <w:p w14:paraId="1C985252" w14:textId="77777777" w:rsidR="002E0859" w:rsidRDefault="00000000">
            <w:pPr>
              <w:topLinePunct w:val="0"/>
              <w:spacing w:line="240" w:lineRule="auto"/>
              <w:ind w:firstLineChars="0" w:firstLine="0"/>
              <w:rPr>
                <w:bCs/>
                <w:color w:val="000000" w:themeColor="text1"/>
                <w:sz w:val="21"/>
                <w:szCs w:val="21"/>
                <w:shd w:val="clear" w:color="auto" w:fill="FFFFFF"/>
              </w:rPr>
            </w:pPr>
            <w:r>
              <w:rPr>
                <w:bCs/>
                <w:color w:val="000000" w:themeColor="text1"/>
                <w:sz w:val="21"/>
                <w:szCs w:val="21"/>
                <w:shd w:val="clear" w:color="auto" w:fill="FFFFFF"/>
              </w:rPr>
              <w:t>固碱：</w:t>
            </w:r>
            <w:r>
              <w:rPr>
                <w:bCs/>
                <w:color w:val="000000" w:themeColor="text1"/>
                <w:sz w:val="21"/>
                <w:szCs w:val="21"/>
                <w:shd w:val="clear" w:color="auto" w:fill="FFFFFF"/>
              </w:rPr>
              <w:t>2.12</w:t>
            </w:r>
          </w:p>
          <w:p w14:paraId="1A9AD30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液碱：浓</w:t>
            </w:r>
            <w:r>
              <w:rPr>
                <w:bCs/>
                <w:color w:val="000000" w:themeColor="text1"/>
                <w:sz w:val="21"/>
                <w:szCs w:val="21"/>
                <w:shd w:val="clear" w:color="auto" w:fill="FFFFFF"/>
              </w:rPr>
              <w:t>30%</w:t>
            </w:r>
            <w:r>
              <w:rPr>
                <w:rFonts w:hint="eastAsia"/>
                <w:bCs/>
                <w:color w:val="000000" w:themeColor="text1"/>
                <w:sz w:val="21"/>
                <w:szCs w:val="21"/>
                <w:shd w:val="clear" w:color="auto" w:fill="FFFFFF"/>
              </w:rPr>
              <w:t>～</w:t>
            </w:r>
            <w:r>
              <w:rPr>
                <w:bCs/>
                <w:color w:val="000000" w:themeColor="text1"/>
                <w:sz w:val="21"/>
                <w:szCs w:val="21"/>
                <w:shd w:val="clear" w:color="auto" w:fill="FFFFFF"/>
              </w:rPr>
              <w:t>50%</w:t>
            </w:r>
            <w:r>
              <w:rPr>
                <w:bCs/>
                <w:color w:val="000000" w:themeColor="text1"/>
                <w:sz w:val="21"/>
                <w:szCs w:val="21"/>
                <w:shd w:val="clear" w:color="auto" w:fill="FFFFFF"/>
              </w:rPr>
              <w:t>时为</w:t>
            </w:r>
            <w:r>
              <w:rPr>
                <w:bCs/>
                <w:color w:val="000000" w:themeColor="text1"/>
                <w:sz w:val="21"/>
                <w:szCs w:val="21"/>
                <w:shd w:val="clear" w:color="auto" w:fill="FFFFFF"/>
              </w:rPr>
              <w:t>1.3279</w:t>
            </w:r>
            <w:r>
              <w:rPr>
                <w:rFonts w:hint="eastAsia"/>
                <w:bCs/>
                <w:color w:val="000000" w:themeColor="text1"/>
                <w:sz w:val="21"/>
                <w:szCs w:val="21"/>
                <w:shd w:val="clear" w:color="auto" w:fill="FFFFFF"/>
              </w:rPr>
              <w:t>～</w:t>
            </w:r>
            <w:r>
              <w:rPr>
                <w:bCs/>
                <w:color w:val="000000" w:themeColor="text1"/>
                <w:sz w:val="21"/>
                <w:szCs w:val="21"/>
                <w:shd w:val="clear" w:color="auto" w:fill="FFFFFF"/>
              </w:rPr>
              <w:t>1.5253</w:t>
            </w:r>
            <w:r>
              <w:rPr>
                <w:bCs/>
                <w:color w:val="000000" w:themeColor="text1"/>
                <w:sz w:val="21"/>
                <w:szCs w:val="21"/>
                <w:shd w:val="clear" w:color="auto" w:fill="FFFFFF"/>
              </w:rPr>
              <w:t>（</w:t>
            </w:r>
            <w:r>
              <w:rPr>
                <w:bCs/>
                <w:color w:val="000000" w:themeColor="text1"/>
                <w:sz w:val="21"/>
                <w:szCs w:val="21"/>
                <w:shd w:val="clear" w:color="auto" w:fill="FFFFFF"/>
              </w:rPr>
              <w:t>20℃</w:t>
            </w:r>
            <w:r>
              <w:rPr>
                <w:bCs/>
                <w:color w:val="000000" w:themeColor="text1"/>
                <w:sz w:val="21"/>
                <w:szCs w:val="21"/>
                <w:shd w:val="clear" w:color="auto" w:fill="FFFFFF"/>
              </w:rPr>
              <w:t>）</w:t>
            </w:r>
          </w:p>
        </w:tc>
        <w:tc>
          <w:tcPr>
            <w:tcW w:w="1168" w:type="pct"/>
            <w:gridSpan w:val="3"/>
            <w:tcBorders>
              <w:tl2br w:val="nil"/>
              <w:tr2bl w:val="nil"/>
            </w:tcBorders>
            <w:vAlign w:val="center"/>
          </w:tcPr>
          <w:p w14:paraId="409E991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沸点（</w:t>
            </w:r>
            <w:r>
              <w:rPr>
                <w:bCs/>
                <w:color w:val="000000" w:themeColor="text1"/>
                <w:sz w:val="21"/>
                <w:szCs w:val="21"/>
              </w:rPr>
              <w:t>℃</w:t>
            </w:r>
            <w:r>
              <w:rPr>
                <w:bCs/>
                <w:color w:val="000000" w:themeColor="text1"/>
                <w:sz w:val="21"/>
                <w:szCs w:val="21"/>
              </w:rPr>
              <w:t>）</w:t>
            </w:r>
          </w:p>
        </w:tc>
        <w:tc>
          <w:tcPr>
            <w:tcW w:w="740" w:type="pct"/>
            <w:tcBorders>
              <w:tl2br w:val="nil"/>
              <w:tr2bl w:val="nil"/>
            </w:tcBorders>
            <w:vAlign w:val="center"/>
          </w:tcPr>
          <w:p w14:paraId="1F63261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1390</w:t>
            </w:r>
          </w:p>
        </w:tc>
      </w:tr>
      <w:tr w:rsidR="002E0859" w14:paraId="282227B1" w14:textId="77777777">
        <w:trPr>
          <w:cantSplit/>
          <w:trHeight w:val="390"/>
          <w:jc w:val="center"/>
        </w:trPr>
        <w:tc>
          <w:tcPr>
            <w:tcW w:w="587" w:type="pct"/>
            <w:vMerge/>
            <w:tcBorders>
              <w:tl2br w:val="nil"/>
              <w:tr2bl w:val="nil"/>
            </w:tcBorders>
            <w:vAlign w:val="center"/>
          </w:tcPr>
          <w:p w14:paraId="1A016E26"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43EB674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相对蒸气密度</w:t>
            </w:r>
          </w:p>
          <w:p w14:paraId="38E5962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（空气＝</w:t>
            </w:r>
            <w:r>
              <w:rPr>
                <w:bCs/>
                <w:color w:val="000000" w:themeColor="text1"/>
                <w:sz w:val="21"/>
                <w:szCs w:val="21"/>
              </w:rPr>
              <w:t>1</w:t>
            </w:r>
            <w:r>
              <w:rPr>
                <w:bCs/>
                <w:color w:val="000000" w:themeColor="text1"/>
                <w:sz w:val="21"/>
                <w:szCs w:val="21"/>
              </w:rPr>
              <w:t>）</w:t>
            </w:r>
          </w:p>
        </w:tc>
        <w:tc>
          <w:tcPr>
            <w:tcW w:w="1328" w:type="pct"/>
            <w:gridSpan w:val="2"/>
            <w:tcBorders>
              <w:tl2br w:val="nil"/>
              <w:tr2bl w:val="nil"/>
            </w:tcBorders>
            <w:vAlign w:val="center"/>
          </w:tcPr>
          <w:p w14:paraId="5ABD8EE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c>
          <w:tcPr>
            <w:tcW w:w="1168" w:type="pct"/>
            <w:gridSpan w:val="3"/>
            <w:tcBorders>
              <w:tl2br w:val="nil"/>
              <w:tr2bl w:val="nil"/>
            </w:tcBorders>
            <w:vAlign w:val="center"/>
          </w:tcPr>
          <w:p w14:paraId="3520647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饱和蒸气压（</w:t>
            </w:r>
            <w:r>
              <w:rPr>
                <w:bCs/>
                <w:color w:val="000000" w:themeColor="text1"/>
                <w:sz w:val="21"/>
                <w:szCs w:val="21"/>
              </w:rPr>
              <w:t>kPa</w:t>
            </w:r>
            <w:r>
              <w:rPr>
                <w:bCs/>
                <w:color w:val="000000" w:themeColor="text1"/>
                <w:sz w:val="21"/>
                <w:szCs w:val="21"/>
              </w:rPr>
              <w:t>）</w:t>
            </w:r>
          </w:p>
        </w:tc>
        <w:tc>
          <w:tcPr>
            <w:tcW w:w="740" w:type="pct"/>
            <w:tcBorders>
              <w:tl2br w:val="nil"/>
              <w:tr2bl w:val="nil"/>
            </w:tcBorders>
            <w:vAlign w:val="center"/>
          </w:tcPr>
          <w:p w14:paraId="36BA678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0.13</w:t>
            </w:r>
            <w:r>
              <w:rPr>
                <w:bCs/>
                <w:color w:val="000000" w:themeColor="text1"/>
                <w:sz w:val="21"/>
                <w:szCs w:val="21"/>
              </w:rPr>
              <w:t>（</w:t>
            </w:r>
            <w:r>
              <w:rPr>
                <w:bCs/>
                <w:color w:val="000000" w:themeColor="text1"/>
                <w:sz w:val="21"/>
                <w:szCs w:val="21"/>
              </w:rPr>
              <w:t>739℃</w:t>
            </w:r>
            <w:r>
              <w:rPr>
                <w:bCs/>
                <w:color w:val="000000" w:themeColor="text1"/>
                <w:sz w:val="21"/>
                <w:szCs w:val="21"/>
              </w:rPr>
              <w:t>）</w:t>
            </w:r>
          </w:p>
        </w:tc>
      </w:tr>
      <w:tr w:rsidR="002E0859" w14:paraId="451BAF85" w14:textId="77777777">
        <w:trPr>
          <w:cantSplit/>
          <w:trHeight w:val="225"/>
          <w:jc w:val="center"/>
        </w:trPr>
        <w:tc>
          <w:tcPr>
            <w:tcW w:w="587" w:type="pct"/>
            <w:vMerge/>
            <w:tcBorders>
              <w:tl2br w:val="nil"/>
              <w:tr2bl w:val="nil"/>
            </w:tcBorders>
            <w:vAlign w:val="center"/>
          </w:tcPr>
          <w:p w14:paraId="41598AFD"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2335F60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临界温度（</w:t>
            </w:r>
            <w:r>
              <w:rPr>
                <w:bCs/>
                <w:color w:val="000000" w:themeColor="text1"/>
                <w:sz w:val="21"/>
                <w:szCs w:val="21"/>
              </w:rPr>
              <w:t>℃</w:t>
            </w:r>
            <w:r>
              <w:rPr>
                <w:bCs/>
                <w:color w:val="000000" w:themeColor="text1"/>
                <w:sz w:val="21"/>
                <w:szCs w:val="21"/>
              </w:rPr>
              <w:t>）</w:t>
            </w:r>
          </w:p>
        </w:tc>
        <w:tc>
          <w:tcPr>
            <w:tcW w:w="1328" w:type="pct"/>
            <w:gridSpan w:val="2"/>
            <w:tcBorders>
              <w:tl2br w:val="nil"/>
              <w:tr2bl w:val="nil"/>
            </w:tcBorders>
            <w:vAlign w:val="center"/>
          </w:tcPr>
          <w:p w14:paraId="682B8C5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无意义</w:t>
            </w:r>
          </w:p>
        </w:tc>
        <w:tc>
          <w:tcPr>
            <w:tcW w:w="1168" w:type="pct"/>
            <w:gridSpan w:val="3"/>
            <w:tcBorders>
              <w:tl2br w:val="nil"/>
              <w:tr2bl w:val="nil"/>
            </w:tcBorders>
            <w:vAlign w:val="center"/>
          </w:tcPr>
          <w:p w14:paraId="69B472E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临界压力（</w:t>
            </w:r>
            <w:r>
              <w:rPr>
                <w:bCs/>
                <w:color w:val="000000" w:themeColor="text1"/>
                <w:sz w:val="21"/>
                <w:szCs w:val="21"/>
              </w:rPr>
              <w:t>MPa</w:t>
            </w:r>
            <w:r>
              <w:rPr>
                <w:bCs/>
                <w:color w:val="000000" w:themeColor="text1"/>
                <w:sz w:val="21"/>
                <w:szCs w:val="21"/>
              </w:rPr>
              <w:t>）</w:t>
            </w:r>
          </w:p>
        </w:tc>
        <w:tc>
          <w:tcPr>
            <w:tcW w:w="740" w:type="pct"/>
            <w:tcBorders>
              <w:tl2br w:val="nil"/>
              <w:tr2bl w:val="nil"/>
            </w:tcBorders>
            <w:vAlign w:val="center"/>
          </w:tcPr>
          <w:p w14:paraId="4AA8B45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无意义</w:t>
            </w:r>
          </w:p>
        </w:tc>
      </w:tr>
      <w:tr w:rsidR="002E0859" w14:paraId="5B5A38EB" w14:textId="77777777">
        <w:trPr>
          <w:cantSplit/>
          <w:trHeight w:val="422"/>
          <w:jc w:val="center"/>
        </w:trPr>
        <w:tc>
          <w:tcPr>
            <w:tcW w:w="587" w:type="pct"/>
            <w:vMerge/>
            <w:tcBorders>
              <w:tl2br w:val="nil"/>
              <w:tr2bl w:val="nil"/>
            </w:tcBorders>
            <w:vAlign w:val="center"/>
          </w:tcPr>
          <w:p w14:paraId="52295E74"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1819598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爆炸下限〔％（</w:t>
            </w:r>
            <w:r>
              <w:rPr>
                <w:bCs/>
                <w:color w:val="000000" w:themeColor="text1"/>
                <w:sz w:val="21"/>
                <w:szCs w:val="21"/>
              </w:rPr>
              <w:t>V/V</w:t>
            </w:r>
            <w:r>
              <w:rPr>
                <w:bCs/>
                <w:color w:val="000000" w:themeColor="text1"/>
                <w:sz w:val="21"/>
                <w:szCs w:val="21"/>
              </w:rPr>
              <w:t>）〕</w:t>
            </w:r>
          </w:p>
        </w:tc>
        <w:tc>
          <w:tcPr>
            <w:tcW w:w="1328" w:type="pct"/>
            <w:gridSpan w:val="2"/>
            <w:tcBorders>
              <w:tl2br w:val="nil"/>
              <w:tr2bl w:val="nil"/>
            </w:tcBorders>
            <w:vAlign w:val="center"/>
          </w:tcPr>
          <w:p w14:paraId="1F8BDA7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c>
          <w:tcPr>
            <w:tcW w:w="1168" w:type="pct"/>
            <w:gridSpan w:val="3"/>
            <w:tcBorders>
              <w:tl2br w:val="nil"/>
              <w:tr2bl w:val="nil"/>
            </w:tcBorders>
            <w:vAlign w:val="center"/>
          </w:tcPr>
          <w:p w14:paraId="53490C4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爆炸上限〔％（</w:t>
            </w:r>
            <w:r>
              <w:rPr>
                <w:bCs/>
                <w:color w:val="000000" w:themeColor="text1"/>
                <w:sz w:val="21"/>
                <w:szCs w:val="21"/>
              </w:rPr>
              <w:t>V/V</w:t>
            </w:r>
            <w:r>
              <w:rPr>
                <w:bCs/>
                <w:color w:val="000000" w:themeColor="text1"/>
                <w:sz w:val="21"/>
                <w:szCs w:val="21"/>
              </w:rPr>
              <w:t>）〕</w:t>
            </w:r>
          </w:p>
        </w:tc>
        <w:tc>
          <w:tcPr>
            <w:tcW w:w="740" w:type="pct"/>
            <w:tcBorders>
              <w:tl2br w:val="nil"/>
              <w:tr2bl w:val="nil"/>
            </w:tcBorders>
            <w:vAlign w:val="center"/>
          </w:tcPr>
          <w:p w14:paraId="3469D69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r>
      <w:tr w:rsidR="002E0859" w14:paraId="236B7218" w14:textId="77777777">
        <w:trPr>
          <w:cantSplit/>
          <w:trHeight w:val="225"/>
          <w:jc w:val="center"/>
        </w:trPr>
        <w:tc>
          <w:tcPr>
            <w:tcW w:w="587" w:type="pct"/>
            <w:vMerge/>
            <w:tcBorders>
              <w:tl2br w:val="nil"/>
              <w:tr2bl w:val="nil"/>
            </w:tcBorders>
            <w:vAlign w:val="center"/>
          </w:tcPr>
          <w:p w14:paraId="2F4675F3"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3D27B84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引燃温度（</w:t>
            </w:r>
            <w:r>
              <w:rPr>
                <w:bCs/>
                <w:color w:val="000000" w:themeColor="text1"/>
                <w:sz w:val="21"/>
                <w:szCs w:val="21"/>
              </w:rPr>
              <w:t>℃</w:t>
            </w:r>
            <w:r>
              <w:rPr>
                <w:bCs/>
                <w:color w:val="000000" w:themeColor="text1"/>
                <w:sz w:val="21"/>
                <w:szCs w:val="21"/>
              </w:rPr>
              <w:t>）</w:t>
            </w:r>
          </w:p>
        </w:tc>
        <w:tc>
          <w:tcPr>
            <w:tcW w:w="1328" w:type="pct"/>
            <w:gridSpan w:val="2"/>
            <w:tcBorders>
              <w:tl2br w:val="nil"/>
              <w:tr2bl w:val="nil"/>
            </w:tcBorders>
            <w:vAlign w:val="center"/>
          </w:tcPr>
          <w:p w14:paraId="37D657B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w:t>
            </w:r>
          </w:p>
        </w:tc>
        <w:tc>
          <w:tcPr>
            <w:tcW w:w="1168" w:type="pct"/>
            <w:gridSpan w:val="3"/>
            <w:tcBorders>
              <w:tl2br w:val="nil"/>
              <w:tr2bl w:val="nil"/>
            </w:tcBorders>
            <w:vAlign w:val="center"/>
          </w:tcPr>
          <w:p w14:paraId="34EEBC2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闪点（</w:t>
            </w:r>
            <w:r>
              <w:rPr>
                <w:bCs/>
                <w:color w:val="000000" w:themeColor="text1"/>
                <w:sz w:val="21"/>
                <w:szCs w:val="21"/>
              </w:rPr>
              <w:t>℃</w:t>
            </w:r>
            <w:r>
              <w:rPr>
                <w:bCs/>
                <w:color w:val="000000" w:themeColor="text1"/>
                <w:sz w:val="21"/>
                <w:szCs w:val="21"/>
              </w:rPr>
              <w:t>）</w:t>
            </w:r>
          </w:p>
        </w:tc>
        <w:tc>
          <w:tcPr>
            <w:tcW w:w="740" w:type="pct"/>
            <w:tcBorders>
              <w:tl2br w:val="nil"/>
              <w:tr2bl w:val="nil"/>
            </w:tcBorders>
            <w:vAlign w:val="center"/>
          </w:tcPr>
          <w:p w14:paraId="45B3F28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无资料</w:t>
            </w:r>
          </w:p>
        </w:tc>
      </w:tr>
      <w:tr w:rsidR="002E0859" w14:paraId="052ACA80" w14:textId="77777777">
        <w:trPr>
          <w:cantSplit/>
          <w:trHeight w:val="225"/>
          <w:jc w:val="center"/>
        </w:trPr>
        <w:tc>
          <w:tcPr>
            <w:tcW w:w="587" w:type="pct"/>
            <w:vMerge/>
            <w:tcBorders>
              <w:tl2br w:val="nil"/>
              <w:tr2bl w:val="nil"/>
            </w:tcBorders>
            <w:vAlign w:val="center"/>
          </w:tcPr>
          <w:p w14:paraId="6C04C8C6"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0E974DC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燃烧热（</w:t>
            </w:r>
            <w:r>
              <w:rPr>
                <w:bCs/>
                <w:color w:val="000000" w:themeColor="text1"/>
                <w:sz w:val="21"/>
                <w:szCs w:val="21"/>
              </w:rPr>
              <w:t>kJ/mol</w:t>
            </w:r>
            <w:r>
              <w:rPr>
                <w:bCs/>
                <w:color w:val="000000" w:themeColor="text1"/>
                <w:sz w:val="21"/>
                <w:szCs w:val="21"/>
              </w:rPr>
              <w:t>）</w:t>
            </w:r>
          </w:p>
        </w:tc>
        <w:tc>
          <w:tcPr>
            <w:tcW w:w="1328" w:type="pct"/>
            <w:gridSpan w:val="2"/>
            <w:tcBorders>
              <w:tl2br w:val="nil"/>
              <w:tr2bl w:val="nil"/>
            </w:tcBorders>
            <w:vAlign w:val="center"/>
          </w:tcPr>
          <w:p w14:paraId="5D8F192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无意义</w:t>
            </w:r>
          </w:p>
        </w:tc>
        <w:tc>
          <w:tcPr>
            <w:tcW w:w="1168" w:type="pct"/>
            <w:gridSpan w:val="3"/>
            <w:tcBorders>
              <w:tl2br w:val="nil"/>
              <w:tr2bl w:val="nil"/>
            </w:tcBorders>
            <w:vAlign w:val="center"/>
          </w:tcPr>
          <w:p w14:paraId="55C54C9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n-</w:t>
            </w:r>
            <w:r>
              <w:rPr>
                <w:bCs/>
                <w:color w:val="000000" w:themeColor="text1"/>
                <w:sz w:val="21"/>
                <w:szCs w:val="21"/>
              </w:rPr>
              <w:t>辛醇</w:t>
            </w:r>
            <w:r>
              <w:rPr>
                <w:bCs/>
                <w:color w:val="000000" w:themeColor="text1"/>
                <w:sz w:val="21"/>
                <w:szCs w:val="21"/>
              </w:rPr>
              <w:t>/</w:t>
            </w:r>
            <w:r>
              <w:rPr>
                <w:bCs/>
                <w:color w:val="000000" w:themeColor="text1"/>
                <w:sz w:val="21"/>
                <w:szCs w:val="21"/>
              </w:rPr>
              <w:t>水分配系数</w:t>
            </w:r>
          </w:p>
        </w:tc>
        <w:tc>
          <w:tcPr>
            <w:tcW w:w="740" w:type="pct"/>
            <w:tcBorders>
              <w:tl2br w:val="nil"/>
              <w:tr2bl w:val="nil"/>
            </w:tcBorders>
            <w:vAlign w:val="center"/>
          </w:tcPr>
          <w:p w14:paraId="0D18A2D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无资料</w:t>
            </w:r>
          </w:p>
        </w:tc>
      </w:tr>
      <w:tr w:rsidR="002E0859" w14:paraId="274C6AD7" w14:textId="77777777">
        <w:trPr>
          <w:cantSplit/>
          <w:trHeight w:val="368"/>
          <w:jc w:val="center"/>
        </w:trPr>
        <w:tc>
          <w:tcPr>
            <w:tcW w:w="587" w:type="pct"/>
            <w:vMerge/>
            <w:tcBorders>
              <w:tl2br w:val="nil"/>
              <w:tr2bl w:val="nil"/>
            </w:tcBorders>
            <w:vAlign w:val="center"/>
          </w:tcPr>
          <w:p w14:paraId="55A7482C" w14:textId="77777777" w:rsidR="002E0859" w:rsidRDefault="002E0859">
            <w:pPr>
              <w:topLinePunct w:val="0"/>
              <w:spacing w:line="240" w:lineRule="auto"/>
              <w:ind w:firstLineChars="0" w:firstLine="0"/>
              <w:rPr>
                <w:bCs/>
                <w:color w:val="000000" w:themeColor="text1"/>
                <w:sz w:val="21"/>
                <w:szCs w:val="21"/>
              </w:rPr>
            </w:pPr>
          </w:p>
        </w:tc>
        <w:tc>
          <w:tcPr>
            <w:tcW w:w="1176" w:type="pct"/>
            <w:gridSpan w:val="3"/>
            <w:tcBorders>
              <w:tl2br w:val="nil"/>
              <w:tr2bl w:val="nil"/>
            </w:tcBorders>
            <w:vAlign w:val="center"/>
          </w:tcPr>
          <w:p w14:paraId="0D88984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溶解性</w:t>
            </w:r>
          </w:p>
        </w:tc>
        <w:tc>
          <w:tcPr>
            <w:tcW w:w="3236" w:type="pct"/>
            <w:gridSpan w:val="6"/>
            <w:tcBorders>
              <w:tl2br w:val="nil"/>
              <w:tr2bl w:val="nil"/>
            </w:tcBorders>
            <w:vAlign w:val="center"/>
          </w:tcPr>
          <w:p w14:paraId="4C45A80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易溶于水、乙醇、甘油。</w:t>
            </w:r>
          </w:p>
        </w:tc>
      </w:tr>
      <w:tr w:rsidR="002E0859" w14:paraId="65CFD44F" w14:textId="77777777">
        <w:trPr>
          <w:cantSplit/>
          <w:jc w:val="center"/>
        </w:trPr>
        <w:tc>
          <w:tcPr>
            <w:tcW w:w="587" w:type="pct"/>
            <w:tcBorders>
              <w:tl2br w:val="nil"/>
              <w:tr2bl w:val="nil"/>
            </w:tcBorders>
            <w:vAlign w:val="center"/>
          </w:tcPr>
          <w:p w14:paraId="39AB807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主要用途</w:t>
            </w:r>
          </w:p>
        </w:tc>
        <w:tc>
          <w:tcPr>
            <w:tcW w:w="4412" w:type="pct"/>
            <w:gridSpan w:val="9"/>
            <w:tcBorders>
              <w:tl2br w:val="nil"/>
              <w:tr2bl w:val="nil"/>
            </w:tcBorders>
            <w:vAlign w:val="center"/>
          </w:tcPr>
          <w:p w14:paraId="036C1E3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用于肥皂工业、石油精炼、造纸、人造丝、染色、制革、医药、有机合成等。</w:t>
            </w:r>
          </w:p>
        </w:tc>
      </w:tr>
      <w:tr w:rsidR="002E0859" w14:paraId="3A79B072" w14:textId="77777777">
        <w:trPr>
          <w:cantSplit/>
          <w:jc w:val="center"/>
        </w:trPr>
        <w:tc>
          <w:tcPr>
            <w:tcW w:w="587" w:type="pct"/>
            <w:tcBorders>
              <w:tl2br w:val="nil"/>
              <w:tr2bl w:val="nil"/>
            </w:tcBorders>
            <w:vAlign w:val="center"/>
          </w:tcPr>
          <w:p w14:paraId="7110BA9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健康危害</w:t>
            </w:r>
          </w:p>
        </w:tc>
        <w:tc>
          <w:tcPr>
            <w:tcW w:w="4412" w:type="pct"/>
            <w:gridSpan w:val="9"/>
            <w:tcBorders>
              <w:tl2br w:val="nil"/>
              <w:tr2bl w:val="nil"/>
            </w:tcBorders>
            <w:vAlign w:val="center"/>
          </w:tcPr>
          <w:p w14:paraId="29D3B95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本品具有强烈腐蚀性和刺激性。粉尘刺激眼和呼吸道，腐蚀鼻中隔；直接接触皮肤和眼可引起灼伤；误食可造成消化道灼伤，粘膜糜烂、出血和休克。</w:t>
            </w:r>
          </w:p>
        </w:tc>
      </w:tr>
      <w:tr w:rsidR="002E0859" w14:paraId="05086D9B" w14:textId="77777777">
        <w:trPr>
          <w:cantSplit/>
          <w:jc w:val="center"/>
        </w:trPr>
        <w:tc>
          <w:tcPr>
            <w:tcW w:w="587" w:type="pct"/>
            <w:tcBorders>
              <w:tl2br w:val="nil"/>
              <w:tr2bl w:val="nil"/>
            </w:tcBorders>
            <w:vAlign w:val="center"/>
          </w:tcPr>
          <w:p w14:paraId="6972D29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毒理学资料</w:t>
            </w:r>
          </w:p>
        </w:tc>
        <w:tc>
          <w:tcPr>
            <w:tcW w:w="4412" w:type="pct"/>
            <w:gridSpan w:val="9"/>
            <w:tcBorders>
              <w:tl2br w:val="nil"/>
              <w:tr2bl w:val="nil"/>
            </w:tcBorders>
            <w:vAlign w:val="center"/>
          </w:tcPr>
          <w:p w14:paraId="7505C82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急性毒性：无资料</w:t>
            </w:r>
          </w:p>
          <w:p w14:paraId="79DBEC6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刺激性：家兔经眼：</w:t>
            </w:r>
            <w:r>
              <w:rPr>
                <w:bCs/>
                <w:color w:val="000000" w:themeColor="text1"/>
                <w:sz w:val="21"/>
                <w:szCs w:val="21"/>
              </w:rPr>
              <w:t>1%</w:t>
            </w:r>
            <w:r>
              <w:rPr>
                <w:bCs/>
                <w:color w:val="000000" w:themeColor="text1"/>
                <w:sz w:val="21"/>
                <w:szCs w:val="21"/>
              </w:rPr>
              <w:t>重度刺激；家兔经皮</w:t>
            </w:r>
            <w:r>
              <w:rPr>
                <w:bCs/>
                <w:color w:val="000000" w:themeColor="text1"/>
                <w:sz w:val="21"/>
                <w:szCs w:val="21"/>
              </w:rPr>
              <w:t>50mg/24</w:t>
            </w:r>
            <w:r>
              <w:rPr>
                <w:bCs/>
                <w:color w:val="000000" w:themeColor="text1"/>
                <w:sz w:val="21"/>
                <w:szCs w:val="21"/>
              </w:rPr>
              <w:t>小时，重度刺激。</w:t>
            </w:r>
          </w:p>
        </w:tc>
      </w:tr>
      <w:tr w:rsidR="002E0859" w14:paraId="72B4B4EF" w14:textId="77777777">
        <w:trPr>
          <w:cantSplit/>
          <w:trHeight w:val="138"/>
          <w:jc w:val="center"/>
        </w:trPr>
        <w:tc>
          <w:tcPr>
            <w:tcW w:w="587" w:type="pct"/>
            <w:tcBorders>
              <w:tl2br w:val="nil"/>
              <w:tr2bl w:val="nil"/>
            </w:tcBorders>
            <w:vAlign w:val="center"/>
          </w:tcPr>
          <w:p w14:paraId="2F618C7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消防措施</w:t>
            </w:r>
          </w:p>
        </w:tc>
        <w:tc>
          <w:tcPr>
            <w:tcW w:w="4412" w:type="pct"/>
            <w:gridSpan w:val="9"/>
            <w:tcBorders>
              <w:tl2br w:val="nil"/>
              <w:tr2bl w:val="nil"/>
            </w:tcBorders>
            <w:vAlign w:val="center"/>
          </w:tcPr>
          <w:p w14:paraId="4C5714D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危险特性：与酸发生中和反应并放热。固碱易潮解，遇潮时对铝、锌和锡具有腐蚀性，并放出易燃易爆的氢气。本品不会燃烧，遇水和水蒸汽大量放热，形成腐蚀性溶液。具有强腐蚀性。</w:t>
            </w:r>
          </w:p>
          <w:p w14:paraId="43C8356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灭火方法：用水和砂土扑救，但须防止固碱遇水产生飞溅，造成灼伤。</w:t>
            </w:r>
          </w:p>
        </w:tc>
      </w:tr>
      <w:tr w:rsidR="002E0859" w14:paraId="6395DC1A" w14:textId="77777777">
        <w:trPr>
          <w:cantSplit/>
          <w:trHeight w:val="411"/>
          <w:jc w:val="center"/>
        </w:trPr>
        <w:tc>
          <w:tcPr>
            <w:tcW w:w="587" w:type="pct"/>
            <w:vMerge w:val="restart"/>
            <w:tcBorders>
              <w:tl2br w:val="nil"/>
              <w:tr2bl w:val="nil"/>
            </w:tcBorders>
            <w:vAlign w:val="center"/>
          </w:tcPr>
          <w:p w14:paraId="198E27D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稳定性和反应活性</w:t>
            </w:r>
          </w:p>
        </w:tc>
        <w:tc>
          <w:tcPr>
            <w:tcW w:w="1163" w:type="pct"/>
            <w:gridSpan w:val="2"/>
            <w:tcBorders>
              <w:tl2br w:val="nil"/>
              <w:tr2bl w:val="nil"/>
            </w:tcBorders>
            <w:vAlign w:val="center"/>
          </w:tcPr>
          <w:p w14:paraId="7D9B360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稳定性</w:t>
            </w:r>
          </w:p>
        </w:tc>
        <w:tc>
          <w:tcPr>
            <w:tcW w:w="1341" w:type="pct"/>
            <w:gridSpan w:val="3"/>
            <w:tcBorders>
              <w:tl2br w:val="nil"/>
              <w:tr2bl w:val="nil"/>
            </w:tcBorders>
            <w:vAlign w:val="center"/>
          </w:tcPr>
          <w:p w14:paraId="46756D7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w:t>
            </w:r>
          </w:p>
        </w:tc>
        <w:tc>
          <w:tcPr>
            <w:tcW w:w="607" w:type="pct"/>
            <w:gridSpan w:val="2"/>
            <w:tcBorders>
              <w:tl2br w:val="nil"/>
              <w:tr2bl w:val="nil"/>
            </w:tcBorders>
            <w:vAlign w:val="center"/>
          </w:tcPr>
          <w:p w14:paraId="21F6031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聚合危害</w:t>
            </w:r>
          </w:p>
        </w:tc>
        <w:tc>
          <w:tcPr>
            <w:tcW w:w="1301" w:type="pct"/>
            <w:gridSpan w:val="2"/>
            <w:tcBorders>
              <w:tl2br w:val="nil"/>
              <w:tr2bl w:val="nil"/>
            </w:tcBorders>
            <w:vAlign w:val="center"/>
          </w:tcPr>
          <w:p w14:paraId="75E1696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不聚合</w:t>
            </w:r>
          </w:p>
        </w:tc>
      </w:tr>
      <w:tr w:rsidR="002E0859" w14:paraId="4C851208" w14:textId="77777777">
        <w:trPr>
          <w:cantSplit/>
          <w:trHeight w:val="411"/>
          <w:jc w:val="center"/>
        </w:trPr>
        <w:tc>
          <w:tcPr>
            <w:tcW w:w="587" w:type="pct"/>
            <w:vMerge/>
            <w:tcBorders>
              <w:tl2br w:val="nil"/>
              <w:tr2bl w:val="nil"/>
            </w:tcBorders>
            <w:vAlign w:val="center"/>
          </w:tcPr>
          <w:p w14:paraId="0729AE23" w14:textId="77777777" w:rsidR="002E0859" w:rsidRDefault="002E0859">
            <w:pPr>
              <w:topLinePunct w:val="0"/>
              <w:spacing w:line="240" w:lineRule="auto"/>
              <w:ind w:firstLineChars="0" w:firstLine="0"/>
              <w:rPr>
                <w:bCs/>
                <w:color w:val="000000" w:themeColor="text1"/>
                <w:sz w:val="21"/>
                <w:szCs w:val="21"/>
              </w:rPr>
            </w:pPr>
          </w:p>
        </w:tc>
        <w:tc>
          <w:tcPr>
            <w:tcW w:w="1163" w:type="pct"/>
            <w:gridSpan w:val="2"/>
            <w:tcBorders>
              <w:tl2br w:val="nil"/>
              <w:tr2bl w:val="nil"/>
            </w:tcBorders>
            <w:vAlign w:val="center"/>
          </w:tcPr>
          <w:p w14:paraId="650A1C4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避免接触条件</w:t>
            </w:r>
          </w:p>
        </w:tc>
        <w:tc>
          <w:tcPr>
            <w:tcW w:w="1341" w:type="pct"/>
            <w:gridSpan w:val="3"/>
            <w:tcBorders>
              <w:tl2br w:val="nil"/>
              <w:tr2bl w:val="nil"/>
            </w:tcBorders>
            <w:vAlign w:val="center"/>
          </w:tcPr>
          <w:p w14:paraId="4FEBA60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潮湿空气（指固碱）</w:t>
            </w:r>
          </w:p>
        </w:tc>
        <w:tc>
          <w:tcPr>
            <w:tcW w:w="607" w:type="pct"/>
            <w:gridSpan w:val="2"/>
            <w:tcBorders>
              <w:tl2br w:val="nil"/>
              <w:tr2bl w:val="nil"/>
            </w:tcBorders>
            <w:vAlign w:val="center"/>
          </w:tcPr>
          <w:p w14:paraId="1E4D83B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禁配物</w:t>
            </w:r>
          </w:p>
        </w:tc>
        <w:tc>
          <w:tcPr>
            <w:tcW w:w="1301" w:type="pct"/>
            <w:gridSpan w:val="2"/>
            <w:tcBorders>
              <w:tl2br w:val="nil"/>
              <w:tr2bl w:val="nil"/>
            </w:tcBorders>
            <w:vAlign w:val="center"/>
          </w:tcPr>
          <w:p w14:paraId="1EC37C5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强酸、易燃或可燃物、二氧化碳、过氧化物、水</w:t>
            </w:r>
          </w:p>
        </w:tc>
      </w:tr>
      <w:tr w:rsidR="002E0859" w14:paraId="18F031A8" w14:textId="77777777">
        <w:trPr>
          <w:cantSplit/>
          <w:jc w:val="center"/>
        </w:trPr>
        <w:tc>
          <w:tcPr>
            <w:tcW w:w="587" w:type="pct"/>
            <w:tcBorders>
              <w:tl2br w:val="nil"/>
              <w:tr2bl w:val="nil"/>
            </w:tcBorders>
            <w:vAlign w:val="center"/>
          </w:tcPr>
          <w:p w14:paraId="2811983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操作处置</w:t>
            </w:r>
          </w:p>
        </w:tc>
        <w:tc>
          <w:tcPr>
            <w:tcW w:w="4412" w:type="pct"/>
            <w:gridSpan w:val="9"/>
            <w:tcBorders>
              <w:tl2br w:val="nil"/>
              <w:tr2bl w:val="nil"/>
            </w:tcBorders>
            <w:vAlign w:val="center"/>
          </w:tcPr>
          <w:p w14:paraId="460A6C7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操作人员必须经过专门培训持证上岗，严格遵守工艺规程和操作法。操作人员穿耐酸碱服，戴耐酸碱手套，戴防护手套。避免与酸类接触。搬运时轻装轻卸，防止包装及容器损坏。配备泄漏应急处理设备。应当注意倒空容器内残留物。稀释或配制溶液时应把碱倒入水中，避免沸腾和飞溅。</w:t>
            </w:r>
          </w:p>
        </w:tc>
      </w:tr>
      <w:tr w:rsidR="002E0859" w14:paraId="7D2801F4" w14:textId="77777777">
        <w:trPr>
          <w:cantSplit/>
          <w:trHeight w:val="703"/>
          <w:jc w:val="center"/>
        </w:trPr>
        <w:tc>
          <w:tcPr>
            <w:tcW w:w="587" w:type="pct"/>
            <w:tcBorders>
              <w:tl2br w:val="nil"/>
              <w:tr2bl w:val="nil"/>
            </w:tcBorders>
            <w:vAlign w:val="center"/>
          </w:tcPr>
          <w:p w14:paraId="51ADA96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储存注意事项</w:t>
            </w:r>
          </w:p>
        </w:tc>
        <w:tc>
          <w:tcPr>
            <w:tcW w:w="4412" w:type="pct"/>
            <w:gridSpan w:val="9"/>
            <w:tcBorders>
              <w:tl2br w:val="nil"/>
              <w:tr2bl w:val="nil"/>
            </w:tcBorders>
            <w:vAlign w:val="center"/>
          </w:tcPr>
          <w:p w14:paraId="0E480D0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固碱储存于阴凉、干燥、通风良好的库房内，远离火种和热源。库内相对湿度不大于</w:t>
            </w:r>
            <w:r>
              <w:rPr>
                <w:bCs/>
                <w:color w:val="000000" w:themeColor="text1"/>
                <w:sz w:val="21"/>
                <w:szCs w:val="21"/>
                <w:shd w:val="clear" w:color="auto" w:fill="FFFFFF"/>
              </w:rPr>
              <w:t>85%</w:t>
            </w:r>
            <w:r>
              <w:rPr>
                <w:bCs/>
                <w:color w:val="000000" w:themeColor="text1"/>
                <w:sz w:val="21"/>
                <w:szCs w:val="21"/>
                <w:shd w:val="clear" w:color="auto" w:fill="FFFFFF"/>
              </w:rPr>
              <w:t>。包装必须密封，切勿受潮。应与易燃物或可燃物、酸类等分开存放，切记混储。储区应备有合适的材料收容泄露物。液碱围槽应设有围堤，并有明显标志。</w:t>
            </w:r>
          </w:p>
        </w:tc>
      </w:tr>
      <w:tr w:rsidR="002E0859" w14:paraId="68F78E5F" w14:textId="77777777">
        <w:trPr>
          <w:cantSplit/>
          <w:jc w:val="center"/>
        </w:trPr>
        <w:tc>
          <w:tcPr>
            <w:tcW w:w="587" w:type="pct"/>
            <w:tcBorders>
              <w:tl2br w:val="nil"/>
              <w:tr2bl w:val="nil"/>
            </w:tcBorders>
            <w:vAlign w:val="center"/>
          </w:tcPr>
          <w:p w14:paraId="02DFF3F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运输注意事项</w:t>
            </w:r>
          </w:p>
        </w:tc>
        <w:tc>
          <w:tcPr>
            <w:tcW w:w="4412" w:type="pct"/>
            <w:gridSpan w:val="9"/>
            <w:tcBorders>
              <w:tl2br w:val="nil"/>
              <w:tr2bl w:val="nil"/>
            </w:tcBorders>
            <w:vAlign w:val="center"/>
          </w:tcPr>
          <w:p w14:paraId="649FFE9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铁路运输时，钢桶包装的可用敞车运输。起运时包装要完整，装载应稳妥。运输过程中应确保容器不泄漏、不倒塌、不坠落、不损坏。严禁与易燃物或可燃物、酸类、食用化学品等混装混运。运输时运输车应配备泄漏应急处理设备。</w:t>
            </w:r>
          </w:p>
        </w:tc>
      </w:tr>
      <w:tr w:rsidR="002E0859" w14:paraId="74656E17" w14:textId="77777777">
        <w:trPr>
          <w:cantSplit/>
          <w:jc w:val="center"/>
        </w:trPr>
        <w:tc>
          <w:tcPr>
            <w:tcW w:w="587" w:type="pct"/>
            <w:tcBorders>
              <w:tl2br w:val="nil"/>
              <w:tr2bl w:val="nil"/>
            </w:tcBorders>
            <w:vAlign w:val="center"/>
          </w:tcPr>
          <w:p w14:paraId="7C1DD25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lastRenderedPageBreak/>
              <w:t>急救措施</w:t>
            </w:r>
          </w:p>
        </w:tc>
        <w:tc>
          <w:tcPr>
            <w:tcW w:w="4412" w:type="pct"/>
            <w:gridSpan w:val="9"/>
            <w:tcBorders>
              <w:tl2br w:val="nil"/>
              <w:tr2bl w:val="nil"/>
            </w:tcBorders>
            <w:vAlign w:val="center"/>
          </w:tcPr>
          <w:p w14:paraId="1F1B28C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皮肤接触：立即脱去污染的衣物，用大量流动清水冲洗至少</w:t>
            </w:r>
            <w:r>
              <w:rPr>
                <w:bCs/>
                <w:color w:val="000000" w:themeColor="text1"/>
                <w:sz w:val="21"/>
                <w:szCs w:val="21"/>
              </w:rPr>
              <w:t>15</w:t>
            </w:r>
            <w:r>
              <w:rPr>
                <w:bCs/>
                <w:color w:val="000000" w:themeColor="text1"/>
                <w:sz w:val="21"/>
                <w:szCs w:val="21"/>
              </w:rPr>
              <w:t>分钟。就医。</w:t>
            </w:r>
          </w:p>
          <w:p w14:paraId="6FF9082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眼睛接触：立即提起眼睑，用大量流动清水或生理盐水彻底冲洗至少</w:t>
            </w:r>
            <w:r>
              <w:rPr>
                <w:bCs/>
                <w:color w:val="000000" w:themeColor="text1"/>
                <w:sz w:val="21"/>
                <w:szCs w:val="21"/>
              </w:rPr>
              <w:t>15</w:t>
            </w:r>
            <w:r>
              <w:rPr>
                <w:bCs/>
                <w:color w:val="000000" w:themeColor="text1"/>
                <w:sz w:val="21"/>
                <w:szCs w:val="21"/>
              </w:rPr>
              <w:t>分钟。就医</w:t>
            </w:r>
            <w:r>
              <w:rPr>
                <w:rFonts w:hint="eastAsia"/>
                <w:bCs/>
                <w:color w:val="000000" w:themeColor="text1"/>
                <w:sz w:val="21"/>
                <w:szCs w:val="21"/>
              </w:rPr>
              <w:t>。</w:t>
            </w:r>
          </w:p>
          <w:p w14:paraId="3FBBA00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吸入：迅速脱离现场至空气新鲜处。保持呼吸道通畅。如呼吸困难给输氧。如呼吸停止，即进行人工呼吸。就医。</w:t>
            </w:r>
          </w:p>
          <w:p w14:paraId="1BF72C2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食入：用水漱口，给饮牛奶或蛋青。就医。</w:t>
            </w:r>
          </w:p>
        </w:tc>
      </w:tr>
      <w:tr w:rsidR="002E0859" w14:paraId="47794FC1" w14:textId="77777777">
        <w:trPr>
          <w:cantSplit/>
          <w:jc w:val="center"/>
        </w:trPr>
        <w:tc>
          <w:tcPr>
            <w:tcW w:w="587" w:type="pct"/>
            <w:tcBorders>
              <w:tl2br w:val="nil"/>
              <w:tr2bl w:val="nil"/>
            </w:tcBorders>
            <w:vAlign w:val="center"/>
          </w:tcPr>
          <w:p w14:paraId="723D62B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泄漏应急处理</w:t>
            </w:r>
          </w:p>
        </w:tc>
        <w:tc>
          <w:tcPr>
            <w:tcW w:w="4412" w:type="pct"/>
            <w:gridSpan w:val="9"/>
            <w:tcBorders>
              <w:tl2br w:val="nil"/>
              <w:tr2bl w:val="nil"/>
            </w:tcBorders>
            <w:vAlign w:val="center"/>
          </w:tcPr>
          <w:p w14:paraId="3800D1C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隔离泄露污染区，限制出入，固碱粉尘严重飞扬时应着穿防酸防碱工作服。</w:t>
            </w:r>
          </w:p>
          <w:p w14:paraId="127CD4A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固碱泄漏：避免扬尘，用洁净的铲子收集于干燥洁净有盖子的容器中。也可用大量的水冲洗，冲洗水稀释后排入废水系统。</w:t>
            </w:r>
          </w:p>
          <w:p w14:paraId="59F5D85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液碱泄漏：收集回收后用水冲洗，冲洗水经过中和处理后排入废水系统。</w:t>
            </w:r>
          </w:p>
        </w:tc>
      </w:tr>
      <w:tr w:rsidR="002E0859" w14:paraId="3F723532" w14:textId="77777777">
        <w:trPr>
          <w:cantSplit/>
          <w:jc w:val="center"/>
        </w:trPr>
        <w:tc>
          <w:tcPr>
            <w:tcW w:w="587" w:type="pct"/>
            <w:tcBorders>
              <w:tl2br w:val="nil"/>
              <w:tr2bl w:val="nil"/>
            </w:tcBorders>
            <w:vAlign w:val="center"/>
          </w:tcPr>
          <w:p w14:paraId="13F58A4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废弃处置方法</w:t>
            </w:r>
          </w:p>
        </w:tc>
        <w:tc>
          <w:tcPr>
            <w:tcW w:w="4412" w:type="pct"/>
            <w:gridSpan w:val="9"/>
            <w:tcBorders>
              <w:tl2br w:val="nil"/>
              <w:tr2bl w:val="nil"/>
            </w:tcBorders>
            <w:vAlign w:val="center"/>
          </w:tcPr>
          <w:p w14:paraId="4DC5FC7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废弃方法：废弃前应参阅国家和地方法规，中和稀释后，排入废水系统。</w:t>
            </w:r>
          </w:p>
        </w:tc>
      </w:tr>
      <w:tr w:rsidR="002E0859" w14:paraId="2E21112D" w14:textId="77777777">
        <w:trPr>
          <w:cantSplit/>
          <w:trHeight w:val="386"/>
          <w:jc w:val="center"/>
        </w:trPr>
        <w:tc>
          <w:tcPr>
            <w:tcW w:w="587" w:type="pct"/>
            <w:vMerge w:val="restart"/>
            <w:tcBorders>
              <w:tl2br w:val="nil"/>
              <w:tr2bl w:val="nil"/>
            </w:tcBorders>
            <w:vAlign w:val="center"/>
          </w:tcPr>
          <w:p w14:paraId="1B6F973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个体防护</w:t>
            </w:r>
          </w:p>
        </w:tc>
        <w:tc>
          <w:tcPr>
            <w:tcW w:w="930" w:type="pct"/>
            <w:tcBorders>
              <w:tl2br w:val="nil"/>
              <w:tr2bl w:val="nil"/>
            </w:tcBorders>
            <w:vAlign w:val="center"/>
          </w:tcPr>
          <w:p w14:paraId="2308902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工程控制</w:t>
            </w:r>
          </w:p>
        </w:tc>
        <w:tc>
          <w:tcPr>
            <w:tcW w:w="1220" w:type="pct"/>
            <w:gridSpan w:val="3"/>
            <w:tcBorders>
              <w:tl2br w:val="nil"/>
              <w:tr2bl w:val="nil"/>
            </w:tcBorders>
            <w:vAlign w:val="center"/>
          </w:tcPr>
          <w:p w14:paraId="1A8E7E4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密闭工作，提供安全淋浴和洗眼设备。</w:t>
            </w:r>
          </w:p>
        </w:tc>
        <w:tc>
          <w:tcPr>
            <w:tcW w:w="914" w:type="pct"/>
            <w:gridSpan w:val="2"/>
            <w:tcBorders>
              <w:tl2br w:val="nil"/>
              <w:tr2bl w:val="nil"/>
            </w:tcBorders>
            <w:vAlign w:val="center"/>
          </w:tcPr>
          <w:p w14:paraId="678F7BC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呼吸系统防护</w:t>
            </w:r>
          </w:p>
        </w:tc>
        <w:tc>
          <w:tcPr>
            <w:tcW w:w="1348" w:type="pct"/>
            <w:gridSpan w:val="3"/>
            <w:tcBorders>
              <w:tl2br w:val="nil"/>
              <w:tr2bl w:val="nil"/>
            </w:tcBorders>
            <w:vAlign w:val="center"/>
          </w:tcPr>
          <w:p w14:paraId="068B6EA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可能接触粉尘时，必须佩戴头罩型送风式或过滤式防尘呼吸器，穿耐酸碱服，戴耐酸碱手套，戴防护手套。必要时佩戴空气或氧气呼吸器。</w:t>
            </w:r>
          </w:p>
        </w:tc>
      </w:tr>
      <w:tr w:rsidR="002E0859" w14:paraId="595353E1" w14:textId="77777777">
        <w:trPr>
          <w:cantSplit/>
          <w:trHeight w:val="321"/>
          <w:jc w:val="center"/>
        </w:trPr>
        <w:tc>
          <w:tcPr>
            <w:tcW w:w="587" w:type="pct"/>
            <w:vMerge/>
            <w:tcBorders>
              <w:tl2br w:val="nil"/>
              <w:tr2bl w:val="nil"/>
            </w:tcBorders>
            <w:vAlign w:val="center"/>
          </w:tcPr>
          <w:p w14:paraId="459CC5A3" w14:textId="77777777" w:rsidR="002E0859" w:rsidRDefault="002E0859">
            <w:pPr>
              <w:topLinePunct w:val="0"/>
              <w:spacing w:line="240" w:lineRule="auto"/>
              <w:ind w:firstLineChars="0" w:firstLine="0"/>
              <w:rPr>
                <w:bCs/>
                <w:color w:val="000000" w:themeColor="text1"/>
                <w:sz w:val="21"/>
                <w:szCs w:val="21"/>
              </w:rPr>
            </w:pPr>
          </w:p>
        </w:tc>
        <w:tc>
          <w:tcPr>
            <w:tcW w:w="930" w:type="pct"/>
            <w:tcBorders>
              <w:tl2br w:val="nil"/>
              <w:tr2bl w:val="nil"/>
            </w:tcBorders>
            <w:vAlign w:val="center"/>
          </w:tcPr>
          <w:p w14:paraId="2A56D35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眼睛防护</w:t>
            </w:r>
          </w:p>
        </w:tc>
        <w:tc>
          <w:tcPr>
            <w:tcW w:w="1220" w:type="pct"/>
            <w:gridSpan w:val="3"/>
            <w:tcBorders>
              <w:tl2br w:val="nil"/>
              <w:tr2bl w:val="nil"/>
            </w:tcBorders>
            <w:vAlign w:val="center"/>
          </w:tcPr>
          <w:p w14:paraId="5FF64AE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呼吸系统中已作防护或佩戴防护眼镜。</w:t>
            </w:r>
          </w:p>
        </w:tc>
        <w:tc>
          <w:tcPr>
            <w:tcW w:w="914" w:type="pct"/>
            <w:gridSpan w:val="2"/>
            <w:tcBorders>
              <w:tl2br w:val="nil"/>
              <w:tr2bl w:val="nil"/>
            </w:tcBorders>
            <w:vAlign w:val="center"/>
          </w:tcPr>
          <w:p w14:paraId="06A476C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皮肤和身体防护</w:t>
            </w:r>
          </w:p>
        </w:tc>
        <w:tc>
          <w:tcPr>
            <w:tcW w:w="1348" w:type="pct"/>
            <w:gridSpan w:val="3"/>
            <w:tcBorders>
              <w:tl2br w:val="nil"/>
              <w:tr2bl w:val="nil"/>
            </w:tcBorders>
            <w:vAlign w:val="center"/>
          </w:tcPr>
          <w:p w14:paraId="6E6CA71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穿耐酸碱服。</w:t>
            </w:r>
          </w:p>
        </w:tc>
      </w:tr>
      <w:tr w:rsidR="002E0859" w14:paraId="42E6355C" w14:textId="77777777">
        <w:trPr>
          <w:cantSplit/>
          <w:trHeight w:val="570"/>
          <w:jc w:val="center"/>
        </w:trPr>
        <w:tc>
          <w:tcPr>
            <w:tcW w:w="587" w:type="pct"/>
            <w:vMerge/>
            <w:tcBorders>
              <w:tl2br w:val="nil"/>
              <w:tr2bl w:val="nil"/>
            </w:tcBorders>
            <w:vAlign w:val="center"/>
          </w:tcPr>
          <w:p w14:paraId="6CC5CADB" w14:textId="77777777" w:rsidR="002E0859" w:rsidRDefault="002E0859">
            <w:pPr>
              <w:topLinePunct w:val="0"/>
              <w:spacing w:line="240" w:lineRule="auto"/>
              <w:ind w:firstLineChars="0" w:firstLine="0"/>
              <w:rPr>
                <w:bCs/>
                <w:color w:val="000000" w:themeColor="text1"/>
                <w:sz w:val="21"/>
                <w:szCs w:val="21"/>
              </w:rPr>
            </w:pPr>
          </w:p>
        </w:tc>
        <w:tc>
          <w:tcPr>
            <w:tcW w:w="930" w:type="pct"/>
            <w:tcBorders>
              <w:tl2br w:val="nil"/>
              <w:tr2bl w:val="nil"/>
            </w:tcBorders>
            <w:vAlign w:val="center"/>
          </w:tcPr>
          <w:p w14:paraId="7B0437E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手防护</w:t>
            </w:r>
          </w:p>
        </w:tc>
        <w:tc>
          <w:tcPr>
            <w:tcW w:w="1220" w:type="pct"/>
            <w:gridSpan w:val="3"/>
            <w:tcBorders>
              <w:tl2br w:val="nil"/>
              <w:tr2bl w:val="nil"/>
            </w:tcBorders>
            <w:vAlign w:val="center"/>
          </w:tcPr>
          <w:p w14:paraId="6BE0AA8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戴耐酸碱手套。</w:t>
            </w:r>
          </w:p>
        </w:tc>
        <w:tc>
          <w:tcPr>
            <w:tcW w:w="914" w:type="pct"/>
            <w:gridSpan w:val="2"/>
            <w:tcBorders>
              <w:tl2br w:val="nil"/>
              <w:tr2bl w:val="nil"/>
            </w:tcBorders>
            <w:vAlign w:val="center"/>
          </w:tcPr>
          <w:p w14:paraId="24FBA7C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其他防护</w:t>
            </w:r>
          </w:p>
        </w:tc>
        <w:tc>
          <w:tcPr>
            <w:tcW w:w="1348" w:type="pct"/>
            <w:gridSpan w:val="3"/>
            <w:tcBorders>
              <w:tl2br w:val="nil"/>
              <w:tr2bl w:val="nil"/>
            </w:tcBorders>
            <w:vAlign w:val="center"/>
          </w:tcPr>
          <w:p w14:paraId="6560854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工作场所禁止吸烟、进食和饮水，饭前要洗手。工作完毕，淋浴。注意个人清洁卫生。</w:t>
            </w:r>
          </w:p>
        </w:tc>
      </w:tr>
    </w:tbl>
    <w:p w14:paraId="1499DD38"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氮（压缩的或液化的）</w:t>
      </w:r>
    </w:p>
    <w:p w14:paraId="6DC87C2A" w14:textId="77777777" w:rsidR="002E0859" w:rsidRDefault="00000000">
      <w:pPr>
        <w:pStyle w:val="a0"/>
        <w:spacing w:line="360" w:lineRule="auto"/>
        <w:ind w:firstLine="480"/>
        <w:rPr>
          <w:color w:val="000000" w:themeColor="text1"/>
          <w:sz w:val="24"/>
          <w:szCs w:val="24"/>
        </w:rPr>
      </w:pPr>
      <w:r>
        <w:rPr>
          <w:color w:val="000000" w:themeColor="text1"/>
          <w:sz w:val="24"/>
          <w:szCs w:val="24"/>
        </w:rPr>
        <w:t>本工程在开停工及检修吹扫、系统置换时需要使用氮气。</w:t>
      </w:r>
    </w:p>
    <w:p w14:paraId="3F505AC2" w14:textId="77777777" w:rsidR="002E0859" w:rsidRDefault="00000000">
      <w:pPr>
        <w:pStyle w:val="a0"/>
        <w:spacing w:line="360" w:lineRule="auto"/>
        <w:ind w:firstLine="480"/>
        <w:rPr>
          <w:color w:val="000000" w:themeColor="text1"/>
          <w:sz w:val="24"/>
          <w:szCs w:val="24"/>
        </w:rPr>
      </w:pPr>
      <w:r>
        <w:rPr>
          <w:color w:val="000000" w:themeColor="text1"/>
          <w:sz w:val="24"/>
          <w:szCs w:val="24"/>
        </w:rPr>
        <w:t>氮气为惰性气体，有窒息性，在有限空间内氮气过量，使氧分压下降，会引起缺氧。常压下氮气无毒。当空气中氮含量超过</w:t>
      </w:r>
      <w:r>
        <w:rPr>
          <w:color w:val="000000" w:themeColor="text1"/>
          <w:sz w:val="24"/>
          <w:szCs w:val="24"/>
        </w:rPr>
        <w:t>84%</w:t>
      </w:r>
      <w:r>
        <w:rPr>
          <w:color w:val="000000" w:themeColor="text1"/>
          <w:sz w:val="24"/>
          <w:szCs w:val="24"/>
        </w:rPr>
        <w:t>时，引起吸入氧分压过低，人感觉呼吸不畅，有窒息感；高浓度氮（＞</w:t>
      </w:r>
      <w:r>
        <w:rPr>
          <w:color w:val="000000" w:themeColor="text1"/>
          <w:sz w:val="24"/>
          <w:szCs w:val="24"/>
        </w:rPr>
        <w:t>90%</w:t>
      </w:r>
      <w:r>
        <w:rPr>
          <w:color w:val="000000" w:themeColor="text1"/>
          <w:sz w:val="24"/>
          <w:szCs w:val="24"/>
        </w:rPr>
        <w:t>）可引起单纯性窒息，严重时迅速昏迷；液氮可致冻伤。</w:t>
      </w:r>
    </w:p>
    <w:p w14:paraId="08B695E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氮（压缩的或液化的）</w:t>
      </w:r>
      <w:r>
        <w:rPr>
          <w:color w:val="000000" w:themeColor="text1"/>
          <w:sz w:val="24"/>
          <w:szCs w:val="24"/>
        </w:rPr>
        <w:t>的主要危险有害特性见表</w:t>
      </w:r>
      <w:r>
        <w:rPr>
          <w:rFonts w:hint="eastAsia"/>
          <w:color w:val="000000" w:themeColor="text1"/>
          <w:sz w:val="24"/>
          <w:szCs w:val="24"/>
        </w:rPr>
        <w:t>3.1-11</w:t>
      </w:r>
      <w:r>
        <w:rPr>
          <w:color w:val="000000" w:themeColor="text1"/>
          <w:sz w:val="24"/>
          <w:szCs w:val="24"/>
        </w:rPr>
        <w:t>。</w:t>
      </w:r>
    </w:p>
    <w:p w14:paraId="5FA26995" w14:textId="77777777" w:rsidR="002E0859" w:rsidRDefault="00000000">
      <w:pPr>
        <w:pStyle w:val="a8"/>
        <w:spacing w:before="42" w:line="240" w:lineRule="auto"/>
        <w:ind w:right="102" w:firstLineChars="0" w:firstLine="0"/>
        <w:jc w:val="center"/>
        <w:rPr>
          <w:rFonts w:ascii="Times New Roman" w:hAnsi="Times New Roman" w:cs="Times New Roman"/>
          <w:color w:val="000000" w:themeColor="text1"/>
          <w:sz w:val="24"/>
          <w:szCs w:val="24"/>
          <w:lang w:eastAsia="zh-CN"/>
        </w:rPr>
      </w:pPr>
      <w:r>
        <w:rPr>
          <w:rFonts w:ascii="Times New Roman" w:eastAsia="黑体" w:hAnsi="Times New Roman" w:cs="Times New Roman"/>
          <w:color w:val="000000" w:themeColor="text1"/>
          <w:sz w:val="21"/>
          <w:szCs w:val="21"/>
          <w:lang w:eastAsia="zh-CN"/>
        </w:rPr>
        <w:t>表</w:t>
      </w:r>
      <w:r>
        <w:rPr>
          <w:rFonts w:ascii="Times New Roman" w:eastAsia="黑体" w:hAnsi="Times New Roman" w:cs="Times New Roman"/>
          <w:color w:val="000000" w:themeColor="text1"/>
          <w:sz w:val="21"/>
          <w:szCs w:val="21"/>
          <w:lang w:eastAsia="zh-CN"/>
        </w:rPr>
        <w:t>3.1-</w:t>
      </w:r>
      <w:r>
        <w:rPr>
          <w:rFonts w:ascii="Times New Roman" w:eastAsia="黑体" w:hAnsi="Times New Roman" w:cs="Times New Roman" w:hint="eastAsia"/>
          <w:color w:val="000000" w:themeColor="text1"/>
          <w:sz w:val="21"/>
          <w:szCs w:val="21"/>
          <w:lang w:eastAsia="zh-CN"/>
        </w:rPr>
        <w:t xml:space="preserve">11 </w:t>
      </w:r>
      <w:r>
        <w:rPr>
          <w:rFonts w:ascii="Times New Roman" w:eastAsia="黑体" w:hAnsi="Times New Roman" w:cs="Times New Roman" w:hint="eastAsia"/>
          <w:color w:val="000000" w:themeColor="text1"/>
          <w:sz w:val="21"/>
          <w:szCs w:val="21"/>
          <w:lang w:eastAsia="zh-CN"/>
        </w:rPr>
        <w:t>氮（压缩的或液化的）主要危险有害特性</w:t>
      </w:r>
      <w:r>
        <w:rPr>
          <w:rFonts w:ascii="Times New Roman" w:eastAsia="黑体" w:hAnsi="Times New Roman" w:cs="Times New Roman"/>
          <w:color w:val="000000" w:themeColor="text1"/>
          <w:sz w:val="21"/>
          <w:szCs w:val="21"/>
          <w:lang w:eastAsia="zh-CN"/>
        </w:rPr>
        <w:t>一览表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5"/>
        <w:gridCol w:w="1259"/>
        <w:gridCol w:w="428"/>
        <w:gridCol w:w="355"/>
        <w:gridCol w:w="1112"/>
        <w:gridCol w:w="338"/>
        <w:gridCol w:w="527"/>
        <w:gridCol w:w="574"/>
        <w:gridCol w:w="295"/>
        <w:gridCol w:w="1045"/>
        <w:gridCol w:w="1689"/>
      </w:tblGrid>
      <w:tr w:rsidR="002E0859" w14:paraId="594B3CDB" w14:textId="77777777">
        <w:trPr>
          <w:cantSplit/>
          <w:jc w:val="center"/>
        </w:trPr>
        <w:tc>
          <w:tcPr>
            <w:tcW w:w="833" w:type="pct"/>
            <w:tcBorders>
              <w:tl2br w:val="nil"/>
              <w:tr2bl w:val="nil"/>
            </w:tcBorders>
            <w:vAlign w:val="center"/>
          </w:tcPr>
          <w:p w14:paraId="74B953B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中文名称</w:t>
            </w:r>
          </w:p>
        </w:tc>
        <w:tc>
          <w:tcPr>
            <w:tcW w:w="2197" w:type="pct"/>
            <w:gridSpan w:val="6"/>
            <w:tcBorders>
              <w:tl2br w:val="nil"/>
              <w:tr2bl w:val="nil"/>
            </w:tcBorders>
            <w:vAlign w:val="center"/>
          </w:tcPr>
          <w:p w14:paraId="04CD847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氮</w:t>
            </w:r>
            <w:r>
              <w:rPr>
                <w:rFonts w:hint="eastAsia"/>
                <w:bCs/>
                <w:color w:val="000000" w:themeColor="text1"/>
                <w:sz w:val="21"/>
                <w:szCs w:val="21"/>
                <w:shd w:val="clear" w:color="auto" w:fill="FFFFFF"/>
              </w:rPr>
              <w:t>（</w:t>
            </w:r>
            <w:r>
              <w:rPr>
                <w:bCs/>
                <w:color w:val="000000" w:themeColor="text1"/>
                <w:sz w:val="21"/>
                <w:szCs w:val="21"/>
                <w:shd w:val="clear" w:color="auto" w:fill="FFFFFF"/>
              </w:rPr>
              <w:t>压缩</w:t>
            </w:r>
            <w:r>
              <w:rPr>
                <w:rFonts w:hint="eastAsia"/>
                <w:bCs/>
                <w:color w:val="000000" w:themeColor="text1"/>
                <w:sz w:val="21"/>
                <w:szCs w:val="21"/>
                <w:shd w:val="clear" w:color="auto" w:fill="FFFFFF"/>
              </w:rPr>
              <w:t>的或液化的）</w:t>
            </w:r>
          </w:p>
        </w:tc>
        <w:tc>
          <w:tcPr>
            <w:tcW w:w="1046" w:type="pct"/>
            <w:gridSpan w:val="3"/>
            <w:tcBorders>
              <w:tl2br w:val="nil"/>
              <w:tr2bl w:val="nil"/>
            </w:tcBorders>
            <w:vAlign w:val="center"/>
          </w:tcPr>
          <w:p w14:paraId="5B5FEC7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包装标志</w:t>
            </w:r>
          </w:p>
        </w:tc>
        <w:tc>
          <w:tcPr>
            <w:tcW w:w="922" w:type="pct"/>
            <w:tcBorders>
              <w:tl2br w:val="nil"/>
              <w:tr2bl w:val="nil"/>
            </w:tcBorders>
            <w:vAlign w:val="center"/>
          </w:tcPr>
          <w:p w14:paraId="0A00BC7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非易燃无毒气体</w:t>
            </w:r>
          </w:p>
        </w:tc>
      </w:tr>
      <w:tr w:rsidR="002E0859" w14:paraId="1F1D1487" w14:textId="77777777">
        <w:trPr>
          <w:cantSplit/>
          <w:jc w:val="center"/>
        </w:trPr>
        <w:tc>
          <w:tcPr>
            <w:tcW w:w="833" w:type="pct"/>
            <w:tcBorders>
              <w:tl2br w:val="nil"/>
              <w:tr2bl w:val="nil"/>
            </w:tcBorders>
            <w:vAlign w:val="center"/>
          </w:tcPr>
          <w:p w14:paraId="366A81A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英文名称</w:t>
            </w:r>
          </w:p>
        </w:tc>
        <w:tc>
          <w:tcPr>
            <w:tcW w:w="2197" w:type="pct"/>
            <w:gridSpan w:val="6"/>
            <w:tcBorders>
              <w:tl2br w:val="nil"/>
              <w:tr2bl w:val="nil"/>
            </w:tcBorders>
            <w:vAlign w:val="center"/>
          </w:tcPr>
          <w:p w14:paraId="2EFD240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Compressednitrogen</w:t>
            </w:r>
          </w:p>
        </w:tc>
        <w:tc>
          <w:tcPr>
            <w:tcW w:w="1046" w:type="pct"/>
            <w:gridSpan w:val="3"/>
            <w:tcBorders>
              <w:tl2br w:val="nil"/>
              <w:tr2bl w:val="nil"/>
            </w:tcBorders>
            <w:vAlign w:val="center"/>
          </w:tcPr>
          <w:p w14:paraId="405B44F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包装类别</w:t>
            </w:r>
          </w:p>
        </w:tc>
        <w:tc>
          <w:tcPr>
            <w:tcW w:w="922" w:type="pct"/>
            <w:tcBorders>
              <w:tl2br w:val="nil"/>
              <w:tr2bl w:val="nil"/>
            </w:tcBorders>
            <w:vAlign w:val="center"/>
          </w:tcPr>
          <w:p w14:paraId="08722C6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Ⅲ</w:t>
            </w:r>
          </w:p>
        </w:tc>
      </w:tr>
      <w:tr w:rsidR="002E0859" w14:paraId="0B819E9E" w14:textId="77777777">
        <w:trPr>
          <w:cantSplit/>
          <w:jc w:val="center"/>
        </w:trPr>
        <w:tc>
          <w:tcPr>
            <w:tcW w:w="833" w:type="pct"/>
            <w:tcBorders>
              <w:tl2br w:val="nil"/>
              <w:tr2bl w:val="nil"/>
            </w:tcBorders>
            <w:vAlign w:val="center"/>
          </w:tcPr>
          <w:p w14:paraId="39A9349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UN</w:t>
            </w:r>
            <w:r>
              <w:rPr>
                <w:bCs/>
                <w:color w:val="000000" w:themeColor="text1"/>
                <w:sz w:val="21"/>
                <w:szCs w:val="21"/>
              </w:rPr>
              <w:t>编号</w:t>
            </w:r>
          </w:p>
        </w:tc>
        <w:tc>
          <w:tcPr>
            <w:tcW w:w="2197" w:type="pct"/>
            <w:gridSpan w:val="6"/>
            <w:tcBorders>
              <w:tl2br w:val="nil"/>
              <w:tr2bl w:val="nil"/>
            </w:tcBorders>
            <w:vAlign w:val="center"/>
          </w:tcPr>
          <w:p w14:paraId="2B54665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1066</w:t>
            </w:r>
          </w:p>
        </w:tc>
        <w:tc>
          <w:tcPr>
            <w:tcW w:w="1046" w:type="pct"/>
            <w:gridSpan w:val="3"/>
            <w:tcBorders>
              <w:tl2br w:val="nil"/>
              <w:tr2bl w:val="nil"/>
            </w:tcBorders>
            <w:vAlign w:val="center"/>
          </w:tcPr>
          <w:p w14:paraId="5FE7FD3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CAS</w:t>
            </w:r>
            <w:r>
              <w:rPr>
                <w:bCs/>
                <w:color w:val="000000" w:themeColor="text1"/>
                <w:sz w:val="21"/>
                <w:szCs w:val="21"/>
              </w:rPr>
              <w:t>号</w:t>
            </w:r>
          </w:p>
        </w:tc>
        <w:tc>
          <w:tcPr>
            <w:tcW w:w="922" w:type="pct"/>
            <w:tcBorders>
              <w:tl2br w:val="nil"/>
              <w:tr2bl w:val="nil"/>
            </w:tcBorders>
            <w:vAlign w:val="center"/>
          </w:tcPr>
          <w:p w14:paraId="61EAE5E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7727-37-9</w:t>
            </w:r>
          </w:p>
        </w:tc>
      </w:tr>
      <w:tr w:rsidR="002E0859" w14:paraId="7992FE8E" w14:textId="77777777">
        <w:trPr>
          <w:cantSplit/>
          <w:trHeight w:val="270"/>
          <w:jc w:val="center"/>
        </w:trPr>
        <w:tc>
          <w:tcPr>
            <w:tcW w:w="833" w:type="pct"/>
            <w:vMerge w:val="restart"/>
            <w:tcBorders>
              <w:tl2br w:val="nil"/>
              <w:tr2bl w:val="nil"/>
            </w:tcBorders>
            <w:vAlign w:val="center"/>
          </w:tcPr>
          <w:p w14:paraId="06AEB78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理化特性</w:t>
            </w:r>
          </w:p>
        </w:tc>
        <w:tc>
          <w:tcPr>
            <w:tcW w:w="1116" w:type="pct"/>
            <w:gridSpan w:val="3"/>
            <w:tcBorders>
              <w:tl2br w:val="nil"/>
              <w:tr2bl w:val="nil"/>
            </w:tcBorders>
            <w:vAlign w:val="center"/>
          </w:tcPr>
          <w:p w14:paraId="77C30B8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外观与性状</w:t>
            </w:r>
          </w:p>
        </w:tc>
        <w:tc>
          <w:tcPr>
            <w:tcW w:w="1081" w:type="pct"/>
            <w:gridSpan w:val="3"/>
            <w:tcBorders>
              <w:tl2br w:val="nil"/>
              <w:tr2bl w:val="nil"/>
            </w:tcBorders>
            <w:vAlign w:val="center"/>
          </w:tcPr>
          <w:p w14:paraId="109F472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无色无味压缩气体。</w:t>
            </w:r>
          </w:p>
        </w:tc>
        <w:tc>
          <w:tcPr>
            <w:tcW w:w="1046" w:type="pct"/>
            <w:gridSpan w:val="3"/>
            <w:tcBorders>
              <w:tl2br w:val="nil"/>
              <w:tr2bl w:val="nil"/>
            </w:tcBorders>
            <w:vAlign w:val="center"/>
          </w:tcPr>
          <w:p w14:paraId="4979E46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熔点</w:t>
            </w:r>
            <w:r>
              <w:rPr>
                <w:bCs/>
                <w:color w:val="000000" w:themeColor="text1"/>
                <w:sz w:val="21"/>
                <w:szCs w:val="21"/>
              </w:rPr>
              <w:t>/</w:t>
            </w:r>
            <w:r>
              <w:rPr>
                <w:bCs/>
                <w:color w:val="000000" w:themeColor="text1"/>
                <w:sz w:val="21"/>
                <w:szCs w:val="21"/>
              </w:rPr>
              <w:t>凝固点（</w:t>
            </w:r>
            <w:r>
              <w:rPr>
                <w:bCs/>
                <w:color w:val="000000" w:themeColor="text1"/>
                <w:sz w:val="21"/>
                <w:szCs w:val="21"/>
              </w:rPr>
              <w:t>℃</w:t>
            </w:r>
            <w:r>
              <w:rPr>
                <w:bCs/>
                <w:color w:val="000000" w:themeColor="text1"/>
                <w:sz w:val="21"/>
                <w:szCs w:val="21"/>
              </w:rPr>
              <w:t>）</w:t>
            </w:r>
          </w:p>
        </w:tc>
        <w:tc>
          <w:tcPr>
            <w:tcW w:w="922" w:type="pct"/>
            <w:tcBorders>
              <w:tl2br w:val="nil"/>
              <w:tr2bl w:val="nil"/>
            </w:tcBorders>
            <w:vAlign w:val="center"/>
          </w:tcPr>
          <w:p w14:paraId="643C54E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-209.8</w:t>
            </w:r>
          </w:p>
        </w:tc>
      </w:tr>
      <w:tr w:rsidR="002E0859" w14:paraId="2D64D3B0" w14:textId="77777777">
        <w:trPr>
          <w:cantSplit/>
          <w:trHeight w:val="345"/>
          <w:jc w:val="center"/>
        </w:trPr>
        <w:tc>
          <w:tcPr>
            <w:tcW w:w="833" w:type="pct"/>
            <w:vMerge/>
            <w:tcBorders>
              <w:tl2br w:val="nil"/>
              <w:tr2bl w:val="nil"/>
            </w:tcBorders>
            <w:vAlign w:val="center"/>
          </w:tcPr>
          <w:p w14:paraId="173C9476"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0A18248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相对密度（水＝</w:t>
            </w:r>
            <w:r>
              <w:rPr>
                <w:bCs/>
                <w:color w:val="000000" w:themeColor="text1"/>
                <w:sz w:val="21"/>
                <w:szCs w:val="21"/>
              </w:rPr>
              <w:t>1</w:t>
            </w:r>
            <w:r>
              <w:rPr>
                <w:bCs/>
                <w:color w:val="000000" w:themeColor="text1"/>
                <w:sz w:val="21"/>
                <w:szCs w:val="21"/>
              </w:rPr>
              <w:t>）</w:t>
            </w:r>
          </w:p>
        </w:tc>
        <w:tc>
          <w:tcPr>
            <w:tcW w:w="1081" w:type="pct"/>
            <w:gridSpan w:val="3"/>
            <w:tcBorders>
              <w:tl2br w:val="nil"/>
              <w:tr2bl w:val="nil"/>
            </w:tcBorders>
            <w:vAlign w:val="center"/>
          </w:tcPr>
          <w:p w14:paraId="5B3ED2B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0.81</w:t>
            </w:r>
            <w:r>
              <w:rPr>
                <w:bCs/>
                <w:color w:val="000000" w:themeColor="text1"/>
                <w:sz w:val="21"/>
                <w:szCs w:val="21"/>
              </w:rPr>
              <w:t>（</w:t>
            </w:r>
            <w:r>
              <w:rPr>
                <w:bCs/>
                <w:color w:val="000000" w:themeColor="text1"/>
                <w:sz w:val="21"/>
                <w:szCs w:val="21"/>
              </w:rPr>
              <w:t>-196℃</w:t>
            </w:r>
            <w:r>
              <w:rPr>
                <w:bCs/>
                <w:color w:val="000000" w:themeColor="text1"/>
                <w:sz w:val="21"/>
                <w:szCs w:val="21"/>
              </w:rPr>
              <w:t>）</w:t>
            </w:r>
          </w:p>
        </w:tc>
        <w:tc>
          <w:tcPr>
            <w:tcW w:w="1046" w:type="pct"/>
            <w:gridSpan w:val="3"/>
            <w:tcBorders>
              <w:tl2br w:val="nil"/>
              <w:tr2bl w:val="nil"/>
            </w:tcBorders>
            <w:vAlign w:val="center"/>
          </w:tcPr>
          <w:p w14:paraId="1427B29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沸点、初沸点和沸程（</w:t>
            </w:r>
            <w:r>
              <w:rPr>
                <w:bCs/>
                <w:color w:val="000000" w:themeColor="text1"/>
                <w:sz w:val="21"/>
                <w:szCs w:val="21"/>
              </w:rPr>
              <w:t>℃</w:t>
            </w:r>
            <w:r>
              <w:rPr>
                <w:bCs/>
                <w:color w:val="000000" w:themeColor="text1"/>
                <w:sz w:val="21"/>
                <w:szCs w:val="21"/>
              </w:rPr>
              <w:t>）</w:t>
            </w:r>
          </w:p>
        </w:tc>
        <w:tc>
          <w:tcPr>
            <w:tcW w:w="922" w:type="pct"/>
            <w:tcBorders>
              <w:tl2br w:val="nil"/>
              <w:tr2bl w:val="nil"/>
            </w:tcBorders>
            <w:vAlign w:val="center"/>
          </w:tcPr>
          <w:p w14:paraId="51FB367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-196</w:t>
            </w:r>
          </w:p>
        </w:tc>
      </w:tr>
      <w:tr w:rsidR="002E0859" w14:paraId="41D5C675" w14:textId="77777777">
        <w:trPr>
          <w:cantSplit/>
          <w:trHeight w:val="390"/>
          <w:jc w:val="center"/>
        </w:trPr>
        <w:tc>
          <w:tcPr>
            <w:tcW w:w="833" w:type="pct"/>
            <w:vMerge/>
            <w:tcBorders>
              <w:tl2br w:val="nil"/>
              <w:tr2bl w:val="nil"/>
            </w:tcBorders>
            <w:vAlign w:val="center"/>
          </w:tcPr>
          <w:p w14:paraId="1019CEB9"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491C432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相对蒸气密度</w:t>
            </w:r>
          </w:p>
          <w:p w14:paraId="5C48447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（空气＝</w:t>
            </w:r>
            <w:r>
              <w:rPr>
                <w:bCs/>
                <w:color w:val="000000" w:themeColor="text1"/>
                <w:sz w:val="21"/>
                <w:szCs w:val="21"/>
              </w:rPr>
              <w:t>1</w:t>
            </w:r>
            <w:r>
              <w:rPr>
                <w:bCs/>
                <w:color w:val="000000" w:themeColor="text1"/>
                <w:sz w:val="21"/>
                <w:szCs w:val="21"/>
              </w:rPr>
              <w:t>）</w:t>
            </w:r>
          </w:p>
        </w:tc>
        <w:tc>
          <w:tcPr>
            <w:tcW w:w="1081" w:type="pct"/>
            <w:gridSpan w:val="3"/>
            <w:tcBorders>
              <w:tl2br w:val="nil"/>
              <w:tr2bl w:val="nil"/>
            </w:tcBorders>
            <w:vAlign w:val="center"/>
          </w:tcPr>
          <w:p w14:paraId="5B77969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0.97</w:t>
            </w:r>
          </w:p>
        </w:tc>
        <w:tc>
          <w:tcPr>
            <w:tcW w:w="1046" w:type="pct"/>
            <w:gridSpan w:val="3"/>
            <w:tcBorders>
              <w:tl2br w:val="nil"/>
              <w:tr2bl w:val="nil"/>
            </w:tcBorders>
            <w:vAlign w:val="center"/>
          </w:tcPr>
          <w:p w14:paraId="15DA223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饱和蒸气压（</w:t>
            </w:r>
            <w:r>
              <w:rPr>
                <w:bCs/>
                <w:color w:val="000000" w:themeColor="text1"/>
                <w:sz w:val="21"/>
                <w:szCs w:val="21"/>
              </w:rPr>
              <w:t>kPa</w:t>
            </w:r>
            <w:r>
              <w:rPr>
                <w:bCs/>
                <w:color w:val="000000" w:themeColor="text1"/>
                <w:sz w:val="21"/>
                <w:szCs w:val="21"/>
              </w:rPr>
              <w:t>）</w:t>
            </w:r>
          </w:p>
        </w:tc>
        <w:tc>
          <w:tcPr>
            <w:tcW w:w="922" w:type="pct"/>
            <w:tcBorders>
              <w:tl2br w:val="nil"/>
              <w:tr2bl w:val="nil"/>
            </w:tcBorders>
            <w:vAlign w:val="center"/>
          </w:tcPr>
          <w:p w14:paraId="6C6034C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1026.42</w:t>
            </w:r>
            <w:r>
              <w:rPr>
                <w:bCs/>
                <w:color w:val="000000" w:themeColor="text1"/>
                <w:sz w:val="21"/>
                <w:szCs w:val="21"/>
              </w:rPr>
              <w:t>（</w:t>
            </w:r>
            <w:r>
              <w:rPr>
                <w:bCs/>
                <w:color w:val="000000" w:themeColor="text1"/>
                <w:sz w:val="21"/>
                <w:szCs w:val="21"/>
              </w:rPr>
              <w:t>-173℃</w:t>
            </w:r>
            <w:r>
              <w:rPr>
                <w:bCs/>
                <w:color w:val="000000" w:themeColor="text1"/>
                <w:sz w:val="21"/>
                <w:szCs w:val="21"/>
              </w:rPr>
              <w:t>）</w:t>
            </w:r>
          </w:p>
        </w:tc>
      </w:tr>
      <w:tr w:rsidR="002E0859" w14:paraId="2A37EB8D" w14:textId="77777777">
        <w:trPr>
          <w:cantSplit/>
          <w:trHeight w:val="225"/>
          <w:jc w:val="center"/>
        </w:trPr>
        <w:tc>
          <w:tcPr>
            <w:tcW w:w="833" w:type="pct"/>
            <w:vMerge/>
            <w:tcBorders>
              <w:tl2br w:val="nil"/>
              <w:tr2bl w:val="nil"/>
            </w:tcBorders>
            <w:vAlign w:val="center"/>
          </w:tcPr>
          <w:p w14:paraId="412B3C43"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32B3B44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临界温度（</w:t>
            </w:r>
            <w:r>
              <w:rPr>
                <w:bCs/>
                <w:color w:val="000000" w:themeColor="text1"/>
                <w:sz w:val="21"/>
                <w:szCs w:val="21"/>
              </w:rPr>
              <w:t>℃</w:t>
            </w:r>
            <w:r>
              <w:rPr>
                <w:bCs/>
                <w:color w:val="000000" w:themeColor="text1"/>
                <w:sz w:val="21"/>
                <w:szCs w:val="21"/>
              </w:rPr>
              <w:t>）</w:t>
            </w:r>
          </w:p>
        </w:tc>
        <w:tc>
          <w:tcPr>
            <w:tcW w:w="1081" w:type="pct"/>
            <w:gridSpan w:val="3"/>
            <w:tcBorders>
              <w:tl2br w:val="nil"/>
              <w:tr2bl w:val="nil"/>
            </w:tcBorders>
            <w:vAlign w:val="center"/>
          </w:tcPr>
          <w:p w14:paraId="3318BF4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-147.1</w:t>
            </w:r>
          </w:p>
        </w:tc>
        <w:tc>
          <w:tcPr>
            <w:tcW w:w="1046" w:type="pct"/>
            <w:gridSpan w:val="3"/>
            <w:tcBorders>
              <w:tl2br w:val="nil"/>
              <w:tr2bl w:val="nil"/>
            </w:tcBorders>
            <w:vAlign w:val="center"/>
          </w:tcPr>
          <w:p w14:paraId="576E96F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临界压力（</w:t>
            </w:r>
            <w:r>
              <w:rPr>
                <w:bCs/>
                <w:color w:val="000000" w:themeColor="text1"/>
                <w:sz w:val="21"/>
                <w:szCs w:val="21"/>
              </w:rPr>
              <w:t>MPa</w:t>
            </w:r>
            <w:r>
              <w:rPr>
                <w:bCs/>
                <w:color w:val="000000" w:themeColor="text1"/>
                <w:sz w:val="21"/>
                <w:szCs w:val="21"/>
              </w:rPr>
              <w:t>）</w:t>
            </w:r>
          </w:p>
        </w:tc>
        <w:tc>
          <w:tcPr>
            <w:tcW w:w="922" w:type="pct"/>
            <w:tcBorders>
              <w:tl2br w:val="nil"/>
              <w:tr2bl w:val="nil"/>
            </w:tcBorders>
            <w:vAlign w:val="center"/>
          </w:tcPr>
          <w:p w14:paraId="48A2D7A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3.4</w:t>
            </w:r>
          </w:p>
        </w:tc>
      </w:tr>
      <w:tr w:rsidR="002E0859" w14:paraId="21EA571E" w14:textId="77777777">
        <w:trPr>
          <w:cantSplit/>
          <w:trHeight w:val="422"/>
          <w:jc w:val="center"/>
        </w:trPr>
        <w:tc>
          <w:tcPr>
            <w:tcW w:w="833" w:type="pct"/>
            <w:vMerge/>
            <w:tcBorders>
              <w:tl2br w:val="nil"/>
              <w:tr2bl w:val="nil"/>
            </w:tcBorders>
            <w:vAlign w:val="center"/>
          </w:tcPr>
          <w:p w14:paraId="3E543772"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3FDFE53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爆炸下限〔％（</w:t>
            </w:r>
            <w:r>
              <w:rPr>
                <w:bCs/>
                <w:color w:val="000000" w:themeColor="text1"/>
                <w:sz w:val="21"/>
                <w:szCs w:val="21"/>
              </w:rPr>
              <w:t>V/V</w:t>
            </w:r>
            <w:r>
              <w:rPr>
                <w:bCs/>
                <w:color w:val="000000" w:themeColor="text1"/>
                <w:sz w:val="21"/>
                <w:szCs w:val="21"/>
              </w:rPr>
              <w:t>）〕</w:t>
            </w:r>
          </w:p>
        </w:tc>
        <w:tc>
          <w:tcPr>
            <w:tcW w:w="1081" w:type="pct"/>
            <w:gridSpan w:val="3"/>
            <w:tcBorders>
              <w:tl2br w:val="nil"/>
              <w:tr2bl w:val="nil"/>
            </w:tcBorders>
            <w:vAlign w:val="center"/>
          </w:tcPr>
          <w:p w14:paraId="0B69F9F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c>
          <w:tcPr>
            <w:tcW w:w="1046" w:type="pct"/>
            <w:gridSpan w:val="3"/>
            <w:tcBorders>
              <w:tl2br w:val="nil"/>
              <w:tr2bl w:val="nil"/>
            </w:tcBorders>
            <w:vAlign w:val="center"/>
          </w:tcPr>
          <w:p w14:paraId="7BA6C03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爆炸上限〔％（</w:t>
            </w:r>
            <w:r>
              <w:rPr>
                <w:bCs/>
                <w:color w:val="000000" w:themeColor="text1"/>
                <w:sz w:val="21"/>
                <w:szCs w:val="21"/>
              </w:rPr>
              <w:t>V/V</w:t>
            </w:r>
            <w:r>
              <w:rPr>
                <w:bCs/>
                <w:color w:val="000000" w:themeColor="text1"/>
                <w:sz w:val="21"/>
                <w:szCs w:val="21"/>
              </w:rPr>
              <w:t>）〕</w:t>
            </w:r>
          </w:p>
        </w:tc>
        <w:tc>
          <w:tcPr>
            <w:tcW w:w="922" w:type="pct"/>
            <w:tcBorders>
              <w:tl2br w:val="nil"/>
              <w:tr2bl w:val="nil"/>
            </w:tcBorders>
            <w:vAlign w:val="center"/>
          </w:tcPr>
          <w:p w14:paraId="4729994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r>
      <w:tr w:rsidR="002E0859" w14:paraId="6112873D" w14:textId="77777777">
        <w:trPr>
          <w:cantSplit/>
          <w:trHeight w:val="225"/>
          <w:jc w:val="center"/>
        </w:trPr>
        <w:tc>
          <w:tcPr>
            <w:tcW w:w="833" w:type="pct"/>
            <w:vMerge/>
            <w:tcBorders>
              <w:tl2br w:val="nil"/>
              <w:tr2bl w:val="nil"/>
            </w:tcBorders>
            <w:vAlign w:val="center"/>
          </w:tcPr>
          <w:p w14:paraId="361CEC52"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0EA2D823"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引燃温度（</w:t>
            </w:r>
            <w:r>
              <w:rPr>
                <w:bCs/>
                <w:color w:val="000000" w:themeColor="text1"/>
                <w:sz w:val="21"/>
                <w:szCs w:val="21"/>
              </w:rPr>
              <w:t>℃</w:t>
            </w:r>
            <w:r>
              <w:rPr>
                <w:bCs/>
                <w:color w:val="000000" w:themeColor="text1"/>
                <w:sz w:val="21"/>
                <w:szCs w:val="21"/>
              </w:rPr>
              <w:t>）</w:t>
            </w:r>
          </w:p>
        </w:tc>
        <w:tc>
          <w:tcPr>
            <w:tcW w:w="1081" w:type="pct"/>
            <w:gridSpan w:val="3"/>
            <w:tcBorders>
              <w:tl2br w:val="nil"/>
              <w:tr2bl w:val="nil"/>
            </w:tcBorders>
            <w:vAlign w:val="center"/>
          </w:tcPr>
          <w:p w14:paraId="184A821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c>
          <w:tcPr>
            <w:tcW w:w="1046" w:type="pct"/>
            <w:gridSpan w:val="3"/>
            <w:tcBorders>
              <w:tl2br w:val="nil"/>
              <w:tr2bl w:val="nil"/>
            </w:tcBorders>
            <w:vAlign w:val="center"/>
          </w:tcPr>
          <w:p w14:paraId="7D6DA23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闪点（</w:t>
            </w:r>
            <w:r>
              <w:rPr>
                <w:bCs/>
                <w:color w:val="000000" w:themeColor="text1"/>
                <w:sz w:val="21"/>
                <w:szCs w:val="21"/>
              </w:rPr>
              <w:t>℃</w:t>
            </w:r>
            <w:r>
              <w:rPr>
                <w:bCs/>
                <w:color w:val="000000" w:themeColor="text1"/>
                <w:sz w:val="21"/>
                <w:szCs w:val="21"/>
              </w:rPr>
              <w:t>）</w:t>
            </w:r>
          </w:p>
        </w:tc>
        <w:tc>
          <w:tcPr>
            <w:tcW w:w="922" w:type="pct"/>
            <w:tcBorders>
              <w:tl2br w:val="nil"/>
              <w:tr2bl w:val="nil"/>
            </w:tcBorders>
            <w:vAlign w:val="center"/>
          </w:tcPr>
          <w:p w14:paraId="71F50D7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r>
      <w:tr w:rsidR="002E0859" w14:paraId="4EA6552A" w14:textId="77777777">
        <w:trPr>
          <w:cantSplit/>
          <w:trHeight w:val="225"/>
          <w:jc w:val="center"/>
        </w:trPr>
        <w:tc>
          <w:tcPr>
            <w:tcW w:w="833" w:type="pct"/>
            <w:vMerge/>
            <w:tcBorders>
              <w:tl2br w:val="nil"/>
              <w:tr2bl w:val="nil"/>
            </w:tcBorders>
            <w:vAlign w:val="center"/>
          </w:tcPr>
          <w:p w14:paraId="1EDB167D"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55FA7F6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燃烧热（</w:t>
            </w:r>
            <w:r>
              <w:rPr>
                <w:bCs/>
                <w:color w:val="000000" w:themeColor="text1"/>
                <w:sz w:val="21"/>
                <w:szCs w:val="21"/>
              </w:rPr>
              <w:t>kJ/mol</w:t>
            </w:r>
            <w:r>
              <w:rPr>
                <w:bCs/>
                <w:color w:val="000000" w:themeColor="text1"/>
                <w:sz w:val="21"/>
                <w:szCs w:val="21"/>
              </w:rPr>
              <w:t>）</w:t>
            </w:r>
          </w:p>
        </w:tc>
        <w:tc>
          <w:tcPr>
            <w:tcW w:w="1081" w:type="pct"/>
            <w:gridSpan w:val="3"/>
            <w:tcBorders>
              <w:tl2br w:val="nil"/>
              <w:tr2bl w:val="nil"/>
            </w:tcBorders>
            <w:vAlign w:val="center"/>
          </w:tcPr>
          <w:p w14:paraId="05F6123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不适用</w:t>
            </w:r>
          </w:p>
        </w:tc>
        <w:tc>
          <w:tcPr>
            <w:tcW w:w="1046" w:type="pct"/>
            <w:gridSpan w:val="3"/>
            <w:tcBorders>
              <w:tl2br w:val="nil"/>
              <w:tr2bl w:val="nil"/>
            </w:tcBorders>
            <w:vAlign w:val="center"/>
          </w:tcPr>
          <w:p w14:paraId="4C24CD1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n-</w:t>
            </w:r>
            <w:r>
              <w:rPr>
                <w:bCs/>
                <w:color w:val="000000" w:themeColor="text1"/>
                <w:sz w:val="21"/>
                <w:szCs w:val="21"/>
              </w:rPr>
              <w:t>辛醇</w:t>
            </w:r>
            <w:r>
              <w:rPr>
                <w:bCs/>
                <w:color w:val="000000" w:themeColor="text1"/>
                <w:sz w:val="21"/>
                <w:szCs w:val="21"/>
              </w:rPr>
              <w:t>/</w:t>
            </w:r>
            <w:r>
              <w:rPr>
                <w:bCs/>
                <w:color w:val="000000" w:themeColor="text1"/>
                <w:sz w:val="21"/>
                <w:szCs w:val="21"/>
              </w:rPr>
              <w:t>水分配系数</w:t>
            </w:r>
          </w:p>
        </w:tc>
        <w:tc>
          <w:tcPr>
            <w:tcW w:w="922" w:type="pct"/>
            <w:tcBorders>
              <w:tl2br w:val="nil"/>
              <w:tr2bl w:val="nil"/>
            </w:tcBorders>
            <w:vAlign w:val="center"/>
          </w:tcPr>
          <w:p w14:paraId="3ADD161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0.67</w:t>
            </w:r>
          </w:p>
        </w:tc>
      </w:tr>
      <w:tr w:rsidR="002E0859" w14:paraId="25F57F40" w14:textId="77777777">
        <w:trPr>
          <w:cantSplit/>
          <w:trHeight w:val="368"/>
          <w:jc w:val="center"/>
        </w:trPr>
        <w:tc>
          <w:tcPr>
            <w:tcW w:w="833" w:type="pct"/>
            <w:vMerge/>
            <w:tcBorders>
              <w:tl2br w:val="nil"/>
              <w:tr2bl w:val="nil"/>
            </w:tcBorders>
            <w:vAlign w:val="center"/>
          </w:tcPr>
          <w:p w14:paraId="5E1E050C" w14:textId="77777777" w:rsidR="002E0859" w:rsidRDefault="002E0859">
            <w:pPr>
              <w:topLinePunct w:val="0"/>
              <w:spacing w:line="240" w:lineRule="auto"/>
              <w:ind w:firstLineChars="0" w:firstLine="0"/>
              <w:rPr>
                <w:bCs/>
                <w:color w:val="000000" w:themeColor="text1"/>
                <w:sz w:val="21"/>
                <w:szCs w:val="21"/>
              </w:rPr>
            </w:pPr>
          </w:p>
        </w:tc>
        <w:tc>
          <w:tcPr>
            <w:tcW w:w="1116" w:type="pct"/>
            <w:gridSpan w:val="3"/>
            <w:tcBorders>
              <w:tl2br w:val="nil"/>
              <w:tr2bl w:val="nil"/>
            </w:tcBorders>
            <w:vAlign w:val="center"/>
          </w:tcPr>
          <w:p w14:paraId="40B4809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溶解性</w:t>
            </w:r>
          </w:p>
        </w:tc>
        <w:tc>
          <w:tcPr>
            <w:tcW w:w="3050" w:type="pct"/>
            <w:gridSpan w:val="7"/>
            <w:tcBorders>
              <w:tl2br w:val="nil"/>
              <w:tr2bl w:val="nil"/>
            </w:tcBorders>
            <w:vAlign w:val="center"/>
          </w:tcPr>
          <w:p w14:paraId="67B5010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微溶于水和乙醇，溶于液氨。</w:t>
            </w:r>
          </w:p>
        </w:tc>
      </w:tr>
      <w:tr w:rsidR="002E0859" w14:paraId="1D906E87" w14:textId="77777777">
        <w:trPr>
          <w:cantSplit/>
          <w:jc w:val="center"/>
        </w:trPr>
        <w:tc>
          <w:tcPr>
            <w:tcW w:w="833" w:type="pct"/>
            <w:tcBorders>
              <w:tl2br w:val="nil"/>
              <w:tr2bl w:val="nil"/>
            </w:tcBorders>
            <w:vAlign w:val="center"/>
          </w:tcPr>
          <w:p w14:paraId="561F90F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主要用途</w:t>
            </w:r>
          </w:p>
        </w:tc>
        <w:tc>
          <w:tcPr>
            <w:tcW w:w="4166" w:type="pct"/>
            <w:gridSpan w:val="10"/>
            <w:tcBorders>
              <w:tl2br w:val="nil"/>
              <w:tr2bl w:val="nil"/>
            </w:tcBorders>
            <w:vAlign w:val="center"/>
          </w:tcPr>
          <w:p w14:paraId="14084D7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用于合成氨，制硝酸，用作物质保护剂，冷冻剂。</w:t>
            </w:r>
          </w:p>
        </w:tc>
      </w:tr>
      <w:tr w:rsidR="002E0859" w14:paraId="4FC6A801" w14:textId="77777777">
        <w:trPr>
          <w:cantSplit/>
          <w:jc w:val="center"/>
        </w:trPr>
        <w:tc>
          <w:tcPr>
            <w:tcW w:w="833" w:type="pct"/>
            <w:tcBorders>
              <w:tl2br w:val="nil"/>
              <w:tr2bl w:val="nil"/>
            </w:tcBorders>
            <w:vAlign w:val="center"/>
          </w:tcPr>
          <w:p w14:paraId="48ECEF8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健康危害</w:t>
            </w:r>
          </w:p>
        </w:tc>
        <w:tc>
          <w:tcPr>
            <w:tcW w:w="4166" w:type="pct"/>
            <w:gridSpan w:val="10"/>
            <w:tcBorders>
              <w:tl2br w:val="nil"/>
              <w:tr2bl w:val="nil"/>
            </w:tcBorders>
            <w:vAlign w:val="center"/>
          </w:tcPr>
          <w:p w14:paraId="44AE20FA" w14:textId="77777777" w:rsidR="002E0859" w:rsidRDefault="00000000">
            <w:pPr>
              <w:topLinePunct w:val="0"/>
              <w:spacing w:line="240" w:lineRule="auto"/>
              <w:ind w:firstLineChars="0" w:firstLine="0"/>
              <w:rPr>
                <w:bCs/>
                <w:color w:val="000000" w:themeColor="text1"/>
                <w:sz w:val="21"/>
                <w:szCs w:val="21"/>
              </w:rPr>
            </w:pPr>
            <w:r>
              <w:rPr>
                <w:rFonts w:hint="eastAsia"/>
                <w:bCs/>
                <w:color w:val="000000" w:themeColor="text1"/>
                <w:sz w:val="21"/>
                <w:szCs w:val="21"/>
              </w:rPr>
              <w:t>皮肤接触液氮可致冻伤。</w:t>
            </w:r>
          </w:p>
          <w:p w14:paraId="6733F83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常压下氮气无毒。环境中氮气含量过高，氧气相对减少时，引起单纯性窒息作用。当浓度大于</w:t>
            </w:r>
            <w:r>
              <w:rPr>
                <w:bCs/>
                <w:color w:val="000000" w:themeColor="text1"/>
                <w:sz w:val="21"/>
                <w:szCs w:val="21"/>
              </w:rPr>
              <w:t>84%</w:t>
            </w:r>
            <w:r>
              <w:rPr>
                <w:bCs/>
                <w:color w:val="000000" w:themeColor="text1"/>
                <w:sz w:val="21"/>
                <w:szCs w:val="21"/>
              </w:rPr>
              <w:t>时，出现头痛、头昏、眼花、恶心、呕吐呼吸加快、脉率增加、血压升高、胸部压迫感，甚至失去知觉，出现阵发性痉挛、紫绀、瞳孔缩小等缺氧症状，如不及时脱离环境，可致死亡。氮麻醉出现一系列神经精神症状及共济失调，严重时出现昏迷。</w:t>
            </w:r>
          </w:p>
        </w:tc>
      </w:tr>
      <w:tr w:rsidR="002E0859" w14:paraId="26A4BFF1" w14:textId="77777777">
        <w:trPr>
          <w:cantSplit/>
          <w:jc w:val="center"/>
        </w:trPr>
        <w:tc>
          <w:tcPr>
            <w:tcW w:w="833" w:type="pct"/>
            <w:tcBorders>
              <w:tl2br w:val="nil"/>
              <w:tr2bl w:val="nil"/>
            </w:tcBorders>
            <w:vAlign w:val="center"/>
          </w:tcPr>
          <w:p w14:paraId="13280D8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毒理学资料</w:t>
            </w:r>
          </w:p>
        </w:tc>
        <w:tc>
          <w:tcPr>
            <w:tcW w:w="4166" w:type="pct"/>
            <w:gridSpan w:val="10"/>
            <w:tcBorders>
              <w:tl2br w:val="nil"/>
              <w:tr2bl w:val="nil"/>
            </w:tcBorders>
            <w:vAlign w:val="center"/>
          </w:tcPr>
          <w:p w14:paraId="029B9B6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急性毒性：本品为单纯窒息性气体。</w:t>
            </w:r>
          </w:p>
        </w:tc>
      </w:tr>
      <w:tr w:rsidR="002E0859" w14:paraId="7A9E0975" w14:textId="77777777">
        <w:trPr>
          <w:cantSplit/>
          <w:trHeight w:val="1478"/>
          <w:jc w:val="center"/>
        </w:trPr>
        <w:tc>
          <w:tcPr>
            <w:tcW w:w="833" w:type="pct"/>
            <w:tcBorders>
              <w:tl2br w:val="nil"/>
              <w:tr2bl w:val="nil"/>
            </w:tcBorders>
            <w:vAlign w:val="center"/>
          </w:tcPr>
          <w:p w14:paraId="1964430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消防措施</w:t>
            </w:r>
          </w:p>
        </w:tc>
        <w:tc>
          <w:tcPr>
            <w:tcW w:w="4166" w:type="pct"/>
            <w:gridSpan w:val="10"/>
            <w:tcBorders>
              <w:tl2br w:val="nil"/>
              <w:tr2bl w:val="nil"/>
            </w:tcBorders>
            <w:vAlign w:val="center"/>
          </w:tcPr>
          <w:p w14:paraId="366BBF5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特别危险性：本品不燃。无特殊燃爆特性。内装加压气体，如受热可爆炸。</w:t>
            </w:r>
          </w:p>
          <w:p w14:paraId="5E98C3C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灭火方法和灭火剂：从上风向进入火场，喷水冷却容器，可能的话将容器从火场移至空旷处。本品不燃，根据火灾原因选择适当的灭火剂灭火。</w:t>
            </w:r>
          </w:p>
          <w:p w14:paraId="259C5CB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特殊灭火方法及保护消防人员特殊的防护装备：喷水冷却容器，可能的话将容器从火场移至空旷处。</w:t>
            </w:r>
          </w:p>
        </w:tc>
      </w:tr>
      <w:tr w:rsidR="002E0859" w14:paraId="709BDD41" w14:textId="77777777">
        <w:trPr>
          <w:cantSplit/>
          <w:trHeight w:val="411"/>
          <w:jc w:val="center"/>
        </w:trPr>
        <w:tc>
          <w:tcPr>
            <w:tcW w:w="833" w:type="pct"/>
            <w:vMerge w:val="restart"/>
            <w:tcBorders>
              <w:tl2br w:val="nil"/>
              <w:tr2bl w:val="nil"/>
            </w:tcBorders>
            <w:vAlign w:val="center"/>
          </w:tcPr>
          <w:p w14:paraId="1BDDCF0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稳定性和反应活性</w:t>
            </w:r>
          </w:p>
        </w:tc>
        <w:tc>
          <w:tcPr>
            <w:tcW w:w="922" w:type="pct"/>
            <w:gridSpan w:val="2"/>
            <w:tcBorders>
              <w:tl2br w:val="nil"/>
              <w:tr2bl w:val="nil"/>
            </w:tcBorders>
            <w:vAlign w:val="center"/>
          </w:tcPr>
          <w:p w14:paraId="275D282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稳定性</w:t>
            </w:r>
          </w:p>
        </w:tc>
        <w:tc>
          <w:tcPr>
            <w:tcW w:w="802" w:type="pct"/>
            <w:gridSpan w:val="2"/>
            <w:tcBorders>
              <w:tl2br w:val="nil"/>
              <w:tr2bl w:val="nil"/>
            </w:tcBorders>
            <w:vAlign w:val="center"/>
          </w:tcPr>
          <w:p w14:paraId="3BDB02E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稳定</w:t>
            </w:r>
          </w:p>
        </w:tc>
        <w:tc>
          <w:tcPr>
            <w:tcW w:w="787" w:type="pct"/>
            <w:gridSpan w:val="3"/>
            <w:tcBorders>
              <w:tl2br w:val="nil"/>
              <w:tr2bl w:val="nil"/>
            </w:tcBorders>
            <w:vAlign w:val="center"/>
          </w:tcPr>
          <w:p w14:paraId="5C0AB5A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危险分解产物</w:t>
            </w:r>
          </w:p>
        </w:tc>
        <w:tc>
          <w:tcPr>
            <w:tcW w:w="1654" w:type="pct"/>
            <w:gridSpan w:val="3"/>
            <w:tcBorders>
              <w:tl2br w:val="nil"/>
              <w:tr2bl w:val="nil"/>
            </w:tcBorders>
            <w:vAlign w:val="center"/>
          </w:tcPr>
          <w:p w14:paraId="21E8875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无</w:t>
            </w:r>
          </w:p>
        </w:tc>
      </w:tr>
      <w:tr w:rsidR="002E0859" w14:paraId="74943E3A" w14:textId="77777777">
        <w:trPr>
          <w:cantSplit/>
          <w:trHeight w:val="411"/>
          <w:jc w:val="center"/>
        </w:trPr>
        <w:tc>
          <w:tcPr>
            <w:tcW w:w="833" w:type="pct"/>
            <w:vMerge/>
            <w:tcBorders>
              <w:tl2br w:val="nil"/>
              <w:tr2bl w:val="nil"/>
            </w:tcBorders>
            <w:vAlign w:val="center"/>
          </w:tcPr>
          <w:p w14:paraId="2683F49C" w14:textId="77777777" w:rsidR="002E0859" w:rsidRDefault="002E0859">
            <w:pPr>
              <w:topLinePunct w:val="0"/>
              <w:spacing w:line="240" w:lineRule="auto"/>
              <w:ind w:firstLineChars="0" w:firstLine="0"/>
              <w:rPr>
                <w:bCs/>
                <w:color w:val="000000" w:themeColor="text1"/>
                <w:sz w:val="21"/>
                <w:szCs w:val="21"/>
              </w:rPr>
            </w:pPr>
          </w:p>
        </w:tc>
        <w:tc>
          <w:tcPr>
            <w:tcW w:w="922" w:type="pct"/>
            <w:gridSpan w:val="2"/>
            <w:tcBorders>
              <w:tl2br w:val="nil"/>
              <w:tr2bl w:val="nil"/>
            </w:tcBorders>
            <w:vAlign w:val="center"/>
          </w:tcPr>
          <w:p w14:paraId="2F4BD10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避免接触条件</w:t>
            </w:r>
          </w:p>
        </w:tc>
        <w:tc>
          <w:tcPr>
            <w:tcW w:w="802" w:type="pct"/>
            <w:gridSpan w:val="2"/>
            <w:tcBorders>
              <w:tl2br w:val="nil"/>
              <w:tr2bl w:val="nil"/>
            </w:tcBorders>
            <w:vAlign w:val="center"/>
          </w:tcPr>
          <w:p w14:paraId="0A9EB08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高热</w:t>
            </w:r>
          </w:p>
        </w:tc>
        <w:tc>
          <w:tcPr>
            <w:tcW w:w="787" w:type="pct"/>
            <w:gridSpan w:val="3"/>
            <w:tcBorders>
              <w:tl2br w:val="nil"/>
              <w:tr2bl w:val="nil"/>
            </w:tcBorders>
            <w:vAlign w:val="center"/>
          </w:tcPr>
          <w:p w14:paraId="04E7846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禁配物</w:t>
            </w:r>
          </w:p>
        </w:tc>
        <w:tc>
          <w:tcPr>
            <w:tcW w:w="1654" w:type="pct"/>
            <w:gridSpan w:val="3"/>
            <w:tcBorders>
              <w:tl2br w:val="nil"/>
              <w:tr2bl w:val="nil"/>
            </w:tcBorders>
            <w:vAlign w:val="center"/>
          </w:tcPr>
          <w:p w14:paraId="40CF87A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镁粉、易燃物或可燃物等</w:t>
            </w:r>
          </w:p>
        </w:tc>
      </w:tr>
      <w:tr w:rsidR="002E0859" w14:paraId="1A5404D0" w14:textId="77777777">
        <w:trPr>
          <w:cantSplit/>
          <w:jc w:val="center"/>
        </w:trPr>
        <w:tc>
          <w:tcPr>
            <w:tcW w:w="833" w:type="pct"/>
            <w:tcBorders>
              <w:tl2br w:val="nil"/>
              <w:tr2bl w:val="nil"/>
            </w:tcBorders>
            <w:vAlign w:val="center"/>
          </w:tcPr>
          <w:p w14:paraId="76241D1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操作处置</w:t>
            </w:r>
          </w:p>
        </w:tc>
        <w:tc>
          <w:tcPr>
            <w:tcW w:w="4166" w:type="pct"/>
            <w:gridSpan w:val="10"/>
            <w:tcBorders>
              <w:tl2br w:val="nil"/>
              <w:tr2bl w:val="nil"/>
            </w:tcBorders>
            <w:vAlign w:val="center"/>
          </w:tcPr>
          <w:p w14:paraId="627E176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密闭操作，提供良好的自然通风条件。操作人员必须经过专门培训，严格遵守操作规程。防止气体泄漏到工作场所空气中。搬运时轻装轻卸，防止钢瓶及附件破损。配备泄漏应急处理设备。</w:t>
            </w:r>
          </w:p>
        </w:tc>
      </w:tr>
      <w:tr w:rsidR="002E0859" w14:paraId="0A335168" w14:textId="77777777">
        <w:trPr>
          <w:cantSplit/>
          <w:trHeight w:val="568"/>
          <w:jc w:val="center"/>
        </w:trPr>
        <w:tc>
          <w:tcPr>
            <w:tcW w:w="833" w:type="pct"/>
            <w:tcBorders>
              <w:tl2br w:val="nil"/>
              <w:tr2bl w:val="nil"/>
            </w:tcBorders>
            <w:vAlign w:val="center"/>
          </w:tcPr>
          <w:p w14:paraId="24495CD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储存注意事项</w:t>
            </w:r>
          </w:p>
        </w:tc>
        <w:tc>
          <w:tcPr>
            <w:tcW w:w="4166" w:type="pct"/>
            <w:gridSpan w:val="10"/>
            <w:tcBorders>
              <w:tl2br w:val="nil"/>
              <w:tr2bl w:val="nil"/>
            </w:tcBorders>
            <w:vAlign w:val="center"/>
          </w:tcPr>
          <w:p w14:paraId="2D7C075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储存于阴凉、通风的库房。远离火种、热源。库温不超过</w:t>
            </w:r>
            <w:r>
              <w:rPr>
                <w:bCs/>
                <w:color w:val="000000" w:themeColor="text1"/>
                <w:sz w:val="21"/>
                <w:szCs w:val="21"/>
                <w:shd w:val="clear" w:color="auto" w:fill="FFFFFF"/>
              </w:rPr>
              <w:t>30℃</w:t>
            </w:r>
            <w:r>
              <w:rPr>
                <w:bCs/>
                <w:color w:val="000000" w:themeColor="text1"/>
                <w:sz w:val="21"/>
                <w:szCs w:val="21"/>
                <w:shd w:val="clear" w:color="auto" w:fill="FFFFFF"/>
              </w:rPr>
              <w:t>。与镁粉、易燃物或可燃物等分开存放，切忌混储。储区应备有泄漏应急处理设备。</w:t>
            </w:r>
          </w:p>
        </w:tc>
      </w:tr>
      <w:tr w:rsidR="002E0859" w14:paraId="55596A28" w14:textId="77777777">
        <w:trPr>
          <w:cantSplit/>
          <w:jc w:val="center"/>
        </w:trPr>
        <w:tc>
          <w:tcPr>
            <w:tcW w:w="833" w:type="pct"/>
            <w:tcBorders>
              <w:tl2br w:val="nil"/>
              <w:tr2bl w:val="nil"/>
            </w:tcBorders>
            <w:vAlign w:val="center"/>
          </w:tcPr>
          <w:p w14:paraId="6DC6B55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运输注意事项</w:t>
            </w:r>
          </w:p>
        </w:tc>
        <w:tc>
          <w:tcPr>
            <w:tcW w:w="4166" w:type="pct"/>
            <w:gridSpan w:val="10"/>
            <w:tcBorders>
              <w:tl2br w:val="nil"/>
              <w:tr2bl w:val="nil"/>
            </w:tcBorders>
            <w:vAlign w:val="center"/>
          </w:tcPr>
          <w:p w14:paraId="7B285532"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采用钢瓶运输时必须戴好钢瓶上的安全帽。钢瓶一般平放，并应将瓶口朝同一方向，不可交叉；高度不得超过车辆的防护栏板，并用三角木垫卡牢，防止滚动。严禁与镁粉、易燃物或可燃物等混装混运。夏季应早晚运输，防止日光曝晒。铁路运输时要禁止溜放。</w:t>
            </w:r>
          </w:p>
        </w:tc>
      </w:tr>
      <w:tr w:rsidR="002E0859" w14:paraId="16F211A7" w14:textId="77777777">
        <w:trPr>
          <w:cantSplit/>
          <w:jc w:val="center"/>
        </w:trPr>
        <w:tc>
          <w:tcPr>
            <w:tcW w:w="833" w:type="pct"/>
            <w:tcBorders>
              <w:tl2br w:val="nil"/>
              <w:tr2bl w:val="nil"/>
            </w:tcBorders>
            <w:vAlign w:val="center"/>
          </w:tcPr>
          <w:p w14:paraId="624A584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急救措施</w:t>
            </w:r>
          </w:p>
        </w:tc>
        <w:tc>
          <w:tcPr>
            <w:tcW w:w="4166" w:type="pct"/>
            <w:gridSpan w:val="10"/>
            <w:tcBorders>
              <w:tl2br w:val="nil"/>
              <w:tr2bl w:val="nil"/>
            </w:tcBorders>
            <w:vAlign w:val="center"/>
          </w:tcPr>
          <w:p w14:paraId="592943CE"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皮肤接触：不会通过该途径接触。</w:t>
            </w:r>
          </w:p>
          <w:p w14:paraId="1F1B0F8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眼睛接触：不会通过该途径接触。</w:t>
            </w:r>
          </w:p>
          <w:p w14:paraId="6C2F71C7"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吸入：将患者转移到空气新鲜处，休息，保持利于呼吸的体位。</w:t>
            </w:r>
          </w:p>
          <w:p w14:paraId="732CC0E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食入：不会通过该途径接触。</w:t>
            </w:r>
          </w:p>
        </w:tc>
      </w:tr>
      <w:tr w:rsidR="002E0859" w14:paraId="4CDC8826" w14:textId="77777777">
        <w:trPr>
          <w:cantSplit/>
          <w:jc w:val="center"/>
        </w:trPr>
        <w:tc>
          <w:tcPr>
            <w:tcW w:w="833" w:type="pct"/>
            <w:tcBorders>
              <w:tl2br w:val="nil"/>
              <w:tr2bl w:val="nil"/>
            </w:tcBorders>
            <w:vAlign w:val="center"/>
          </w:tcPr>
          <w:p w14:paraId="5F9BE72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泄漏应急处理</w:t>
            </w:r>
          </w:p>
        </w:tc>
        <w:tc>
          <w:tcPr>
            <w:tcW w:w="4166" w:type="pct"/>
            <w:gridSpan w:val="10"/>
            <w:tcBorders>
              <w:tl2br w:val="nil"/>
              <w:tr2bl w:val="nil"/>
            </w:tcBorders>
            <w:vAlign w:val="center"/>
          </w:tcPr>
          <w:p w14:paraId="7AFF481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作业人员防护措施、防护装备和应急处置程序：根据气体扩散的影响区域划定警戒区，无关人员从侧风、上风向撤离至安全区。建议应急处理人员佩戴正压自给式呼吸器，穿防寒服。尽可能切断泄漏源。</w:t>
            </w:r>
          </w:p>
          <w:p w14:paraId="2E7E59E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环境保护措施：防止气体通过下水道、通风系统和受限空间扩散。</w:t>
            </w:r>
          </w:p>
          <w:p w14:paraId="404CA76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泄漏化学品的收容、清除方法及所使用的处置材料：隔离并通风泄漏区直至气体散尽。</w:t>
            </w:r>
          </w:p>
          <w:p w14:paraId="57BEC6C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防止发生次生危害的预防措施：妥善处理泄漏物和容器。</w:t>
            </w:r>
          </w:p>
        </w:tc>
      </w:tr>
      <w:tr w:rsidR="002E0859" w14:paraId="0C04E4F0" w14:textId="77777777">
        <w:trPr>
          <w:cantSplit/>
          <w:jc w:val="center"/>
        </w:trPr>
        <w:tc>
          <w:tcPr>
            <w:tcW w:w="833" w:type="pct"/>
            <w:tcBorders>
              <w:tl2br w:val="nil"/>
              <w:tr2bl w:val="nil"/>
            </w:tcBorders>
            <w:vAlign w:val="center"/>
          </w:tcPr>
          <w:p w14:paraId="435FFB10"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废弃处置方法</w:t>
            </w:r>
          </w:p>
        </w:tc>
        <w:tc>
          <w:tcPr>
            <w:tcW w:w="4166" w:type="pct"/>
            <w:gridSpan w:val="10"/>
            <w:tcBorders>
              <w:tl2br w:val="nil"/>
              <w:tr2bl w:val="nil"/>
            </w:tcBorders>
            <w:vAlign w:val="center"/>
          </w:tcPr>
          <w:p w14:paraId="542F65CF"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产品：废气直接排入大气中。</w:t>
            </w:r>
          </w:p>
          <w:p w14:paraId="39619D9A"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不洁的包装：将容器返还生产商，或按照国家和地方法规处置。</w:t>
            </w:r>
          </w:p>
          <w:p w14:paraId="70E7E9E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废弃注意事项：处置前，参阅国家和地方有关法规。</w:t>
            </w:r>
          </w:p>
        </w:tc>
      </w:tr>
      <w:tr w:rsidR="002E0859" w14:paraId="69E3C9EE" w14:textId="77777777">
        <w:trPr>
          <w:cantSplit/>
          <w:trHeight w:val="386"/>
          <w:jc w:val="center"/>
        </w:trPr>
        <w:tc>
          <w:tcPr>
            <w:tcW w:w="833" w:type="pct"/>
            <w:vMerge w:val="restart"/>
            <w:tcBorders>
              <w:tl2br w:val="nil"/>
              <w:tr2bl w:val="nil"/>
            </w:tcBorders>
            <w:vAlign w:val="center"/>
          </w:tcPr>
          <w:p w14:paraId="32CF90A6"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个体防护</w:t>
            </w:r>
          </w:p>
        </w:tc>
        <w:tc>
          <w:tcPr>
            <w:tcW w:w="688" w:type="pct"/>
            <w:tcBorders>
              <w:tl2br w:val="nil"/>
              <w:tr2bl w:val="nil"/>
            </w:tcBorders>
            <w:vAlign w:val="center"/>
          </w:tcPr>
          <w:p w14:paraId="5FECF264"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工程控制</w:t>
            </w:r>
          </w:p>
        </w:tc>
        <w:tc>
          <w:tcPr>
            <w:tcW w:w="1221" w:type="pct"/>
            <w:gridSpan w:val="4"/>
            <w:tcBorders>
              <w:tl2br w:val="nil"/>
              <w:tr2bl w:val="nil"/>
            </w:tcBorders>
            <w:vAlign w:val="center"/>
          </w:tcPr>
          <w:p w14:paraId="201BC81D"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密闭操作，提供良好的自然通风条件。</w:t>
            </w:r>
          </w:p>
        </w:tc>
        <w:tc>
          <w:tcPr>
            <w:tcW w:w="763" w:type="pct"/>
            <w:gridSpan w:val="3"/>
            <w:tcBorders>
              <w:tl2br w:val="nil"/>
              <w:tr2bl w:val="nil"/>
            </w:tcBorders>
            <w:vAlign w:val="center"/>
          </w:tcPr>
          <w:p w14:paraId="64D8B59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呼吸系统防护</w:t>
            </w:r>
          </w:p>
        </w:tc>
        <w:tc>
          <w:tcPr>
            <w:tcW w:w="1493" w:type="pct"/>
            <w:gridSpan w:val="2"/>
            <w:tcBorders>
              <w:tl2br w:val="nil"/>
              <w:tr2bl w:val="nil"/>
            </w:tcBorders>
            <w:vAlign w:val="center"/>
          </w:tcPr>
          <w:p w14:paraId="68BB060B"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一般不需特殊防护。当作业场所空气中氧气浓度低于</w:t>
            </w:r>
            <w:r>
              <w:rPr>
                <w:bCs/>
                <w:color w:val="000000" w:themeColor="text1"/>
                <w:sz w:val="21"/>
                <w:szCs w:val="21"/>
                <w:shd w:val="clear" w:color="auto" w:fill="FFFFFF"/>
              </w:rPr>
              <w:t>18%</w:t>
            </w:r>
            <w:r>
              <w:rPr>
                <w:bCs/>
                <w:color w:val="000000" w:themeColor="text1"/>
                <w:sz w:val="21"/>
                <w:szCs w:val="21"/>
                <w:shd w:val="clear" w:color="auto" w:fill="FFFFFF"/>
              </w:rPr>
              <w:t>时，必须佩戴空气呼吸器、氧气呼吸器或长管面具。</w:t>
            </w:r>
          </w:p>
        </w:tc>
      </w:tr>
      <w:tr w:rsidR="002E0859" w14:paraId="1229A5D4" w14:textId="77777777">
        <w:trPr>
          <w:cantSplit/>
          <w:trHeight w:val="321"/>
          <w:jc w:val="center"/>
        </w:trPr>
        <w:tc>
          <w:tcPr>
            <w:tcW w:w="833" w:type="pct"/>
            <w:vMerge/>
            <w:tcBorders>
              <w:tl2br w:val="nil"/>
              <w:tr2bl w:val="nil"/>
            </w:tcBorders>
            <w:vAlign w:val="center"/>
          </w:tcPr>
          <w:p w14:paraId="62C6ABEA" w14:textId="77777777" w:rsidR="002E0859" w:rsidRDefault="002E0859">
            <w:pPr>
              <w:topLinePunct w:val="0"/>
              <w:spacing w:line="240" w:lineRule="auto"/>
              <w:ind w:firstLineChars="0" w:firstLine="0"/>
              <w:rPr>
                <w:bCs/>
                <w:color w:val="000000" w:themeColor="text1"/>
                <w:sz w:val="21"/>
                <w:szCs w:val="21"/>
              </w:rPr>
            </w:pPr>
          </w:p>
        </w:tc>
        <w:tc>
          <w:tcPr>
            <w:tcW w:w="688" w:type="pct"/>
            <w:tcBorders>
              <w:tl2br w:val="nil"/>
              <w:tr2bl w:val="nil"/>
            </w:tcBorders>
            <w:vAlign w:val="center"/>
          </w:tcPr>
          <w:p w14:paraId="7ABE24E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眼睛防护</w:t>
            </w:r>
          </w:p>
        </w:tc>
        <w:tc>
          <w:tcPr>
            <w:tcW w:w="1221" w:type="pct"/>
            <w:gridSpan w:val="4"/>
            <w:tcBorders>
              <w:tl2br w:val="nil"/>
              <w:tr2bl w:val="nil"/>
            </w:tcBorders>
            <w:vAlign w:val="center"/>
          </w:tcPr>
          <w:p w14:paraId="6B9A4CD1"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一般不需特殊防护，高浓度可佩戴安全防护眼镜。</w:t>
            </w:r>
          </w:p>
        </w:tc>
        <w:tc>
          <w:tcPr>
            <w:tcW w:w="763" w:type="pct"/>
            <w:gridSpan w:val="3"/>
            <w:tcBorders>
              <w:tl2br w:val="nil"/>
              <w:tr2bl w:val="nil"/>
            </w:tcBorders>
            <w:vAlign w:val="center"/>
          </w:tcPr>
          <w:p w14:paraId="1981CFD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皮肤和身体防护</w:t>
            </w:r>
          </w:p>
        </w:tc>
        <w:tc>
          <w:tcPr>
            <w:tcW w:w="1493" w:type="pct"/>
            <w:gridSpan w:val="2"/>
            <w:tcBorders>
              <w:tl2br w:val="nil"/>
              <w:tr2bl w:val="nil"/>
            </w:tcBorders>
            <w:vAlign w:val="center"/>
          </w:tcPr>
          <w:p w14:paraId="240FEDFC"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穿一般作业工作服。</w:t>
            </w:r>
          </w:p>
        </w:tc>
      </w:tr>
      <w:tr w:rsidR="002E0859" w14:paraId="3A9B65C7" w14:textId="77777777">
        <w:trPr>
          <w:cantSplit/>
          <w:trHeight w:val="570"/>
          <w:jc w:val="center"/>
        </w:trPr>
        <w:tc>
          <w:tcPr>
            <w:tcW w:w="833" w:type="pct"/>
            <w:vMerge/>
            <w:tcBorders>
              <w:tl2br w:val="nil"/>
              <w:tr2bl w:val="nil"/>
            </w:tcBorders>
            <w:vAlign w:val="center"/>
          </w:tcPr>
          <w:p w14:paraId="62CB8237" w14:textId="77777777" w:rsidR="002E0859" w:rsidRDefault="002E0859">
            <w:pPr>
              <w:topLinePunct w:val="0"/>
              <w:spacing w:line="240" w:lineRule="auto"/>
              <w:ind w:firstLineChars="0" w:firstLine="0"/>
              <w:rPr>
                <w:bCs/>
                <w:color w:val="000000" w:themeColor="text1"/>
                <w:sz w:val="21"/>
                <w:szCs w:val="21"/>
              </w:rPr>
            </w:pPr>
          </w:p>
        </w:tc>
        <w:tc>
          <w:tcPr>
            <w:tcW w:w="688" w:type="pct"/>
            <w:tcBorders>
              <w:tl2br w:val="nil"/>
              <w:tr2bl w:val="nil"/>
            </w:tcBorders>
            <w:vAlign w:val="center"/>
          </w:tcPr>
          <w:p w14:paraId="344F6DC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手防护</w:t>
            </w:r>
          </w:p>
        </w:tc>
        <w:tc>
          <w:tcPr>
            <w:tcW w:w="1221" w:type="pct"/>
            <w:gridSpan w:val="4"/>
            <w:tcBorders>
              <w:tl2br w:val="nil"/>
              <w:tr2bl w:val="nil"/>
            </w:tcBorders>
            <w:vAlign w:val="center"/>
          </w:tcPr>
          <w:p w14:paraId="6632E6B8"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戴一般作业防护手套。</w:t>
            </w:r>
          </w:p>
        </w:tc>
        <w:tc>
          <w:tcPr>
            <w:tcW w:w="763" w:type="pct"/>
            <w:gridSpan w:val="3"/>
            <w:tcBorders>
              <w:tl2br w:val="nil"/>
              <w:tr2bl w:val="nil"/>
            </w:tcBorders>
            <w:vAlign w:val="center"/>
          </w:tcPr>
          <w:p w14:paraId="49CA1DF9"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rPr>
              <w:t>其他防护</w:t>
            </w:r>
          </w:p>
        </w:tc>
        <w:tc>
          <w:tcPr>
            <w:tcW w:w="1493" w:type="pct"/>
            <w:gridSpan w:val="2"/>
            <w:tcBorders>
              <w:tl2br w:val="nil"/>
              <w:tr2bl w:val="nil"/>
            </w:tcBorders>
            <w:vAlign w:val="center"/>
          </w:tcPr>
          <w:p w14:paraId="69ECC055" w14:textId="77777777" w:rsidR="002E0859" w:rsidRDefault="00000000">
            <w:pPr>
              <w:topLinePunct w:val="0"/>
              <w:spacing w:line="240" w:lineRule="auto"/>
              <w:ind w:firstLineChars="0" w:firstLine="0"/>
              <w:rPr>
                <w:bCs/>
                <w:color w:val="000000" w:themeColor="text1"/>
                <w:sz w:val="21"/>
                <w:szCs w:val="21"/>
              </w:rPr>
            </w:pPr>
            <w:r>
              <w:rPr>
                <w:bCs/>
                <w:color w:val="000000" w:themeColor="text1"/>
                <w:sz w:val="21"/>
                <w:szCs w:val="21"/>
                <w:shd w:val="clear" w:color="auto" w:fill="FFFFFF"/>
              </w:rPr>
              <w:t>避免高浓度吸入。进入罐、受限空间或其它高浓度区作业，须有人监护。</w:t>
            </w:r>
          </w:p>
        </w:tc>
      </w:tr>
    </w:tbl>
    <w:p w14:paraId="769C6885" w14:textId="77777777" w:rsidR="002E0859" w:rsidRDefault="00000000">
      <w:pPr>
        <w:pStyle w:val="4"/>
        <w:keepNext w:val="0"/>
        <w:keepLines w:val="0"/>
        <w:spacing w:beforeLines="50" w:before="120" w:line="360" w:lineRule="auto"/>
        <w:rPr>
          <w:color w:val="000000" w:themeColor="text1"/>
          <w:sz w:val="24"/>
          <w:szCs w:val="24"/>
        </w:rPr>
      </w:pPr>
      <w:r>
        <w:rPr>
          <w:rFonts w:hint="eastAsia"/>
          <w:color w:val="000000" w:themeColor="text1"/>
          <w:sz w:val="24"/>
          <w:szCs w:val="24"/>
        </w:rPr>
        <w:t>钻井液</w:t>
      </w:r>
    </w:p>
    <w:p w14:paraId="69629F5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钻井液是用于钻井工艺中的一种循环液体。其主要功能是净化井底，携带岩屑，增加井壁的稳定性和防止井下发生卡、塌、漏、喷等问题。</w:t>
      </w:r>
    </w:p>
    <w:p w14:paraId="0788A61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钻井液主要由水、粘土、化学处理剂和加重剂等物质混合而成。具有一定的密度、粘度、切力、失水、泥饼、固相含量、</w:t>
      </w:r>
      <w:r>
        <w:rPr>
          <w:rFonts w:hint="eastAsia"/>
          <w:color w:val="000000" w:themeColor="text1"/>
          <w:sz w:val="24"/>
          <w:szCs w:val="24"/>
        </w:rPr>
        <w:t>PH</w:t>
      </w:r>
      <w:r>
        <w:rPr>
          <w:rFonts w:hint="eastAsia"/>
          <w:color w:val="000000" w:themeColor="text1"/>
          <w:sz w:val="24"/>
          <w:szCs w:val="24"/>
        </w:rPr>
        <w:t>值等性能指标要求，以满足安全、优质、快捷钻井的需要。钻井液的</w:t>
      </w:r>
      <w:r>
        <w:rPr>
          <w:rFonts w:hint="eastAsia"/>
          <w:color w:val="000000" w:themeColor="text1"/>
          <w:sz w:val="24"/>
          <w:szCs w:val="24"/>
        </w:rPr>
        <w:t>PH</w:t>
      </w:r>
      <w:r>
        <w:rPr>
          <w:rFonts w:hint="eastAsia"/>
          <w:color w:val="000000" w:themeColor="text1"/>
          <w:sz w:val="24"/>
          <w:szCs w:val="24"/>
        </w:rPr>
        <w:t>值较高，易对人的皮肤造成烧伤。化学处理剂大多是粉状的，加入过程中有粉尘污染，对人体呼吸道和肺部造成损害。含有的杀菌剂有强烈的杀生作用，对人或哺乳动物，特别是水生动物（鱼类）都有很大的毒性。可以引起急性和慢性中毒。</w:t>
      </w:r>
    </w:p>
    <w:p w14:paraId="2058FBD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预防措施：在操作时应戴护目镜或面罩和橡皮手套。不要弄到眼睛里、皮肤或衣服上，它会使眼睛和皮肤受到严重损伤；不要在近火或明火附近储存、使用、倾倒或泄漏出来；要避免污染食物，否则吞食后会中毒或致死。</w:t>
      </w:r>
    </w:p>
    <w:p w14:paraId="10C1B95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急救措施：溅到眼睛中或皮肤上时，应立即用大量清水冲洗至少</w:t>
      </w:r>
      <w:r>
        <w:rPr>
          <w:rFonts w:hint="eastAsia"/>
          <w:color w:val="000000" w:themeColor="text1"/>
          <w:sz w:val="24"/>
          <w:szCs w:val="24"/>
        </w:rPr>
        <w:t>15</w:t>
      </w:r>
      <w:r>
        <w:rPr>
          <w:rFonts w:hint="eastAsia"/>
          <w:color w:val="000000" w:themeColor="text1"/>
          <w:sz w:val="24"/>
          <w:szCs w:val="24"/>
        </w:rPr>
        <w:t>分钟，脱去被污染的衣服，再使用前必须洗净。如果溅到眼睛内，应请医生治疗；如果吞食了，不要催吐，要饮用大量流体，并立即请医生。如果粘膜受损，要禁止洗胃、灌肠。另外，尚需观察血液循环和呼吸情况，若出现异常应及时处理。</w:t>
      </w:r>
    </w:p>
    <w:p w14:paraId="72EF7FAA"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气田化学助剂</w:t>
      </w:r>
    </w:p>
    <w:p w14:paraId="690186C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防垢剂：常见的防垢剂有聚磷酸盐、有机膦酸、膦羧酸、有机膦酸酯聚羧酸、聚羧酸类聚合物、铬酸盐、钼酸盐、硅酸盐、亚硝酸盐和有机杂环化合物。一般为低毒，不易燃、不易爆。</w:t>
      </w:r>
    </w:p>
    <w:p w14:paraId="7A9C816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杀菌剂：如甲醛，对人体有一定的毒性。</w:t>
      </w:r>
    </w:p>
    <w:p w14:paraId="611CD84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缓蚀剂：对人体具有毒性，不易燃、不易爆。</w:t>
      </w:r>
    </w:p>
    <w:p w14:paraId="2AA12A6E"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放射源</w:t>
      </w:r>
    </w:p>
    <w:p w14:paraId="03E57842" w14:textId="77777777" w:rsidR="002E0859" w:rsidRDefault="00000000">
      <w:pPr>
        <w:pStyle w:val="a0"/>
        <w:spacing w:line="360" w:lineRule="auto"/>
        <w:ind w:firstLine="480"/>
        <w:rPr>
          <w:color w:val="000000" w:themeColor="text1"/>
          <w:sz w:val="24"/>
          <w:szCs w:val="24"/>
        </w:rPr>
      </w:pPr>
      <w:r>
        <w:rPr>
          <w:color w:val="000000" w:themeColor="text1"/>
          <w:sz w:val="24"/>
          <w:szCs w:val="24"/>
        </w:rPr>
        <w:t>测井施工时</w:t>
      </w:r>
      <w:r>
        <w:rPr>
          <w:rFonts w:hint="eastAsia"/>
          <w:color w:val="000000" w:themeColor="text1"/>
          <w:sz w:val="24"/>
          <w:szCs w:val="24"/>
        </w:rPr>
        <w:t>，</w:t>
      </w:r>
      <w:r>
        <w:rPr>
          <w:color w:val="000000" w:themeColor="text1"/>
          <w:sz w:val="24"/>
          <w:szCs w:val="24"/>
        </w:rPr>
        <w:t>放射源发射出的射线可对人体造成伤害，严重时会导致机体损伤，甚至死亡。放射源发射出的射线具有一定的能量，可以破坏细胞组织，对人体造成伤害。当人受到大量射线照射时，可能产生头晕乏力、食欲减退、恶心、呕吐等症状，严重时会导致机体损伤，甚至死亡；但当人只受到少量射线照射时，一般不会有不适症状发生，也不会伤害身体。超剂量的射线照射（国家卫生标准规定放射工作人员</w:t>
      </w:r>
      <w:r>
        <w:rPr>
          <w:color w:val="000000" w:themeColor="text1"/>
          <w:sz w:val="24"/>
          <w:szCs w:val="24"/>
        </w:rPr>
        <w:t>50mSv/a</w:t>
      </w:r>
      <w:r>
        <w:rPr>
          <w:color w:val="000000" w:themeColor="text1"/>
          <w:sz w:val="24"/>
          <w:szCs w:val="24"/>
        </w:rPr>
        <w:t>以下）会影</w:t>
      </w:r>
      <w:r>
        <w:rPr>
          <w:color w:val="000000" w:themeColor="text1"/>
          <w:sz w:val="24"/>
          <w:szCs w:val="24"/>
        </w:rPr>
        <w:lastRenderedPageBreak/>
        <w:t>响人体健康，甚至会引起放射病。</w:t>
      </w:r>
    </w:p>
    <w:p w14:paraId="15433B98"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火工用品</w:t>
      </w:r>
    </w:p>
    <w:p w14:paraId="4F51F1DC" w14:textId="77777777" w:rsidR="002E0859" w:rsidRDefault="00000000">
      <w:pPr>
        <w:pStyle w:val="a0"/>
        <w:spacing w:line="360" w:lineRule="auto"/>
        <w:ind w:firstLine="480"/>
        <w:rPr>
          <w:color w:val="000000" w:themeColor="text1"/>
          <w:sz w:val="24"/>
          <w:szCs w:val="24"/>
        </w:rPr>
      </w:pPr>
      <w:r>
        <w:rPr>
          <w:color w:val="000000" w:themeColor="text1"/>
          <w:sz w:val="24"/>
          <w:szCs w:val="24"/>
        </w:rPr>
        <w:t>火工用品包括射孔弹、雷管、导爆索、慢燃火药。射孔弹属于二类炸药，由于炸药经过钝化处理，具有金属外壳，其危险级别低于导爆索和雷管，但它在所有爆炸器材中用量最大，爆炸威力最大。雷管的灵敏度很高，装药量小，本身爆炸威力并不大。电雷管通以很小电流，撞击式雷管有撞击点受以较小撞击就能起爆。导爆索能以每秒</w:t>
      </w:r>
      <w:r>
        <w:rPr>
          <w:color w:val="000000" w:themeColor="text1"/>
          <w:sz w:val="24"/>
          <w:szCs w:val="24"/>
        </w:rPr>
        <w:t>6000m</w:t>
      </w:r>
      <w:r>
        <w:rPr>
          <w:color w:val="000000" w:themeColor="text1"/>
          <w:sz w:val="24"/>
          <w:szCs w:val="24"/>
        </w:rPr>
        <w:t>以上的速度传爆并能引爆与它接触的炸药、射孔弹、切割弹、传爆管等。</w:t>
      </w:r>
    </w:p>
    <w:p w14:paraId="15B8753E" w14:textId="77777777" w:rsidR="002E0859" w:rsidRDefault="002E0859">
      <w:pPr>
        <w:pStyle w:val="a0"/>
        <w:spacing w:line="360" w:lineRule="auto"/>
        <w:ind w:firstLine="480"/>
        <w:rPr>
          <w:color w:val="000000" w:themeColor="text1"/>
          <w:sz w:val="24"/>
          <w:szCs w:val="24"/>
        </w:rPr>
      </w:pPr>
    </w:p>
    <w:p w14:paraId="607689B6" w14:textId="77777777" w:rsidR="002E0859" w:rsidRDefault="002E0859">
      <w:pPr>
        <w:pStyle w:val="a0"/>
        <w:spacing w:line="360" w:lineRule="auto"/>
        <w:ind w:firstLine="480"/>
        <w:rPr>
          <w:color w:val="000000" w:themeColor="text1"/>
          <w:sz w:val="24"/>
          <w:szCs w:val="24"/>
        </w:rPr>
      </w:pPr>
    </w:p>
    <w:p w14:paraId="3E8E022E" w14:textId="77777777" w:rsidR="002E0859" w:rsidRDefault="00000000">
      <w:pPr>
        <w:pStyle w:val="2"/>
        <w:keepNext w:val="0"/>
        <w:keepLines w:val="0"/>
        <w:spacing w:before="120" w:after="120" w:line="360" w:lineRule="auto"/>
        <w:jc w:val="center"/>
        <w:rPr>
          <w:color w:val="000000" w:themeColor="text1"/>
        </w:rPr>
      </w:pPr>
      <w:bookmarkStart w:id="36" w:name="_Toc4921"/>
      <w:r>
        <w:rPr>
          <w:color w:val="000000" w:themeColor="text1"/>
        </w:rPr>
        <w:t>生产</w:t>
      </w:r>
      <w:r>
        <w:rPr>
          <w:rFonts w:hint="eastAsia"/>
          <w:color w:val="000000" w:themeColor="text1"/>
        </w:rPr>
        <w:t>工艺</w:t>
      </w:r>
      <w:r>
        <w:rPr>
          <w:color w:val="000000" w:themeColor="text1"/>
        </w:rPr>
        <w:t>及设备设施</w:t>
      </w:r>
      <w:r>
        <w:rPr>
          <w:rFonts w:hint="eastAsia"/>
          <w:color w:val="000000" w:themeColor="text1"/>
        </w:rPr>
        <w:t>危险、有害因素分析</w:t>
      </w:r>
      <w:bookmarkEnd w:id="36"/>
    </w:p>
    <w:p w14:paraId="68F66A3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钻井工程危险有害因素分析</w:t>
      </w:r>
    </w:p>
    <w:p w14:paraId="50568398" w14:textId="77777777" w:rsidR="002E0859" w:rsidRDefault="00000000">
      <w:pPr>
        <w:pStyle w:val="a0"/>
        <w:spacing w:line="360" w:lineRule="auto"/>
        <w:ind w:firstLine="480"/>
        <w:rPr>
          <w:color w:val="000000" w:themeColor="text1"/>
          <w:sz w:val="24"/>
          <w:szCs w:val="24"/>
        </w:rPr>
      </w:pPr>
      <w:r>
        <w:rPr>
          <w:color w:val="000000" w:themeColor="text1"/>
          <w:sz w:val="24"/>
          <w:szCs w:val="24"/>
        </w:rPr>
        <w:t>钻井是一个多工种、多工序、立体交叉、连续作业的系统工程。在钻井施工过程中，因为设备、人员、环境和管理上的缺陷，存在着众多的危险因素，并由此决定了钻井是石油工程各个部门中的一个相对高危的行业，钻井过程中的事故发生概率相对较高。</w:t>
      </w:r>
    </w:p>
    <w:p w14:paraId="22034B77" w14:textId="77777777" w:rsidR="002E0859" w:rsidRDefault="00000000">
      <w:pPr>
        <w:numPr>
          <w:ilvl w:val="3"/>
          <w:numId w:val="1"/>
        </w:numPr>
        <w:spacing w:line="360" w:lineRule="auto"/>
        <w:ind w:firstLineChars="0"/>
        <w:outlineLvl w:val="3"/>
        <w:rPr>
          <w:b/>
          <w:bCs/>
          <w:color w:val="000000" w:themeColor="text1"/>
          <w:sz w:val="24"/>
          <w:szCs w:val="24"/>
        </w:rPr>
      </w:pPr>
      <w:r>
        <w:rPr>
          <w:rFonts w:hint="eastAsia"/>
          <w:b/>
          <w:bCs/>
          <w:color w:val="000000" w:themeColor="text1"/>
          <w:sz w:val="24"/>
          <w:szCs w:val="24"/>
        </w:rPr>
        <w:t>地质风险</w:t>
      </w:r>
    </w:p>
    <w:p w14:paraId="7372E79F" w14:textId="77777777" w:rsidR="002E0859" w:rsidRDefault="00000000">
      <w:pPr>
        <w:widowControl/>
        <w:topLinePunct w:val="0"/>
        <w:autoSpaceDE w:val="0"/>
        <w:autoSpaceDN w:val="0"/>
        <w:spacing w:line="360" w:lineRule="auto"/>
        <w:ind w:firstLine="480"/>
        <w:textAlignment w:val="baseline"/>
        <w:rPr>
          <w:rFonts w:ascii="宋体" w:hAnsi="宋体" w:cs="宋体"/>
          <w:snapToGrid w:val="0"/>
          <w:color w:val="000000" w:themeColor="text1"/>
          <w:kern w:val="0"/>
          <w:sz w:val="24"/>
          <w:szCs w:val="24"/>
          <w:lang w:eastAsia="en-US"/>
        </w:rPr>
      </w:pPr>
      <w:r>
        <w:rPr>
          <w:rFonts w:ascii="宋体" w:hAnsi="宋体" w:cs="宋体"/>
          <w:snapToGrid w:val="0"/>
          <w:color w:val="000000" w:themeColor="text1"/>
          <w:kern w:val="0"/>
          <w:sz w:val="24"/>
          <w:szCs w:val="24"/>
          <w:lang w:eastAsia="en-US"/>
        </w:rPr>
        <w:t>江东区块下部气层构造分为南北两大构造体系</w:t>
      </w:r>
      <w:r>
        <w:rPr>
          <w:rFonts w:ascii="宋体" w:hAnsi="宋体" w:cs="宋体" w:hint="eastAsia"/>
          <w:snapToGrid w:val="0"/>
          <w:color w:val="000000" w:themeColor="text1"/>
          <w:kern w:val="0"/>
          <w:sz w:val="24"/>
          <w:szCs w:val="24"/>
        </w:rPr>
        <w:t>，</w:t>
      </w:r>
      <w:r>
        <w:rPr>
          <w:rFonts w:ascii="宋体" w:hAnsi="宋体" w:cs="宋体"/>
          <w:snapToGrid w:val="0"/>
          <w:color w:val="000000" w:themeColor="text1"/>
          <w:kern w:val="0"/>
          <w:sz w:val="24"/>
          <w:szCs w:val="24"/>
          <w:lang w:eastAsia="en-US"/>
        </w:rPr>
        <w:t>北部为北东向走向展布的焦石坝断背斜，南部为北西向走向的乌江断背斜和沿江鞍部。江东区块边界受北东走向的天台场1号断层、吊水岩断层、石门1号断层与北西走向的大耳山西断层、乌江断层所夹持，断距均大于</w:t>
      </w:r>
      <w:r>
        <w:rPr>
          <w:snapToGrid w:val="0"/>
          <w:color w:val="000000" w:themeColor="text1"/>
          <w:kern w:val="0"/>
          <w:sz w:val="24"/>
          <w:szCs w:val="24"/>
          <w:lang w:eastAsia="en-US"/>
        </w:rPr>
        <w:t>100m</w:t>
      </w:r>
      <w:r>
        <w:rPr>
          <w:rFonts w:ascii="宋体" w:hAnsi="宋体" w:cs="宋体"/>
          <w:snapToGrid w:val="0"/>
          <w:color w:val="000000" w:themeColor="text1"/>
          <w:kern w:val="0"/>
          <w:sz w:val="24"/>
          <w:szCs w:val="24"/>
          <w:lang w:eastAsia="en-US"/>
        </w:rPr>
        <w:t>。区块内部构造变形较弱，构造主体断裂不发育，仅在边界断裂周缘</w:t>
      </w:r>
      <w:r>
        <w:rPr>
          <w:snapToGrid w:val="0"/>
          <w:color w:val="000000" w:themeColor="text1"/>
          <w:kern w:val="0"/>
          <w:sz w:val="24"/>
          <w:szCs w:val="24"/>
          <w:lang w:eastAsia="en-US"/>
        </w:rPr>
        <w:t>2km</w:t>
      </w:r>
      <w:r>
        <w:rPr>
          <w:rFonts w:ascii="宋体" w:hAnsi="宋体" w:cs="宋体"/>
          <w:snapToGrid w:val="0"/>
          <w:color w:val="000000" w:themeColor="text1"/>
          <w:kern w:val="0"/>
          <w:sz w:val="24"/>
          <w:szCs w:val="24"/>
          <w:lang w:eastAsia="en-US"/>
        </w:rPr>
        <w:t>范围内派生小断层，断距小于</w:t>
      </w:r>
      <w:r>
        <w:rPr>
          <w:snapToGrid w:val="0"/>
          <w:color w:val="000000" w:themeColor="text1"/>
          <w:kern w:val="0"/>
          <w:sz w:val="24"/>
          <w:szCs w:val="24"/>
          <w:lang w:eastAsia="en-US"/>
        </w:rPr>
        <w:t>100m</w:t>
      </w:r>
      <w:r>
        <w:rPr>
          <w:rFonts w:ascii="宋体" w:hAnsi="宋体" w:cs="宋体"/>
          <w:snapToGrid w:val="0"/>
          <w:color w:val="000000" w:themeColor="text1"/>
          <w:kern w:val="0"/>
          <w:sz w:val="24"/>
          <w:szCs w:val="24"/>
          <w:lang w:eastAsia="en-US"/>
        </w:rPr>
        <w:t>。</w:t>
      </w:r>
    </w:p>
    <w:p w14:paraId="1A2CC556" w14:textId="77777777" w:rsidR="002E0859" w:rsidRDefault="00000000">
      <w:pPr>
        <w:widowControl/>
        <w:topLinePunct w:val="0"/>
        <w:autoSpaceDE w:val="0"/>
        <w:autoSpaceDN w:val="0"/>
        <w:spacing w:line="360" w:lineRule="auto"/>
        <w:ind w:firstLine="480"/>
        <w:textAlignment w:val="baseline"/>
        <w:rPr>
          <w:rFonts w:ascii="宋体" w:hAnsi="宋体" w:cs="宋体"/>
          <w:snapToGrid w:val="0"/>
          <w:color w:val="000000" w:themeColor="text1"/>
          <w:kern w:val="0"/>
          <w:sz w:val="24"/>
          <w:szCs w:val="24"/>
        </w:rPr>
      </w:pPr>
      <w:r>
        <w:rPr>
          <w:rFonts w:ascii="宋体" w:hAnsi="宋体" w:cs="宋体"/>
          <w:snapToGrid w:val="0"/>
          <w:color w:val="000000" w:themeColor="text1"/>
          <w:kern w:val="0"/>
          <w:sz w:val="24"/>
          <w:szCs w:val="24"/>
          <w:lang w:eastAsia="en-US"/>
        </w:rPr>
        <w:t>根据江东区块断层特性，焦页</w:t>
      </w:r>
      <w:r>
        <w:rPr>
          <w:snapToGrid w:val="0"/>
          <w:color w:val="000000" w:themeColor="text1"/>
          <w:kern w:val="0"/>
          <w:sz w:val="24"/>
          <w:szCs w:val="24"/>
          <w:lang w:eastAsia="en-US"/>
        </w:rPr>
        <w:t>90</w:t>
      </w:r>
      <w:r>
        <w:rPr>
          <w:rFonts w:ascii="宋体" w:hAnsi="宋体" w:cs="宋体"/>
          <w:snapToGrid w:val="0"/>
          <w:color w:val="000000" w:themeColor="text1"/>
          <w:kern w:val="0"/>
          <w:sz w:val="24"/>
          <w:szCs w:val="24"/>
          <w:lang w:eastAsia="en-US"/>
        </w:rPr>
        <w:t>号评价井组主要存在井漏、井垮、井喷等地质风险。</w:t>
      </w:r>
    </w:p>
    <w:p w14:paraId="429B3069"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钻前工程</w:t>
      </w:r>
    </w:p>
    <w:p w14:paraId="569D0083" w14:textId="77777777" w:rsidR="002E0859" w:rsidRDefault="00000000">
      <w:pPr>
        <w:pStyle w:val="a0"/>
        <w:spacing w:line="360" w:lineRule="auto"/>
        <w:ind w:firstLine="480"/>
        <w:rPr>
          <w:color w:val="000000" w:themeColor="text1"/>
          <w:sz w:val="24"/>
          <w:szCs w:val="24"/>
        </w:rPr>
      </w:pPr>
      <w:r>
        <w:rPr>
          <w:color w:val="000000" w:themeColor="text1"/>
          <w:sz w:val="24"/>
          <w:szCs w:val="24"/>
        </w:rPr>
        <w:t>钻前阶段主要涉及的是钻井设备的安装和拆卸，以及相关配套作业。钻前工程的施工环境通常比较复杂，涉及到的工种较多，所应用的机械设备也较多，经常需要交叉作业，施工过程中的风险隐患较多</w:t>
      </w:r>
      <w:r>
        <w:rPr>
          <w:rFonts w:hint="eastAsia"/>
          <w:color w:val="000000" w:themeColor="text1"/>
          <w:sz w:val="24"/>
          <w:szCs w:val="24"/>
        </w:rPr>
        <w:t>。</w:t>
      </w:r>
    </w:p>
    <w:p w14:paraId="60298FA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钻前工程主要危险有害因素包括：</w:t>
      </w:r>
    </w:p>
    <w:p w14:paraId="357919B7"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高处坠落</w:t>
      </w:r>
    </w:p>
    <w:p w14:paraId="01DC5AB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钻前工程在建设过程中，护栏等防护设施不符合标准，跳板等蹬踏物强度较差，或者施工人员在高处作业时会受到大风、物体碰撞等因素的干扰，容易导致踏空、摔倒，从</w:t>
      </w:r>
      <w:r>
        <w:rPr>
          <w:rFonts w:hint="eastAsia"/>
          <w:color w:val="000000" w:themeColor="text1"/>
          <w:sz w:val="24"/>
          <w:szCs w:val="24"/>
        </w:rPr>
        <w:lastRenderedPageBreak/>
        <w:t>而引发高处坠落事故。</w:t>
      </w:r>
    </w:p>
    <w:p w14:paraId="7D912B7E"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起重作业</w:t>
      </w:r>
    </w:p>
    <w:p w14:paraId="453E7B2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由于地基下陷、受力矩失衡、人为失误等原因导致吊机重心不稳；或风载或者坡度的干扰，导致吊机斜滑；从而导致吊机失稳，产生翻倒事故。</w:t>
      </w:r>
    </w:p>
    <w:p w14:paraId="0906A996" w14:textId="77777777" w:rsidR="002E0859" w:rsidRDefault="00000000">
      <w:pPr>
        <w:pStyle w:val="a0"/>
        <w:spacing w:line="360" w:lineRule="auto"/>
        <w:ind w:firstLine="480"/>
        <w:rPr>
          <w:color w:val="000000" w:themeColor="text1"/>
          <w:sz w:val="24"/>
          <w:szCs w:val="24"/>
        </w:rPr>
      </w:pPr>
      <w:r>
        <w:rPr>
          <w:color w:val="000000" w:themeColor="text1"/>
          <w:sz w:val="24"/>
          <w:szCs w:val="24"/>
        </w:rPr>
        <w:t>在起重作业的过程中，如果钢丝绳、吊钩等吊装工具发生损坏</w:t>
      </w:r>
      <w:r>
        <w:rPr>
          <w:rFonts w:hint="eastAsia"/>
          <w:color w:val="000000" w:themeColor="text1"/>
          <w:sz w:val="24"/>
          <w:szCs w:val="24"/>
        </w:rPr>
        <w:t>；</w:t>
      </w:r>
      <w:r>
        <w:rPr>
          <w:color w:val="000000" w:themeColor="text1"/>
          <w:sz w:val="24"/>
          <w:szCs w:val="24"/>
        </w:rPr>
        <w:t>或者起升系统中的零部件出现故障</w:t>
      </w:r>
      <w:r>
        <w:rPr>
          <w:rFonts w:hint="eastAsia"/>
          <w:color w:val="000000" w:themeColor="text1"/>
          <w:sz w:val="24"/>
          <w:szCs w:val="24"/>
        </w:rPr>
        <w:t>；起重设备超负荷运作；挂钩使用不当，物件捆绑不牢等，均可能导致起重伤害。</w:t>
      </w:r>
    </w:p>
    <w:p w14:paraId="5FA497FD" w14:textId="77777777" w:rsidR="002E0859" w:rsidRDefault="00000000">
      <w:pPr>
        <w:pStyle w:val="a0"/>
        <w:spacing w:line="360" w:lineRule="auto"/>
        <w:ind w:firstLine="480"/>
        <w:rPr>
          <w:color w:val="000000" w:themeColor="text1"/>
          <w:sz w:val="24"/>
          <w:szCs w:val="24"/>
        </w:rPr>
      </w:pPr>
      <w:r>
        <w:rPr>
          <w:color w:val="000000" w:themeColor="text1"/>
          <w:sz w:val="24"/>
          <w:szCs w:val="24"/>
        </w:rPr>
        <w:t>吊机在作业过程中，</w:t>
      </w:r>
      <w:r>
        <w:rPr>
          <w:rFonts w:hint="eastAsia"/>
          <w:color w:val="000000" w:themeColor="text1"/>
          <w:sz w:val="24"/>
          <w:szCs w:val="24"/>
        </w:rPr>
        <w:t>由于场地受限，吊臂的安全运行通道受限，运行或者回转的机体很容易对施工人员造成挤压，此外制动器失灵、人为操作失误会导致溜车，也容易引发挤压事故。</w:t>
      </w:r>
    </w:p>
    <w:p w14:paraId="48679D1A" w14:textId="77777777" w:rsidR="002E0859" w:rsidRDefault="00000000">
      <w:pPr>
        <w:pStyle w:val="a0"/>
        <w:spacing w:line="360" w:lineRule="auto"/>
        <w:ind w:firstLine="480"/>
        <w:rPr>
          <w:color w:val="000000" w:themeColor="text1"/>
          <w:sz w:val="24"/>
          <w:szCs w:val="24"/>
        </w:rPr>
      </w:pPr>
      <w:r>
        <w:rPr>
          <w:color w:val="000000" w:themeColor="text1"/>
          <w:sz w:val="24"/>
          <w:szCs w:val="24"/>
        </w:rPr>
        <w:t>当吊机在输电线路附近工作时，一旦吊物或者吊机构件触碰、感应带电体，就会发生触电事故。</w:t>
      </w:r>
    </w:p>
    <w:p w14:paraId="4A02C044"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机械伤害</w:t>
      </w:r>
    </w:p>
    <w:p w14:paraId="6696D80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各种机械设备高速运转的零部件，若未设置防护装置，或者防护装置缺失，就容易造成机械伤害。</w:t>
      </w:r>
    </w:p>
    <w:p w14:paraId="43EA70E4"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物体打击</w:t>
      </w:r>
    </w:p>
    <w:p w14:paraId="13F9A75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前工程中，施工人员需要频繁的进行移动、搬运、提举、装卸等活动，此外施工人员往往还需要安装各种管材，手提一些作业工具，一旦出现操作失误或者工具使用不合理的现象，很容易引起物体打击事故，造成人员伤亡。另一方面，在组装井架的过程中，需要进行多层交叉作业，容易出现施工现场混乱的局面，如果防护措施不到位，也可能发生物体打击事故。</w:t>
      </w:r>
    </w:p>
    <w:p w14:paraId="6B952CD0"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触电</w:t>
      </w:r>
    </w:p>
    <w:p w14:paraId="54E5059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在钻前工程的施工现场中，存在很多小型移动机具，如：电焊机、焊条烤箱、电加热设备、手动砂轮等机具，都需要临时分布电缆和电线，致使施工场地中的用电系统十分混乱，容易造成触电事故。除此之外，施工场地中存有很多钢铁构件，这些构件材质坚硬，可能会损伤电缆，而电缆一旦出现破损，极易发生触电事故。另外，用电设备接地不良，而且使用的电缆有些已经老化，甚至局部已经破损，也可能导致触电事故的发生。</w:t>
      </w:r>
    </w:p>
    <w:p w14:paraId="711496EB"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火灾</w:t>
      </w:r>
    </w:p>
    <w:p w14:paraId="3DEEBB7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钻前工程的施工现场是敞开的，直接暴露在空气中，周围可能存在木材、天然气等可燃物质，并且施工过程中需要使用氧气和乙炔，加之施工场地内存在电弧积热、高温</w:t>
      </w:r>
      <w:r>
        <w:rPr>
          <w:rFonts w:hint="eastAsia"/>
          <w:color w:val="000000" w:themeColor="text1"/>
          <w:sz w:val="24"/>
          <w:szCs w:val="24"/>
        </w:rPr>
        <w:lastRenderedPageBreak/>
        <w:t>热源、机械摩擦、电焊和气焊火花、电火花，一旦把控不严，可能会出现火灾事故。</w:t>
      </w:r>
    </w:p>
    <w:p w14:paraId="0A9BB003" w14:textId="77777777" w:rsidR="002E0859" w:rsidRDefault="00000000">
      <w:pPr>
        <w:pStyle w:val="a0"/>
        <w:numPr>
          <w:ilvl w:val="0"/>
          <w:numId w:val="19"/>
        </w:numPr>
        <w:spacing w:line="360" w:lineRule="auto"/>
        <w:ind w:firstLine="480"/>
        <w:rPr>
          <w:color w:val="000000" w:themeColor="text1"/>
          <w:sz w:val="24"/>
          <w:szCs w:val="24"/>
        </w:rPr>
      </w:pPr>
      <w:r>
        <w:rPr>
          <w:rFonts w:hint="eastAsia"/>
          <w:color w:val="000000" w:themeColor="text1"/>
          <w:sz w:val="24"/>
          <w:szCs w:val="24"/>
        </w:rPr>
        <w:t>运输车辆</w:t>
      </w:r>
    </w:p>
    <w:p w14:paraId="11BC1166"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前工程的作业过程中，设备、人员、材料都需要频繁的运输。车辆在野外作业时，时常要在简易道路上行驶，简易道路大多比较狭窄，有时还需要环山傍水、盘山绕行，道路转弯较多，部分路段存在大量积水，十分泥泞，运输事故的发生几率较高。若钻前工程的场地受限，驾驶员疲劳驾驶，现场管理混乱，运输车辆带病运行等，均可能导致车辆伤害事故。</w:t>
      </w:r>
    </w:p>
    <w:p w14:paraId="76F43345" w14:textId="77777777" w:rsidR="002E0859" w:rsidRDefault="002E0859">
      <w:pPr>
        <w:pStyle w:val="a0"/>
        <w:spacing w:line="360" w:lineRule="auto"/>
        <w:ind w:firstLine="480"/>
        <w:rPr>
          <w:color w:val="000000" w:themeColor="text1"/>
          <w:sz w:val="24"/>
          <w:szCs w:val="24"/>
        </w:rPr>
      </w:pPr>
    </w:p>
    <w:p w14:paraId="115FC745"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设备搬迁</w:t>
      </w:r>
    </w:p>
    <w:p w14:paraId="226C567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设备搬迁是将一整套钻井设备从某地搬迁至待钻井位现场安装、调试，使之达到开钻水平的一道工序。这项工作头绪多，分工细，劳动强度大，使用施工车辆和机械多，并且受到作业现场客观条件的限制，如场地狭小，井场及道路泥泞，井场及道路上方有电力线路、通讯线路，地下有油、气、水管线等等，危险因素多，较易发生事故。在所发生事故中，尤以钻井队与运输队、拖拉机队因协作配合不好而导致的起重伤害和碰撞事故为最多见。在设备吊装过程中，还可能发生因吊车扒杆碰上电力线路而导致的触电事故。</w:t>
      </w:r>
    </w:p>
    <w:p w14:paraId="313D059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、设备整体搬迁过程中的危险因素</w:t>
      </w:r>
    </w:p>
    <w:p w14:paraId="0D0D4CB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在搬迁距离近、地面平坦、空中无障碍的开阔地带或同台丛式井组，可以采用整体搬迁。即用拖拉机组将井架和钻台上的设备拖至待钻井井位。整体搬迁的危险因素主要有：因拖拉机组配合不好、地面条件差等可造成井架倾倒或井架变型；因地下情况不明，如有油、气、水管线通过，可能造成碰、压坏管线的事故。</w:t>
      </w:r>
    </w:p>
    <w:p w14:paraId="524441B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、零散搬迁过程中的危险因素</w:t>
      </w:r>
    </w:p>
    <w:p w14:paraId="1F9B2A9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零散搬迁是钻井设备搬迁的一般形式。其工作内容是：将整套钻机拆卸成便于汽车运输的单体，用拖拉机将拆卸开的设备按钻台、泵房、机房等分组分别拖至几个便于装车的地点集中，然后用吊车将设备装上卡车，运往待钻井位。零散搬迁动用人员多，使用车辆多，相互协作的单位多，与整体搬迁相比，作业难度要大。其主要危险是：容易发生挤碰甚至碾轧事故；有时会拖断钢丝绳易发生伤人；吊装设备时易发生起重伤害事故；运输过程中易发生各种交通事故等。</w:t>
      </w:r>
    </w:p>
    <w:p w14:paraId="1EBE5D91"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设备安装</w:t>
      </w:r>
    </w:p>
    <w:p w14:paraId="081854AD" w14:textId="77777777" w:rsidR="002E0859" w:rsidRDefault="00000000">
      <w:pPr>
        <w:pStyle w:val="a0"/>
        <w:spacing w:line="360" w:lineRule="auto"/>
        <w:ind w:firstLine="480"/>
        <w:rPr>
          <w:color w:val="000000" w:themeColor="text1"/>
          <w:sz w:val="24"/>
          <w:szCs w:val="24"/>
        </w:rPr>
      </w:pPr>
      <w:r>
        <w:rPr>
          <w:color w:val="000000" w:themeColor="text1"/>
          <w:sz w:val="24"/>
          <w:szCs w:val="24"/>
        </w:rPr>
        <w:t>设备安装是指将搬迁到新井位的各种设备单体组装起来，经校正、固定、调试合格，使全套钻井设备达到正常运转水平的一项工作，其工作内容有：井架安装</w:t>
      </w:r>
      <w:r>
        <w:rPr>
          <w:rFonts w:hint="eastAsia"/>
          <w:color w:val="000000" w:themeColor="text1"/>
          <w:sz w:val="24"/>
          <w:szCs w:val="24"/>
        </w:rPr>
        <w:t>、</w:t>
      </w:r>
      <w:r>
        <w:rPr>
          <w:color w:val="000000" w:themeColor="text1"/>
          <w:sz w:val="24"/>
          <w:szCs w:val="24"/>
        </w:rPr>
        <w:t>穿大绳、绞车</w:t>
      </w:r>
      <w:r>
        <w:rPr>
          <w:color w:val="000000" w:themeColor="text1"/>
          <w:sz w:val="24"/>
          <w:szCs w:val="24"/>
        </w:rPr>
        <w:lastRenderedPageBreak/>
        <w:t>就位（俗称上钻机）、转盘就位（俗称上转盘）、安装悬吊设备、安装钻台工具、安装钻井液循环罐、安装井场电气设施、安装高压管线、油、气、水管线和各种安全防护装置等。</w:t>
      </w:r>
    </w:p>
    <w:p w14:paraId="287531E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井架安装</w:t>
      </w:r>
    </w:p>
    <w:p w14:paraId="33079E6B" w14:textId="77777777" w:rsidR="002E0859" w:rsidRDefault="00000000">
      <w:pPr>
        <w:pStyle w:val="a0"/>
        <w:spacing w:line="360" w:lineRule="auto"/>
        <w:ind w:firstLine="480"/>
        <w:rPr>
          <w:color w:val="000000" w:themeColor="text1"/>
          <w:sz w:val="24"/>
          <w:szCs w:val="24"/>
        </w:rPr>
      </w:pPr>
      <w:r>
        <w:rPr>
          <w:color w:val="000000" w:themeColor="text1"/>
          <w:sz w:val="24"/>
          <w:szCs w:val="24"/>
        </w:rPr>
        <w:t>井架是和其他钻井设备一起搬迁至待钻井位，由钻井队在井场对接、安装的。井架安装工作的顺序为安装井架底座、绞车就位、对接井架主体、天车、安装井架附件、照明电路及灯具、穿大绳、起升井架等。安装井架</w:t>
      </w:r>
      <w:r>
        <w:rPr>
          <w:rFonts w:hint="eastAsia"/>
          <w:color w:val="000000" w:themeColor="text1"/>
          <w:sz w:val="24"/>
          <w:szCs w:val="24"/>
        </w:rPr>
        <w:t>的危险因素有：</w:t>
      </w:r>
      <w:r>
        <w:rPr>
          <w:color w:val="000000" w:themeColor="text1"/>
          <w:sz w:val="24"/>
          <w:szCs w:val="24"/>
        </w:rPr>
        <w:t>使用吊车时，因配合不好，易发生起重伤害事故</w:t>
      </w:r>
      <w:r>
        <w:rPr>
          <w:rFonts w:hint="eastAsia"/>
          <w:color w:val="000000" w:themeColor="text1"/>
          <w:sz w:val="24"/>
          <w:szCs w:val="24"/>
        </w:rPr>
        <w:t>（</w:t>
      </w:r>
      <w:r>
        <w:rPr>
          <w:color w:val="000000" w:themeColor="text1"/>
          <w:sz w:val="24"/>
          <w:szCs w:val="24"/>
        </w:rPr>
        <w:t>特别是高位安装的绞车，需</w:t>
      </w:r>
      <w:r>
        <w:rPr>
          <w:color w:val="000000" w:themeColor="text1"/>
          <w:sz w:val="24"/>
          <w:szCs w:val="24"/>
        </w:rPr>
        <w:t>2</w:t>
      </w:r>
      <w:r>
        <w:rPr>
          <w:color w:val="000000" w:themeColor="text1"/>
          <w:sz w:val="24"/>
          <w:szCs w:val="24"/>
        </w:rPr>
        <w:t>台吊车同时起吊绞车，而且绞车的位置要放至</w:t>
      </w:r>
      <w:r>
        <w:rPr>
          <w:color w:val="000000" w:themeColor="text1"/>
          <w:sz w:val="24"/>
          <w:szCs w:val="24"/>
        </w:rPr>
        <w:t>5m</w:t>
      </w:r>
      <w:r>
        <w:rPr>
          <w:color w:val="000000" w:themeColor="text1"/>
          <w:sz w:val="24"/>
          <w:szCs w:val="24"/>
        </w:rPr>
        <w:t>以上，如配合不好，极易发生人员伤亡和设备损坏</w:t>
      </w:r>
      <w:r>
        <w:rPr>
          <w:rFonts w:hint="eastAsia"/>
          <w:color w:val="000000" w:themeColor="text1"/>
          <w:sz w:val="24"/>
          <w:szCs w:val="24"/>
        </w:rPr>
        <w:t>）；</w:t>
      </w:r>
      <w:r>
        <w:rPr>
          <w:color w:val="000000" w:themeColor="text1"/>
          <w:sz w:val="24"/>
          <w:szCs w:val="24"/>
        </w:rPr>
        <w:t>穿联接销时，易发生物体打击事故；在底座以上部位工作时，易发生高处坠落和落物伤人事故。</w:t>
      </w:r>
      <w:r>
        <w:rPr>
          <w:rFonts w:hint="eastAsia"/>
          <w:color w:val="000000" w:themeColor="text1"/>
          <w:sz w:val="24"/>
          <w:szCs w:val="24"/>
        </w:rPr>
        <w:t>若安装质量不高，</w:t>
      </w:r>
      <w:r>
        <w:rPr>
          <w:color w:val="000000" w:themeColor="text1"/>
          <w:sz w:val="24"/>
          <w:szCs w:val="24"/>
        </w:rPr>
        <w:t>起升井架</w:t>
      </w:r>
      <w:r>
        <w:rPr>
          <w:rFonts w:hint="eastAsia"/>
          <w:color w:val="000000" w:themeColor="text1"/>
          <w:sz w:val="24"/>
          <w:szCs w:val="24"/>
        </w:rPr>
        <w:t>时可能</w:t>
      </w:r>
      <w:r>
        <w:rPr>
          <w:color w:val="000000" w:themeColor="text1"/>
          <w:sz w:val="24"/>
          <w:szCs w:val="24"/>
        </w:rPr>
        <w:t>出现井架倾倒事故。</w:t>
      </w:r>
    </w:p>
    <w:p w14:paraId="4655374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、穿大绳</w:t>
      </w:r>
    </w:p>
    <w:p w14:paraId="4E357DE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穿大绳，就是将符合钻机使用标准和规格的钢丝绳（大绳）按照一定顺序，穿过天车与游动滑车的滑轮，成为滑轮组，构成钻井施工的提升运行系统的工作过程。穿大绳的危险因素有：送引绳上天车平台工作人员需要进行特高处作业；在天车台倒绳头的工作人员与地面人员配合不好可能导致挤压手臂；如引绳与大绳连接不牢或引绳有问题，易造成断绳致使大绳坠落。</w:t>
      </w:r>
    </w:p>
    <w:p w14:paraId="752CA13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、绞车、转盘就位</w:t>
      </w:r>
    </w:p>
    <w:p w14:paraId="4C32D7E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绞车及转盘就位，就是把绞车和转盘从地面提升到钻台特定的位置（低位安装的绞车除外）。绞车、转盘就位（上钻机、转盘）过程中主要的危险因素有：因指挥不当或操作失误可导致碰坏或摔坏绞车、转盘；挤伤工作人员或拉坏井架等。</w:t>
      </w:r>
    </w:p>
    <w:p w14:paraId="5591E06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、钻台、机房、泵房设备安装</w:t>
      </w:r>
    </w:p>
    <w:p w14:paraId="5859E82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台、机房、泵房设备的安装需要进行电、气焊割作业和高处作业，有时还需要拖拉机配合作业，其危险因素较多。必须使用拖拉机时，若人员配合不好，无人指挥或指挥失误，可拉翻、拉坏设备，或崩断钢丝绳等情况的发生。此外，还可能发生触电、灼烫、高处坠落、物体打击、火灾等事故。</w:t>
      </w:r>
    </w:p>
    <w:p w14:paraId="0C2C87E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、钻井液循环罐及固控设备安装</w:t>
      </w:r>
    </w:p>
    <w:p w14:paraId="23673B7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液循环罐及固定设备现场装备有循环罐、震动筛、除砂泵、除砂器、除泥器、离心机和钻井液储备罐等。由于循环罐体积较大，其他设备也较笨重，安装时需使用吊车和拖拉机，容易引发拖拉机挤碰或起重事故。</w:t>
      </w:r>
    </w:p>
    <w:p w14:paraId="4A60BF5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lastRenderedPageBreak/>
        <w:t>6</w:t>
      </w:r>
      <w:r>
        <w:rPr>
          <w:rFonts w:hint="eastAsia"/>
          <w:color w:val="000000" w:themeColor="text1"/>
          <w:sz w:val="24"/>
          <w:szCs w:val="24"/>
        </w:rPr>
        <w:t>、电气设备、设施、装置安装</w:t>
      </w:r>
    </w:p>
    <w:p w14:paraId="7C9A0DA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钻井施工现场的电气设施是指发电设备、用电设备、照明灯具及电路等。在安装电气设备、设施、装置的过程中，作业人员可能发生高处坠落及触电事故。</w:t>
      </w:r>
    </w:p>
    <w:p w14:paraId="3D0B9D35"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钻进施工</w:t>
      </w:r>
    </w:p>
    <w:p w14:paraId="019AE1BC" w14:textId="77777777" w:rsidR="002E0859" w:rsidRDefault="00000000">
      <w:pPr>
        <w:pStyle w:val="a0"/>
        <w:spacing w:line="360" w:lineRule="auto"/>
        <w:ind w:firstLine="480"/>
        <w:rPr>
          <w:color w:val="000000" w:themeColor="text1"/>
          <w:kern w:val="0"/>
          <w:sz w:val="24"/>
          <w:szCs w:val="24"/>
          <w:lang w:eastAsia="en-US"/>
        </w:rPr>
      </w:pPr>
      <w:r>
        <w:rPr>
          <w:color w:val="000000" w:themeColor="text1"/>
          <w:kern w:val="0"/>
          <w:sz w:val="24"/>
          <w:szCs w:val="24"/>
          <w:lang w:eastAsia="en-US"/>
        </w:rPr>
        <w:t>钻井在钻进过程中，当出现钻前基础不合格，承载量和水平度不符合要求，井架没有定期进行急检验测试，指重表失灵，井架主体严重受损，二层台的钻杆钩子没有用安全绳系牢，二层台的安全带使用后没有将尾绳挂牢，井架上存放有维修工具没有安全尾绳，井架上的滑轮、灯具或附件没有安装牢固，井架上存在的结冰、雪块或其他物品滑落等情况时，会造成砸坏设备、砸伤人员、钻具落井等安全事故。同时钻井作业时，在钻进作业、起下钻作业、固井等工序中进行时，可能出现井喷失控、天然气中毒、高空坠物、起重伤害、物体打击、触电、机械伤人、高压伤害、机械伤害、化学物品腐爆炸、雷电、静电伤害，造成人员伤亡、设备损坏、财产损失等。钻台操作和井架检查人员未正确使用安全带，作业时发生高处坠落事故。</w:t>
      </w:r>
    </w:p>
    <w:p w14:paraId="2DD296DB" w14:textId="77777777" w:rsidR="002E0859" w:rsidRDefault="00000000">
      <w:pPr>
        <w:pStyle w:val="a0"/>
        <w:spacing w:line="360" w:lineRule="auto"/>
        <w:ind w:firstLine="480"/>
        <w:rPr>
          <w:color w:val="000000" w:themeColor="text1"/>
          <w:kern w:val="0"/>
          <w:sz w:val="24"/>
          <w:szCs w:val="24"/>
          <w:lang w:eastAsia="en-US"/>
        </w:rPr>
      </w:pPr>
      <w:r>
        <w:rPr>
          <w:color w:val="000000" w:themeColor="text1"/>
          <w:kern w:val="0"/>
          <w:sz w:val="24"/>
          <w:szCs w:val="24"/>
          <w:lang w:eastAsia="en-US"/>
        </w:rPr>
        <w:t>在钻井过程中，当钻遇异常高压浅层气而发生溢流，触发浅层气压力的突然释放，没有得到及时处理，可能出现气体返出至地面引发井喷等突发性事故。钻井施工过程中特别是开钻前的高压试运转过程中，井口、泵房、高压管汇、安全阀及其他进行带压作业的设备，具有高压流体刺漏伤人的危险。</w:t>
      </w:r>
    </w:p>
    <w:p w14:paraId="02F213D3" w14:textId="77777777" w:rsidR="002E0859" w:rsidRDefault="00000000">
      <w:pPr>
        <w:pStyle w:val="a0"/>
        <w:spacing w:line="360" w:lineRule="auto"/>
        <w:ind w:firstLine="480"/>
        <w:rPr>
          <w:color w:val="000000" w:themeColor="text1"/>
          <w:kern w:val="0"/>
          <w:sz w:val="24"/>
          <w:szCs w:val="24"/>
          <w:lang w:eastAsia="en-US"/>
        </w:rPr>
      </w:pPr>
      <w:r>
        <w:rPr>
          <w:color w:val="000000" w:themeColor="text1"/>
          <w:kern w:val="0"/>
          <w:sz w:val="24"/>
          <w:szCs w:val="24"/>
          <w:lang w:eastAsia="en-US"/>
        </w:rPr>
        <w:t>由于开发井组位于已开发井网，重点是直井段、水平段入靶着陆前与邻井的防碰。</w:t>
      </w:r>
    </w:p>
    <w:p w14:paraId="1BEF307A" w14:textId="77777777" w:rsidR="002E0859" w:rsidRDefault="00000000">
      <w:pPr>
        <w:pStyle w:val="a0"/>
        <w:spacing w:line="360" w:lineRule="auto"/>
        <w:ind w:firstLine="480"/>
        <w:rPr>
          <w:color w:val="000000" w:themeColor="text1"/>
          <w:kern w:val="0"/>
          <w:sz w:val="24"/>
          <w:szCs w:val="24"/>
          <w:lang w:eastAsia="en-US"/>
        </w:rPr>
      </w:pPr>
      <w:r>
        <w:rPr>
          <w:color w:val="000000" w:themeColor="text1"/>
          <w:kern w:val="0"/>
          <w:sz w:val="24"/>
          <w:szCs w:val="24"/>
          <w:lang w:eastAsia="en-US"/>
        </w:rPr>
        <w:t>本区块浅表井漏、志留系裂缝型漏失，水平段有可能受邻井压裂影响导致井漏。</w:t>
      </w:r>
    </w:p>
    <w:p w14:paraId="4223779A" w14:textId="77777777" w:rsidR="002E0859" w:rsidRDefault="00000000">
      <w:pPr>
        <w:numPr>
          <w:ilvl w:val="3"/>
          <w:numId w:val="1"/>
        </w:numPr>
        <w:spacing w:line="360" w:lineRule="auto"/>
        <w:ind w:firstLineChars="0"/>
        <w:outlineLvl w:val="3"/>
        <w:rPr>
          <w:b/>
          <w:bCs/>
          <w:color w:val="000000" w:themeColor="text1"/>
          <w:sz w:val="24"/>
          <w:szCs w:val="24"/>
        </w:rPr>
      </w:pPr>
      <w:r>
        <w:rPr>
          <w:rFonts w:hint="eastAsia"/>
          <w:b/>
          <w:bCs/>
          <w:color w:val="000000" w:themeColor="text1"/>
          <w:sz w:val="24"/>
          <w:szCs w:val="24"/>
        </w:rPr>
        <w:t>交叉作业</w:t>
      </w:r>
    </w:p>
    <w:p w14:paraId="65B0156A" w14:textId="77777777" w:rsidR="002E0859" w:rsidRDefault="00000000">
      <w:pPr>
        <w:spacing w:line="360" w:lineRule="auto"/>
        <w:ind w:firstLine="480"/>
        <w:rPr>
          <w:color w:val="000000" w:themeColor="text1"/>
          <w:kern w:val="0"/>
          <w:sz w:val="24"/>
          <w:szCs w:val="24"/>
        </w:rPr>
      </w:pPr>
      <w:r>
        <w:rPr>
          <w:color w:val="000000" w:themeColor="text1"/>
          <w:kern w:val="0"/>
          <w:sz w:val="24"/>
          <w:szCs w:val="24"/>
        </w:rPr>
        <w:t>丛式井场钻井作业中存在一个钻井平台有两台钻机同时钻井的情况，钻井井场交叉作业多</w:t>
      </w:r>
      <w:r>
        <w:rPr>
          <w:rFonts w:hint="eastAsia"/>
          <w:color w:val="000000" w:themeColor="text1"/>
          <w:kern w:val="0"/>
          <w:sz w:val="24"/>
          <w:szCs w:val="24"/>
        </w:rPr>
        <w:t>，</w:t>
      </w:r>
      <w:r>
        <w:rPr>
          <w:color w:val="000000" w:themeColor="text1"/>
          <w:kern w:val="0"/>
          <w:sz w:val="24"/>
          <w:szCs w:val="24"/>
        </w:rPr>
        <w:t>须多人配合，立体交叉工作</w:t>
      </w:r>
      <w:r>
        <w:rPr>
          <w:rFonts w:hint="eastAsia"/>
          <w:color w:val="000000" w:themeColor="text1"/>
          <w:kern w:val="0"/>
          <w:sz w:val="24"/>
          <w:szCs w:val="24"/>
        </w:rPr>
        <w:t>，</w:t>
      </w:r>
      <w:r>
        <w:rPr>
          <w:color w:val="000000" w:themeColor="text1"/>
          <w:kern w:val="0"/>
          <w:sz w:val="24"/>
          <w:szCs w:val="24"/>
        </w:rPr>
        <w:t>如果指挥不好、衔接不当、防护不严</w:t>
      </w:r>
      <w:r>
        <w:rPr>
          <w:rFonts w:hint="eastAsia"/>
          <w:color w:val="000000" w:themeColor="text1"/>
          <w:kern w:val="0"/>
          <w:sz w:val="24"/>
          <w:szCs w:val="24"/>
        </w:rPr>
        <w:t>，</w:t>
      </w:r>
      <w:r>
        <w:rPr>
          <w:color w:val="000000" w:themeColor="text1"/>
          <w:kern w:val="0"/>
          <w:sz w:val="24"/>
          <w:szCs w:val="24"/>
        </w:rPr>
        <w:t>有可能造成高空坠物、起重伤害、物体打击、触电、机械伤害等事故。</w:t>
      </w:r>
    </w:p>
    <w:p w14:paraId="2F326A29" w14:textId="77777777" w:rsidR="002E0859" w:rsidRDefault="00000000">
      <w:pPr>
        <w:spacing w:line="360" w:lineRule="auto"/>
        <w:ind w:firstLine="480"/>
        <w:rPr>
          <w:color w:val="000000" w:themeColor="text1"/>
          <w:kern w:val="0"/>
          <w:sz w:val="24"/>
          <w:szCs w:val="24"/>
        </w:rPr>
      </w:pPr>
      <w:r>
        <w:rPr>
          <w:color w:val="000000" w:themeColor="text1"/>
          <w:kern w:val="0"/>
          <w:sz w:val="24"/>
          <w:szCs w:val="24"/>
        </w:rPr>
        <w:t>各施工单位需同时进行作业，且老井正常生产，受地形限制，井场面积较小，一般在长</w:t>
      </w:r>
      <w:r>
        <w:rPr>
          <w:color w:val="000000" w:themeColor="text1"/>
          <w:kern w:val="0"/>
          <w:sz w:val="24"/>
          <w:szCs w:val="24"/>
        </w:rPr>
        <w:t>120m</w:t>
      </w:r>
      <w:r>
        <w:rPr>
          <w:color w:val="000000" w:themeColor="text1"/>
          <w:kern w:val="0"/>
          <w:sz w:val="24"/>
          <w:szCs w:val="24"/>
        </w:rPr>
        <w:t>～</w:t>
      </w:r>
      <w:r>
        <w:rPr>
          <w:color w:val="000000" w:themeColor="text1"/>
          <w:kern w:val="0"/>
          <w:sz w:val="24"/>
          <w:szCs w:val="24"/>
        </w:rPr>
        <w:t>150m</w:t>
      </w:r>
      <w:r>
        <w:rPr>
          <w:color w:val="000000" w:themeColor="text1"/>
          <w:kern w:val="0"/>
          <w:sz w:val="24"/>
          <w:szCs w:val="24"/>
        </w:rPr>
        <w:t>，宽</w:t>
      </w:r>
      <w:r>
        <w:rPr>
          <w:color w:val="000000" w:themeColor="text1"/>
          <w:kern w:val="0"/>
          <w:sz w:val="24"/>
          <w:szCs w:val="24"/>
        </w:rPr>
        <w:t>40m</w:t>
      </w:r>
      <w:r>
        <w:rPr>
          <w:color w:val="000000" w:themeColor="text1"/>
          <w:kern w:val="0"/>
          <w:sz w:val="24"/>
          <w:szCs w:val="24"/>
        </w:rPr>
        <w:t>～</w:t>
      </w:r>
      <w:r>
        <w:rPr>
          <w:color w:val="000000" w:themeColor="text1"/>
          <w:kern w:val="0"/>
          <w:sz w:val="24"/>
          <w:szCs w:val="24"/>
        </w:rPr>
        <w:t>60m</w:t>
      </w:r>
      <w:r>
        <w:rPr>
          <w:color w:val="000000" w:themeColor="text1"/>
          <w:kern w:val="0"/>
          <w:sz w:val="24"/>
          <w:szCs w:val="24"/>
        </w:rPr>
        <w:t>之间，设备摆放和人员配合都存在危险因素。气井采用丛式井开采，一般井台都有</w:t>
      </w:r>
      <w:r>
        <w:rPr>
          <w:color w:val="000000" w:themeColor="text1"/>
          <w:kern w:val="0"/>
          <w:sz w:val="24"/>
          <w:szCs w:val="24"/>
        </w:rPr>
        <w:t>2</w:t>
      </w:r>
      <w:r>
        <w:rPr>
          <w:color w:val="000000" w:themeColor="text1"/>
          <w:kern w:val="0"/>
          <w:sz w:val="24"/>
          <w:szCs w:val="24"/>
        </w:rPr>
        <w:t>口井～</w:t>
      </w:r>
      <w:r>
        <w:rPr>
          <w:color w:val="000000" w:themeColor="text1"/>
          <w:kern w:val="0"/>
          <w:sz w:val="24"/>
          <w:szCs w:val="24"/>
        </w:rPr>
        <w:t>4</w:t>
      </w:r>
      <w:r>
        <w:rPr>
          <w:color w:val="000000" w:themeColor="text1"/>
          <w:kern w:val="0"/>
          <w:sz w:val="24"/>
          <w:szCs w:val="24"/>
        </w:rPr>
        <w:t>口井。各井之间井距为</w:t>
      </w:r>
      <w:r>
        <w:rPr>
          <w:color w:val="000000" w:themeColor="text1"/>
          <w:kern w:val="0"/>
          <w:sz w:val="24"/>
          <w:szCs w:val="24"/>
        </w:rPr>
        <w:t>8m</w:t>
      </w:r>
      <w:r>
        <w:rPr>
          <w:color w:val="000000" w:themeColor="text1"/>
          <w:kern w:val="0"/>
          <w:sz w:val="24"/>
          <w:szCs w:val="24"/>
        </w:rPr>
        <w:t>。井台安装配套集输系统流程后，所剩的空间就更小了，这就为投产作业施工的设备摆放提出了严格要求，若按常规的作业设备摆放将会和地面集输系统产生冲突，存在无法摆放作业设备的问题。</w:t>
      </w:r>
    </w:p>
    <w:p w14:paraId="3C1F7AE4"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测井、录井</w:t>
      </w:r>
    </w:p>
    <w:p w14:paraId="1EBA480F" w14:textId="77777777" w:rsidR="002E0859" w:rsidRDefault="00000000">
      <w:pPr>
        <w:pStyle w:val="a0"/>
        <w:spacing w:line="360" w:lineRule="auto"/>
        <w:ind w:firstLine="480"/>
        <w:rPr>
          <w:color w:val="000000" w:themeColor="text1"/>
          <w:sz w:val="24"/>
          <w:szCs w:val="24"/>
        </w:rPr>
      </w:pPr>
      <w:r>
        <w:rPr>
          <w:color w:val="000000" w:themeColor="text1"/>
          <w:sz w:val="24"/>
          <w:szCs w:val="24"/>
        </w:rPr>
        <w:t>在测井过程中工作人员若不穿专用个体防护用具，有发生辐射伤害的危险，另外放</w:t>
      </w:r>
      <w:r>
        <w:rPr>
          <w:color w:val="000000" w:themeColor="text1"/>
          <w:sz w:val="24"/>
          <w:szCs w:val="24"/>
        </w:rPr>
        <w:lastRenderedPageBreak/>
        <w:t>射源若管理不善，或在运输过程管理不到位，极易丢失，一旦丢失将带来更大的危害。</w:t>
      </w:r>
    </w:p>
    <w:p w14:paraId="6B6B2902" w14:textId="77777777" w:rsidR="002E0859" w:rsidRDefault="00000000">
      <w:pPr>
        <w:pStyle w:val="a0"/>
        <w:spacing w:line="360" w:lineRule="auto"/>
        <w:ind w:firstLine="480"/>
        <w:rPr>
          <w:color w:val="000000" w:themeColor="text1"/>
          <w:sz w:val="24"/>
          <w:szCs w:val="24"/>
        </w:rPr>
      </w:pPr>
      <w:r>
        <w:rPr>
          <w:color w:val="000000" w:themeColor="text1"/>
          <w:sz w:val="24"/>
          <w:szCs w:val="24"/>
        </w:rPr>
        <w:t>测井过程中易发生落井事故，也可能发生溢流以及卡仪器、拔断电缆、仪器落井等事故。</w:t>
      </w:r>
    </w:p>
    <w:p w14:paraId="09112F76" w14:textId="77777777" w:rsidR="002E0859" w:rsidRDefault="00000000">
      <w:pPr>
        <w:pStyle w:val="a0"/>
        <w:spacing w:line="360" w:lineRule="auto"/>
        <w:ind w:firstLine="480"/>
        <w:rPr>
          <w:color w:val="000000" w:themeColor="text1"/>
          <w:sz w:val="24"/>
          <w:szCs w:val="24"/>
        </w:rPr>
      </w:pPr>
      <w:r>
        <w:rPr>
          <w:color w:val="000000" w:themeColor="text1"/>
          <w:sz w:val="24"/>
          <w:szCs w:val="24"/>
        </w:rPr>
        <w:t>录井施工过程中，人员安装排量探头等作业时，无任何梯子可用，存在录井安装人员坠井的危险；若电烤板破裂漏水，录井人员在烘烤岩屑时有发生触电的危险。</w:t>
      </w:r>
    </w:p>
    <w:p w14:paraId="73566D8C"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固井、完井</w:t>
      </w:r>
    </w:p>
    <w:p w14:paraId="55B59017" w14:textId="77777777" w:rsidR="002E0859" w:rsidRDefault="00000000">
      <w:pPr>
        <w:pStyle w:val="a0"/>
        <w:spacing w:line="360" w:lineRule="auto"/>
        <w:ind w:firstLine="480"/>
        <w:rPr>
          <w:color w:val="000000" w:themeColor="text1"/>
          <w:sz w:val="24"/>
          <w:szCs w:val="24"/>
        </w:rPr>
      </w:pPr>
      <w:r>
        <w:rPr>
          <w:color w:val="000000" w:themeColor="text1"/>
          <w:sz w:val="24"/>
          <w:szCs w:val="24"/>
        </w:rPr>
        <w:t>在固井施工过程中，泵压会越来越高，井口、泵房、高压管汇、安全阀附近的流体存在伤人的危险性。固井过程中，需要使用机械设备，如果现场工作人员不注意，可能发生机械伤害。</w:t>
      </w:r>
    </w:p>
    <w:p w14:paraId="3165A27D" w14:textId="77777777" w:rsidR="002E0859" w:rsidRDefault="00000000">
      <w:pPr>
        <w:pStyle w:val="a0"/>
        <w:spacing w:line="360" w:lineRule="auto"/>
        <w:ind w:firstLine="480"/>
        <w:rPr>
          <w:color w:val="000000" w:themeColor="text1"/>
          <w:sz w:val="24"/>
          <w:szCs w:val="24"/>
        </w:rPr>
      </w:pPr>
      <w:r>
        <w:rPr>
          <w:color w:val="000000" w:themeColor="text1"/>
          <w:sz w:val="24"/>
          <w:szCs w:val="24"/>
        </w:rPr>
        <w:t>在固技术套管或油层套管施工过程中，固井车辆摆放时可能危害供电线路，容易造成触电、火灾或中毒窒息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14:paraId="231770FA"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完井后拆卸设备</w:t>
      </w:r>
    </w:p>
    <w:p w14:paraId="5555D8F2" w14:textId="77777777" w:rsidR="002E0859" w:rsidRDefault="00000000">
      <w:pPr>
        <w:pStyle w:val="a0"/>
        <w:spacing w:line="360" w:lineRule="auto"/>
        <w:ind w:firstLine="480"/>
        <w:rPr>
          <w:color w:val="000000" w:themeColor="text1"/>
          <w:sz w:val="24"/>
          <w:szCs w:val="24"/>
        </w:rPr>
      </w:pPr>
      <w:r>
        <w:rPr>
          <w:color w:val="000000" w:themeColor="text1"/>
          <w:sz w:val="24"/>
          <w:szCs w:val="24"/>
        </w:rPr>
        <w:t>完井后拆卸设备需要多工种配合作业，危险因素多，特别是拆卸钻具时，易发生吊钳伤人的事故。另外，在钻具下钻台时，也容易发生砸伤人员的事故。</w:t>
      </w:r>
    </w:p>
    <w:p w14:paraId="5970A99C" w14:textId="77777777" w:rsidR="002E0859" w:rsidRDefault="00000000">
      <w:pPr>
        <w:numPr>
          <w:ilvl w:val="3"/>
          <w:numId w:val="1"/>
        </w:numPr>
        <w:spacing w:line="360" w:lineRule="auto"/>
        <w:ind w:firstLineChars="0"/>
        <w:outlineLvl w:val="3"/>
        <w:rPr>
          <w:b/>
          <w:bCs/>
          <w:color w:val="000000" w:themeColor="text1"/>
          <w:sz w:val="24"/>
          <w:szCs w:val="24"/>
        </w:rPr>
      </w:pPr>
      <w:r>
        <w:rPr>
          <w:rFonts w:hint="eastAsia"/>
          <w:b/>
          <w:bCs/>
          <w:color w:val="000000" w:themeColor="text1"/>
          <w:sz w:val="24"/>
          <w:szCs w:val="24"/>
        </w:rPr>
        <w:t>钻后废弃物治理</w:t>
      </w:r>
    </w:p>
    <w:p w14:paraId="52279C83" w14:textId="77777777" w:rsidR="002E0859" w:rsidRDefault="00000000">
      <w:pPr>
        <w:spacing w:line="360" w:lineRule="auto"/>
        <w:ind w:firstLine="480"/>
        <w:rPr>
          <w:color w:val="000000" w:themeColor="text1"/>
          <w:sz w:val="24"/>
          <w:szCs w:val="24"/>
        </w:rPr>
      </w:pPr>
      <w:r>
        <w:rPr>
          <w:color w:val="000000" w:themeColor="text1"/>
          <w:sz w:val="24"/>
          <w:szCs w:val="24"/>
        </w:rPr>
        <w:t>钻后废弃物治理包括水基泥浆治理、油基泥浆治理、废水治理，钻后废弃物治理设备布置在井场固控设备旁，在治理过程中，人员设备一直在井场，钻屑需要及时外运，交叉作业多，治理周期长，在井场存在高空坠落、物体打击、触电、机械伤害、高压伤害、化学物品腐蚀、火灾、爆炸等风险，在外运过程中存在高空坠落、起重伤害、物体打击、机械伤害、火灾、爆炸、车辆伤害等风险，造成人员伤亡、设备损坏、财产损失等</w:t>
      </w:r>
      <w:r>
        <w:rPr>
          <w:rFonts w:hint="eastAsia"/>
          <w:color w:val="000000" w:themeColor="text1"/>
          <w:sz w:val="24"/>
          <w:szCs w:val="24"/>
        </w:rPr>
        <w:t>。</w:t>
      </w:r>
    </w:p>
    <w:p w14:paraId="54AC3B6F"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检修与保养</w:t>
      </w:r>
    </w:p>
    <w:p w14:paraId="6E70F61A" w14:textId="77777777" w:rsidR="002E0859" w:rsidRDefault="00000000">
      <w:pPr>
        <w:pStyle w:val="a0"/>
        <w:spacing w:line="360" w:lineRule="auto"/>
        <w:ind w:firstLine="480"/>
        <w:rPr>
          <w:color w:val="000000" w:themeColor="text1"/>
          <w:sz w:val="24"/>
          <w:szCs w:val="24"/>
        </w:rPr>
      </w:pPr>
      <w:r>
        <w:rPr>
          <w:color w:val="000000" w:themeColor="text1"/>
          <w:sz w:val="24"/>
          <w:szCs w:val="24"/>
        </w:rPr>
        <w:t>在设备保养或检修时，存在机械伤害、电气伤害、高处坠落等危险，甚至因此造成卡钻事故，处理卡钻事故是发生人身伤害最多的过程。</w:t>
      </w:r>
    </w:p>
    <w:p w14:paraId="7E9E290B"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lastRenderedPageBreak/>
        <w:t>处理复杂情况与井下事故处理</w:t>
      </w:r>
    </w:p>
    <w:p w14:paraId="149996E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、处理地面复杂情况</w:t>
      </w:r>
    </w:p>
    <w:p w14:paraId="633E611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地面复杂情况是指在钻井施工过程中可能遇到的地面设备和操作失误造成的复杂情况。</w:t>
      </w:r>
    </w:p>
    <w:p w14:paraId="6B1FE5B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）顿钻</w:t>
      </w:r>
    </w:p>
    <w:p w14:paraId="41BD151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具在井下时，操作人员离开刹把；使用损坏、有缺陷或与钻具规范不相符的井口工具；刹带及曲拐下存有异物，或刹带与刹车毂之间有油污；刹带调节螺丝的保险帽缺失，与绞车底座的间隙不符合规定等原因，往往会发生顿钻事故。顿钻可能造成砸坏设备、工具、钻具落井甚至伤及人员等严重后果。</w:t>
      </w:r>
    </w:p>
    <w:p w14:paraId="0DE0062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）顶天车</w:t>
      </w:r>
    </w:p>
    <w:p w14:paraId="6659C3D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顶天车事故大多是由于刹把的操作失误或机械故障（如绞车气路冻结、堵塞不放气、防碰天车失灵等）而引起的。顶天车可造成拉断大绳、砸坏设备、钻具落井、砸伤人员等后果。</w:t>
      </w:r>
    </w:p>
    <w:p w14:paraId="1CBBD51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）单吊环起钻</w:t>
      </w:r>
    </w:p>
    <w:p w14:paraId="6CEBC5F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单吊环起钻是指在起钻过程中，由于操作失误而造成的单吊环提起井下钻具的现象。这种情况的发生，轻则拉弯钻杆，重则折断钻具，导致落井，甚至造成人员伤亡。</w:t>
      </w:r>
    </w:p>
    <w:p w14:paraId="2C15E44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）水龙头脱钩</w:t>
      </w:r>
    </w:p>
    <w:p w14:paraId="5EE2578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水龙头脱钩往往是由于在上部软地层快速钻进时因加压过大、大钩倒挂或接单根下放钻及活动钻具时下放过猛、井下突然遇阻且大钩锁销失灵而造成。</w:t>
      </w:r>
    </w:p>
    <w:p w14:paraId="2C44753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、井下复杂情况和井下事故</w:t>
      </w:r>
    </w:p>
    <w:p w14:paraId="59518809" w14:textId="77777777" w:rsidR="002E0859" w:rsidRDefault="00000000">
      <w:pPr>
        <w:pStyle w:val="a0"/>
        <w:spacing w:line="360" w:lineRule="auto"/>
        <w:ind w:firstLine="480"/>
        <w:rPr>
          <w:color w:val="000000" w:themeColor="text1"/>
          <w:sz w:val="24"/>
          <w:szCs w:val="24"/>
        </w:rPr>
      </w:pPr>
      <w:r>
        <w:rPr>
          <w:color w:val="000000" w:themeColor="text1"/>
          <w:sz w:val="24"/>
          <w:szCs w:val="24"/>
        </w:rPr>
        <w:t>井下复杂情况和井下事故包括：井涌、井漏、井塌、砂桥、泥包、缩径、键槽、卡钻、井喷、钻具或套管断落、井下落物等等。井喷失控是钻井、井下作业过程中可能发生的比较严重的事故，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14:paraId="27DC9EEF"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钻井井控</w:t>
      </w:r>
    </w:p>
    <w:p w14:paraId="55C9EC3F" w14:textId="77777777" w:rsidR="002E0859" w:rsidRDefault="00000000">
      <w:pPr>
        <w:pStyle w:val="a0"/>
        <w:spacing w:line="360" w:lineRule="auto"/>
        <w:ind w:firstLine="480"/>
        <w:rPr>
          <w:color w:val="000000" w:themeColor="text1"/>
          <w:sz w:val="24"/>
          <w:szCs w:val="24"/>
        </w:rPr>
      </w:pPr>
      <w:r>
        <w:rPr>
          <w:color w:val="000000" w:themeColor="text1"/>
          <w:sz w:val="24"/>
          <w:szCs w:val="24"/>
        </w:rPr>
        <w:t>井控的特殊性在于其本身就是一种防止井喷的安全技术手段，但同时井控作业中存在着较大的危险性，处理不当反而会使井喷失控，带来更加严重的后果。现场和危险区域的人员如果撤离不及时</w:t>
      </w:r>
      <w:r>
        <w:rPr>
          <w:rFonts w:hint="eastAsia"/>
          <w:color w:val="000000" w:themeColor="text1"/>
          <w:sz w:val="24"/>
          <w:szCs w:val="24"/>
        </w:rPr>
        <w:t>，</w:t>
      </w:r>
      <w:r>
        <w:rPr>
          <w:color w:val="000000" w:themeColor="text1"/>
          <w:sz w:val="24"/>
          <w:szCs w:val="24"/>
        </w:rPr>
        <w:t>可能发生人员中毒和死亡的事故</w:t>
      </w:r>
      <w:r>
        <w:rPr>
          <w:rFonts w:hint="eastAsia"/>
          <w:color w:val="000000" w:themeColor="text1"/>
          <w:sz w:val="24"/>
          <w:szCs w:val="24"/>
        </w:rPr>
        <w:t>，</w:t>
      </w:r>
      <w:r>
        <w:rPr>
          <w:color w:val="000000" w:themeColor="text1"/>
          <w:sz w:val="24"/>
          <w:szCs w:val="24"/>
        </w:rPr>
        <w:t>危害范围大</w:t>
      </w:r>
      <w:r>
        <w:rPr>
          <w:rFonts w:hint="eastAsia"/>
          <w:color w:val="000000" w:themeColor="text1"/>
          <w:sz w:val="24"/>
          <w:szCs w:val="24"/>
        </w:rPr>
        <w:t>，</w:t>
      </w:r>
      <w:r>
        <w:rPr>
          <w:color w:val="000000" w:themeColor="text1"/>
          <w:sz w:val="24"/>
          <w:szCs w:val="24"/>
        </w:rPr>
        <w:t>影响恶劣。</w:t>
      </w:r>
    </w:p>
    <w:p w14:paraId="3E791A48" w14:textId="77777777" w:rsidR="002E0859" w:rsidRDefault="00000000">
      <w:pPr>
        <w:pStyle w:val="a0"/>
        <w:spacing w:line="360" w:lineRule="auto"/>
        <w:ind w:firstLine="480"/>
        <w:rPr>
          <w:color w:val="000000" w:themeColor="text1"/>
          <w:sz w:val="24"/>
          <w:szCs w:val="24"/>
        </w:rPr>
      </w:pPr>
      <w:r>
        <w:rPr>
          <w:color w:val="000000" w:themeColor="text1"/>
          <w:sz w:val="24"/>
          <w:szCs w:val="24"/>
        </w:rPr>
        <w:t>一般情况下发生井</w:t>
      </w:r>
      <w:r>
        <w:rPr>
          <w:rFonts w:hint="eastAsia"/>
          <w:color w:val="000000" w:themeColor="text1"/>
          <w:sz w:val="24"/>
          <w:szCs w:val="24"/>
        </w:rPr>
        <w:t>喷</w:t>
      </w:r>
      <w:r>
        <w:rPr>
          <w:color w:val="000000" w:themeColor="text1"/>
          <w:sz w:val="24"/>
          <w:szCs w:val="24"/>
        </w:rPr>
        <w:t>风险的原因如下：</w:t>
      </w:r>
    </w:p>
    <w:p w14:paraId="46F21D7D"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lastRenderedPageBreak/>
        <w:t>设计或施工失误：不能正确预测气层位置，钻井中遇到漏层或气层夹带漏层，钻井液漏失造液柱压力小于地层压力。</w:t>
      </w:r>
    </w:p>
    <w:p w14:paraId="51621C60"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t>钻井液密度过低，液柱的压力不足以平衡地层压力；或钻井液粘度过高，滞留于钻井液中的气体不能很快排出，使钻井液密度降低。</w:t>
      </w:r>
    </w:p>
    <w:p w14:paraId="3BE77228"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t>钻井过程中技术套管破裂，气体从套管裂口喷出地面。</w:t>
      </w:r>
    </w:p>
    <w:p w14:paraId="391335DC"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t>起钻抽汲、下钻产生激动压力，卡钻、或地面设备故障造成停工过长井筒内气侵严重造成井喷。</w:t>
      </w:r>
    </w:p>
    <w:p w14:paraId="3105FDC8"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t>井口未安防喷器；防喷器不合格或安装不符合要求、试压不合格；防喷设施损坏。</w:t>
      </w:r>
    </w:p>
    <w:p w14:paraId="4DE5B8B9" w14:textId="77777777" w:rsidR="002E0859" w:rsidRDefault="00000000">
      <w:pPr>
        <w:pStyle w:val="a0"/>
        <w:numPr>
          <w:ilvl w:val="0"/>
          <w:numId w:val="20"/>
        </w:numPr>
        <w:spacing w:line="360" w:lineRule="auto"/>
        <w:ind w:firstLine="480"/>
        <w:rPr>
          <w:color w:val="000000" w:themeColor="text1"/>
          <w:sz w:val="24"/>
          <w:szCs w:val="24"/>
        </w:rPr>
      </w:pPr>
      <w:r>
        <w:rPr>
          <w:color w:val="000000" w:themeColor="text1"/>
          <w:sz w:val="24"/>
          <w:szCs w:val="24"/>
        </w:rPr>
        <w:t>发现溢流后处理措施不当。比如，发现溢流后不及时正确关井，继续循环观察，致使气侵段钻井液或气柱迅速上移。</w:t>
      </w:r>
    </w:p>
    <w:p w14:paraId="00EC6D99" w14:textId="77777777" w:rsidR="002E0859" w:rsidRDefault="00000000">
      <w:pPr>
        <w:pStyle w:val="a0"/>
        <w:numPr>
          <w:ilvl w:val="0"/>
          <w:numId w:val="20"/>
        </w:numPr>
        <w:spacing w:line="360" w:lineRule="auto"/>
        <w:ind w:firstLine="480"/>
        <w:rPr>
          <w:color w:val="000000" w:themeColor="text1"/>
          <w:sz w:val="24"/>
          <w:szCs w:val="24"/>
        </w:rPr>
      </w:pPr>
      <w:r>
        <w:rPr>
          <w:color w:val="000000" w:themeColor="text1"/>
          <w:sz w:val="24"/>
          <w:szCs w:val="24"/>
        </w:rPr>
        <w:t>井身结构设计不合理。表层套管下的深度不够，技术套管下的深度靠上，当钻到下地层遇有异常压力而关井时，在表层套管外憋漏，钻井液窜至井场地表，无法实施关井。</w:t>
      </w:r>
    </w:p>
    <w:p w14:paraId="093538A3"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t>起下作业没有严格执行防喷器的使用规程操作；如：在未打开防喷器的情况下进行起下管柱作业；</w:t>
      </w:r>
      <w:r>
        <w:rPr>
          <w:color w:val="000000" w:themeColor="text1"/>
          <w:sz w:val="24"/>
          <w:szCs w:val="24"/>
        </w:rPr>
        <w:t>在未打开旋塞的情况下上、卸旋塞。</w:t>
      </w:r>
    </w:p>
    <w:p w14:paraId="59CA8594" w14:textId="77777777" w:rsidR="002E0859" w:rsidRDefault="00000000">
      <w:pPr>
        <w:pStyle w:val="a0"/>
        <w:numPr>
          <w:ilvl w:val="0"/>
          <w:numId w:val="20"/>
        </w:numPr>
        <w:spacing w:line="360" w:lineRule="auto"/>
        <w:ind w:firstLine="480"/>
        <w:rPr>
          <w:color w:val="000000" w:themeColor="text1"/>
          <w:sz w:val="24"/>
          <w:szCs w:val="24"/>
        </w:rPr>
      </w:pPr>
      <w:r>
        <w:rPr>
          <w:color w:val="000000" w:themeColor="text1"/>
          <w:sz w:val="24"/>
          <w:szCs w:val="24"/>
        </w:rPr>
        <w:t>在起下封隔器等大直径工具时</w:t>
      </w:r>
      <w:r>
        <w:rPr>
          <w:rFonts w:hint="eastAsia"/>
          <w:color w:val="000000" w:themeColor="text1"/>
          <w:sz w:val="24"/>
          <w:szCs w:val="24"/>
        </w:rPr>
        <w:t>，</w:t>
      </w:r>
      <w:r>
        <w:rPr>
          <w:color w:val="000000" w:themeColor="text1"/>
          <w:sz w:val="24"/>
          <w:szCs w:val="24"/>
        </w:rPr>
        <w:t>没有控制起下钻速度</w:t>
      </w:r>
      <w:r>
        <w:rPr>
          <w:rFonts w:hint="eastAsia"/>
          <w:color w:val="000000" w:themeColor="text1"/>
          <w:sz w:val="24"/>
          <w:szCs w:val="24"/>
        </w:rPr>
        <w:t>，</w:t>
      </w:r>
      <w:r>
        <w:rPr>
          <w:color w:val="000000" w:themeColor="text1"/>
          <w:sz w:val="24"/>
          <w:szCs w:val="24"/>
        </w:rPr>
        <w:t>产生抽汲或压力激动</w:t>
      </w:r>
      <w:r>
        <w:rPr>
          <w:rFonts w:hint="eastAsia"/>
          <w:color w:val="000000" w:themeColor="text1"/>
          <w:sz w:val="24"/>
          <w:szCs w:val="24"/>
        </w:rPr>
        <w:t>，</w:t>
      </w:r>
      <w:r>
        <w:rPr>
          <w:color w:val="000000" w:themeColor="text1"/>
          <w:sz w:val="24"/>
          <w:szCs w:val="24"/>
        </w:rPr>
        <w:t>导致井喷。</w:t>
      </w:r>
    </w:p>
    <w:p w14:paraId="4973653B" w14:textId="77777777" w:rsidR="002E0859" w:rsidRDefault="00000000">
      <w:pPr>
        <w:pStyle w:val="a0"/>
        <w:numPr>
          <w:ilvl w:val="0"/>
          <w:numId w:val="20"/>
        </w:numPr>
        <w:spacing w:line="360" w:lineRule="auto"/>
        <w:ind w:firstLine="480"/>
        <w:rPr>
          <w:color w:val="000000" w:themeColor="text1"/>
          <w:sz w:val="24"/>
          <w:szCs w:val="24"/>
        </w:rPr>
      </w:pPr>
      <w:r>
        <w:rPr>
          <w:color w:val="000000" w:themeColor="text1"/>
          <w:sz w:val="24"/>
          <w:szCs w:val="24"/>
        </w:rPr>
        <w:t>思想麻痹，违章操作。由于思想麻痹，违章操作而导致的井喷失控。</w:t>
      </w:r>
    </w:p>
    <w:p w14:paraId="6AFF5E26" w14:textId="77777777" w:rsidR="002E0859" w:rsidRDefault="00000000">
      <w:pPr>
        <w:pStyle w:val="a0"/>
        <w:numPr>
          <w:ilvl w:val="0"/>
          <w:numId w:val="20"/>
        </w:numPr>
        <w:spacing w:line="360" w:lineRule="auto"/>
        <w:ind w:firstLine="480"/>
        <w:rPr>
          <w:color w:val="000000" w:themeColor="text1"/>
          <w:sz w:val="24"/>
          <w:szCs w:val="24"/>
        </w:rPr>
      </w:pPr>
      <w:r>
        <w:rPr>
          <w:rFonts w:hint="eastAsia"/>
          <w:color w:val="000000" w:themeColor="text1"/>
          <w:sz w:val="24"/>
          <w:szCs w:val="24"/>
        </w:rPr>
        <w:t>操作井控设备失误。</w:t>
      </w:r>
    </w:p>
    <w:p w14:paraId="61CBD036"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采气工程危险有害因素分析</w:t>
      </w:r>
    </w:p>
    <w:p w14:paraId="62FFA3EC" w14:textId="77777777" w:rsidR="002E0859" w:rsidRDefault="00000000">
      <w:pPr>
        <w:numPr>
          <w:ilvl w:val="3"/>
          <w:numId w:val="1"/>
        </w:numPr>
        <w:spacing w:line="360" w:lineRule="auto"/>
        <w:ind w:firstLineChars="0"/>
        <w:outlineLvl w:val="3"/>
        <w:rPr>
          <w:b/>
          <w:bCs/>
          <w:color w:val="000000" w:themeColor="text1"/>
          <w:sz w:val="24"/>
          <w:szCs w:val="24"/>
        </w:rPr>
      </w:pPr>
      <w:r>
        <w:rPr>
          <w:rFonts w:hint="eastAsia"/>
          <w:b/>
          <w:bCs/>
          <w:color w:val="000000" w:themeColor="text1"/>
          <w:sz w:val="24"/>
          <w:szCs w:val="24"/>
        </w:rPr>
        <w:t>设备搬迁</w:t>
      </w:r>
    </w:p>
    <w:p w14:paraId="04407BB1" w14:textId="77777777" w:rsidR="002E0859" w:rsidRDefault="00000000">
      <w:pPr>
        <w:spacing w:line="360" w:lineRule="auto"/>
        <w:ind w:firstLine="480"/>
        <w:rPr>
          <w:color w:val="000000" w:themeColor="text1"/>
          <w:sz w:val="24"/>
          <w:szCs w:val="24"/>
        </w:rPr>
      </w:pPr>
      <w:r>
        <w:rPr>
          <w:color w:val="000000" w:themeColor="text1"/>
          <w:sz w:val="24"/>
          <w:szCs w:val="24"/>
        </w:rPr>
        <w:t>将设备搬迁至井场并安装射孔设备、压裂设备、酸化设备等设备时，钻井与试气、压裂施工与带压钻塞、压裂施工与带压起下油管等禁止同平台交叉作业，由于操作、管理不当，容易造成井喷、物体打击、机械伤害、火灾、爆炸、中毒窒息、高空坠物、起重伤害、触电等</w:t>
      </w:r>
      <w:r>
        <w:rPr>
          <w:rFonts w:hint="eastAsia"/>
          <w:color w:val="000000" w:themeColor="text1"/>
          <w:sz w:val="24"/>
          <w:szCs w:val="24"/>
        </w:rPr>
        <w:t>。</w:t>
      </w:r>
    </w:p>
    <w:p w14:paraId="38D5D871"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射孔作业</w:t>
      </w:r>
    </w:p>
    <w:p w14:paraId="7EDD4828" w14:textId="77777777" w:rsidR="002E0859" w:rsidRDefault="00000000">
      <w:pPr>
        <w:pStyle w:val="a0"/>
        <w:spacing w:line="360" w:lineRule="auto"/>
        <w:ind w:firstLine="480"/>
        <w:rPr>
          <w:color w:val="000000" w:themeColor="text1"/>
          <w:sz w:val="24"/>
          <w:szCs w:val="24"/>
        </w:rPr>
      </w:pPr>
      <w:r>
        <w:rPr>
          <w:color w:val="000000" w:themeColor="text1"/>
          <w:sz w:val="24"/>
          <w:szCs w:val="24"/>
        </w:rPr>
        <w:t>射孔作业过程中的危险、有害因素分析射孔作业是井下施工的重要工序，也是易发生井喷事故的施工。</w:t>
      </w:r>
    </w:p>
    <w:p w14:paraId="0A260FF5" w14:textId="77777777" w:rsidR="002E0859" w:rsidRDefault="00000000">
      <w:pPr>
        <w:pStyle w:val="a0"/>
        <w:spacing w:line="360" w:lineRule="auto"/>
        <w:ind w:firstLine="480"/>
        <w:rPr>
          <w:color w:val="000000" w:themeColor="text1"/>
          <w:sz w:val="24"/>
          <w:szCs w:val="24"/>
        </w:rPr>
      </w:pPr>
      <w:r>
        <w:rPr>
          <w:color w:val="000000" w:themeColor="text1"/>
          <w:sz w:val="24"/>
          <w:szCs w:val="24"/>
        </w:rPr>
        <w:t>施工前因地层压力数据不准确或没有合理选配压井液而引发井喷，或因没有合理选</w:t>
      </w:r>
      <w:r>
        <w:rPr>
          <w:color w:val="000000" w:themeColor="text1"/>
          <w:sz w:val="24"/>
          <w:szCs w:val="24"/>
        </w:rPr>
        <w:lastRenderedPageBreak/>
        <w:t>择射孔方式而增加事故发生的可能性，或因放喷装置没有检查、试压而发生井喷，没有准备好抢喷工具及配件，致使抢喷失败造成事故，或不按照井控要求进行操作可能导致井喷事故。</w:t>
      </w:r>
    </w:p>
    <w:p w14:paraId="713EF35B"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酸化压裂</w:t>
      </w:r>
    </w:p>
    <w:p w14:paraId="170AE398" w14:textId="77777777" w:rsidR="002E0859" w:rsidRDefault="00000000">
      <w:pPr>
        <w:pStyle w:val="a0"/>
        <w:spacing w:line="360" w:lineRule="auto"/>
        <w:ind w:firstLine="480"/>
        <w:rPr>
          <w:color w:val="000000" w:themeColor="text1"/>
          <w:sz w:val="24"/>
          <w:szCs w:val="24"/>
        </w:rPr>
      </w:pPr>
      <w:r>
        <w:rPr>
          <w:color w:val="000000" w:themeColor="text1"/>
          <w:sz w:val="24"/>
          <w:szCs w:val="24"/>
        </w:rPr>
        <w:t>酸化压裂作业：压裂设备包括压裂车、混砂车、仪表车、管汇车、砂罐车及立式砂罐、大罐等，压裂作业现场一般面积较小，造成人员与设备高度集中。井场布置易存在隐患，由于受井场场地的限制，施工车辆距离井口过近，压裂仪表车、其他辅助车辆和仪器距离高压区的距离较近，存在较大的安全隐患。施工过程危险性高，压裂作业施工极易造成井身结构破坏、管线爆裂，发生卡钻、砂堵油管、管柱断脱、井口设备刺漏等工程事故，极易引发井喷事故和物体打击事故。救援及逃生困难，由于井场摆放着各种车辆和压裂罐，视野较窄，一旦发生事故，很难迅速逃生和得到救援，极易升级为恶性事件。</w:t>
      </w:r>
    </w:p>
    <w:p w14:paraId="17CA09AD" w14:textId="77777777" w:rsidR="002E0859" w:rsidRDefault="00000000">
      <w:pPr>
        <w:pStyle w:val="a0"/>
        <w:spacing w:line="360" w:lineRule="auto"/>
        <w:ind w:firstLine="480"/>
        <w:rPr>
          <w:color w:val="000000" w:themeColor="text1"/>
          <w:sz w:val="24"/>
          <w:szCs w:val="24"/>
        </w:rPr>
      </w:pPr>
      <w:r>
        <w:rPr>
          <w:color w:val="000000" w:themeColor="text1"/>
          <w:sz w:val="24"/>
          <w:szCs w:val="24"/>
        </w:rPr>
        <w:t>在施工过程中，如果压裂不当将导致管柱破裂，还可能使井内的管线泄漏。压裂车释放出压裂液和有毒有害的气体导致人员中毒。</w:t>
      </w:r>
    </w:p>
    <w:p w14:paraId="3CE1E1F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液氮返排时，若液氮泄漏至人身无防护处，可致冻伤。</w:t>
      </w:r>
    </w:p>
    <w:p w14:paraId="40A618A5"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采气过程</w:t>
      </w:r>
    </w:p>
    <w:p w14:paraId="3F0C44F6"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气</w:t>
      </w:r>
      <w:r>
        <w:rPr>
          <w:color w:val="000000" w:themeColor="text1"/>
          <w:sz w:val="24"/>
          <w:szCs w:val="24"/>
        </w:rPr>
        <w:t>井损坏后，在修井作业换套时</w:t>
      </w:r>
      <w:r>
        <w:rPr>
          <w:rFonts w:hint="eastAsia"/>
          <w:color w:val="000000" w:themeColor="text1"/>
          <w:sz w:val="24"/>
          <w:szCs w:val="24"/>
        </w:rPr>
        <w:t>，</w:t>
      </w:r>
      <w:r>
        <w:rPr>
          <w:color w:val="000000" w:themeColor="text1"/>
          <w:sz w:val="24"/>
          <w:szCs w:val="24"/>
        </w:rPr>
        <w:t>没有打水泥塞或桥塞封住生产层</w:t>
      </w:r>
      <w:r>
        <w:rPr>
          <w:rFonts w:hint="eastAsia"/>
          <w:color w:val="000000" w:themeColor="text1"/>
          <w:sz w:val="24"/>
          <w:szCs w:val="24"/>
        </w:rPr>
        <w:t>；</w:t>
      </w:r>
      <w:r>
        <w:rPr>
          <w:color w:val="000000" w:themeColor="text1"/>
          <w:sz w:val="24"/>
          <w:szCs w:val="24"/>
        </w:rPr>
        <w:t>或洗井液不合格</w:t>
      </w:r>
      <w:r>
        <w:rPr>
          <w:rFonts w:hint="eastAsia"/>
          <w:color w:val="000000" w:themeColor="text1"/>
          <w:sz w:val="24"/>
          <w:szCs w:val="24"/>
        </w:rPr>
        <w:t>；</w:t>
      </w:r>
      <w:r>
        <w:rPr>
          <w:color w:val="000000" w:themeColor="text1"/>
          <w:sz w:val="24"/>
          <w:szCs w:val="24"/>
        </w:rPr>
        <w:t>或洗井液没有灌满井筒就进行作业</w:t>
      </w:r>
      <w:r>
        <w:rPr>
          <w:rFonts w:hint="eastAsia"/>
          <w:color w:val="000000" w:themeColor="text1"/>
          <w:sz w:val="24"/>
          <w:szCs w:val="24"/>
        </w:rPr>
        <w:t>；</w:t>
      </w:r>
      <w:r>
        <w:rPr>
          <w:color w:val="000000" w:themeColor="text1"/>
          <w:sz w:val="24"/>
          <w:szCs w:val="24"/>
        </w:rPr>
        <w:t>或无法封堵生产层时</w:t>
      </w:r>
      <w:r>
        <w:rPr>
          <w:rFonts w:hint="eastAsia"/>
          <w:color w:val="000000" w:themeColor="text1"/>
          <w:sz w:val="24"/>
          <w:szCs w:val="24"/>
        </w:rPr>
        <w:t>，</w:t>
      </w:r>
      <w:r>
        <w:rPr>
          <w:color w:val="000000" w:themeColor="text1"/>
          <w:sz w:val="24"/>
          <w:szCs w:val="24"/>
        </w:rPr>
        <w:t>没有先安装防喷器</w:t>
      </w:r>
      <w:r>
        <w:rPr>
          <w:rFonts w:hint="eastAsia"/>
          <w:color w:val="000000" w:themeColor="text1"/>
          <w:sz w:val="24"/>
          <w:szCs w:val="24"/>
        </w:rPr>
        <w:t>，</w:t>
      </w:r>
      <w:r>
        <w:rPr>
          <w:color w:val="000000" w:themeColor="text1"/>
          <w:sz w:val="24"/>
          <w:szCs w:val="24"/>
        </w:rPr>
        <w:t>再进行换套施工</w:t>
      </w:r>
      <w:r>
        <w:rPr>
          <w:rFonts w:hint="eastAsia"/>
          <w:color w:val="000000" w:themeColor="text1"/>
          <w:sz w:val="24"/>
          <w:szCs w:val="24"/>
        </w:rPr>
        <w:t>；</w:t>
      </w:r>
      <w:r>
        <w:rPr>
          <w:color w:val="000000" w:themeColor="text1"/>
          <w:sz w:val="24"/>
          <w:szCs w:val="24"/>
        </w:rPr>
        <w:t>或没有按标准扭矩进行套管上扣</w:t>
      </w:r>
      <w:r>
        <w:rPr>
          <w:rFonts w:hint="eastAsia"/>
          <w:color w:val="000000" w:themeColor="text1"/>
          <w:sz w:val="24"/>
          <w:szCs w:val="24"/>
        </w:rPr>
        <w:t>；</w:t>
      </w:r>
      <w:r>
        <w:rPr>
          <w:color w:val="000000" w:themeColor="text1"/>
          <w:sz w:val="24"/>
          <w:szCs w:val="24"/>
        </w:rPr>
        <w:t>或套管对扣回接后</w:t>
      </w:r>
      <w:r>
        <w:rPr>
          <w:rFonts w:hint="eastAsia"/>
          <w:color w:val="000000" w:themeColor="text1"/>
          <w:sz w:val="24"/>
          <w:szCs w:val="24"/>
        </w:rPr>
        <w:t>，</w:t>
      </w:r>
      <w:r>
        <w:rPr>
          <w:color w:val="000000" w:themeColor="text1"/>
          <w:sz w:val="24"/>
          <w:szCs w:val="24"/>
        </w:rPr>
        <w:t>没有依据地质方案要求进行试压</w:t>
      </w:r>
      <w:r>
        <w:rPr>
          <w:rFonts w:hint="eastAsia"/>
          <w:color w:val="000000" w:themeColor="text1"/>
          <w:sz w:val="24"/>
          <w:szCs w:val="24"/>
        </w:rPr>
        <w:t>，</w:t>
      </w:r>
      <w:r>
        <w:rPr>
          <w:color w:val="000000" w:themeColor="text1"/>
          <w:sz w:val="24"/>
          <w:szCs w:val="24"/>
        </w:rPr>
        <w:t>均可能造成井喷失控事故等。</w:t>
      </w:r>
    </w:p>
    <w:p w14:paraId="54BE7519" w14:textId="77777777" w:rsidR="002E0859" w:rsidRDefault="00000000">
      <w:pPr>
        <w:pStyle w:val="a0"/>
        <w:spacing w:line="360" w:lineRule="auto"/>
        <w:ind w:firstLine="480"/>
        <w:rPr>
          <w:color w:val="000000" w:themeColor="text1"/>
          <w:sz w:val="24"/>
          <w:szCs w:val="24"/>
        </w:rPr>
      </w:pPr>
      <w:r>
        <w:rPr>
          <w:color w:val="000000" w:themeColor="text1"/>
          <w:sz w:val="24"/>
          <w:szCs w:val="24"/>
        </w:rPr>
        <w:t>由于井口装置、管线等设备设施密封不严或因腐蚀穿孔、外部破坏等原因，以及正常取样造成</w:t>
      </w:r>
      <w:r>
        <w:rPr>
          <w:rFonts w:hint="eastAsia"/>
          <w:color w:val="000000" w:themeColor="text1"/>
          <w:sz w:val="24"/>
          <w:szCs w:val="24"/>
        </w:rPr>
        <w:t>天然</w:t>
      </w:r>
      <w:r>
        <w:rPr>
          <w:color w:val="000000" w:themeColor="text1"/>
          <w:sz w:val="24"/>
          <w:szCs w:val="24"/>
        </w:rPr>
        <w:t>气泄漏，当遇到明火、电路打火、静电打火时，可能引发火灾事故。</w:t>
      </w:r>
    </w:p>
    <w:p w14:paraId="299F10DB"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地面工程施工过程中危险有害因素分析</w:t>
      </w:r>
    </w:p>
    <w:p w14:paraId="5656740E" w14:textId="77777777" w:rsidR="002E0859" w:rsidRDefault="00000000">
      <w:pPr>
        <w:pStyle w:val="a0"/>
        <w:spacing w:line="360" w:lineRule="auto"/>
        <w:ind w:firstLine="480"/>
        <w:rPr>
          <w:color w:val="000000" w:themeColor="text1"/>
          <w:sz w:val="24"/>
          <w:szCs w:val="24"/>
        </w:rPr>
      </w:pPr>
      <w:r>
        <w:rPr>
          <w:color w:val="000000" w:themeColor="text1"/>
          <w:sz w:val="24"/>
          <w:szCs w:val="24"/>
        </w:rPr>
        <w:t>本工程地面工程在施工过程中主要涉及到动火作业、动土作业、临时用电、高处作业、吊装作业等</w:t>
      </w:r>
      <w:r>
        <w:rPr>
          <w:rFonts w:hint="eastAsia"/>
          <w:color w:val="000000" w:themeColor="text1"/>
          <w:sz w:val="24"/>
          <w:szCs w:val="24"/>
        </w:rPr>
        <w:t>特殊</w:t>
      </w:r>
      <w:r>
        <w:rPr>
          <w:color w:val="000000" w:themeColor="text1"/>
          <w:sz w:val="24"/>
          <w:szCs w:val="24"/>
        </w:rPr>
        <w:t>作业</w:t>
      </w:r>
      <w:r>
        <w:rPr>
          <w:rFonts w:hint="eastAsia"/>
          <w:color w:val="000000" w:themeColor="text1"/>
          <w:sz w:val="24"/>
          <w:szCs w:val="24"/>
        </w:rPr>
        <w:t>，以及</w:t>
      </w:r>
      <w:r>
        <w:rPr>
          <w:color w:val="000000" w:themeColor="text1"/>
          <w:sz w:val="24"/>
          <w:szCs w:val="24"/>
        </w:rPr>
        <w:t>管道敷设</w:t>
      </w:r>
      <w:r>
        <w:rPr>
          <w:rFonts w:hint="eastAsia"/>
          <w:color w:val="000000" w:themeColor="text1"/>
          <w:sz w:val="24"/>
          <w:szCs w:val="24"/>
        </w:rPr>
        <w:t>、</w:t>
      </w:r>
      <w:r>
        <w:rPr>
          <w:color w:val="000000" w:themeColor="text1"/>
          <w:sz w:val="24"/>
          <w:szCs w:val="24"/>
        </w:rPr>
        <w:t>双边作业、交叉作业</w:t>
      </w:r>
      <w:r>
        <w:rPr>
          <w:rFonts w:hint="eastAsia"/>
          <w:color w:val="000000" w:themeColor="text1"/>
          <w:sz w:val="24"/>
          <w:szCs w:val="24"/>
        </w:rPr>
        <w:t>等危险作业</w:t>
      </w:r>
      <w:r>
        <w:rPr>
          <w:color w:val="000000" w:themeColor="text1"/>
          <w:sz w:val="24"/>
          <w:szCs w:val="24"/>
        </w:rPr>
        <w:t>，施工过程中的危险有害因素辨识如下：</w:t>
      </w:r>
    </w:p>
    <w:p w14:paraId="4DAF1666"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动火作业</w:t>
      </w:r>
    </w:p>
    <w:p w14:paraId="50FB34AD" w14:textId="77777777" w:rsidR="002E0859" w:rsidRDefault="00000000">
      <w:pPr>
        <w:pStyle w:val="a0"/>
        <w:spacing w:line="360" w:lineRule="auto"/>
        <w:ind w:firstLine="480"/>
        <w:rPr>
          <w:color w:val="000000" w:themeColor="text1"/>
          <w:sz w:val="24"/>
          <w:szCs w:val="24"/>
        </w:rPr>
      </w:pPr>
      <w:r>
        <w:rPr>
          <w:color w:val="000000" w:themeColor="text1"/>
          <w:sz w:val="24"/>
          <w:szCs w:val="24"/>
        </w:rPr>
        <w:t>设备、管道进行焊接和切割等动火作业之前要办理动火作业许可证。现场监护不到位、防护措施不落实等，旧管线内部介质处理不当、焊接过程中熔渣和火星的四处飞溅等，易导致火灾和爆炸事故的发生；焊接过程存在的弧光辐射会对操作人员造成身体危</w:t>
      </w:r>
      <w:r>
        <w:rPr>
          <w:color w:val="000000" w:themeColor="text1"/>
          <w:sz w:val="24"/>
          <w:szCs w:val="24"/>
        </w:rPr>
        <w:lastRenderedPageBreak/>
        <w:t>害；焊接时使用的压力气瓶使用不当，如乙炔瓶倒放等，或者由于受热受冲击等原因，导致容器内气体压力升高，超过容器的极限压力，引发气瓶的物理性爆炸或喷射。</w:t>
      </w:r>
    </w:p>
    <w:p w14:paraId="5020A0B8"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动土作业</w:t>
      </w:r>
    </w:p>
    <w:p w14:paraId="0EC2A4D0" w14:textId="77777777" w:rsidR="002E0859" w:rsidRDefault="00000000">
      <w:pPr>
        <w:pStyle w:val="a0"/>
        <w:spacing w:line="360" w:lineRule="auto"/>
        <w:ind w:firstLine="480"/>
        <w:rPr>
          <w:color w:val="000000" w:themeColor="text1"/>
          <w:sz w:val="24"/>
          <w:szCs w:val="24"/>
        </w:rPr>
      </w:pPr>
      <w:r>
        <w:rPr>
          <w:color w:val="000000" w:themeColor="text1"/>
          <w:sz w:val="24"/>
          <w:szCs w:val="24"/>
        </w:rPr>
        <w:t>构筑基础、敷设管线以及修路时，需要挖土、打桩、埋设接地极或地锚桩等对地面进行开挖和填埋。容易引起触电、机械伤害、车辆伤害、坍塌、高处坠落等事故。</w:t>
      </w:r>
    </w:p>
    <w:p w14:paraId="5C397D9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地下情况复杂，容易造成地下电缆和管线被挖断，引起触电事故。</w:t>
      </w:r>
    </w:p>
    <w:p w14:paraId="2494661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现场支撑不牢固，未设立警示标志，容易造成坍塌和高处坠落事故。</w:t>
      </w:r>
    </w:p>
    <w:p w14:paraId="6C1C944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现场视线不良，推土机、挖土机等施工机械故障均容易造成车辆伤害和机械伤害。</w:t>
      </w:r>
    </w:p>
    <w:p w14:paraId="1F727763"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临时用电</w:t>
      </w:r>
    </w:p>
    <w:p w14:paraId="055ADEF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施工过程中的电气设备使用不合理、缺少保护装置，操作人员违章操作等原因，极易造成触电事故。</w:t>
      </w:r>
    </w:p>
    <w:p w14:paraId="0A2886F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跨越安全围栏或超越安全警戒线，工作人员误碰带电设备，以及在带电设备附近使用钢卷尺等进行测量或携带金属超高物体在带电设备下行走可能造成触电事故。</w:t>
      </w:r>
    </w:p>
    <w:p w14:paraId="4FCDA3E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施工现场混乱，造成电气设备安全设施不健全或损坏漏电，绝缘保护层破损或保护接地失效等，如未能及时发现并整改，可能造成触电或电气火灾事故。</w:t>
      </w:r>
    </w:p>
    <w:p w14:paraId="1F15419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rPr>
        <w:t>手持电动工具是在人的紧握之下运行的，人与工具之间的接触电阻小，一旦工具带电，将有较大的电流通过人体，造成触电事故。</w:t>
      </w:r>
    </w:p>
    <w:p w14:paraId="0D81F69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电线裸露、乱拉、乱扯电线、湿手触动电器开关设备、绝缘胶鞋破损透水或用湿物去接触电器设备，有引发触电事故的可能性。</w:t>
      </w:r>
    </w:p>
    <w:p w14:paraId="4DDD527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rPr>
        <w:t>在带电设备附近进行作业，不符合安全距离或无监护措施，缺少安全标志或标志不明显，工作面不使用安全电压照明均可能引发触电事故的发生。</w:t>
      </w:r>
    </w:p>
    <w:p w14:paraId="3EB2BDF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7</w:t>
      </w:r>
      <w:r>
        <w:rPr>
          <w:rFonts w:hint="eastAsia"/>
          <w:color w:val="000000" w:themeColor="text1"/>
          <w:sz w:val="24"/>
          <w:szCs w:val="24"/>
        </w:rPr>
        <w:t>）</w:t>
      </w:r>
      <w:r>
        <w:rPr>
          <w:color w:val="000000" w:themeColor="text1"/>
          <w:sz w:val="24"/>
          <w:szCs w:val="24"/>
        </w:rPr>
        <w:t>敷设新电缆时，不慎将原来运行中的电缆损伤，能引起触电伤害，锯断电缆时，若锯错电缆或电缆带电，以及施工使用的机具若不慎碰触运行的电缆也能引起触电伤害。</w:t>
      </w:r>
    </w:p>
    <w:p w14:paraId="6A2E4874"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高处作业</w:t>
      </w:r>
    </w:p>
    <w:p w14:paraId="0C9E6BED" w14:textId="77777777" w:rsidR="002E0859" w:rsidRDefault="00000000">
      <w:pPr>
        <w:pStyle w:val="a0"/>
        <w:spacing w:line="360" w:lineRule="auto"/>
        <w:ind w:firstLine="480"/>
        <w:rPr>
          <w:color w:val="000000" w:themeColor="text1"/>
          <w:sz w:val="24"/>
          <w:szCs w:val="24"/>
        </w:rPr>
      </w:pPr>
      <w:r>
        <w:rPr>
          <w:color w:val="000000" w:themeColor="text1"/>
          <w:sz w:val="24"/>
          <w:szCs w:val="24"/>
        </w:rPr>
        <w:t>在对高处的设备进行安装或操作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14:paraId="349F1826" w14:textId="77777777" w:rsidR="002E0859" w:rsidRDefault="00000000">
      <w:pPr>
        <w:pStyle w:val="a0"/>
        <w:spacing w:line="360" w:lineRule="auto"/>
        <w:ind w:firstLine="480"/>
        <w:rPr>
          <w:color w:val="000000" w:themeColor="text1"/>
          <w:sz w:val="24"/>
          <w:szCs w:val="24"/>
        </w:rPr>
      </w:pPr>
      <w:r>
        <w:rPr>
          <w:color w:val="000000" w:themeColor="text1"/>
          <w:sz w:val="24"/>
          <w:szCs w:val="24"/>
        </w:rPr>
        <w:t>5</w:t>
      </w:r>
      <w:r>
        <w:rPr>
          <w:rFonts w:hint="eastAsia"/>
          <w:color w:val="000000" w:themeColor="text1"/>
          <w:sz w:val="24"/>
          <w:szCs w:val="24"/>
        </w:rPr>
        <w:t>、</w:t>
      </w:r>
      <w:r>
        <w:rPr>
          <w:color w:val="000000" w:themeColor="text1"/>
          <w:sz w:val="24"/>
          <w:szCs w:val="24"/>
        </w:rPr>
        <w:t>吊装作业</w:t>
      </w:r>
    </w:p>
    <w:p w14:paraId="566E345B" w14:textId="77777777" w:rsidR="002E0859" w:rsidRDefault="00000000">
      <w:pPr>
        <w:pStyle w:val="a0"/>
        <w:spacing w:line="360" w:lineRule="auto"/>
        <w:ind w:firstLine="480"/>
        <w:rPr>
          <w:color w:val="000000" w:themeColor="text1"/>
          <w:sz w:val="24"/>
          <w:szCs w:val="24"/>
        </w:rPr>
      </w:pPr>
      <w:r>
        <w:rPr>
          <w:color w:val="000000" w:themeColor="text1"/>
          <w:sz w:val="24"/>
          <w:szCs w:val="24"/>
        </w:rPr>
        <w:t>在新建井口装置、管线敷设时，需要对设备进行吊运，在吊运过程中，因违章作业、</w:t>
      </w:r>
      <w:r>
        <w:rPr>
          <w:color w:val="000000" w:themeColor="text1"/>
          <w:sz w:val="24"/>
          <w:szCs w:val="24"/>
        </w:rPr>
        <w:lastRenderedPageBreak/>
        <w:t>起重设备的安全装置及保护措施失灵、吊车吊钩、钢丝绳、吊索具超载断裂，吊运时钢丝绳从吊钩中脱出，吊货物捆扎不牢固或作业时吊物下有人等情况，易发生起重伤害事故。</w:t>
      </w:r>
    </w:p>
    <w:p w14:paraId="5CDB7CFF" w14:textId="77777777" w:rsidR="002E0859" w:rsidRDefault="00000000">
      <w:pPr>
        <w:pStyle w:val="a0"/>
        <w:spacing w:line="360" w:lineRule="auto"/>
        <w:ind w:firstLine="480"/>
        <w:rPr>
          <w:color w:val="000000" w:themeColor="text1"/>
          <w:sz w:val="24"/>
          <w:szCs w:val="24"/>
        </w:rPr>
      </w:pPr>
      <w:r>
        <w:rPr>
          <w:color w:val="000000" w:themeColor="text1"/>
          <w:sz w:val="24"/>
          <w:szCs w:val="24"/>
        </w:rPr>
        <w:t>6</w:t>
      </w:r>
      <w:r>
        <w:rPr>
          <w:rFonts w:hint="eastAsia"/>
          <w:color w:val="000000" w:themeColor="text1"/>
          <w:sz w:val="24"/>
          <w:szCs w:val="24"/>
        </w:rPr>
        <w:t>、</w:t>
      </w:r>
      <w:r>
        <w:rPr>
          <w:color w:val="000000" w:themeColor="text1"/>
          <w:sz w:val="24"/>
          <w:szCs w:val="24"/>
        </w:rPr>
        <w:t>管道敷设</w:t>
      </w:r>
    </w:p>
    <w:p w14:paraId="6B5718BA" w14:textId="77777777" w:rsidR="002E0859" w:rsidRDefault="00000000">
      <w:pPr>
        <w:pStyle w:val="a0"/>
        <w:spacing w:line="360" w:lineRule="auto"/>
        <w:ind w:firstLine="480"/>
        <w:rPr>
          <w:color w:val="000000" w:themeColor="text1"/>
          <w:sz w:val="24"/>
          <w:szCs w:val="24"/>
        </w:rPr>
      </w:pPr>
      <w:r>
        <w:rPr>
          <w:color w:val="000000" w:themeColor="text1"/>
          <w:sz w:val="24"/>
          <w:szCs w:val="24"/>
        </w:rPr>
        <w:t>在管道敷设的过程中，主要会存在下列危险有害因素：施工作业时</w:t>
      </w:r>
      <w:r>
        <w:rPr>
          <w:rFonts w:hint="eastAsia"/>
          <w:color w:val="000000" w:themeColor="text1"/>
          <w:sz w:val="24"/>
          <w:szCs w:val="24"/>
        </w:rPr>
        <w:t>，</w:t>
      </w:r>
      <w:r>
        <w:rPr>
          <w:color w:val="000000" w:themeColor="text1"/>
          <w:sz w:val="24"/>
          <w:szCs w:val="24"/>
        </w:rPr>
        <w:t>车辆碾压造成已建集输管线损伤</w:t>
      </w:r>
      <w:r>
        <w:rPr>
          <w:rFonts w:hint="eastAsia"/>
          <w:color w:val="000000" w:themeColor="text1"/>
          <w:sz w:val="24"/>
          <w:szCs w:val="24"/>
        </w:rPr>
        <w:t>，引起天然气泄漏</w:t>
      </w:r>
      <w:r>
        <w:rPr>
          <w:color w:val="000000" w:themeColor="text1"/>
          <w:sz w:val="24"/>
          <w:szCs w:val="24"/>
        </w:rPr>
        <w:t>事故；管沟开挖、回填作业过程中疲劳作业或违章驾驶等原因造成车辆伤害；管子组对时，手与管件近距离接触，易发生伤手事故；对口时需要使用切割机，容易发生机械伤害事故；管件堆放无防滑和倾倒措施，管线意外滚动或防护用具不当，易发生管道伤人事故；焊缝检测时，使用</w:t>
      </w:r>
      <w:r>
        <w:rPr>
          <w:color w:val="000000" w:themeColor="text1"/>
          <w:sz w:val="24"/>
          <w:szCs w:val="24"/>
        </w:rPr>
        <w:t>X</w:t>
      </w:r>
      <w:r>
        <w:rPr>
          <w:color w:val="000000" w:themeColor="text1"/>
          <w:sz w:val="24"/>
          <w:szCs w:val="24"/>
        </w:rPr>
        <w:t>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则极易发生触电事故。</w:t>
      </w:r>
    </w:p>
    <w:p w14:paraId="075C8C76" w14:textId="77777777" w:rsidR="002E0859" w:rsidRDefault="00000000">
      <w:pPr>
        <w:pStyle w:val="a0"/>
        <w:spacing w:line="360" w:lineRule="auto"/>
        <w:ind w:firstLine="480"/>
        <w:rPr>
          <w:color w:val="000000" w:themeColor="text1"/>
          <w:sz w:val="24"/>
          <w:szCs w:val="24"/>
        </w:rPr>
      </w:pPr>
      <w:r>
        <w:rPr>
          <w:color w:val="000000" w:themeColor="text1"/>
          <w:sz w:val="24"/>
          <w:szCs w:val="24"/>
        </w:rPr>
        <w:t>7</w:t>
      </w:r>
      <w:r>
        <w:rPr>
          <w:rFonts w:hint="eastAsia"/>
          <w:color w:val="000000" w:themeColor="text1"/>
          <w:sz w:val="24"/>
          <w:szCs w:val="24"/>
        </w:rPr>
        <w:t>、</w:t>
      </w:r>
      <w:r>
        <w:rPr>
          <w:color w:val="000000" w:themeColor="text1"/>
          <w:sz w:val="24"/>
          <w:szCs w:val="24"/>
        </w:rPr>
        <w:t>双边作业</w:t>
      </w:r>
    </w:p>
    <w:p w14:paraId="04854C22" w14:textId="77777777" w:rsidR="002E0859" w:rsidRDefault="00000000">
      <w:pPr>
        <w:pStyle w:val="a0"/>
        <w:spacing w:line="360" w:lineRule="auto"/>
        <w:ind w:firstLine="480"/>
        <w:rPr>
          <w:color w:val="000000" w:themeColor="text1"/>
          <w:sz w:val="24"/>
          <w:szCs w:val="24"/>
        </w:rPr>
      </w:pPr>
      <w:r>
        <w:rPr>
          <w:color w:val="000000" w:themeColor="text1"/>
          <w:sz w:val="24"/>
          <w:szCs w:val="24"/>
        </w:rPr>
        <w:t>该工程</w:t>
      </w:r>
      <w:r>
        <w:rPr>
          <w:rFonts w:hint="eastAsia"/>
          <w:color w:val="000000" w:themeColor="text1"/>
          <w:sz w:val="24"/>
          <w:szCs w:val="24"/>
        </w:rPr>
        <w:t>气</w:t>
      </w:r>
      <w:r>
        <w:rPr>
          <w:color w:val="000000" w:themeColor="text1"/>
          <w:sz w:val="24"/>
          <w:szCs w:val="24"/>
        </w:rPr>
        <w:t>井为同井场布置，在作业过程中存在边生产边施工的情况，由于项目施工在同一井场内开展，作业设施与原有的采</w:t>
      </w:r>
      <w:r>
        <w:rPr>
          <w:rFonts w:hint="eastAsia"/>
          <w:color w:val="000000" w:themeColor="text1"/>
          <w:sz w:val="24"/>
          <w:szCs w:val="24"/>
        </w:rPr>
        <w:t>气</w:t>
      </w:r>
      <w:r>
        <w:rPr>
          <w:color w:val="000000" w:themeColor="text1"/>
          <w:sz w:val="24"/>
          <w:szCs w:val="24"/>
        </w:rPr>
        <w:t>设施交织在一起，使施工与生产相互影响比较大。同井场的</w:t>
      </w:r>
      <w:r>
        <w:rPr>
          <w:rFonts w:hint="eastAsia"/>
          <w:color w:val="000000" w:themeColor="text1"/>
          <w:sz w:val="24"/>
          <w:szCs w:val="24"/>
        </w:rPr>
        <w:t>气</w:t>
      </w:r>
      <w:r>
        <w:rPr>
          <w:color w:val="000000" w:themeColor="text1"/>
          <w:sz w:val="24"/>
          <w:szCs w:val="24"/>
        </w:rPr>
        <w:t>井潜在的风险可能给施工项目带来事故隐患，特别是生产区域的介质泄漏是施工环境的不安全因素，如果忽视不加防范可能引发更大的风险。而作业设施对采</w:t>
      </w:r>
      <w:r>
        <w:rPr>
          <w:rFonts w:hint="eastAsia"/>
          <w:color w:val="000000" w:themeColor="text1"/>
          <w:sz w:val="24"/>
          <w:szCs w:val="24"/>
        </w:rPr>
        <w:t>气</w:t>
      </w:r>
      <w:r>
        <w:rPr>
          <w:color w:val="000000" w:themeColor="text1"/>
          <w:sz w:val="24"/>
          <w:szCs w:val="24"/>
        </w:rPr>
        <w:t>设施的安全生产也构成了威胁。主要的风险包括：作业期间发生易燃或有毒物质泄漏、火灾爆炸，施工过程产生物体打击、车辆伤害、人员触电等风险。</w:t>
      </w:r>
    </w:p>
    <w:p w14:paraId="08C66FD9" w14:textId="77777777" w:rsidR="002E0859" w:rsidRDefault="00000000">
      <w:pPr>
        <w:pStyle w:val="a0"/>
        <w:spacing w:line="360" w:lineRule="auto"/>
        <w:ind w:firstLine="480"/>
        <w:rPr>
          <w:color w:val="000000" w:themeColor="text1"/>
          <w:sz w:val="24"/>
          <w:szCs w:val="24"/>
        </w:rPr>
      </w:pPr>
      <w:r>
        <w:rPr>
          <w:color w:val="000000" w:themeColor="text1"/>
          <w:sz w:val="24"/>
          <w:szCs w:val="24"/>
        </w:rPr>
        <w:t>8</w:t>
      </w:r>
      <w:r>
        <w:rPr>
          <w:rFonts w:hint="eastAsia"/>
          <w:color w:val="000000" w:themeColor="text1"/>
          <w:sz w:val="24"/>
          <w:szCs w:val="24"/>
        </w:rPr>
        <w:t>、</w:t>
      </w:r>
      <w:r>
        <w:rPr>
          <w:color w:val="000000" w:themeColor="text1"/>
          <w:sz w:val="24"/>
          <w:szCs w:val="24"/>
        </w:rPr>
        <w:t>交叉作业</w:t>
      </w:r>
    </w:p>
    <w:p w14:paraId="3FBD93DA" w14:textId="77777777" w:rsidR="002E0859" w:rsidRDefault="00000000">
      <w:pPr>
        <w:pStyle w:val="a0"/>
        <w:spacing w:line="360" w:lineRule="auto"/>
        <w:ind w:firstLine="480"/>
        <w:rPr>
          <w:color w:val="000000" w:themeColor="text1"/>
          <w:sz w:val="24"/>
          <w:szCs w:val="24"/>
        </w:rPr>
      </w:pPr>
      <w:r>
        <w:rPr>
          <w:color w:val="000000" w:themeColor="text1"/>
          <w:sz w:val="24"/>
          <w:szCs w:val="24"/>
        </w:rPr>
        <w:t>本工程利用老井场</w:t>
      </w:r>
      <w:r>
        <w:rPr>
          <w:rFonts w:hint="eastAsia"/>
          <w:color w:val="000000" w:themeColor="text1"/>
          <w:sz w:val="24"/>
          <w:szCs w:val="24"/>
        </w:rPr>
        <w:t>，</w:t>
      </w:r>
      <w:r>
        <w:rPr>
          <w:color w:val="000000" w:themeColor="text1"/>
          <w:sz w:val="24"/>
          <w:szCs w:val="24"/>
        </w:rPr>
        <w:t>在建设过程中，以及在建成后生产过程中，均会存在交叉作业，交叉作业类型可能有：边采边钻的交叉作业；边采边钻及建设施工作业；边采边钻、建设施工、边修井施工；边采</w:t>
      </w:r>
      <w:r>
        <w:rPr>
          <w:rFonts w:hint="eastAsia"/>
          <w:color w:val="000000" w:themeColor="text1"/>
          <w:sz w:val="24"/>
          <w:szCs w:val="24"/>
        </w:rPr>
        <w:t>气</w:t>
      </w:r>
      <w:r>
        <w:rPr>
          <w:color w:val="000000" w:themeColor="text1"/>
          <w:sz w:val="24"/>
          <w:szCs w:val="24"/>
        </w:rPr>
        <w:t>与边修井的交叉作业；各单位车辆运输的交叉作业等。交叉作业过程中由于处于双方或多方单位共同在一个生产现场工作的交叉作业状态，可能会因为安全告知及安全协作出现误伤等事故。设备拆搬、安装、作业使用的车辆和设备多、人员劳动强度大、作业周期长、交叉作业频繁，较易发生井喷、火灾爆炸、车辆伤害、物体打击、起重伤害、高处坠落、触电、机械伤害等事故。</w:t>
      </w:r>
    </w:p>
    <w:p w14:paraId="66DDD8A0" w14:textId="77777777" w:rsidR="002E0859" w:rsidRDefault="00000000">
      <w:pPr>
        <w:pStyle w:val="a0"/>
        <w:spacing w:line="360" w:lineRule="auto"/>
        <w:ind w:firstLine="480"/>
        <w:rPr>
          <w:color w:val="000000" w:themeColor="text1"/>
          <w:sz w:val="24"/>
          <w:szCs w:val="24"/>
        </w:rPr>
      </w:pPr>
      <w:r>
        <w:rPr>
          <w:color w:val="000000" w:themeColor="text1"/>
          <w:sz w:val="24"/>
          <w:szCs w:val="24"/>
        </w:rPr>
        <w:t>9</w:t>
      </w:r>
      <w:r>
        <w:rPr>
          <w:rFonts w:hint="eastAsia"/>
          <w:color w:val="000000" w:themeColor="text1"/>
          <w:sz w:val="24"/>
          <w:szCs w:val="24"/>
        </w:rPr>
        <w:t>、</w:t>
      </w:r>
      <w:r>
        <w:rPr>
          <w:color w:val="000000" w:themeColor="text1"/>
          <w:sz w:val="24"/>
          <w:szCs w:val="24"/>
        </w:rPr>
        <w:t>其他作业</w:t>
      </w:r>
    </w:p>
    <w:p w14:paraId="67CC686F" w14:textId="77777777" w:rsidR="002E0859" w:rsidRDefault="00000000">
      <w:pPr>
        <w:pStyle w:val="a0"/>
        <w:spacing w:line="360" w:lineRule="auto"/>
        <w:ind w:firstLine="480"/>
        <w:rPr>
          <w:color w:val="000000" w:themeColor="text1"/>
          <w:sz w:val="24"/>
          <w:szCs w:val="24"/>
        </w:rPr>
      </w:pPr>
      <w:r>
        <w:rPr>
          <w:color w:val="000000" w:themeColor="text1"/>
          <w:sz w:val="24"/>
          <w:szCs w:val="24"/>
        </w:rPr>
        <w:t>由于在原井场内施工作业，可能存在边作业边施工的情况。施工现场混乱，施工人</w:t>
      </w:r>
      <w:r>
        <w:rPr>
          <w:color w:val="000000" w:themeColor="text1"/>
          <w:sz w:val="24"/>
          <w:szCs w:val="24"/>
        </w:rPr>
        <w:lastRenderedPageBreak/>
        <w:t>员多而杂，容易引起多种伤害同时发生的情况。在施工过程中，来往各种运输车辆可能对工作人员造成人身伤害。在管沟内对口、防腐时，土方松动、裂缝、渗水、地下塌方，护垫支撑不牢，易造成人员伤亡；各种施工机械的运动部件都可以构成对人体的机械伤害，如运动中的皮带轮、飞轮、开式齿轮，钢筋切断机刀片、搅拌机等。</w:t>
      </w:r>
    </w:p>
    <w:p w14:paraId="27CF6343"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集输过程中危险有害因素分析</w:t>
      </w:r>
    </w:p>
    <w:p w14:paraId="5A1FBB42"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根据经验及同类行业生产中的事故情况，该工程主要危险、有害因素分析如下。</w:t>
      </w:r>
    </w:p>
    <w:p w14:paraId="0E5FBC7B"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火灾爆炸</w:t>
      </w:r>
    </w:p>
    <w:p w14:paraId="09CE649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发生火灾、爆炸是集输过程中天然气发生泄漏引起的，天然气具有易燃、易爆性，泄漏后遇点火源，可能发生火灾事故，若泄漏的天然气与空气混合后，达到爆炸极限，形成爆炸性混合气体，遇点火源可能发生爆炸事故。</w:t>
      </w:r>
    </w:p>
    <w:p w14:paraId="4DF4FD1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在异常情况下，设备或管道、阀门、法兰等连接处腐蚀穿孔、破裂泄漏或操作失误将导致天然气泄漏，切割或焊接油气管道或设备时安全措施不当、电气设备损坏或导线短路遇明火、火花或静电可能引起火灾、爆炸事故。</w:t>
      </w:r>
    </w:p>
    <w:p w14:paraId="4A9F5E0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天然气中的硫化物可与铁反应生产硫化亚铁，硫化亚铁暴露与空气中可发生自燃，引起火灾、爆炸。</w:t>
      </w:r>
    </w:p>
    <w:p w14:paraId="5EE8507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此外，静电积聚在不导电的物质上，或者管道、设备和容器的某些部位。发生静电放电现象时产生的电火花，成为采气场所的引燃源。当天然气泄漏与空气形成爆炸性混合气体时，将发生爆炸和火灾事故。</w:t>
      </w:r>
    </w:p>
    <w:p w14:paraId="11630DF1"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中毒和窒息</w:t>
      </w:r>
    </w:p>
    <w:p w14:paraId="201A98F1" w14:textId="77777777" w:rsidR="002E0859" w:rsidRDefault="00000000">
      <w:pPr>
        <w:pStyle w:val="a0"/>
        <w:spacing w:line="360" w:lineRule="auto"/>
        <w:ind w:firstLine="480"/>
        <w:rPr>
          <w:color w:val="000000" w:themeColor="text1"/>
          <w:sz w:val="24"/>
          <w:szCs w:val="24"/>
        </w:rPr>
      </w:pPr>
      <w:r>
        <w:rPr>
          <w:color w:val="000000" w:themeColor="text1"/>
          <w:sz w:val="24"/>
          <w:szCs w:val="24"/>
        </w:rPr>
        <w:t>若</w:t>
      </w:r>
      <w:r>
        <w:rPr>
          <w:rFonts w:hint="eastAsia"/>
          <w:color w:val="000000" w:themeColor="text1"/>
          <w:sz w:val="24"/>
          <w:szCs w:val="24"/>
        </w:rPr>
        <w:t>设备或管道、阀门、法兰等连接处腐蚀穿孔、破裂泄漏或操作失误将导致天然气泄漏，</w:t>
      </w:r>
      <w:r>
        <w:rPr>
          <w:color w:val="000000" w:themeColor="text1"/>
          <w:sz w:val="24"/>
          <w:szCs w:val="24"/>
        </w:rPr>
        <w:t>则可导致人员中毒</w:t>
      </w:r>
      <w:r>
        <w:rPr>
          <w:rFonts w:hint="eastAsia"/>
          <w:color w:val="000000" w:themeColor="text1"/>
          <w:sz w:val="24"/>
          <w:szCs w:val="24"/>
        </w:rPr>
        <w:t>和窒息</w:t>
      </w:r>
      <w:r>
        <w:rPr>
          <w:color w:val="000000" w:themeColor="text1"/>
          <w:sz w:val="24"/>
          <w:szCs w:val="24"/>
        </w:rPr>
        <w:t>。</w:t>
      </w:r>
    </w:p>
    <w:p w14:paraId="376A067B"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容器爆炸</w:t>
      </w:r>
    </w:p>
    <w:p w14:paraId="7987679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本工程利旧分离器属于压力容器的范畴，在下列情况下，可能发生压力容器爆炸事故：</w:t>
      </w:r>
    </w:p>
    <w:p w14:paraId="5A9EBE16"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压力容器壁厚设计不足，使容器在压力的作用下，产生过度的弹性变形和塑性变形，最终导致容器破坏；</w:t>
      </w:r>
    </w:p>
    <w:p w14:paraId="16EF39E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压力容器选材不当，即便具有足够的壁厚，也可能在操作条件下，因为材料塑性的降低而发生脆性断裂。或因选材不当，由于介质的影响而产生过度腐蚀使容器遭到破坏；</w:t>
      </w:r>
    </w:p>
    <w:p w14:paraId="728DC3B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压力容器的结构不合理，往往产生过大的局部应力，在应力集中的部位因压力波动</w:t>
      </w:r>
      <w:r>
        <w:rPr>
          <w:rFonts w:hint="eastAsia"/>
          <w:color w:val="000000" w:themeColor="text1"/>
          <w:sz w:val="24"/>
          <w:szCs w:val="24"/>
        </w:rPr>
        <w:lastRenderedPageBreak/>
        <w:t>产生疲劳应力导致容器损坏；</w:t>
      </w:r>
    </w:p>
    <w:p w14:paraId="439AFB8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安全附件选用不当或失效，当压力超过额定工作压力时不能及时、迅速地进行报警或泄压，致使容器超压而遭到破坏；</w:t>
      </w:r>
    </w:p>
    <w:p w14:paraId="2BB164F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日常管理维护不到位，如内外防腐措施不到位，压力容器在运行寿命期限内，产生过度腐蚀，壁厚减薄甚至局部穿孔，强度降低；或者未按规定进行强制性检验，压力容器存在缺陷未及时发现，致使设备带病运行；或者未按规定对其安全附件定期进行维护、校验或标定，安全附件失灵；</w:t>
      </w:r>
    </w:p>
    <w:p w14:paraId="4F7AD3D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违章操作，在压力容器进口阀门未关闭的情况下，误关出口阀门，出现超压；上游流程压力波动，出现超压状况。</w:t>
      </w:r>
    </w:p>
    <w:p w14:paraId="361D8180"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机械伤害</w:t>
      </w:r>
    </w:p>
    <w:p w14:paraId="24FDCD4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计量泵等</w:t>
      </w:r>
      <w:r>
        <w:rPr>
          <w:color w:val="000000" w:themeColor="text1"/>
          <w:sz w:val="24"/>
          <w:szCs w:val="24"/>
        </w:rPr>
        <w:t>机械外露的运转部件若防护罩缺损或不符合规范，有可能发生机械伤害事故。对机械设备进行检修时，若设备未可靠停死、刹车失灵、误操作、未可靠断电、违章送电等，发生机械设备意外启动，引发机械伤害。</w:t>
      </w:r>
    </w:p>
    <w:p w14:paraId="37B955CB" w14:textId="77777777" w:rsidR="002E0859" w:rsidRDefault="00000000">
      <w:pPr>
        <w:pStyle w:val="a0"/>
        <w:spacing w:line="360" w:lineRule="auto"/>
        <w:ind w:firstLine="480"/>
        <w:rPr>
          <w:color w:val="000000" w:themeColor="text1"/>
          <w:sz w:val="24"/>
          <w:szCs w:val="24"/>
        </w:rPr>
      </w:pPr>
      <w:r>
        <w:rPr>
          <w:color w:val="000000" w:themeColor="text1"/>
          <w:sz w:val="24"/>
          <w:szCs w:val="24"/>
        </w:rPr>
        <w:t>作业人员没有按照设备操作规程来操作，或者设备操作规程不完善，作业人员作业时，也会导致机械伤害的发生。</w:t>
      </w:r>
    </w:p>
    <w:p w14:paraId="5C1D1247"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物体打击</w:t>
      </w:r>
    </w:p>
    <w:p w14:paraId="62531D36" w14:textId="77777777" w:rsidR="002E0859" w:rsidRDefault="00000000">
      <w:pPr>
        <w:pStyle w:val="a0"/>
        <w:spacing w:line="360" w:lineRule="auto"/>
        <w:ind w:firstLine="480"/>
        <w:rPr>
          <w:color w:val="000000" w:themeColor="text1"/>
          <w:sz w:val="24"/>
          <w:szCs w:val="24"/>
        </w:rPr>
      </w:pPr>
      <w:r>
        <w:rPr>
          <w:color w:val="000000" w:themeColor="text1"/>
          <w:sz w:val="24"/>
          <w:szCs w:val="24"/>
        </w:rPr>
        <w:t>操作人员若违章操作或操作不当发生意外，易发生物体打击事故。集输</w:t>
      </w:r>
      <w:r>
        <w:rPr>
          <w:rFonts w:hint="eastAsia"/>
          <w:color w:val="000000" w:themeColor="text1"/>
          <w:sz w:val="24"/>
          <w:szCs w:val="24"/>
        </w:rPr>
        <w:t>天然</w:t>
      </w:r>
      <w:r>
        <w:rPr>
          <w:color w:val="000000" w:themeColor="text1"/>
          <w:sz w:val="24"/>
          <w:szCs w:val="24"/>
        </w:rPr>
        <w:t>气管道带压管道，对集输过程各设备进行带压检修操作时，如带压更换压力表、拆装阀门、安全阀等过程，使用的工具或跟换的部件在压力的作用下可能飞出，打到人体会造成物体打击伤害。</w:t>
      </w:r>
    </w:p>
    <w:p w14:paraId="29947E47" w14:textId="77777777" w:rsidR="002E0859" w:rsidRDefault="00000000">
      <w:pPr>
        <w:pStyle w:val="a0"/>
        <w:spacing w:line="360" w:lineRule="auto"/>
        <w:ind w:firstLine="480"/>
        <w:rPr>
          <w:color w:val="000000" w:themeColor="text1"/>
          <w:sz w:val="24"/>
          <w:szCs w:val="24"/>
        </w:rPr>
      </w:pPr>
      <w:r>
        <w:rPr>
          <w:color w:val="000000" w:themeColor="text1"/>
          <w:sz w:val="24"/>
          <w:szCs w:val="24"/>
        </w:rPr>
        <w:t>在承压设备处，如果设备上的零部件固定不牢或设备超压也可能导致部件飞出，造成人员物体打击伤害。</w:t>
      </w:r>
    </w:p>
    <w:p w14:paraId="40BD4595" w14:textId="77777777" w:rsidR="002E0859" w:rsidRDefault="00000000">
      <w:pPr>
        <w:pStyle w:val="a0"/>
        <w:spacing w:line="360" w:lineRule="auto"/>
        <w:ind w:firstLine="480"/>
        <w:rPr>
          <w:color w:val="000000" w:themeColor="text1"/>
          <w:sz w:val="24"/>
          <w:szCs w:val="24"/>
        </w:rPr>
      </w:pPr>
      <w:r>
        <w:rPr>
          <w:color w:val="000000" w:themeColor="text1"/>
          <w:sz w:val="24"/>
          <w:szCs w:val="24"/>
        </w:rPr>
        <w:t>操作人员在分离器平台作业时，工具和配件易从上面坠落砸伤下面配合作业的人员。</w:t>
      </w:r>
    </w:p>
    <w:p w14:paraId="38232C29"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高处坠落</w:t>
      </w:r>
    </w:p>
    <w:p w14:paraId="3862023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井口装置、分离器等超过</w:t>
      </w:r>
      <w:r>
        <w:rPr>
          <w:rFonts w:hint="eastAsia"/>
          <w:color w:val="000000" w:themeColor="text1"/>
          <w:sz w:val="24"/>
          <w:szCs w:val="24"/>
        </w:rPr>
        <w:t>2m</w:t>
      </w:r>
      <w:r>
        <w:rPr>
          <w:rFonts w:hint="eastAsia"/>
          <w:color w:val="000000" w:themeColor="text1"/>
          <w:sz w:val="24"/>
          <w:szCs w:val="24"/>
        </w:rPr>
        <w:t>的平台，</w:t>
      </w:r>
      <w:r>
        <w:rPr>
          <w:color w:val="000000" w:themeColor="text1"/>
          <w:sz w:val="24"/>
          <w:szCs w:val="24"/>
        </w:rPr>
        <w:t>若梯子扶手、栏杆由于日久失修、损坏或因腐蚀而失去了防护作用，特别在大风、雨雪天登高时，工作人员如果疏忽大意，就有可能发生高处坠落事故。</w:t>
      </w:r>
    </w:p>
    <w:p w14:paraId="22FC430A"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触电</w:t>
      </w:r>
    </w:p>
    <w:p w14:paraId="42A4938D" w14:textId="77777777" w:rsidR="002E0859" w:rsidRDefault="00000000">
      <w:pPr>
        <w:pStyle w:val="a0"/>
        <w:spacing w:line="360" w:lineRule="auto"/>
        <w:ind w:firstLine="480"/>
        <w:rPr>
          <w:color w:val="000000" w:themeColor="text1"/>
          <w:sz w:val="24"/>
          <w:szCs w:val="24"/>
        </w:rPr>
      </w:pPr>
      <w:r>
        <w:rPr>
          <w:color w:val="000000" w:themeColor="text1"/>
          <w:sz w:val="24"/>
          <w:szCs w:val="24"/>
        </w:rPr>
        <w:t>在供电线路和用电设备中，如果防触电保护失效，工作人员由于疏忽或违章操作，碰到了带电导体，可能会产生触电伤亡事故。</w:t>
      </w:r>
    </w:p>
    <w:p w14:paraId="3EBD558D"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电气系统中的设备和线路，如变压器、配电装置、电力线路、电缆等，电气设备老化、绝缘等级不够、绝缘失效、屏护失效、障碍失效、间距不足、防护措施失效、维护不良，或人员缺乏安全意识和知识，违反操作规程操作、失误、现场监护不力等，电气设备或线路的带电体直接或间接与人体接触，会造成人体的触电伤害。</w:t>
      </w:r>
    </w:p>
    <w:p w14:paraId="0087C716" w14:textId="77777777" w:rsidR="002E0859" w:rsidRDefault="00000000">
      <w:pPr>
        <w:pStyle w:val="a0"/>
        <w:spacing w:line="360" w:lineRule="auto"/>
        <w:ind w:firstLine="480"/>
        <w:rPr>
          <w:color w:val="000000" w:themeColor="text1"/>
          <w:sz w:val="24"/>
          <w:szCs w:val="24"/>
        </w:rPr>
      </w:pPr>
      <w:r>
        <w:rPr>
          <w:color w:val="000000" w:themeColor="text1"/>
          <w:sz w:val="24"/>
          <w:szCs w:val="24"/>
        </w:rPr>
        <w:t>在雷雨天气下，进行室外作业时，有可能导致雷电击伤事故。</w:t>
      </w:r>
    </w:p>
    <w:p w14:paraId="73ED47B1" w14:textId="77777777" w:rsidR="002E0859" w:rsidRDefault="00000000">
      <w:pPr>
        <w:pStyle w:val="a0"/>
        <w:numPr>
          <w:ilvl w:val="0"/>
          <w:numId w:val="21"/>
        </w:numPr>
        <w:spacing w:line="360" w:lineRule="auto"/>
        <w:ind w:firstLine="480"/>
        <w:rPr>
          <w:color w:val="000000" w:themeColor="text1"/>
          <w:sz w:val="24"/>
          <w:szCs w:val="24"/>
        </w:rPr>
      </w:pPr>
      <w:r>
        <w:rPr>
          <w:rFonts w:hint="eastAsia"/>
          <w:color w:val="000000" w:themeColor="text1"/>
          <w:sz w:val="24"/>
          <w:szCs w:val="24"/>
        </w:rPr>
        <w:t>灼烫</w:t>
      </w:r>
    </w:p>
    <w:p w14:paraId="70E4540D" w14:textId="77777777" w:rsidR="002E0859" w:rsidRDefault="00000000">
      <w:pPr>
        <w:pStyle w:val="a0"/>
        <w:spacing w:line="360" w:lineRule="auto"/>
        <w:ind w:firstLine="480"/>
        <w:rPr>
          <w:color w:val="000000" w:themeColor="text1"/>
          <w:sz w:val="24"/>
          <w:szCs w:val="24"/>
        </w:rPr>
      </w:pPr>
      <w:r>
        <w:rPr>
          <w:color w:val="000000" w:themeColor="text1"/>
          <w:sz w:val="24"/>
          <w:szCs w:val="24"/>
        </w:rPr>
        <w:t>本工程</w:t>
      </w:r>
      <w:r>
        <w:rPr>
          <w:rFonts w:hint="eastAsia"/>
          <w:color w:val="000000" w:themeColor="text1"/>
          <w:sz w:val="24"/>
          <w:szCs w:val="24"/>
        </w:rPr>
        <w:t>利旧</w:t>
      </w:r>
      <w:r>
        <w:rPr>
          <w:color w:val="000000" w:themeColor="text1"/>
          <w:sz w:val="24"/>
          <w:szCs w:val="24"/>
        </w:rPr>
        <w:t>加热炉，如果设备、管道、阀门制造、安装、保温、隔热、维修存在缺陷，造成泄漏，如不采取防护措施，人体意外触及高温表面，有可能造成人员灼烫。</w:t>
      </w:r>
    </w:p>
    <w:p w14:paraId="02795AC2"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主要生产设备的危险有害因素分析</w:t>
      </w:r>
    </w:p>
    <w:p w14:paraId="049B647A" w14:textId="77777777" w:rsidR="002E0859" w:rsidRDefault="00000000">
      <w:pPr>
        <w:pStyle w:val="a0"/>
        <w:numPr>
          <w:ilvl w:val="0"/>
          <w:numId w:val="22"/>
        </w:numPr>
        <w:spacing w:line="360" w:lineRule="auto"/>
        <w:ind w:firstLine="480"/>
        <w:rPr>
          <w:color w:val="000000" w:themeColor="text1"/>
          <w:sz w:val="24"/>
          <w:szCs w:val="24"/>
        </w:rPr>
      </w:pPr>
      <w:r>
        <w:rPr>
          <w:rFonts w:hint="eastAsia"/>
          <w:color w:val="000000" w:themeColor="text1"/>
          <w:sz w:val="24"/>
          <w:szCs w:val="24"/>
        </w:rPr>
        <w:t>钻机及配套设备</w:t>
      </w:r>
    </w:p>
    <w:p w14:paraId="586A3EF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井架本体质量和安装质量的好坏对钻井施工至关重要，如果平台基础不均匀沉降；井架地基基础不牢固；井架质量低劣、安装质量有严重缺陷；井架绷绳失效；钻具严重偏放；机械事故或卡钻时强拔硬拉而造成；恶劣天气（如强风）或地质灾害（山体滑坡、泥石流）影响，均可能发生井架倒塌事故。</w:t>
      </w:r>
    </w:p>
    <w:p w14:paraId="7EFD6AD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钻具在钻井时，由于地质条件复杂，钻井液性能不好或者技术措施不当等原因发生卡钻。常见的卡钻有：压差卡钻、缩径卡钻、沉砂卡钻、小井眼卡钻、键槽卡钻、落物卡钻和井塌卡钻等。</w:t>
      </w:r>
    </w:p>
    <w:p w14:paraId="5AF9DAE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操作人员违章操作，未使用减震器或减震器失效，在强力震击、溜钻、顿钻等冲击力的作用下，折断钻杆。在强力扭转作用下，造成钻具断裂、胀扣。钻头材质不符合要求，违章操作、使用时间过长，造成落物事故。</w:t>
      </w:r>
    </w:p>
    <w:p w14:paraId="3E50C84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钻井平台的护栏设置不规范，未能有效保护，可能发生高处坠落事故。平台上的管线较多，操作人员注意力不集中或者夜晚作业光线不足，都有可能绊倒伤人。未按照操作规程操作，可发生井口工具砸脚、夹手等事故。钻台上电气设备多，如果绝缘失效，可造成触电事故。</w:t>
      </w:r>
    </w:p>
    <w:p w14:paraId="3C205A9B" w14:textId="77777777" w:rsidR="002E0859" w:rsidRDefault="00000000">
      <w:pPr>
        <w:pStyle w:val="a0"/>
        <w:numPr>
          <w:ilvl w:val="0"/>
          <w:numId w:val="22"/>
        </w:numPr>
        <w:spacing w:line="360" w:lineRule="auto"/>
        <w:ind w:firstLine="480"/>
        <w:rPr>
          <w:color w:val="000000" w:themeColor="text1"/>
          <w:sz w:val="24"/>
          <w:szCs w:val="24"/>
        </w:rPr>
      </w:pPr>
      <w:r>
        <w:rPr>
          <w:rFonts w:hint="eastAsia"/>
          <w:color w:val="000000" w:themeColor="text1"/>
          <w:sz w:val="24"/>
          <w:szCs w:val="24"/>
        </w:rPr>
        <w:t>井口装置</w:t>
      </w:r>
    </w:p>
    <w:p w14:paraId="4040CE1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本工程单井设有井口装置，井口装置长期在高压条件下连续运行，在腐蚀下容易发生氢脆、开裂；井口高低压截断阀故障，可能发生的故障有紧急关闭、突然开大、无法动作等，容易造成井口天然气泄漏无法控制；井口堵塞，易造成接口破裂。或者井口装置存在设计缺陷或选型不对，达不到所承受的压力，在生产运行过程中可能发生天然气泄漏，</w:t>
      </w:r>
      <w:r>
        <w:rPr>
          <w:rFonts w:hint="eastAsia"/>
          <w:color w:val="000000" w:themeColor="text1"/>
          <w:sz w:val="24"/>
          <w:szCs w:val="24"/>
        </w:rPr>
        <w:lastRenderedPageBreak/>
        <w:t>造成火灾、爆炸、中毒和窒息等事故。</w:t>
      </w:r>
    </w:p>
    <w:p w14:paraId="112F23C5" w14:textId="77777777" w:rsidR="002E0859" w:rsidRDefault="00000000">
      <w:pPr>
        <w:pStyle w:val="a0"/>
        <w:numPr>
          <w:ilvl w:val="0"/>
          <w:numId w:val="22"/>
        </w:numPr>
        <w:spacing w:line="360" w:lineRule="auto"/>
        <w:ind w:firstLine="480"/>
        <w:rPr>
          <w:color w:val="000000" w:themeColor="text1"/>
          <w:sz w:val="24"/>
          <w:szCs w:val="24"/>
        </w:rPr>
      </w:pPr>
      <w:r>
        <w:rPr>
          <w:rFonts w:hint="eastAsia"/>
          <w:color w:val="000000" w:themeColor="text1"/>
          <w:sz w:val="24"/>
          <w:szCs w:val="24"/>
        </w:rPr>
        <w:t>水套加热炉</w:t>
      </w:r>
    </w:p>
    <w:p w14:paraId="587C071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水套</w:t>
      </w:r>
      <w:r>
        <w:rPr>
          <w:color w:val="000000" w:themeColor="text1"/>
          <w:sz w:val="24"/>
          <w:szCs w:val="24"/>
        </w:rPr>
        <w:t>加热炉的特点是明火、高温、带压，属于操作危险性较高的设备。由于</w:t>
      </w:r>
      <w:r>
        <w:rPr>
          <w:rFonts w:hint="eastAsia"/>
          <w:color w:val="000000" w:themeColor="text1"/>
          <w:sz w:val="24"/>
          <w:szCs w:val="24"/>
        </w:rPr>
        <w:t>水套</w:t>
      </w:r>
      <w:r>
        <w:rPr>
          <w:color w:val="000000" w:themeColor="text1"/>
          <w:sz w:val="24"/>
          <w:szCs w:val="24"/>
        </w:rPr>
        <w:t>加热炉本身的高危险性或员工操作不当都会引发事故。</w:t>
      </w:r>
      <w:r>
        <w:rPr>
          <w:rFonts w:hint="eastAsia"/>
          <w:color w:val="000000" w:themeColor="text1"/>
          <w:sz w:val="24"/>
          <w:szCs w:val="24"/>
        </w:rPr>
        <w:t>水套</w:t>
      </w:r>
      <w:r>
        <w:rPr>
          <w:color w:val="000000" w:themeColor="text1"/>
          <w:sz w:val="24"/>
          <w:szCs w:val="24"/>
        </w:rPr>
        <w:t>加热炉存在的主要危险有：</w:t>
      </w:r>
    </w:p>
    <w:p w14:paraId="2929FFD6"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燃料管线泄漏引起火灾</w:t>
      </w:r>
    </w:p>
    <w:p w14:paraId="4B488AD6" w14:textId="77777777" w:rsidR="002E0859" w:rsidRDefault="00000000">
      <w:pPr>
        <w:pStyle w:val="a0"/>
        <w:spacing w:line="360" w:lineRule="auto"/>
        <w:ind w:firstLine="480"/>
        <w:rPr>
          <w:color w:val="000000" w:themeColor="text1"/>
          <w:sz w:val="24"/>
          <w:szCs w:val="24"/>
        </w:rPr>
      </w:pPr>
      <w:r>
        <w:rPr>
          <w:color w:val="000000" w:themeColor="text1"/>
          <w:sz w:val="24"/>
          <w:szCs w:val="24"/>
        </w:rPr>
        <w:t>燃料管线由于法兰接头、开关、阀门出现故障或管道受损，泄漏的天然气，被燃烧器的火焰或其他点火源引燃而着火。</w:t>
      </w:r>
    </w:p>
    <w:p w14:paraId="39030245"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）水套</w:t>
      </w:r>
      <w:r>
        <w:rPr>
          <w:color w:val="000000" w:themeColor="text1"/>
          <w:sz w:val="24"/>
          <w:szCs w:val="24"/>
        </w:rPr>
        <w:t>加热炉在长期运行过程发生火灾</w:t>
      </w:r>
    </w:p>
    <w:p w14:paraId="437AD254" w14:textId="77777777" w:rsidR="002E0859" w:rsidRDefault="00000000">
      <w:pPr>
        <w:pStyle w:val="a0"/>
        <w:spacing w:line="360" w:lineRule="auto"/>
        <w:ind w:firstLine="480"/>
        <w:rPr>
          <w:color w:val="000000" w:themeColor="text1"/>
          <w:sz w:val="24"/>
          <w:szCs w:val="24"/>
        </w:rPr>
      </w:pPr>
      <w:r>
        <w:rPr>
          <w:color w:val="000000" w:themeColor="text1"/>
          <w:sz w:val="24"/>
          <w:szCs w:val="24"/>
        </w:rPr>
        <w:t>加热炉在长期运行过程中，被加热介质的管路内壁长期与</w:t>
      </w:r>
      <w:r>
        <w:rPr>
          <w:rFonts w:hint="eastAsia"/>
          <w:color w:val="000000" w:themeColor="text1"/>
          <w:sz w:val="24"/>
          <w:szCs w:val="24"/>
        </w:rPr>
        <w:t>天然气</w:t>
      </w:r>
      <w:r>
        <w:rPr>
          <w:color w:val="000000" w:themeColor="text1"/>
          <w:sz w:val="24"/>
          <w:szCs w:val="24"/>
        </w:rPr>
        <w:t>、</w:t>
      </w:r>
      <w:r>
        <w:rPr>
          <w:rFonts w:hint="eastAsia"/>
          <w:color w:val="000000" w:themeColor="text1"/>
          <w:sz w:val="24"/>
          <w:szCs w:val="24"/>
        </w:rPr>
        <w:t>采出</w:t>
      </w:r>
      <w:r>
        <w:rPr>
          <w:color w:val="000000" w:themeColor="text1"/>
          <w:sz w:val="24"/>
          <w:szCs w:val="24"/>
        </w:rPr>
        <w:t>水接触，容易造成管路内壁腐蚀结垢，结垢后将不能把水蒸气的热量及时传出，造成水蒸气压力上升，若不及时处理有可能造成水蒸气的超压爆炸事故。泄漏出的高温蒸汽可能对设备附近的作业人员造成高温灼伤。</w:t>
      </w:r>
    </w:p>
    <w:p w14:paraId="59E3C25F"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炉膛发生爆炸</w:t>
      </w:r>
    </w:p>
    <w:p w14:paraId="11A498E5" w14:textId="77777777" w:rsidR="002E0859" w:rsidRDefault="00000000">
      <w:pPr>
        <w:pStyle w:val="a0"/>
        <w:spacing w:line="360" w:lineRule="auto"/>
        <w:ind w:firstLine="480"/>
        <w:rPr>
          <w:color w:val="000000" w:themeColor="text1"/>
          <w:sz w:val="24"/>
          <w:szCs w:val="24"/>
        </w:rPr>
      </w:pPr>
      <w:r>
        <w:rPr>
          <w:color w:val="000000" w:themeColor="text1"/>
          <w:sz w:val="24"/>
          <w:szCs w:val="24"/>
        </w:rPr>
        <w:t>发生爆炸有两种情况：一是发生在点火开工阶段，若供燃料管道的燃料漏进炉膛，可能与空气形成混合物；二是燃烧器或喷嘴的火焰突然熄灭而燃料继续供应时发生爆炸，熄火的原因有多种，如气体燃料管中产生了凝结水，临时中断进料，也可能发生熄火现象，熄火后，进入炉膛的燃料蒸发，其蒸气和空气可形成爆炸性混合物。</w:t>
      </w:r>
    </w:p>
    <w:p w14:paraId="728A4F9F"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烟道发生爆炸</w:t>
      </w:r>
    </w:p>
    <w:p w14:paraId="3F1D7D13" w14:textId="77777777" w:rsidR="002E0859" w:rsidRDefault="00000000">
      <w:pPr>
        <w:pStyle w:val="a0"/>
        <w:spacing w:line="360" w:lineRule="auto"/>
        <w:ind w:firstLine="480"/>
        <w:rPr>
          <w:color w:val="000000" w:themeColor="text1"/>
          <w:sz w:val="24"/>
          <w:szCs w:val="24"/>
        </w:rPr>
      </w:pPr>
      <w:r>
        <w:rPr>
          <w:color w:val="000000" w:themeColor="text1"/>
          <w:sz w:val="24"/>
          <w:szCs w:val="24"/>
        </w:rPr>
        <w:t>当空气不足，不能保证燃料完全燃烧的情况下，加热炉的烟道内可能发生爆炸。燃料不完全燃烧的产物含有的燃气，特别是氢、一氧化碳，和空气混合能发生燃烧爆炸。</w:t>
      </w:r>
    </w:p>
    <w:p w14:paraId="6954148C" w14:textId="77777777" w:rsidR="002E0859" w:rsidRDefault="00000000">
      <w:pPr>
        <w:pStyle w:val="a0"/>
        <w:spacing w:line="360" w:lineRule="auto"/>
        <w:ind w:firstLine="480"/>
        <w:rPr>
          <w:color w:val="000000" w:themeColor="text1"/>
          <w:sz w:val="24"/>
          <w:szCs w:val="24"/>
        </w:rPr>
      </w:pPr>
      <w:r>
        <w:rPr>
          <w:color w:val="000000" w:themeColor="text1"/>
          <w:sz w:val="24"/>
          <w:szCs w:val="24"/>
        </w:rPr>
        <w:t>5</w:t>
      </w:r>
      <w:r>
        <w:rPr>
          <w:rFonts w:hint="eastAsia"/>
          <w:color w:val="000000" w:themeColor="text1"/>
          <w:sz w:val="24"/>
          <w:szCs w:val="24"/>
        </w:rPr>
        <w:t>）</w:t>
      </w:r>
      <w:r>
        <w:rPr>
          <w:color w:val="000000" w:themeColor="text1"/>
          <w:sz w:val="24"/>
          <w:szCs w:val="24"/>
        </w:rPr>
        <w:t>操作不当引起事故</w:t>
      </w:r>
    </w:p>
    <w:p w14:paraId="59A5261C" w14:textId="77777777" w:rsidR="002E0859" w:rsidRDefault="00000000">
      <w:pPr>
        <w:pStyle w:val="a0"/>
        <w:spacing w:line="360" w:lineRule="auto"/>
        <w:ind w:firstLine="480"/>
        <w:rPr>
          <w:color w:val="000000" w:themeColor="text1"/>
          <w:sz w:val="24"/>
          <w:szCs w:val="24"/>
        </w:rPr>
      </w:pPr>
      <w:r>
        <w:rPr>
          <w:color w:val="000000" w:themeColor="text1"/>
          <w:sz w:val="24"/>
          <w:szCs w:val="24"/>
        </w:rPr>
        <w:t>加热炉为明火设备，危险性较大，意外熄火后加热炉无熄火保护装置或保护装置失效，再次点火时由于炉膛未吹扫干净发生内爆。</w:t>
      </w:r>
    </w:p>
    <w:p w14:paraId="2FB3E58D" w14:textId="77777777" w:rsidR="002E0859" w:rsidRDefault="00000000">
      <w:pPr>
        <w:pStyle w:val="a0"/>
        <w:numPr>
          <w:ilvl w:val="0"/>
          <w:numId w:val="22"/>
        </w:numPr>
        <w:spacing w:line="360" w:lineRule="auto"/>
        <w:ind w:firstLine="480"/>
        <w:rPr>
          <w:color w:val="000000" w:themeColor="text1"/>
          <w:sz w:val="24"/>
          <w:szCs w:val="24"/>
        </w:rPr>
      </w:pPr>
      <w:r>
        <w:rPr>
          <w:rFonts w:hint="eastAsia"/>
          <w:color w:val="000000" w:themeColor="text1"/>
          <w:sz w:val="24"/>
          <w:szCs w:val="24"/>
        </w:rPr>
        <w:t>分离器</w:t>
      </w:r>
    </w:p>
    <w:p w14:paraId="237A22D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分离器为特种设备，主要危险有害因素如下：</w:t>
      </w:r>
    </w:p>
    <w:p w14:paraId="1F97A365"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超压爆炸</w:t>
      </w:r>
    </w:p>
    <w:p w14:paraId="176414E3" w14:textId="77777777" w:rsidR="002E0859" w:rsidRDefault="00000000">
      <w:pPr>
        <w:pStyle w:val="a0"/>
        <w:spacing w:line="360" w:lineRule="auto"/>
        <w:ind w:firstLine="480"/>
        <w:rPr>
          <w:color w:val="000000" w:themeColor="text1"/>
          <w:sz w:val="24"/>
          <w:szCs w:val="24"/>
        </w:rPr>
      </w:pPr>
      <w:r>
        <w:rPr>
          <w:color w:val="000000" w:themeColor="text1"/>
          <w:sz w:val="24"/>
          <w:szCs w:val="24"/>
        </w:rPr>
        <w:t>分离器在设计制造过程中未按照规范进行设计，如分离器壳体所用材质强度未满足要求或者未考虑壳体开孔后的强度削弱因素等造成壳体承压能力不足，易引起超压容器爆炸事故，导致油气泄漏。</w:t>
      </w:r>
    </w:p>
    <w:p w14:paraId="75820EF8" w14:textId="77777777" w:rsidR="002E0859" w:rsidRDefault="00000000">
      <w:pPr>
        <w:pStyle w:val="a0"/>
        <w:spacing w:line="360" w:lineRule="auto"/>
        <w:ind w:firstLine="480"/>
        <w:rPr>
          <w:color w:val="000000" w:themeColor="text1"/>
          <w:sz w:val="24"/>
          <w:szCs w:val="24"/>
        </w:rPr>
      </w:pPr>
      <w:r>
        <w:rPr>
          <w:color w:val="000000" w:themeColor="text1"/>
          <w:sz w:val="24"/>
          <w:szCs w:val="24"/>
        </w:rPr>
        <w:t>若安全阀失效、安全阀压力整定错误或失效，会造成容器超压时，不能及时泄压，导</w:t>
      </w:r>
      <w:r>
        <w:rPr>
          <w:color w:val="000000" w:themeColor="text1"/>
          <w:sz w:val="24"/>
          <w:szCs w:val="24"/>
        </w:rPr>
        <w:lastRenderedPageBreak/>
        <w:t>致超压爆炸事故。</w:t>
      </w:r>
    </w:p>
    <w:p w14:paraId="19853D60"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泄漏</w:t>
      </w:r>
    </w:p>
    <w:p w14:paraId="27905A54" w14:textId="77777777" w:rsidR="002E0859" w:rsidRDefault="00000000">
      <w:pPr>
        <w:pStyle w:val="a0"/>
        <w:spacing w:line="360" w:lineRule="auto"/>
        <w:ind w:firstLine="480"/>
        <w:rPr>
          <w:color w:val="000000" w:themeColor="text1"/>
          <w:sz w:val="24"/>
          <w:szCs w:val="24"/>
        </w:rPr>
      </w:pPr>
      <w:r>
        <w:rPr>
          <w:color w:val="000000" w:themeColor="text1"/>
          <w:sz w:val="24"/>
          <w:szCs w:val="24"/>
        </w:rPr>
        <w:t>造成泄漏的原因有多种，腐蚀是造成分离器泄漏的主要因素，包括腐蚀减薄、应力腐蚀开裂、外部腐蚀、冲蚀等。</w:t>
      </w:r>
    </w:p>
    <w:p w14:paraId="67E602CF" w14:textId="77777777" w:rsidR="002E0859" w:rsidRDefault="00000000">
      <w:pPr>
        <w:pStyle w:val="a0"/>
        <w:spacing w:line="360" w:lineRule="auto"/>
        <w:ind w:firstLine="480"/>
        <w:rPr>
          <w:color w:val="000000" w:themeColor="text1"/>
          <w:sz w:val="24"/>
          <w:szCs w:val="24"/>
        </w:rPr>
      </w:pPr>
      <w:r>
        <w:rPr>
          <w:color w:val="000000" w:themeColor="text1"/>
          <w:sz w:val="24"/>
          <w:szCs w:val="24"/>
        </w:rPr>
        <w:t>当容器内的</w:t>
      </w:r>
      <w:r>
        <w:rPr>
          <w:rFonts w:hint="eastAsia"/>
          <w:color w:val="000000" w:themeColor="text1"/>
          <w:sz w:val="24"/>
          <w:szCs w:val="24"/>
        </w:rPr>
        <w:t>天然气中</w:t>
      </w:r>
      <w:r>
        <w:rPr>
          <w:color w:val="000000" w:themeColor="text1"/>
          <w:sz w:val="24"/>
          <w:szCs w:val="24"/>
        </w:rPr>
        <w:t>含有较高</w:t>
      </w:r>
      <w:r>
        <w:rPr>
          <w:color w:val="000000" w:themeColor="text1"/>
          <w:sz w:val="24"/>
          <w:szCs w:val="24"/>
        </w:rPr>
        <w:t>H</w:t>
      </w:r>
      <w:r>
        <w:rPr>
          <w:color w:val="000000" w:themeColor="text1"/>
          <w:sz w:val="24"/>
          <w:szCs w:val="24"/>
          <w:vertAlign w:val="subscript"/>
        </w:rPr>
        <w:t>2</w:t>
      </w:r>
      <w:r>
        <w:rPr>
          <w:color w:val="000000" w:themeColor="text1"/>
          <w:sz w:val="24"/>
          <w:szCs w:val="24"/>
        </w:rPr>
        <w:t>O</w:t>
      </w:r>
      <w:r>
        <w:rPr>
          <w:color w:val="000000" w:themeColor="text1"/>
          <w:sz w:val="24"/>
          <w:szCs w:val="24"/>
        </w:rPr>
        <w:t>、</w:t>
      </w:r>
      <w:r>
        <w:rPr>
          <w:color w:val="000000" w:themeColor="text1"/>
          <w:sz w:val="24"/>
          <w:szCs w:val="24"/>
        </w:rPr>
        <w:t>CO</w:t>
      </w:r>
      <w:r>
        <w:rPr>
          <w:color w:val="000000" w:themeColor="text1"/>
          <w:sz w:val="24"/>
          <w:szCs w:val="24"/>
          <w:vertAlign w:val="subscript"/>
        </w:rPr>
        <w:t>2</w:t>
      </w:r>
      <w:r>
        <w:rPr>
          <w:color w:val="000000" w:themeColor="text1"/>
          <w:sz w:val="24"/>
          <w:szCs w:val="24"/>
        </w:rPr>
        <w:t>等物质时气体呈酸性，在容器内部无氧环境中，阴极发生析氢反应，铁作为阳极发生腐蚀。造成压力容器内壁腐蚀减薄，严重情况下造成天然气泄漏。</w:t>
      </w:r>
    </w:p>
    <w:p w14:paraId="7E06A52C" w14:textId="77777777" w:rsidR="002E0859" w:rsidRDefault="00000000">
      <w:pPr>
        <w:pStyle w:val="a0"/>
        <w:spacing w:line="360" w:lineRule="auto"/>
        <w:ind w:firstLine="480"/>
        <w:rPr>
          <w:color w:val="000000" w:themeColor="text1"/>
          <w:sz w:val="24"/>
          <w:szCs w:val="24"/>
        </w:rPr>
      </w:pPr>
      <w:r>
        <w:rPr>
          <w:color w:val="000000" w:themeColor="text1"/>
          <w:sz w:val="24"/>
          <w:szCs w:val="24"/>
        </w:rPr>
        <w:t>应力腐蚀开裂包括碳酸盐开裂、氯化物应力腐蚀开裂、氢致开裂等。低劣的焊接质量会造成焊接处裂纹等隐患，在容器工作过程中这些裂纹会随着压力增加而逐渐扩大最终导致天然气泄漏；裂纹也会加剧腐蚀效果。</w:t>
      </w:r>
    </w:p>
    <w:p w14:paraId="5FFB915A" w14:textId="77777777" w:rsidR="002E0859" w:rsidRDefault="00000000">
      <w:pPr>
        <w:pStyle w:val="a0"/>
        <w:spacing w:line="360" w:lineRule="auto"/>
        <w:ind w:firstLine="480"/>
        <w:rPr>
          <w:color w:val="000000" w:themeColor="text1"/>
          <w:sz w:val="24"/>
          <w:szCs w:val="24"/>
        </w:rPr>
      </w:pPr>
      <w:r>
        <w:rPr>
          <w:color w:val="000000" w:themeColor="text1"/>
          <w:sz w:val="24"/>
          <w:szCs w:val="24"/>
        </w:rPr>
        <w:t>外部腐蚀主要指大气腐蚀和保温层下的腐蚀。从失效机理来看外腐蚀损伤与腐蚀减薄和应力腐蚀开裂相同，不同的是腐蚀速率和裂纹开裂尺寸的差异。</w:t>
      </w:r>
    </w:p>
    <w:p w14:paraId="51041A0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天然</w:t>
      </w:r>
      <w:r>
        <w:rPr>
          <w:color w:val="000000" w:themeColor="text1"/>
          <w:sz w:val="24"/>
          <w:szCs w:val="24"/>
        </w:rPr>
        <w:t>气中含有水和泥沙等，会对分离器的封头造成冲蚀，造成泄漏。</w:t>
      </w:r>
    </w:p>
    <w:p w14:paraId="2566C9A5" w14:textId="77777777" w:rsidR="002E0859" w:rsidRDefault="00000000">
      <w:pPr>
        <w:pStyle w:val="a0"/>
        <w:spacing w:line="360" w:lineRule="auto"/>
        <w:ind w:firstLine="480"/>
        <w:rPr>
          <w:color w:val="000000" w:themeColor="text1"/>
          <w:sz w:val="24"/>
          <w:szCs w:val="24"/>
        </w:rPr>
      </w:pPr>
      <w:r>
        <w:rPr>
          <w:color w:val="000000" w:themeColor="text1"/>
          <w:sz w:val="24"/>
          <w:szCs w:val="24"/>
        </w:rPr>
        <w:t>另外，设计时未按照规范选取合适的腐蚀裕量，设备未能满足安全检验周期，也是导致分离器泄漏的重要因素。</w:t>
      </w:r>
    </w:p>
    <w:p w14:paraId="73528FA3" w14:textId="77777777" w:rsidR="002E0859" w:rsidRDefault="00000000">
      <w:pPr>
        <w:pStyle w:val="a0"/>
        <w:numPr>
          <w:ilvl w:val="0"/>
          <w:numId w:val="22"/>
        </w:numPr>
        <w:spacing w:line="360" w:lineRule="auto"/>
        <w:ind w:firstLine="480"/>
        <w:rPr>
          <w:color w:val="000000" w:themeColor="text1"/>
          <w:sz w:val="24"/>
          <w:szCs w:val="24"/>
        </w:rPr>
      </w:pPr>
      <w:r>
        <w:rPr>
          <w:rFonts w:hint="eastAsia"/>
          <w:color w:val="000000" w:themeColor="text1"/>
          <w:sz w:val="24"/>
          <w:szCs w:val="24"/>
        </w:rPr>
        <w:t>输气管线</w:t>
      </w:r>
    </w:p>
    <w:p w14:paraId="415D521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本工程</w:t>
      </w:r>
      <w:r>
        <w:rPr>
          <w:color w:val="000000" w:themeColor="text1"/>
          <w:sz w:val="24"/>
          <w:szCs w:val="24"/>
        </w:rPr>
        <w:t>主要</w:t>
      </w:r>
      <w:r>
        <w:rPr>
          <w:rFonts w:hint="eastAsia"/>
          <w:color w:val="000000" w:themeColor="text1"/>
          <w:sz w:val="24"/>
          <w:szCs w:val="24"/>
        </w:rPr>
        <w:t>为</w:t>
      </w:r>
      <w:r>
        <w:rPr>
          <w:color w:val="000000" w:themeColor="text1"/>
          <w:sz w:val="24"/>
          <w:szCs w:val="24"/>
        </w:rPr>
        <w:t>单井</w:t>
      </w:r>
      <w:r>
        <w:rPr>
          <w:rFonts w:hint="eastAsia"/>
          <w:color w:val="000000" w:themeColor="text1"/>
          <w:sz w:val="24"/>
          <w:szCs w:val="24"/>
        </w:rPr>
        <w:t>采气</w:t>
      </w:r>
      <w:r>
        <w:rPr>
          <w:color w:val="000000" w:themeColor="text1"/>
          <w:sz w:val="24"/>
          <w:szCs w:val="24"/>
        </w:rPr>
        <w:t>管线</w:t>
      </w:r>
      <w:r>
        <w:rPr>
          <w:rFonts w:hint="eastAsia"/>
          <w:color w:val="000000" w:themeColor="text1"/>
          <w:sz w:val="24"/>
          <w:szCs w:val="24"/>
        </w:rPr>
        <w:t>，采出气集输依托原有集输管线，</w:t>
      </w:r>
      <w:r>
        <w:rPr>
          <w:color w:val="000000" w:themeColor="text1"/>
          <w:sz w:val="24"/>
          <w:szCs w:val="24"/>
        </w:rPr>
        <w:t>管道输送的介质主要是含水</w:t>
      </w:r>
      <w:r>
        <w:rPr>
          <w:rFonts w:hint="eastAsia"/>
          <w:color w:val="000000" w:themeColor="text1"/>
          <w:sz w:val="24"/>
          <w:szCs w:val="24"/>
        </w:rPr>
        <w:t>天然气</w:t>
      </w:r>
      <w:r>
        <w:rPr>
          <w:color w:val="000000" w:themeColor="text1"/>
          <w:sz w:val="24"/>
          <w:szCs w:val="24"/>
        </w:rPr>
        <w:t>。其在输送过程中存在一定的压力和温度，正常情况下是在密闭的管线中及密闭性良好的设备间加热输送，设施危险、有害因素主要有</w:t>
      </w:r>
      <w:r>
        <w:rPr>
          <w:rFonts w:hint="eastAsia"/>
          <w:color w:val="000000" w:themeColor="text1"/>
          <w:sz w:val="24"/>
          <w:szCs w:val="24"/>
        </w:rPr>
        <w:t>天然气</w:t>
      </w:r>
      <w:r>
        <w:rPr>
          <w:color w:val="000000" w:themeColor="text1"/>
          <w:sz w:val="24"/>
          <w:szCs w:val="24"/>
        </w:rPr>
        <w:t>泄漏后遇明火造成的火灾、爆炸、中毒事故，造成</w:t>
      </w:r>
      <w:r>
        <w:rPr>
          <w:rFonts w:hint="eastAsia"/>
          <w:color w:val="000000" w:themeColor="text1"/>
          <w:sz w:val="24"/>
          <w:szCs w:val="24"/>
        </w:rPr>
        <w:t>天然</w:t>
      </w:r>
      <w:r>
        <w:rPr>
          <w:color w:val="000000" w:themeColor="text1"/>
          <w:sz w:val="24"/>
          <w:szCs w:val="24"/>
        </w:rPr>
        <w:t>气泄漏原因有以下几点。</w:t>
      </w:r>
    </w:p>
    <w:p w14:paraId="3423B33F"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设计缺陷</w:t>
      </w:r>
    </w:p>
    <w:p w14:paraId="58A03EC5" w14:textId="77777777" w:rsidR="002E0859" w:rsidRDefault="00000000">
      <w:pPr>
        <w:pStyle w:val="a0"/>
        <w:spacing w:line="360" w:lineRule="auto"/>
        <w:ind w:firstLine="480"/>
        <w:rPr>
          <w:color w:val="000000" w:themeColor="text1"/>
          <w:sz w:val="24"/>
          <w:szCs w:val="24"/>
        </w:rPr>
      </w:pPr>
      <w:r>
        <w:rPr>
          <w:color w:val="000000" w:themeColor="text1"/>
          <w:sz w:val="24"/>
          <w:szCs w:val="24"/>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14:paraId="1694DEF7"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冲蚀、内磨蚀</w:t>
      </w:r>
    </w:p>
    <w:p w14:paraId="683A6393" w14:textId="77777777" w:rsidR="002E0859" w:rsidRDefault="00000000">
      <w:pPr>
        <w:pStyle w:val="a0"/>
        <w:spacing w:line="360" w:lineRule="auto"/>
        <w:ind w:firstLine="480"/>
        <w:rPr>
          <w:color w:val="000000" w:themeColor="text1"/>
          <w:sz w:val="24"/>
          <w:szCs w:val="24"/>
        </w:rPr>
      </w:pPr>
      <w:r>
        <w:rPr>
          <w:color w:val="000000" w:themeColor="text1"/>
          <w:sz w:val="24"/>
          <w:szCs w:val="24"/>
        </w:rPr>
        <w:t>井区水含盐</w:t>
      </w:r>
      <w:r>
        <w:rPr>
          <w:rFonts w:hint="eastAsia"/>
          <w:color w:val="000000" w:themeColor="text1"/>
          <w:sz w:val="24"/>
          <w:szCs w:val="24"/>
        </w:rPr>
        <w:t>、含砂</w:t>
      </w:r>
      <w:r>
        <w:rPr>
          <w:color w:val="000000" w:themeColor="text1"/>
          <w:sz w:val="24"/>
          <w:szCs w:val="24"/>
        </w:rPr>
        <w:t>等杂质较多，管路中</w:t>
      </w:r>
      <w:r>
        <w:rPr>
          <w:rFonts w:hint="eastAsia"/>
          <w:color w:val="000000" w:themeColor="text1"/>
          <w:sz w:val="24"/>
          <w:szCs w:val="24"/>
        </w:rPr>
        <w:t>天然气</w:t>
      </w:r>
      <w:r>
        <w:rPr>
          <w:color w:val="000000" w:themeColor="text1"/>
          <w:sz w:val="24"/>
          <w:szCs w:val="24"/>
        </w:rPr>
        <w:t>的流速过大，超过冲蚀速度时，会产生冲蚀现象，其结果会对弯头、三通等造成损害。同时</w:t>
      </w:r>
      <w:r>
        <w:rPr>
          <w:rFonts w:hint="eastAsia"/>
          <w:color w:val="000000" w:themeColor="text1"/>
          <w:sz w:val="24"/>
          <w:szCs w:val="24"/>
        </w:rPr>
        <w:t>水</w:t>
      </w:r>
      <w:r>
        <w:rPr>
          <w:color w:val="000000" w:themeColor="text1"/>
          <w:sz w:val="24"/>
          <w:szCs w:val="24"/>
        </w:rPr>
        <w:t>中存在的盐等砂粒，对管壁产生磨蚀。</w:t>
      </w:r>
    </w:p>
    <w:p w14:paraId="230AE0E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外腐蚀</w:t>
      </w:r>
    </w:p>
    <w:p w14:paraId="73640531"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14:paraId="5F2816D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集气</w:t>
      </w:r>
      <w:r>
        <w:rPr>
          <w:color w:val="000000" w:themeColor="text1"/>
          <w:sz w:val="24"/>
          <w:szCs w:val="24"/>
        </w:rPr>
        <w:t>站内地面管线如果未采用管墩架设或架设高度无法达到规范要求，造成管线半埋于土壤之中，会加速腐蚀。</w:t>
      </w:r>
    </w:p>
    <w:p w14:paraId="20023C69" w14:textId="77777777" w:rsidR="002E0859" w:rsidRDefault="00000000">
      <w:pPr>
        <w:pStyle w:val="a0"/>
        <w:spacing w:line="360" w:lineRule="auto"/>
        <w:ind w:firstLine="480"/>
        <w:rPr>
          <w:color w:val="000000" w:themeColor="text1"/>
          <w:sz w:val="24"/>
          <w:szCs w:val="24"/>
        </w:rPr>
      </w:pPr>
      <w:r>
        <w:rPr>
          <w:color w:val="000000" w:themeColor="text1"/>
          <w:sz w:val="24"/>
          <w:szCs w:val="24"/>
        </w:rPr>
        <w:t>由于工业和民用用电有意、无意地排入或漏泄至大地，土壤中有杂散电流流入管道，因而发生电解作用，电解池的阳极是遭受腐蚀部位。</w:t>
      </w:r>
    </w:p>
    <w:p w14:paraId="10D441F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rPr>
        <w:t>第三方破坏</w:t>
      </w:r>
    </w:p>
    <w:p w14:paraId="39F46971" w14:textId="77777777" w:rsidR="002E0859" w:rsidRDefault="00000000">
      <w:pPr>
        <w:pStyle w:val="a0"/>
        <w:spacing w:line="360" w:lineRule="auto"/>
        <w:ind w:firstLine="480"/>
        <w:rPr>
          <w:color w:val="000000" w:themeColor="text1"/>
          <w:sz w:val="24"/>
          <w:szCs w:val="24"/>
        </w:rPr>
      </w:pPr>
      <w:r>
        <w:rPr>
          <w:color w:val="000000" w:themeColor="text1"/>
          <w:sz w:val="24"/>
          <w:szCs w:val="24"/>
        </w:rPr>
        <w:t>包括施工破坏、打孔盗</w:t>
      </w:r>
      <w:r>
        <w:rPr>
          <w:rFonts w:hint="eastAsia"/>
          <w:color w:val="000000" w:themeColor="text1"/>
          <w:sz w:val="24"/>
          <w:szCs w:val="24"/>
        </w:rPr>
        <w:t>气</w:t>
      </w:r>
      <w:r>
        <w:rPr>
          <w:color w:val="000000" w:themeColor="text1"/>
          <w:sz w:val="24"/>
          <w:szCs w:val="24"/>
        </w:rPr>
        <w:t>、违章占压等，易造成输</w:t>
      </w:r>
      <w:r>
        <w:rPr>
          <w:rFonts w:hint="eastAsia"/>
          <w:color w:val="000000" w:themeColor="text1"/>
          <w:sz w:val="24"/>
          <w:szCs w:val="24"/>
        </w:rPr>
        <w:t>气</w:t>
      </w:r>
      <w:r>
        <w:rPr>
          <w:color w:val="000000" w:themeColor="text1"/>
          <w:sz w:val="24"/>
          <w:szCs w:val="24"/>
        </w:rPr>
        <w:t>管线的泄漏。</w:t>
      </w:r>
    </w:p>
    <w:p w14:paraId="707DE86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其他</w:t>
      </w:r>
    </w:p>
    <w:p w14:paraId="294A3EF1" w14:textId="77777777" w:rsidR="002E0859" w:rsidRDefault="00000000">
      <w:pPr>
        <w:pStyle w:val="a0"/>
        <w:spacing w:line="360" w:lineRule="auto"/>
        <w:ind w:firstLine="480"/>
        <w:rPr>
          <w:color w:val="000000" w:themeColor="text1"/>
          <w:sz w:val="24"/>
          <w:szCs w:val="24"/>
        </w:rPr>
      </w:pPr>
      <w:r>
        <w:rPr>
          <w:color w:val="000000" w:themeColor="text1"/>
          <w:sz w:val="24"/>
          <w:szCs w:val="24"/>
        </w:rPr>
        <w:t>管线埋深不足遇暴雨、洪水冲刷导致管线裸露在外遭受破坏；地震导致管线造成断裂等等。</w:t>
      </w:r>
    </w:p>
    <w:p w14:paraId="205D76F3" w14:textId="77777777" w:rsidR="002E0859" w:rsidRDefault="00000000">
      <w:pPr>
        <w:pStyle w:val="a0"/>
        <w:spacing w:line="360" w:lineRule="auto"/>
        <w:ind w:firstLine="480"/>
        <w:rPr>
          <w:color w:val="000000" w:themeColor="text1"/>
          <w:sz w:val="24"/>
          <w:szCs w:val="24"/>
        </w:rPr>
      </w:pPr>
      <w:r>
        <w:rPr>
          <w:color w:val="000000" w:themeColor="text1"/>
          <w:sz w:val="24"/>
          <w:szCs w:val="24"/>
        </w:rPr>
        <w:t>目前部分单井或集油管线越来越多的采用非金属材质，主要有塑料合金复合管、热塑性塑料复合管等。非金属管道具有防腐蚀性能强、输送能力高的优点，但也存在如耐温性差、质量参差不齐、施工维护要求高等问题，是造成管线破裂、泄漏的重要因素。</w:t>
      </w:r>
    </w:p>
    <w:p w14:paraId="3CA9021F" w14:textId="77777777" w:rsidR="002E0859" w:rsidRDefault="00000000">
      <w:pPr>
        <w:pStyle w:val="a0"/>
        <w:numPr>
          <w:ilvl w:val="0"/>
          <w:numId w:val="22"/>
        </w:numPr>
        <w:spacing w:line="360" w:lineRule="auto"/>
        <w:ind w:firstLine="480"/>
        <w:rPr>
          <w:color w:val="000000" w:themeColor="text1"/>
          <w:sz w:val="24"/>
          <w:szCs w:val="24"/>
        </w:rPr>
      </w:pPr>
      <w:r>
        <w:rPr>
          <w:rFonts w:hint="eastAsia"/>
          <w:color w:val="000000" w:themeColor="text1"/>
          <w:sz w:val="24"/>
          <w:szCs w:val="24"/>
        </w:rPr>
        <w:t>机泵类</w:t>
      </w:r>
    </w:p>
    <w:p w14:paraId="3AC341C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计量</w:t>
      </w:r>
      <w:r>
        <w:rPr>
          <w:color w:val="000000" w:themeColor="text1"/>
          <w:sz w:val="24"/>
          <w:szCs w:val="24"/>
        </w:rPr>
        <w:t>泵的传动件、转动部位，若防护罩失效或残缺，人体接触时就有机械伤害的危险。正常生产期间，作业人员在没有停机的情况下进行作业或维修，造成机械伤害事故发生。</w:t>
      </w:r>
      <w:r>
        <w:rPr>
          <w:rFonts w:hint="eastAsia"/>
          <w:color w:val="000000" w:themeColor="text1"/>
          <w:sz w:val="24"/>
          <w:szCs w:val="24"/>
        </w:rPr>
        <w:t>计量</w:t>
      </w:r>
      <w:r>
        <w:rPr>
          <w:color w:val="000000" w:themeColor="text1"/>
          <w:sz w:val="24"/>
          <w:szCs w:val="24"/>
        </w:rPr>
        <w:t>泵部件磨损老化、密封不良、设备维修、管道腐蚀等原因，可能造成</w:t>
      </w:r>
      <w:r>
        <w:rPr>
          <w:rFonts w:hint="eastAsia"/>
          <w:color w:val="000000" w:themeColor="text1"/>
          <w:sz w:val="24"/>
          <w:szCs w:val="24"/>
        </w:rPr>
        <w:t>天然</w:t>
      </w:r>
      <w:r>
        <w:rPr>
          <w:color w:val="000000" w:themeColor="text1"/>
          <w:sz w:val="24"/>
          <w:szCs w:val="24"/>
        </w:rPr>
        <w:t>气泄漏，如维修时使用非防爆工具、泵房内动火或操作人员未使用防静电劳动防护用品等，有可能造成火灾爆炸事故。</w:t>
      </w:r>
    </w:p>
    <w:p w14:paraId="6FBFDD1D" w14:textId="77777777" w:rsidR="002E0859" w:rsidRDefault="00000000">
      <w:pPr>
        <w:pStyle w:val="a0"/>
        <w:spacing w:line="360" w:lineRule="auto"/>
        <w:ind w:firstLine="480"/>
        <w:rPr>
          <w:color w:val="000000" w:themeColor="text1"/>
          <w:sz w:val="24"/>
          <w:szCs w:val="24"/>
        </w:rPr>
      </w:pPr>
      <w:r>
        <w:rPr>
          <w:color w:val="000000" w:themeColor="text1"/>
          <w:sz w:val="24"/>
          <w:szCs w:val="24"/>
        </w:rPr>
        <w:t>泵类设备的带电部位、带电导线是引发触电事故的危险源。人体触及带电的导线、漏电泵类设备的外壳都可能导致触电事故发生。</w:t>
      </w:r>
    </w:p>
    <w:p w14:paraId="2E928F9B"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公用工程及辅助生产设施的危险有害因素分析</w:t>
      </w:r>
    </w:p>
    <w:p w14:paraId="479C00B4" w14:textId="77777777" w:rsidR="002E0859" w:rsidRDefault="00000000">
      <w:pPr>
        <w:pStyle w:val="a0"/>
        <w:numPr>
          <w:ilvl w:val="0"/>
          <w:numId w:val="23"/>
        </w:numPr>
        <w:spacing w:line="360" w:lineRule="auto"/>
        <w:ind w:firstLine="480"/>
        <w:rPr>
          <w:color w:val="000000" w:themeColor="text1"/>
          <w:sz w:val="24"/>
          <w:szCs w:val="24"/>
        </w:rPr>
      </w:pPr>
      <w:r>
        <w:rPr>
          <w:rFonts w:hint="eastAsia"/>
          <w:color w:val="000000" w:themeColor="text1"/>
          <w:sz w:val="24"/>
          <w:szCs w:val="24"/>
        </w:rPr>
        <w:t>自控、通信</w:t>
      </w:r>
    </w:p>
    <w:p w14:paraId="46D3D99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自控设备可靠性是系统安全运行的重要条件，井口的传感器由于各种原因（质量、安装、维护、自然条件等）造成失效，数据传输错误会导致远程控制错误，例如压力、温度数据错误造成系统超温超压运行。</w:t>
      </w:r>
    </w:p>
    <w:p w14:paraId="484FA51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lastRenderedPageBreak/>
        <w:t>在井口装置上安装</w:t>
      </w:r>
      <w:r>
        <w:rPr>
          <w:rFonts w:hint="eastAsia"/>
          <w:color w:val="000000" w:themeColor="text1"/>
          <w:sz w:val="24"/>
          <w:szCs w:val="24"/>
        </w:rPr>
        <w:t>RTU</w:t>
      </w:r>
      <w:r>
        <w:rPr>
          <w:rFonts w:hint="eastAsia"/>
          <w:color w:val="000000" w:themeColor="text1"/>
          <w:sz w:val="24"/>
          <w:szCs w:val="24"/>
        </w:rPr>
        <w:t>（远程终端单元），同时采集电参、运行状态及井口压力等信号，将井口</w:t>
      </w:r>
      <w:r>
        <w:rPr>
          <w:rFonts w:hint="eastAsia"/>
          <w:color w:val="000000" w:themeColor="text1"/>
          <w:sz w:val="24"/>
          <w:szCs w:val="24"/>
        </w:rPr>
        <w:t>RTU</w:t>
      </w:r>
      <w:r>
        <w:rPr>
          <w:rFonts w:hint="eastAsia"/>
          <w:color w:val="000000" w:themeColor="text1"/>
          <w:sz w:val="24"/>
          <w:szCs w:val="24"/>
        </w:rPr>
        <w:t>采集的信号通过无线方式传送至井场</w:t>
      </w:r>
      <w:r>
        <w:rPr>
          <w:rFonts w:hint="eastAsia"/>
          <w:color w:val="000000" w:themeColor="text1"/>
          <w:sz w:val="24"/>
          <w:szCs w:val="24"/>
        </w:rPr>
        <w:t>RTU</w:t>
      </w:r>
      <w:r>
        <w:rPr>
          <w:rFonts w:hint="eastAsia"/>
          <w:color w:val="000000" w:themeColor="text1"/>
          <w:sz w:val="24"/>
          <w:szCs w:val="24"/>
        </w:rPr>
        <w:t>，井场</w:t>
      </w:r>
      <w:r>
        <w:rPr>
          <w:rFonts w:hint="eastAsia"/>
          <w:color w:val="000000" w:themeColor="text1"/>
          <w:sz w:val="24"/>
          <w:szCs w:val="24"/>
        </w:rPr>
        <w:t>RTU</w:t>
      </w:r>
      <w:r>
        <w:rPr>
          <w:rFonts w:hint="eastAsia"/>
          <w:color w:val="000000" w:themeColor="text1"/>
          <w:sz w:val="24"/>
          <w:szCs w:val="24"/>
        </w:rPr>
        <w:t>将气井数据通过无线网桥方式传输至数控中心，从而实现数据采集和远程控制。</w:t>
      </w:r>
    </w:p>
    <w:p w14:paraId="327E1DE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若温度、液位、压力、流量等传感器出现故障，生产过程中的各种参数不能正确显示，提供错误的信息，判断失误，从而发出错误的指令，进行错误的操作，影响安全生产，严重时发生火灾、爆炸等事故。若设置的可燃气体及有毒气体报警系统出现故障，当发生可燃气体或有毒气体泄漏时，不能及时发现，易错过处理的最佳时机，可发生火灾、爆炸或人员中毒事故。</w:t>
      </w:r>
    </w:p>
    <w:p w14:paraId="2B4E14FD" w14:textId="77777777" w:rsidR="002E0859" w:rsidRDefault="00000000">
      <w:pPr>
        <w:pStyle w:val="a0"/>
        <w:numPr>
          <w:ilvl w:val="0"/>
          <w:numId w:val="23"/>
        </w:numPr>
        <w:spacing w:line="360" w:lineRule="auto"/>
        <w:ind w:firstLine="480"/>
        <w:rPr>
          <w:color w:val="000000" w:themeColor="text1"/>
          <w:sz w:val="24"/>
          <w:szCs w:val="24"/>
        </w:rPr>
      </w:pPr>
      <w:r>
        <w:rPr>
          <w:rFonts w:hint="eastAsia"/>
          <w:color w:val="000000" w:themeColor="text1"/>
          <w:sz w:val="24"/>
          <w:szCs w:val="24"/>
        </w:rPr>
        <w:t>供配电</w:t>
      </w:r>
    </w:p>
    <w:p w14:paraId="6D88013A" w14:textId="77777777" w:rsidR="002E0859" w:rsidRDefault="00000000">
      <w:pPr>
        <w:pStyle w:val="a0"/>
        <w:spacing w:line="360" w:lineRule="auto"/>
        <w:ind w:firstLine="480"/>
        <w:rPr>
          <w:color w:val="000000" w:themeColor="text1"/>
          <w:sz w:val="24"/>
          <w:szCs w:val="24"/>
        </w:rPr>
      </w:pPr>
      <w:r>
        <w:rPr>
          <w:color w:val="000000" w:themeColor="text1"/>
          <w:sz w:val="24"/>
          <w:szCs w:val="24"/>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15A40DAD" w14:textId="77777777" w:rsidR="002E0859" w:rsidRDefault="00000000">
      <w:pPr>
        <w:pStyle w:val="a0"/>
        <w:spacing w:line="360" w:lineRule="auto"/>
        <w:ind w:firstLine="480"/>
        <w:rPr>
          <w:color w:val="000000" w:themeColor="text1"/>
          <w:sz w:val="24"/>
          <w:szCs w:val="24"/>
        </w:rPr>
      </w:pPr>
      <w:r>
        <w:rPr>
          <w:color w:val="000000" w:themeColor="text1"/>
          <w:sz w:val="24"/>
          <w:szCs w:val="24"/>
        </w:rP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14:paraId="51AD6636" w14:textId="77777777" w:rsidR="002E0859" w:rsidRDefault="00000000">
      <w:pPr>
        <w:pStyle w:val="a0"/>
        <w:spacing w:line="360" w:lineRule="auto"/>
        <w:ind w:firstLine="480"/>
        <w:rPr>
          <w:color w:val="000000" w:themeColor="text1"/>
          <w:sz w:val="24"/>
          <w:szCs w:val="24"/>
        </w:rPr>
      </w:pPr>
      <w:r>
        <w:rPr>
          <w:color w:val="000000" w:themeColor="text1"/>
          <w:sz w:val="24"/>
          <w:szCs w:val="24"/>
        </w:rPr>
        <w:t>供配电设施应安装工作接地、保护接地，所有正常情况下不带电的电气设备金属外壳、工艺设备、工艺管线等均应可靠接地，否则有发生触电的危险。</w:t>
      </w:r>
    </w:p>
    <w:p w14:paraId="04370096" w14:textId="77777777" w:rsidR="002E0859" w:rsidRDefault="00000000">
      <w:pPr>
        <w:pStyle w:val="a0"/>
        <w:spacing w:line="360" w:lineRule="auto"/>
        <w:ind w:firstLine="480"/>
        <w:rPr>
          <w:color w:val="000000" w:themeColor="text1"/>
          <w:sz w:val="24"/>
          <w:szCs w:val="24"/>
        </w:rPr>
      </w:pPr>
      <w:r>
        <w:rPr>
          <w:color w:val="000000" w:themeColor="text1"/>
          <w:sz w:val="24"/>
          <w:szCs w:val="24"/>
        </w:rPr>
        <w:t>电气设备若无接地保护或接地不良、绝缘破坏漏电，以及输配电线路绝缘破坏漏电，电气作业监护不力或违章操作等，人体触及带电体，有发生触电的危险。</w:t>
      </w:r>
    </w:p>
    <w:p w14:paraId="4D1E1B3C" w14:textId="77777777" w:rsidR="002E0859" w:rsidRDefault="00000000">
      <w:pPr>
        <w:pStyle w:val="a0"/>
        <w:spacing w:line="360" w:lineRule="auto"/>
        <w:ind w:firstLine="480"/>
        <w:rPr>
          <w:color w:val="000000" w:themeColor="text1"/>
          <w:sz w:val="24"/>
          <w:szCs w:val="24"/>
        </w:rPr>
      </w:pPr>
      <w:r>
        <w:rPr>
          <w:color w:val="000000" w:themeColor="text1"/>
          <w:sz w:val="24"/>
          <w:szCs w:val="24"/>
        </w:rP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14:paraId="1707B51A" w14:textId="77777777" w:rsidR="002E0859" w:rsidRDefault="00000000">
      <w:pPr>
        <w:pStyle w:val="a0"/>
        <w:spacing w:line="360" w:lineRule="auto"/>
        <w:ind w:firstLine="480"/>
        <w:rPr>
          <w:color w:val="000000" w:themeColor="text1"/>
          <w:sz w:val="24"/>
          <w:szCs w:val="24"/>
        </w:rPr>
      </w:pPr>
      <w:r>
        <w:rPr>
          <w:color w:val="000000" w:themeColor="text1"/>
          <w:sz w:val="24"/>
          <w:szCs w:val="24"/>
        </w:rP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线间绝缘处理不当或距离过小；外界的火源和热源侵害电缆时，均有可能引起电缆火灾。</w:t>
      </w:r>
    </w:p>
    <w:p w14:paraId="1DBB53EE"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在爆炸危险区域内，电气设备选型不当，防爆等级不够，可引起火灾、爆炸事故发生。</w:t>
      </w:r>
    </w:p>
    <w:p w14:paraId="368F8EC1" w14:textId="77777777" w:rsidR="002E0859" w:rsidRDefault="00000000">
      <w:pPr>
        <w:pStyle w:val="a0"/>
        <w:spacing w:line="360" w:lineRule="auto"/>
        <w:ind w:firstLine="480"/>
        <w:rPr>
          <w:color w:val="000000" w:themeColor="text1"/>
          <w:sz w:val="24"/>
          <w:szCs w:val="24"/>
        </w:rPr>
      </w:pPr>
      <w:r>
        <w:rPr>
          <w:color w:val="000000" w:themeColor="text1"/>
          <w:sz w:val="24"/>
          <w:szCs w:val="24"/>
        </w:rPr>
        <w:t>室内电气设备，若质量不合格、安装不规范、绝缘等级不够、无安全防护措施等，有发生触电和电器火灾的危险。如电器过热、短路打火，引燃周围可燃物，发生火灾。</w:t>
      </w:r>
    </w:p>
    <w:p w14:paraId="3C644BEB" w14:textId="77777777" w:rsidR="002E0859" w:rsidRDefault="00000000">
      <w:pPr>
        <w:pStyle w:val="a0"/>
        <w:numPr>
          <w:ilvl w:val="0"/>
          <w:numId w:val="23"/>
        </w:numPr>
        <w:spacing w:line="360" w:lineRule="auto"/>
        <w:ind w:firstLine="480"/>
        <w:rPr>
          <w:color w:val="000000" w:themeColor="text1"/>
          <w:sz w:val="24"/>
          <w:szCs w:val="24"/>
        </w:rPr>
      </w:pPr>
      <w:r>
        <w:rPr>
          <w:rFonts w:hint="eastAsia"/>
          <w:color w:val="000000" w:themeColor="text1"/>
          <w:sz w:val="24"/>
          <w:szCs w:val="24"/>
        </w:rPr>
        <w:t>消防及其它</w:t>
      </w:r>
    </w:p>
    <w:p w14:paraId="6EC14CF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）站场的消防设计为工程的初期事故提供自救条件，在防止事故扩大和争取外部救援时机方面起着重要的作用。一旦发生事故时，不能及时进行灭火，小事故将演变为大事故，事故将扩大。</w:t>
      </w:r>
    </w:p>
    <w:p w14:paraId="08B35ED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消防车道、安全出口设置不合理、路面或安全出口有障碍物；消防器材设置不足、摆放不合理等，均可因消防的缺陷，导致火灾蔓延和扩大。</w:t>
      </w:r>
    </w:p>
    <w:p w14:paraId="644A9C0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爆炸危险场所若未合理设置可燃气体泄漏报警器或报警器质量不合格，则不利于及时发现和处理气体泄漏事故，增大了发生火灾、爆炸的可能性。</w:t>
      </w:r>
    </w:p>
    <w:p w14:paraId="1D5163C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未设有毒气体泄漏报警器或报警器质量不合格，则不利于及时发现和处理气体泄漏事故，增大了发生中毒事故的可能性。</w:t>
      </w:r>
    </w:p>
    <w:p w14:paraId="566EC1C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rPr>
        <w:t>未合理设置卸压装置或卸压装置故障，有引发容器爆炸的危险；压力表、温度计、液位计等选型不当、精度不够、显示失灵、故障等，可导致误操作，引起事故。</w:t>
      </w:r>
    </w:p>
    <w:p w14:paraId="720DF23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若未设置防雷防静电设施或设置不符合要求，有可能遭雷击或产生静电火花而导致火灾事故发生。</w:t>
      </w:r>
    </w:p>
    <w:p w14:paraId="1C124E4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rPr>
        <w:t>未配备个人防护用品或防护用品不符合规范，未正确佩戴均可导致人员伤害事故。</w:t>
      </w:r>
    </w:p>
    <w:p w14:paraId="0550A32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7</w:t>
      </w:r>
      <w:r>
        <w:rPr>
          <w:rFonts w:hint="eastAsia"/>
          <w:color w:val="000000" w:themeColor="text1"/>
          <w:sz w:val="24"/>
          <w:szCs w:val="24"/>
        </w:rPr>
        <w:t>）</w:t>
      </w:r>
      <w:r>
        <w:rPr>
          <w:color w:val="000000" w:themeColor="text1"/>
          <w:sz w:val="24"/>
          <w:szCs w:val="24"/>
        </w:rPr>
        <w:t>未设置监控系统或者监控系统损坏，不利于无人</w:t>
      </w:r>
      <w:r>
        <w:rPr>
          <w:rFonts w:hint="eastAsia"/>
          <w:color w:val="000000" w:themeColor="text1"/>
          <w:sz w:val="24"/>
          <w:szCs w:val="24"/>
        </w:rPr>
        <w:t>站</w:t>
      </w:r>
      <w:r>
        <w:rPr>
          <w:color w:val="000000" w:themeColor="text1"/>
          <w:sz w:val="24"/>
          <w:szCs w:val="24"/>
        </w:rPr>
        <w:t>场实时情况的反馈，易发生盗抢事件；并且出现设备损坏、</w:t>
      </w:r>
      <w:r>
        <w:rPr>
          <w:rFonts w:hint="eastAsia"/>
          <w:color w:val="000000" w:themeColor="text1"/>
          <w:sz w:val="24"/>
          <w:szCs w:val="24"/>
        </w:rPr>
        <w:t>天然气</w:t>
      </w:r>
      <w:r>
        <w:rPr>
          <w:color w:val="000000" w:themeColor="text1"/>
          <w:sz w:val="24"/>
          <w:szCs w:val="24"/>
        </w:rPr>
        <w:t>泄漏等事故时，不能及时发现，及时救援。</w:t>
      </w:r>
    </w:p>
    <w:p w14:paraId="018ECD1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8</w:t>
      </w:r>
      <w:r>
        <w:rPr>
          <w:rFonts w:hint="eastAsia"/>
          <w:color w:val="000000" w:themeColor="text1"/>
          <w:sz w:val="24"/>
          <w:szCs w:val="24"/>
        </w:rPr>
        <w:t>）</w:t>
      </w:r>
      <w:r>
        <w:rPr>
          <w:color w:val="000000" w:themeColor="text1"/>
          <w:sz w:val="24"/>
          <w:szCs w:val="24"/>
        </w:rPr>
        <w:t>通向</w:t>
      </w:r>
      <w:r>
        <w:rPr>
          <w:rFonts w:hint="eastAsia"/>
          <w:color w:val="000000" w:themeColor="text1"/>
          <w:sz w:val="24"/>
          <w:szCs w:val="24"/>
        </w:rPr>
        <w:t>站</w:t>
      </w:r>
      <w:r>
        <w:rPr>
          <w:color w:val="000000" w:themeColor="text1"/>
          <w:sz w:val="24"/>
          <w:szCs w:val="24"/>
        </w:rPr>
        <w:t>场的道路不畅，使检维修人员、车辆进入井场较为困难，设备得不到及时维修保养，可导致事故发生或事故扩大。</w:t>
      </w:r>
    </w:p>
    <w:p w14:paraId="5E5F4D6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9</w:t>
      </w:r>
      <w:r>
        <w:rPr>
          <w:rFonts w:hint="eastAsia"/>
          <w:color w:val="000000" w:themeColor="text1"/>
          <w:sz w:val="24"/>
          <w:szCs w:val="24"/>
        </w:rPr>
        <w:t>）站场的平面布局不合理，一旦发生事故，会波及到站内已建设备设施区；已建设备设施发生天然气泄漏时，同样会波及到新建设备设施。</w:t>
      </w:r>
    </w:p>
    <w:p w14:paraId="0929B5BA" w14:textId="77777777" w:rsidR="002E0859" w:rsidRDefault="00000000">
      <w:pPr>
        <w:pStyle w:val="2"/>
        <w:keepNext w:val="0"/>
        <w:keepLines w:val="0"/>
        <w:spacing w:before="120" w:after="120" w:line="360" w:lineRule="auto"/>
        <w:jc w:val="center"/>
        <w:rPr>
          <w:color w:val="000000" w:themeColor="text1"/>
        </w:rPr>
      </w:pPr>
      <w:bookmarkStart w:id="37" w:name="_Toc2494"/>
      <w:r>
        <w:rPr>
          <w:color w:val="000000" w:themeColor="text1"/>
        </w:rPr>
        <w:t>自然和社会</w:t>
      </w:r>
      <w:r>
        <w:rPr>
          <w:rFonts w:hint="eastAsia"/>
          <w:color w:val="000000" w:themeColor="text1"/>
        </w:rPr>
        <w:t>危险因素分析</w:t>
      </w:r>
      <w:bookmarkEnd w:id="37"/>
    </w:p>
    <w:p w14:paraId="202D53D3"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自然环境危险有害因素分析</w:t>
      </w:r>
    </w:p>
    <w:p w14:paraId="05F5826C" w14:textId="77777777" w:rsidR="002E0859" w:rsidRDefault="00000000">
      <w:pPr>
        <w:pStyle w:val="a0"/>
        <w:spacing w:line="360" w:lineRule="auto"/>
        <w:ind w:firstLine="480"/>
        <w:rPr>
          <w:color w:val="000000" w:themeColor="text1"/>
          <w:sz w:val="24"/>
          <w:szCs w:val="24"/>
        </w:rPr>
      </w:pPr>
      <w:r>
        <w:rPr>
          <w:color w:val="000000" w:themeColor="text1"/>
          <w:sz w:val="24"/>
          <w:szCs w:val="24"/>
        </w:rPr>
        <w:t>自然环境条件中对采气及其相关设施可以造成危险的因素主要包括地震、雷</w:t>
      </w:r>
      <w:r>
        <w:rPr>
          <w:rFonts w:hint="eastAsia"/>
          <w:color w:val="000000" w:themeColor="text1"/>
          <w:sz w:val="24"/>
          <w:szCs w:val="24"/>
        </w:rPr>
        <w:t>电</w:t>
      </w:r>
      <w:r>
        <w:rPr>
          <w:color w:val="000000" w:themeColor="text1"/>
          <w:sz w:val="24"/>
          <w:szCs w:val="24"/>
        </w:rPr>
        <w:t>、</w:t>
      </w:r>
      <w:r>
        <w:rPr>
          <w:rFonts w:hint="eastAsia"/>
          <w:color w:val="000000" w:themeColor="text1"/>
          <w:sz w:val="24"/>
          <w:szCs w:val="24"/>
        </w:rPr>
        <w:t>高温和低温</w:t>
      </w:r>
      <w:r>
        <w:rPr>
          <w:color w:val="000000" w:themeColor="text1"/>
          <w:sz w:val="24"/>
          <w:szCs w:val="24"/>
        </w:rPr>
        <w:t>、</w:t>
      </w:r>
      <w:r>
        <w:rPr>
          <w:rFonts w:hint="eastAsia"/>
          <w:color w:val="000000" w:themeColor="text1"/>
          <w:sz w:val="24"/>
          <w:szCs w:val="24"/>
        </w:rPr>
        <w:t>洪涝、大风、山体滑坡、泥石流、腐蚀</w:t>
      </w:r>
      <w:r>
        <w:rPr>
          <w:color w:val="000000" w:themeColor="text1"/>
          <w:sz w:val="24"/>
          <w:szCs w:val="24"/>
        </w:rPr>
        <w:t>等。</w:t>
      </w:r>
    </w:p>
    <w:p w14:paraId="369928A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lastRenderedPageBreak/>
        <w:t>1</w:t>
      </w:r>
      <w:r>
        <w:rPr>
          <w:rFonts w:hint="eastAsia"/>
          <w:color w:val="000000" w:themeColor="text1"/>
          <w:sz w:val="24"/>
          <w:szCs w:val="24"/>
        </w:rPr>
        <w:t>、地震</w:t>
      </w:r>
    </w:p>
    <w:p w14:paraId="2CB84F3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地震具有破坏性巨大且难以预报的特点，一旦发生地震，根据地震强度的不同，不可避免的会造成破坏，甚至对采气设施带来灾难性的影响，并引发一系列的次生灾害事故。</w:t>
      </w:r>
    </w:p>
    <w:p w14:paraId="35C43A6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地震是地球内部突然发生的一系列弹性波，一般出现在</w:t>
      </w:r>
      <w:r>
        <w:rPr>
          <w:rFonts w:hint="eastAsia"/>
          <w:color w:val="000000" w:themeColor="text1"/>
          <w:sz w:val="24"/>
          <w:szCs w:val="24"/>
        </w:rPr>
        <w:t>700m</w:t>
      </w:r>
      <w:r>
        <w:rPr>
          <w:rFonts w:hint="eastAsia"/>
          <w:color w:val="000000" w:themeColor="text1"/>
          <w:sz w:val="24"/>
          <w:szCs w:val="24"/>
        </w:rPr>
        <w:t>以下的深度。地震时会强烈振动并伴随着出现断层、地裂、地面隆起和下沉等现象，导致采气设施开裂或倾覆、管道及阀件断裂。因此，遭受地震时不仅损坏率极高，同时还会伴随发生火灾及爆炸等严重的二次事故。</w:t>
      </w:r>
    </w:p>
    <w:p w14:paraId="4400CB6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、雷电</w:t>
      </w:r>
    </w:p>
    <w:p w14:paraId="6D87BCF4" w14:textId="77777777" w:rsidR="002E0859" w:rsidRDefault="00000000">
      <w:pPr>
        <w:pStyle w:val="a0"/>
        <w:spacing w:line="360" w:lineRule="auto"/>
        <w:ind w:firstLine="480"/>
        <w:rPr>
          <w:color w:val="000000" w:themeColor="text1"/>
          <w:sz w:val="24"/>
          <w:szCs w:val="24"/>
        </w:rPr>
      </w:pPr>
      <w:r>
        <w:rPr>
          <w:color w:val="000000" w:themeColor="text1"/>
          <w:sz w:val="24"/>
          <w:szCs w:val="24"/>
        </w:rPr>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雷击可能破坏建筑物和设备，并可能导致火灾爆炸事故的发生。雷击可能造成站场的火灾爆炸、停电、设备损坏以及人体电击伤害等事故。</w:t>
      </w:r>
    </w:p>
    <w:p w14:paraId="0B68BFA0"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、高温和低温</w:t>
      </w:r>
    </w:p>
    <w:p w14:paraId="4C8C0EA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涪陵区属于中亚热带湿润季风气候，夏季温度较高。在夏季高温环境下作业，有可能会导致人体发生水盐平衡失调，出现无力、体温升高等症状。同时高温使血管扩张，末梢循环血量增加，使心跳加速，心脏负担加重。高温作业可使动作的准确性、协调性、反应速度以及注意力降低，易发生工伤事故。长期在高温环境下作业，还可能导致人员中暑。</w:t>
      </w:r>
    </w:p>
    <w:p w14:paraId="341AF8FB" w14:textId="77777777" w:rsidR="002E0859" w:rsidRDefault="00000000">
      <w:pPr>
        <w:pStyle w:val="a0"/>
        <w:spacing w:line="360" w:lineRule="auto"/>
        <w:ind w:firstLine="480"/>
        <w:rPr>
          <w:color w:val="000000" w:themeColor="text1"/>
          <w:sz w:val="24"/>
          <w:szCs w:val="24"/>
        </w:rPr>
      </w:pPr>
      <w:r>
        <w:rPr>
          <w:color w:val="000000" w:themeColor="text1"/>
          <w:sz w:val="24"/>
          <w:szCs w:val="24"/>
        </w:rPr>
        <w:t>高温除了对人具有危险性外，对生产设施具有以下危害：能够扩大可燃气体的爆炸极限范围，增大可燃气体的火灾、爆炸危险性；能够造成密闭容器内的介质受热膨胀，压力升高。</w:t>
      </w:r>
    </w:p>
    <w:p w14:paraId="09CE86A2" w14:textId="77777777" w:rsidR="002E0859" w:rsidRDefault="00000000">
      <w:pPr>
        <w:pStyle w:val="a0"/>
        <w:spacing w:line="360" w:lineRule="auto"/>
        <w:ind w:firstLine="480"/>
        <w:rPr>
          <w:color w:val="000000" w:themeColor="text1"/>
          <w:sz w:val="24"/>
          <w:szCs w:val="24"/>
        </w:rPr>
      </w:pPr>
      <w:r>
        <w:rPr>
          <w:color w:val="000000" w:themeColor="text1"/>
          <w:sz w:val="24"/>
          <w:szCs w:val="24"/>
        </w:rPr>
        <w:t>山区冬天气温低，易发生冻伤及管道冰堵。</w:t>
      </w:r>
    </w:p>
    <w:p w14:paraId="530FB956" w14:textId="77777777" w:rsidR="002E0859" w:rsidRDefault="00000000">
      <w:pPr>
        <w:pStyle w:val="a0"/>
        <w:spacing w:line="360" w:lineRule="auto"/>
        <w:ind w:firstLine="480"/>
        <w:rPr>
          <w:color w:val="000000" w:themeColor="text1"/>
          <w:sz w:val="24"/>
          <w:szCs w:val="24"/>
        </w:rPr>
      </w:pPr>
      <w:r>
        <w:rPr>
          <w:color w:val="000000" w:themeColor="text1"/>
          <w:sz w:val="24"/>
          <w:szCs w:val="24"/>
        </w:rPr>
        <w:t>外界的温差变化引起的热胀冷缩作用，会产生巨大的温度应力，导致设备、管线等损坏，这些损坏容易发生在管线与设备的连接部位、转弯处、焊缝等处。</w:t>
      </w:r>
    </w:p>
    <w:p w14:paraId="1D45F2D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、洪涝</w:t>
      </w:r>
    </w:p>
    <w:p w14:paraId="1F81A00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洪涝灾害不仅可淹没</w:t>
      </w:r>
      <w:r>
        <w:rPr>
          <w:color w:val="000000" w:themeColor="text1"/>
          <w:sz w:val="24"/>
          <w:szCs w:val="24"/>
        </w:rPr>
        <w:t>站场</w:t>
      </w:r>
      <w:r>
        <w:rPr>
          <w:rFonts w:hint="eastAsia"/>
          <w:color w:val="000000" w:themeColor="text1"/>
          <w:sz w:val="24"/>
          <w:szCs w:val="24"/>
        </w:rPr>
        <w:t>，给安全生产</w:t>
      </w:r>
      <w:r>
        <w:rPr>
          <w:color w:val="000000" w:themeColor="text1"/>
          <w:sz w:val="24"/>
          <w:szCs w:val="24"/>
        </w:rPr>
        <w:t>带来威胁</w:t>
      </w:r>
      <w:r>
        <w:rPr>
          <w:rFonts w:hint="eastAsia"/>
          <w:color w:val="000000" w:themeColor="text1"/>
          <w:sz w:val="24"/>
          <w:szCs w:val="24"/>
        </w:rPr>
        <w:t>；还可能引发泥石流，对居民点、井</w:t>
      </w:r>
      <w:r>
        <w:rPr>
          <w:rFonts w:hint="eastAsia"/>
          <w:color w:val="000000" w:themeColor="text1"/>
          <w:sz w:val="24"/>
          <w:szCs w:val="24"/>
        </w:rPr>
        <w:lastRenderedPageBreak/>
        <w:t>场公路、井场基础及设施造成危害；甚至引起山体滑坡，毁坏井场、设备设施及管线。</w:t>
      </w:r>
    </w:p>
    <w:p w14:paraId="4AE4434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、大风</w:t>
      </w:r>
    </w:p>
    <w:p w14:paraId="31F5800A" w14:textId="77777777" w:rsidR="002E0859" w:rsidRDefault="00000000">
      <w:pPr>
        <w:pStyle w:val="a0"/>
        <w:spacing w:line="360" w:lineRule="auto"/>
        <w:ind w:firstLine="480"/>
        <w:rPr>
          <w:color w:val="000000" w:themeColor="text1"/>
          <w:sz w:val="24"/>
          <w:szCs w:val="24"/>
        </w:rPr>
      </w:pPr>
      <w:r>
        <w:rPr>
          <w:color w:val="000000" w:themeColor="text1"/>
          <w:sz w:val="24"/>
          <w:szCs w:val="24"/>
        </w:rPr>
        <w:t>大风会吹折或吹倒树木、电杆、井架及烟囱等细高直立的物体，它们在倒落过程中则可能发生砸伤人畜、砸毁房屋或设备、以及折断电线引发火灾等二次事故，更大的风力还可能直接摧毁</w:t>
      </w:r>
      <w:r>
        <w:rPr>
          <w:rFonts w:hint="eastAsia"/>
          <w:color w:val="000000" w:themeColor="text1"/>
          <w:sz w:val="24"/>
          <w:szCs w:val="24"/>
        </w:rPr>
        <w:t>站场内</w:t>
      </w:r>
      <w:r>
        <w:rPr>
          <w:color w:val="000000" w:themeColor="text1"/>
          <w:sz w:val="24"/>
          <w:szCs w:val="24"/>
        </w:rPr>
        <w:t>建筑物及</w:t>
      </w:r>
      <w:r>
        <w:rPr>
          <w:rFonts w:hint="eastAsia"/>
          <w:color w:val="000000" w:themeColor="text1"/>
          <w:sz w:val="24"/>
          <w:szCs w:val="24"/>
        </w:rPr>
        <w:t>采气</w:t>
      </w:r>
      <w:r>
        <w:rPr>
          <w:color w:val="000000" w:themeColor="text1"/>
          <w:sz w:val="24"/>
          <w:szCs w:val="24"/>
        </w:rPr>
        <w:t>设备。</w:t>
      </w:r>
    </w:p>
    <w:p w14:paraId="323DCE89" w14:textId="77777777" w:rsidR="002E0859" w:rsidRDefault="00000000">
      <w:pPr>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、山体滑坡、泥石流</w:t>
      </w:r>
    </w:p>
    <w:p w14:paraId="08291B84" w14:textId="77777777" w:rsidR="002E0859" w:rsidRDefault="00000000">
      <w:pPr>
        <w:spacing w:line="360" w:lineRule="auto"/>
        <w:ind w:firstLine="480"/>
        <w:rPr>
          <w:color w:val="000000" w:themeColor="text1"/>
          <w:sz w:val="24"/>
          <w:szCs w:val="24"/>
        </w:rPr>
      </w:pPr>
      <w:r>
        <w:rPr>
          <w:rFonts w:hint="eastAsia"/>
          <w:color w:val="000000" w:themeColor="text1"/>
          <w:sz w:val="24"/>
          <w:szCs w:val="24"/>
        </w:rPr>
        <w:t>本工程地处山区环境，根据井场当地的自然条件，井场可能直接遭受泥石流、滑坡等地质灾害影响，山体滑坡、泥石流均可能造成管线及设备损坏，甚至直接造成管线拉裂等，造成天然气泄漏，引起火灾、爆炸事故</w:t>
      </w:r>
      <w:r>
        <w:rPr>
          <w:color w:val="000000" w:themeColor="text1"/>
          <w:sz w:val="24"/>
          <w:szCs w:val="24"/>
        </w:rPr>
        <w:t>。</w:t>
      </w:r>
    </w:p>
    <w:p w14:paraId="2C113DD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7</w:t>
      </w:r>
      <w:r>
        <w:rPr>
          <w:rFonts w:hint="eastAsia"/>
          <w:color w:val="000000" w:themeColor="text1"/>
          <w:sz w:val="24"/>
          <w:szCs w:val="24"/>
        </w:rPr>
        <w:t>、腐蚀</w:t>
      </w:r>
    </w:p>
    <w:p w14:paraId="2C7E455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自然环境对埋地的设备设施及管道产生电化学腐蚀、化学腐蚀、微生物腐蚀、应力腐蚀和干扰腐蚀。</w:t>
      </w:r>
    </w:p>
    <w:p w14:paraId="0337B59D" w14:textId="77777777" w:rsidR="002E0859" w:rsidRDefault="00000000">
      <w:pPr>
        <w:pStyle w:val="a0"/>
        <w:spacing w:line="360" w:lineRule="auto"/>
        <w:ind w:firstLine="480"/>
        <w:rPr>
          <w:color w:val="000000" w:themeColor="text1"/>
          <w:sz w:val="24"/>
          <w:szCs w:val="24"/>
        </w:rPr>
      </w:pPr>
      <w:r>
        <w:rPr>
          <w:color w:val="000000" w:themeColor="text1"/>
          <w:sz w:val="24"/>
          <w:szCs w:val="24"/>
        </w:rPr>
        <w:t>在大气中，由于氧的作用，雨水的作用，腐蚀物质的作用，裸露的设备、管线、阀、泵及其他设施会产生严重腐蚀，设备、设施、泵、螺栓、阀等锈蚀，会诱发事故的发生。</w:t>
      </w:r>
    </w:p>
    <w:p w14:paraId="0B3EFDB0" w14:textId="77777777" w:rsidR="002E0859" w:rsidRDefault="00000000">
      <w:pPr>
        <w:pStyle w:val="a0"/>
        <w:spacing w:line="360" w:lineRule="auto"/>
        <w:ind w:firstLine="480"/>
        <w:rPr>
          <w:color w:val="000000" w:themeColor="text1"/>
          <w:sz w:val="24"/>
          <w:szCs w:val="24"/>
        </w:rPr>
      </w:pPr>
      <w:r>
        <w:rPr>
          <w:color w:val="000000" w:themeColor="text1"/>
          <w:sz w:val="24"/>
          <w:szCs w:val="24"/>
        </w:rPr>
        <w:t>在管道连接处、衬板、垫片等处的金属与金属、金属与非金属间及金属涂层破损时，金属与涂层间所构成的窄缝于电解液中，会造成缝隙腐蚀。</w:t>
      </w:r>
    </w:p>
    <w:p w14:paraId="0A96FE84" w14:textId="77777777" w:rsidR="002E0859" w:rsidRDefault="00000000">
      <w:pPr>
        <w:pStyle w:val="a0"/>
        <w:spacing w:line="360" w:lineRule="auto"/>
        <w:ind w:firstLine="480"/>
        <w:rPr>
          <w:color w:val="000000" w:themeColor="text1"/>
          <w:sz w:val="24"/>
          <w:szCs w:val="24"/>
        </w:rPr>
      </w:pPr>
      <w:r>
        <w:rPr>
          <w:color w:val="000000" w:themeColor="text1"/>
          <w:sz w:val="24"/>
          <w:szCs w:val="24"/>
        </w:rPr>
        <w:t>由于金属表面露头、错位、介质不均匀等，使其表面膜完整性遭到破坏，成为点蚀源，腐蚀介质会集中于金属表面个别小点上形成深度较大的腐蚀。</w:t>
      </w:r>
    </w:p>
    <w:p w14:paraId="5DAED38D" w14:textId="77777777" w:rsidR="002E0859" w:rsidRDefault="00000000">
      <w:pPr>
        <w:pStyle w:val="a0"/>
        <w:spacing w:line="360" w:lineRule="auto"/>
        <w:ind w:firstLine="480"/>
        <w:rPr>
          <w:color w:val="000000" w:themeColor="text1"/>
          <w:sz w:val="24"/>
          <w:szCs w:val="24"/>
        </w:rPr>
      </w:pPr>
      <w:r>
        <w:rPr>
          <w:color w:val="000000" w:themeColor="text1"/>
          <w:sz w:val="24"/>
          <w:szCs w:val="24"/>
        </w:rPr>
        <w:t>如果</w:t>
      </w:r>
      <w:r>
        <w:rPr>
          <w:rFonts w:hint="eastAsia"/>
          <w:color w:val="000000" w:themeColor="text1"/>
          <w:sz w:val="24"/>
          <w:szCs w:val="24"/>
        </w:rPr>
        <w:t>设备、</w:t>
      </w:r>
      <w:r>
        <w:rPr>
          <w:color w:val="000000" w:themeColor="text1"/>
          <w:sz w:val="24"/>
          <w:szCs w:val="24"/>
        </w:rPr>
        <w:t>管道表面缺乏保护或保护不够、防腐层破损、焊接部位处理不当，则土壤中的水分与各种盐分等化学物质形成电解质溶液，会对金属管道造成化学腐蚀和电化学腐蚀，引起穿孔、变薄，发生腐蚀破裂。</w:t>
      </w:r>
    </w:p>
    <w:p w14:paraId="16F6AF5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天然气</w:t>
      </w:r>
      <w:r>
        <w:rPr>
          <w:color w:val="000000" w:themeColor="text1"/>
          <w:sz w:val="24"/>
          <w:szCs w:val="24"/>
        </w:rPr>
        <w:t>中可能含有</w:t>
      </w:r>
      <w:r>
        <w:rPr>
          <w:rFonts w:hint="eastAsia"/>
          <w:color w:val="000000" w:themeColor="text1"/>
          <w:sz w:val="24"/>
          <w:szCs w:val="24"/>
        </w:rPr>
        <w:t>其他杂质</w:t>
      </w:r>
      <w:r>
        <w:rPr>
          <w:color w:val="000000" w:themeColor="text1"/>
          <w:sz w:val="24"/>
          <w:szCs w:val="24"/>
        </w:rPr>
        <w:t>，其含量越多，腐蚀就越严重。</w:t>
      </w:r>
    </w:p>
    <w:p w14:paraId="10B1EE8F"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社会环境危险有害因素分析</w:t>
      </w:r>
    </w:p>
    <w:p w14:paraId="151995C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在</w:t>
      </w:r>
      <w:r>
        <w:rPr>
          <w:color w:val="000000" w:themeColor="text1"/>
          <w:sz w:val="24"/>
          <w:szCs w:val="24"/>
        </w:rPr>
        <w:t>勘探、开发、输送过程中</w:t>
      </w:r>
      <w:r>
        <w:rPr>
          <w:rFonts w:hint="eastAsia"/>
          <w:color w:val="000000" w:themeColor="text1"/>
          <w:sz w:val="24"/>
          <w:szCs w:val="24"/>
        </w:rPr>
        <w:t>，</w:t>
      </w:r>
      <w:r>
        <w:rPr>
          <w:color w:val="000000" w:themeColor="text1"/>
          <w:sz w:val="24"/>
          <w:szCs w:val="24"/>
        </w:rPr>
        <w:t>若发生</w:t>
      </w:r>
      <w:r>
        <w:rPr>
          <w:rFonts w:hint="eastAsia"/>
          <w:color w:val="000000" w:themeColor="text1"/>
          <w:sz w:val="24"/>
          <w:szCs w:val="24"/>
        </w:rPr>
        <w:t>天然</w:t>
      </w:r>
      <w:r>
        <w:rPr>
          <w:color w:val="000000" w:themeColor="text1"/>
          <w:sz w:val="24"/>
          <w:szCs w:val="24"/>
        </w:rPr>
        <w:t>气泄漏会造成环境污染。井喷失控、设备、管道中的天然气泄漏，会对邻近的周边设施和人员安全造成威胁。若安全宣传不到位，附近农户安全意识不强，发生事故时</w:t>
      </w:r>
      <w:r>
        <w:rPr>
          <w:rFonts w:hint="eastAsia"/>
          <w:color w:val="000000" w:themeColor="text1"/>
          <w:sz w:val="24"/>
          <w:szCs w:val="24"/>
        </w:rPr>
        <w:t>，</w:t>
      </w:r>
      <w:r>
        <w:rPr>
          <w:color w:val="000000" w:themeColor="text1"/>
          <w:sz w:val="24"/>
          <w:szCs w:val="24"/>
        </w:rPr>
        <w:t>不能紧急避险或应急措施不当，可能引发人员伤亡事故。</w:t>
      </w:r>
    </w:p>
    <w:p w14:paraId="1193C51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集气站场设有栅栏与周边设施相隔，一般情况下，社会人员不会进入站场。但不法分子偷盗工程设施、打孔偷盗或恐怖袭击等为有意破坏，会影响站场的安全生产。同时，</w:t>
      </w:r>
      <w:r>
        <w:rPr>
          <w:rFonts w:hint="eastAsia"/>
          <w:color w:val="000000" w:themeColor="text1"/>
          <w:sz w:val="24"/>
          <w:szCs w:val="24"/>
        </w:rPr>
        <w:lastRenderedPageBreak/>
        <w:t>站场周边多为山地森林，一旦发生森林火灾，也会影响站场的安全生产。</w:t>
      </w:r>
    </w:p>
    <w:p w14:paraId="6CFDD0DC" w14:textId="77777777" w:rsidR="002E0859" w:rsidRDefault="002E0859">
      <w:pPr>
        <w:pStyle w:val="a0"/>
        <w:spacing w:line="360" w:lineRule="auto"/>
        <w:ind w:firstLine="480"/>
        <w:rPr>
          <w:color w:val="000000" w:themeColor="text1"/>
          <w:sz w:val="24"/>
          <w:szCs w:val="24"/>
        </w:rPr>
      </w:pPr>
    </w:p>
    <w:p w14:paraId="60427444" w14:textId="77777777" w:rsidR="002E0859" w:rsidRDefault="00000000">
      <w:pPr>
        <w:pStyle w:val="2"/>
        <w:keepNext w:val="0"/>
        <w:keepLines w:val="0"/>
        <w:spacing w:before="120" w:after="120" w:line="360" w:lineRule="auto"/>
        <w:jc w:val="center"/>
        <w:rPr>
          <w:color w:val="000000" w:themeColor="text1"/>
        </w:rPr>
      </w:pPr>
      <w:bookmarkStart w:id="38" w:name="_Toc13651"/>
      <w:r>
        <w:rPr>
          <w:rFonts w:hint="eastAsia"/>
          <w:color w:val="000000" w:themeColor="text1"/>
        </w:rPr>
        <w:t>重大危险源辨识</w:t>
      </w:r>
      <w:bookmarkEnd w:id="38"/>
    </w:p>
    <w:p w14:paraId="707347B7"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危险化学品重大危险源定义</w:t>
      </w:r>
    </w:p>
    <w:p w14:paraId="119330B8" w14:textId="77777777" w:rsidR="002E0859" w:rsidRDefault="00000000">
      <w:pPr>
        <w:spacing w:line="360" w:lineRule="auto"/>
        <w:ind w:firstLine="480"/>
        <w:rPr>
          <w:color w:val="000000" w:themeColor="text1"/>
          <w:sz w:val="24"/>
          <w:szCs w:val="24"/>
        </w:rPr>
      </w:pPr>
      <w:r>
        <w:rPr>
          <w:color w:val="000000" w:themeColor="text1"/>
          <w:sz w:val="24"/>
          <w:szCs w:val="24"/>
        </w:rPr>
        <w:t>危险化学品重大危险源的辨识依据</w:t>
      </w:r>
      <w:bookmarkStart w:id="39" w:name="_Hlk505008531"/>
      <w:r>
        <w:rPr>
          <w:color w:val="000000" w:themeColor="text1"/>
          <w:sz w:val="24"/>
          <w:szCs w:val="24"/>
        </w:rPr>
        <w:t>《危险化学品重大危险源辨识》（</w:t>
      </w:r>
      <w:r>
        <w:rPr>
          <w:color w:val="000000" w:themeColor="text1"/>
          <w:sz w:val="24"/>
          <w:szCs w:val="24"/>
        </w:rPr>
        <w:t>GB18218-2018</w:t>
      </w:r>
      <w:r>
        <w:rPr>
          <w:color w:val="000000" w:themeColor="text1"/>
          <w:sz w:val="24"/>
          <w:szCs w:val="24"/>
        </w:rPr>
        <w:t>）</w:t>
      </w:r>
      <w:bookmarkEnd w:id="39"/>
      <w:r>
        <w:rPr>
          <w:color w:val="000000" w:themeColor="text1"/>
          <w:sz w:val="24"/>
          <w:szCs w:val="24"/>
        </w:rPr>
        <w:t>和《危险化学品重大危险源监督管理暂行规定》（安监总局令第</w:t>
      </w:r>
      <w:r>
        <w:rPr>
          <w:color w:val="000000" w:themeColor="text1"/>
          <w:sz w:val="24"/>
          <w:szCs w:val="24"/>
        </w:rPr>
        <w:t>40</w:t>
      </w:r>
      <w:r>
        <w:rPr>
          <w:color w:val="000000" w:themeColor="text1"/>
          <w:sz w:val="24"/>
          <w:szCs w:val="24"/>
        </w:rPr>
        <w:t>号，</w:t>
      </w:r>
      <w:r>
        <w:rPr>
          <w:color w:val="000000" w:themeColor="text1"/>
          <w:sz w:val="24"/>
          <w:szCs w:val="24"/>
        </w:rPr>
        <w:t>79</w:t>
      </w:r>
      <w:r>
        <w:rPr>
          <w:color w:val="000000" w:themeColor="text1"/>
          <w:sz w:val="24"/>
          <w:szCs w:val="24"/>
        </w:rPr>
        <w:t>号令修订）规定，危险化学品重大危险源、危险化学品和临界量的定义如下：</w:t>
      </w:r>
    </w:p>
    <w:p w14:paraId="56C0B26C" w14:textId="77777777" w:rsidR="002E0859" w:rsidRDefault="00000000">
      <w:pPr>
        <w:spacing w:line="360" w:lineRule="auto"/>
        <w:ind w:firstLine="480"/>
        <w:rPr>
          <w:color w:val="000000" w:themeColor="text1"/>
          <w:sz w:val="24"/>
          <w:szCs w:val="24"/>
        </w:rPr>
      </w:pPr>
      <w:r>
        <w:rPr>
          <w:color w:val="000000" w:themeColor="text1"/>
          <w:sz w:val="24"/>
          <w:szCs w:val="24"/>
        </w:rPr>
        <w:t>危险化学品重大危险源：指长期地或临时地生产、加工、使用或储存危险化学品，且危险化学品的数量等于或超过临界量的单元。</w:t>
      </w:r>
    </w:p>
    <w:p w14:paraId="3989C030" w14:textId="77777777" w:rsidR="002E0859" w:rsidRDefault="00000000">
      <w:pPr>
        <w:spacing w:line="360" w:lineRule="auto"/>
        <w:ind w:firstLine="480"/>
        <w:rPr>
          <w:color w:val="000000" w:themeColor="text1"/>
          <w:sz w:val="24"/>
          <w:szCs w:val="24"/>
        </w:rPr>
      </w:pPr>
      <w:r>
        <w:rPr>
          <w:color w:val="000000" w:themeColor="text1"/>
          <w:sz w:val="24"/>
          <w:szCs w:val="24"/>
        </w:rPr>
        <w:t>生产单元：危险化学品的生产、加工及使用等的装置及设施，当装置及设施之间有切断阀时，以切断阀作为分隔界限划分为独立的单元。</w:t>
      </w:r>
    </w:p>
    <w:p w14:paraId="749EBAF0" w14:textId="77777777" w:rsidR="002E0859" w:rsidRDefault="00000000">
      <w:pPr>
        <w:spacing w:line="360" w:lineRule="auto"/>
        <w:ind w:firstLine="480"/>
        <w:rPr>
          <w:color w:val="000000" w:themeColor="text1"/>
          <w:sz w:val="24"/>
          <w:szCs w:val="24"/>
        </w:rPr>
      </w:pPr>
      <w:r>
        <w:rPr>
          <w:color w:val="000000" w:themeColor="text1"/>
          <w:sz w:val="24"/>
          <w:szCs w:val="24"/>
        </w:rPr>
        <w:t>储存单元：用于储存危险化学品的储罐或仓库组成的相对独立的区域，储罐区以罐区防火堤为界限划分为独立的单元，仓库以独立库房（独立建筑物）为界限划分为独立的单元。</w:t>
      </w:r>
    </w:p>
    <w:p w14:paraId="087690A9" w14:textId="77777777" w:rsidR="002E0859" w:rsidRDefault="00000000">
      <w:pPr>
        <w:spacing w:line="360" w:lineRule="auto"/>
        <w:ind w:firstLine="480"/>
        <w:rPr>
          <w:color w:val="000000" w:themeColor="text1"/>
          <w:sz w:val="24"/>
          <w:szCs w:val="24"/>
        </w:rPr>
      </w:pPr>
      <w:r>
        <w:rPr>
          <w:color w:val="000000" w:themeColor="text1"/>
          <w:sz w:val="24"/>
          <w:szCs w:val="24"/>
        </w:rPr>
        <w:t>临界量：指对于某种或某类危险化学品规定的数量，若单元中的危险化学品数量等于或超过该数量，则该单元定为重大危险源。</w:t>
      </w:r>
    </w:p>
    <w:p w14:paraId="47986675" w14:textId="77777777" w:rsidR="002E0859" w:rsidRDefault="00000000">
      <w:pPr>
        <w:spacing w:line="360" w:lineRule="auto"/>
        <w:ind w:firstLine="480"/>
        <w:rPr>
          <w:color w:val="000000" w:themeColor="text1"/>
          <w:sz w:val="24"/>
          <w:szCs w:val="24"/>
        </w:rPr>
      </w:pPr>
      <w:r>
        <w:rPr>
          <w:color w:val="000000" w:themeColor="text1"/>
          <w:sz w:val="24"/>
          <w:szCs w:val="24"/>
        </w:rPr>
        <w:t>单元内存在的危险化学品的数量根据处理危险化学品种类的多少区分为以下两种情况：</w:t>
      </w:r>
    </w:p>
    <w:p w14:paraId="3C9F5FC9" w14:textId="77777777" w:rsidR="002E0859" w:rsidRDefault="00000000">
      <w:pPr>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生产单元、储存单元内存在的危险化学品为单一品种，则该危险化学品的数量即为单元内危险化学品的总量，若等于或超过相应的临界量，则定为危险化学品重大危险源；</w:t>
      </w:r>
    </w:p>
    <w:p w14:paraId="492A6E39" w14:textId="77777777" w:rsidR="002E0859" w:rsidRDefault="00000000">
      <w:pPr>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生产单元、储存单元内内存在的危险化学品为多品种时，则按下列公式计算，若满足下列公式，则定为危险化学品重大危险源。</w:t>
      </w:r>
    </w:p>
    <w:p w14:paraId="7BD35021" w14:textId="77777777" w:rsidR="002E0859" w:rsidRDefault="00000000">
      <w:pPr>
        <w:spacing w:line="360" w:lineRule="auto"/>
        <w:ind w:firstLine="480"/>
        <w:rPr>
          <w:color w:val="000000" w:themeColor="text1"/>
          <w:sz w:val="24"/>
          <w:szCs w:val="24"/>
        </w:rPr>
      </w:pPr>
      <w:r>
        <w:rPr>
          <w:color w:val="000000" w:themeColor="text1"/>
          <w:sz w:val="24"/>
          <w:szCs w:val="24"/>
        </w:rPr>
        <w:t>S=q</w:t>
      </w:r>
      <w:r>
        <w:rPr>
          <w:color w:val="000000" w:themeColor="text1"/>
          <w:sz w:val="24"/>
          <w:szCs w:val="24"/>
          <w:vertAlign w:val="subscript"/>
        </w:rPr>
        <w:t>1</w:t>
      </w:r>
      <w:r>
        <w:rPr>
          <w:color w:val="000000" w:themeColor="text1"/>
          <w:sz w:val="24"/>
          <w:szCs w:val="24"/>
        </w:rPr>
        <w:t>/Q</w:t>
      </w:r>
      <w:r>
        <w:rPr>
          <w:color w:val="000000" w:themeColor="text1"/>
          <w:sz w:val="24"/>
          <w:szCs w:val="24"/>
          <w:vertAlign w:val="subscript"/>
        </w:rPr>
        <w:t>1</w:t>
      </w:r>
      <w:r>
        <w:rPr>
          <w:color w:val="000000" w:themeColor="text1"/>
          <w:sz w:val="24"/>
          <w:szCs w:val="24"/>
        </w:rPr>
        <w:t>+q</w:t>
      </w:r>
      <w:r>
        <w:rPr>
          <w:color w:val="000000" w:themeColor="text1"/>
          <w:sz w:val="24"/>
          <w:szCs w:val="24"/>
          <w:vertAlign w:val="subscript"/>
        </w:rPr>
        <w:t>2</w:t>
      </w:r>
      <w:r>
        <w:rPr>
          <w:color w:val="000000" w:themeColor="text1"/>
          <w:sz w:val="24"/>
          <w:szCs w:val="24"/>
        </w:rPr>
        <w:t>/Q</w:t>
      </w:r>
      <w:r>
        <w:rPr>
          <w:color w:val="000000" w:themeColor="text1"/>
          <w:sz w:val="24"/>
          <w:szCs w:val="24"/>
          <w:vertAlign w:val="subscript"/>
        </w:rPr>
        <w:t>2</w:t>
      </w:r>
      <w:r>
        <w:rPr>
          <w:color w:val="000000" w:themeColor="text1"/>
          <w:sz w:val="24"/>
          <w:szCs w:val="24"/>
        </w:rPr>
        <w:t>+…+q</w:t>
      </w:r>
      <w:r>
        <w:rPr>
          <w:color w:val="000000" w:themeColor="text1"/>
          <w:sz w:val="24"/>
          <w:szCs w:val="24"/>
          <w:vertAlign w:val="subscript"/>
        </w:rPr>
        <w:t>n</w:t>
      </w:r>
      <w:r>
        <w:rPr>
          <w:color w:val="000000" w:themeColor="text1"/>
          <w:sz w:val="24"/>
          <w:szCs w:val="24"/>
        </w:rPr>
        <w:t>/Q</w:t>
      </w:r>
      <w:r>
        <w:rPr>
          <w:color w:val="000000" w:themeColor="text1"/>
          <w:sz w:val="24"/>
          <w:szCs w:val="24"/>
          <w:vertAlign w:val="subscript"/>
        </w:rPr>
        <w:t>n</w:t>
      </w:r>
      <w:r>
        <w:rPr>
          <w:color w:val="000000" w:themeColor="text1"/>
          <w:sz w:val="24"/>
          <w:szCs w:val="24"/>
        </w:rPr>
        <w:t>≥1……………①</w:t>
      </w:r>
    </w:p>
    <w:p w14:paraId="74B5F081" w14:textId="77777777" w:rsidR="002E0859" w:rsidRDefault="00000000">
      <w:pPr>
        <w:spacing w:line="360" w:lineRule="auto"/>
        <w:ind w:firstLine="480"/>
        <w:rPr>
          <w:color w:val="000000" w:themeColor="text1"/>
          <w:sz w:val="24"/>
          <w:szCs w:val="24"/>
        </w:rPr>
      </w:pPr>
      <w:r>
        <w:rPr>
          <w:color w:val="000000" w:themeColor="text1"/>
          <w:sz w:val="24"/>
          <w:szCs w:val="24"/>
        </w:rPr>
        <w:t>式中：</w:t>
      </w:r>
    </w:p>
    <w:p w14:paraId="02D88213" w14:textId="77777777" w:rsidR="002E0859" w:rsidRDefault="00000000">
      <w:pPr>
        <w:spacing w:line="360" w:lineRule="auto"/>
        <w:ind w:firstLine="480"/>
        <w:rPr>
          <w:color w:val="000000" w:themeColor="text1"/>
          <w:sz w:val="24"/>
          <w:szCs w:val="24"/>
        </w:rPr>
      </w:pPr>
      <w:r>
        <w:rPr>
          <w:color w:val="000000" w:themeColor="text1"/>
          <w:sz w:val="24"/>
          <w:szCs w:val="24"/>
        </w:rPr>
        <w:t>S—</w:t>
      </w:r>
      <w:r>
        <w:rPr>
          <w:color w:val="000000" w:themeColor="text1"/>
          <w:sz w:val="24"/>
          <w:szCs w:val="24"/>
        </w:rPr>
        <w:t>辨识指标；</w:t>
      </w:r>
    </w:p>
    <w:p w14:paraId="4702B418" w14:textId="77777777" w:rsidR="002E0859" w:rsidRDefault="00000000">
      <w:pPr>
        <w:spacing w:line="360" w:lineRule="auto"/>
        <w:ind w:firstLine="480"/>
        <w:rPr>
          <w:color w:val="000000" w:themeColor="text1"/>
          <w:sz w:val="24"/>
          <w:szCs w:val="24"/>
        </w:rPr>
      </w:pPr>
      <w:r>
        <w:rPr>
          <w:color w:val="000000" w:themeColor="text1"/>
          <w:sz w:val="24"/>
          <w:szCs w:val="24"/>
        </w:rPr>
        <w:t>q</w:t>
      </w:r>
      <w:r>
        <w:rPr>
          <w:color w:val="000000" w:themeColor="text1"/>
          <w:sz w:val="24"/>
          <w:szCs w:val="24"/>
          <w:vertAlign w:val="subscript"/>
        </w:rPr>
        <w:t>1</w:t>
      </w:r>
      <w:r>
        <w:rPr>
          <w:color w:val="000000" w:themeColor="text1"/>
          <w:sz w:val="24"/>
          <w:szCs w:val="24"/>
        </w:rPr>
        <w:t>，</w:t>
      </w:r>
      <w:r>
        <w:rPr>
          <w:color w:val="000000" w:themeColor="text1"/>
          <w:sz w:val="24"/>
          <w:szCs w:val="24"/>
        </w:rPr>
        <w:t>q</w:t>
      </w:r>
      <w:r>
        <w:rPr>
          <w:color w:val="000000" w:themeColor="text1"/>
          <w:sz w:val="24"/>
          <w:szCs w:val="24"/>
          <w:vertAlign w:val="subscript"/>
        </w:rPr>
        <w:t>2</w:t>
      </w:r>
      <w:r>
        <w:rPr>
          <w:color w:val="000000" w:themeColor="text1"/>
          <w:sz w:val="24"/>
          <w:szCs w:val="24"/>
        </w:rPr>
        <w:t>，</w:t>
      </w:r>
      <w:r>
        <w:rPr>
          <w:color w:val="000000" w:themeColor="text1"/>
          <w:sz w:val="24"/>
          <w:szCs w:val="24"/>
        </w:rPr>
        <w:t>…</w:t>
      </w:r>
      <w:r>
        <w:rPr>
          <w:color w:val="000000" w:themeColor="text1"/>
          <w:sz w:val="24"/>
          <w:szCs w:val="24"/>
        </w:rPr>
        <w:t>，</w:t>
      </w:r>
      <w:r>
        <w:rPr>
          <w:color w:val="000000" w:themeColor="text1"/>
          <w:sz w:val="24"/>
          <w:szCs w:val="24"/>
        </w:rPr>
        <w:t>q</w:t>
      </w:r>
      <w:r>
        <w:rPr>
          <w:color w:val="000000" w:themeColor="text1"/>
          <w:sz w:val="24"/>
          <w:szCs w:val="24"/>
          <w:vertAlign w:val="subscript"/>
        </w:rPr>
        <w:t>n</w:t>
      </w:r>
      <w:r>
        <w:rPr>
          <w:color w:val="000000" w:themeColor="text1"/>
          <w:sz w:val="24"/>
          <w:szCs w:val="24"/>
        </w:rPr>
        <w:t>—</w:t>
      </w:r>
      <w:r>
        <w:rPr>
          <w:color w:val="000000" w:themeColor="text1"/>
          <w:sz w:val="24"/>
          <w:szCs w:val="24"/>
        </w:rPr>
        <w:t>每种危险化学品实际存在量，单位为</w:t>
      </w:r>
      <w:r>
        <w:rPr>
          <w:color w:val="000000" w:themeColor="text1"/>
          <w:sz w:val="24"/>
          <w:szCs w:val="24"/>
        </w:rPr>
        <w:t>t</w:t>
      </w:r>
      <w:r>
        <w:rPr>
          <w:color w:val="000000" w:themeColor="text1"/>
          <w:sz w:val="24"/>
          <w:szCs w:val="24"/>
        </w:rPr>
        <w:t>；</w:t>
      </w:r>
    </w:p>
    <w:p w14:paraId="4DC3E878" w14:textId="77777777" w:rsidR="002E0859" w:rsidRDefault="00000000">
      <w:pPr>
        <w:spacing w:line="360" w:lineRule="auto"/>
        <w:ind w:firstLine="480"/>
        <w:rPr>
          <w:color w:val="000000" w:themeColor="text1"/>
          <w:sz w:val="24"/>
          <w:szCs w:val="24"/>
        </w:rPr>
      </w:pPr>
      <w:r>
        <w:rPr>
          <w:color w:val="000000" w:themeColor="text1"/>
          <w:sz w:val="24"/>
          <w:szCs w:val="24"/>
        </w:rPr>
        <w:t>Q</w:t>
      </w:r>
      <w:r>
        <w:rPr>
          <w:color w:val="000000" w:themeColor="text1"/>
          <w:sz w:val="24"/>
          <w:szCs w:val="24"/>
          <w:vertAlign w:val="subscript"/>
        </w:rPr>
        <w:t>1</w:t>
      </w:r>
      <w:r>
        <w:rPr>
          <w:color w:val="000000" w:themeColor="text1"/>
          <w:sz w:val="24"/>
          <w:szCs w:val="24"/>
        </w:rPr>
        <w:t>，</w:t>
      </w:r>
      <w:r>
        <w:rPr>
          <w:color w:val="000000" w:themeColor="text1"/>
          <w:sz w:val="24"/>
          <w:szCs w:val="24"/>
        </w:rPr>
        <w:t>Q</w:t>
      </w:r>
      <w:r>
        <w:rPr>
          <w:color w:val="000000" w:themeColor="text1"/>
          <w:sz w:val="24"/>
          <w:szCs w:val="24"/>
          <w:vertAlign w:val="subscript"/>
        </w:rPr>
        <w:t>2</w:t>
      </w:r>
      <w:r>
        <w:rPr>
          <w:color w:val="000000" w:themeColor="text1"/>
          <w:sz w:val="24"/>
          <w:szCs w:val="24"/>
        </w:rPr>
        <w:t>，</w:t>
      </w:r>
      <w:r>
        <w:rPr>
          <w:color w:val="000000" w:themeColor="text1"/>
          <w:sz w:val="24"/>
          <w:szCs w:val="24"/>
        </w:rPr>
        <w:t>…</w:t>
      </w:r>
      <w:r>
        <w:rPr>
          <w:color w:val="000000" w:themeColor="text1"/>
          <w:sz w:val="24"/>
          <w:szCs w:val="24"/>
        </w:rPr>
        <w:t>，</w:t>
      </w:r>
      <w:r>
        <w:rPr>
          <w:color w:val="000000" w:themeColor="text1"/>
          <w:sz w:val="24"/>
          <w:szCs w:val="24"/>
        </w:rPr>
        <w:t>Q</w:t>
      </w:r>
      <w:r>
        <w:rPr>
          <w:color w:val="000000" w:themeColor="text1"/>
          <w:sz w:val="24"/>
          <w:szCs w:val="24"/>
          <w:vertAlign w:val="subscript"/>
        </w:rPr>
        <w:t>n</w:t>
      </w:r>
      <w:r>
        <w:rPr>
          <w:color w:val="000000" w:themeColor="text1"/>
          <w:sz w:val="24"/>
          <w:szCs w:val="24"/>
        </w:rPr>
        <w:t>—</w:t>
      </w:r>
      <w:r>
        <w:rPr>
          <w:color w:val="000000" w:themeColor="text1"/>
          <w:sz w:val="24"/>
          <w:szCs w:val="24"/>
        </w:rPr>
        <w:t>与各危险化学品相对应的临界量，单位为</w:t>
      </w:r>
      <w:r>
        <w:rPr>
          <w:color w:val="000000" w:themeColor="text1"/>
          <w:sz w:val="24"/>
          <w:szCs w:val="24"/>
        </w:rPr>
        <w:t>t</w:t>
      </w:r>
      <w:r>
        <w:rPr>
          <w:color w:val="000000" w:themeColor="text1"/>
          <w:sz w:val="24"/>
          <w:szCs w:val="24"/>
        </w:rPr>
        <w:t>。</w:t>
      </w:r>
    </w:p>
    <w:p w14:paraId="6FBA15B6"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lastRenderedPageBreak/>
        <w:t>危险化学品重大危险源辨识</w:t>
      </w:r>
    </w:p>
    <w:p w14:paraId="50DFEA5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、危险化学品的临界量及实际存在量</w:t>
      </w:r>
    </w:p>
    <w:p w14:paraId="392D015D" w14:textId="77777777" w:rsidR="002E0859" w:rsidRDefault="00000000">
      <w:pPr>
        <w:kinsoku w:val="0"/>
        <w:topLinePunct w:val="0"/>
        <w:autoSpaceDE w:val="0"/>
        <w:autoSpaceDN w:val="0"/>
        <w:spacing w:line="360" w:lineRule="auto"/>
        <w:ind w:firstLine="480"/>
        <w:jc w:val="left"/>
        <w:textAlignment w:val="baseline"/>
        <w:rPr>
          <w:rFonts w:ascii="宋体" w:hAnsi="宋体" w:cs="宋体"/>
          <w:snapToGrid w:val="0"/>
          <w:color w:val="000000" w:themeColor="text1"/>
          <w:kern w:val="0"/>
          <w:sz w:val="24"/>
          <w:szCs w:val="24"/>
          <w:lang w:eastAsia="en-US"/>
        </w:rPr>
      </w:pPr>
      <w:r>
        <w:rPr>
          <w:rFonts w:hint="eastAsia"/>
          <w:color w:val="000000" w:themeColor="text1"/>
          <w:kern w:val="0"/>
          <w:sz w:val="24"/>
          <w:szCs w:val="24"/>
        </w:rPr>
        <w:t>根据《危险化学品重大危险源辨识》（</w:t>
      </w:r>
      <w:r>
        <w:rPr>
          <w:rFonts w:hint="eastAsia"/>
          <w:color w:val="000000" w:themeColor="text1"/>
          <w:kern w:val="0"/>
          <w:sz w:val="24"/>
          <w:szCs w:val="24"/>
        </w:rPr>
        <w:t>GB18218-2018</w:t>
      </w:r>
      <w:r>
        <w:rPr>
          <w:rFonts w:hint="eastAsia"/>
          <w:color w:val="000000" w:themeColor="text1"/>
          <w:kern w:val="0"/>
          <w:sz w:val="24"/>
          <w:szCs w:val="24"/>
        </w:rPr>
        <w:t>）规定，针对本工程的具体情况进行重大危险源的辨识，</w:t>
      </w:r>
      <w:r>
        <w:rPr>
          <w:rFonts w:ascii="宋体" w:hAnsi="宋体" w:cs="宋体"/>
          <w:snapToGrid w:val="0"/>
          <w:color w:val="000000" w:themeColor="text1"/>
          <w:kern w:val="0"/>
          <w:sz w:val="24"/>
          <w:szCs w:val="24"/>
          <w:lang w:eastAsia="en-US"/>
        </w:rPr>
        <w:t>本工程钻井</w:t>
      </w:r>
      <w:r>
        <w:rPr>
          <w:rFonts w:ascii="宋体" w:hAnsi="宋体" w:cs="宋体" w:hint="eastAsia"/>
          <w:snapToGrid w:val="0"/>
          <w:color w:val="000000" w:themeColor="text1"/>
          <w:kern w:val="0"/>
          <w:sz w:val="24"/>
          <w:szCs w:val="24"/>
        </w:rPr>
        <w:t>、压裂采气</w:t>
      </w:r>
      <w:r>
        <w:rPr>
          <w:rFonts w:ascii="宋体" w:hAnsi="宋体" w:cs="宋体"/>
          <w:snapToGrid w:val="0"/>
          <w:color w:val="000000" w:themeColor="text1"/>
          <w:kern w:val="0"/>
          <w:sz w:val="24"/>
          <w:szCs w:val="24"/>
          <w:lang w:eastAsia="en-US"/>
        </w:rPr>
        <w:t>过程中所用的燃料主要是设备用的汽</w:t>
      </w:r>
      <w:r>
        <w:rPr>
          <w:rFonts w:ascii="宋体" w:hAnsi="宋体" w:cs="宋体" w:hint="eastAsia"/>
          <w:snapToGrid w:val="0"/>
          <w:color w:val="000000" w:themeColor="text1"/>
          <w:kern w:val="0"/>
          <w:sz w:val="24"/>
          <w:szCs w:val="24"/>
        </w:rPr>
        <w:t>油、</w:t>
      </w:r>
      <w:r>
        <w:rPr>
          <w:rFonts w:ascii="宋体" w:hAnsi="宋体" w:cs="宋体"/>
          <w:snapToGrid w:val="0"/>
          <w:color w:val="000000" w:themeColor="text1"/>
          <w:kern w:val="0"/>
          <w:sz w:val="24"/>
          <w:szCs w:val="24"/>
          <w:lang w:eastAsia="en-US"/>
        </w:rPr>
        <w:t>柴油，井场设置汽</w:t>
      </w:r>
      <w:r>
        <w:rPr>
          <w:rFonts w:ascii="宋体" w:hAnsi="宋体" w:cs="宋体" w:hint="eastAsia"/>
          <w:snapToGrid w:val="0"/>
          <w:color w:val="000000" w:themeColor="text1"/>
          <w:kern w:val="0"/>
          <w:sz w:val="24"/>
          <w:szCs w:val="24"/>
        </w:rPr>
        <w:t>油、</w:t>
      </w:r>
      <w:r>
        <w:rPr>
          <w:rFonts w:ascii="宋体" w:hAnsi="宋体" w:cs="宋体"/>
          <w:snapToGrid w:val="0"/>
          <w:color w:val="000000" w:themeColor="text1"/>
          <w:kern w:val="0"/>
          <w:sz w:val="24"/>
          <w:szCs w:val="24"/>
          <w:lang w:eastAsia="en-US"/>
        </w:rPr>
        <w:t>柴油储罐，储量不大于</w:t>
      </w:r>
      <w:r>
        <w:rPr>
          <w:snapToGrid w:val="0"/>
          <w:color w:val="000000" w:themeColor="text1"/>
          <w:kern w:val="0"/>
          <w:sz w:val="24"/>
          <w:szCs w:val="24"/>
          <w:lang w:eastAsia="en-US"/>
        </w:rPr>
        <w:t>50t</w:t>
      </w:r>
      <w:r>
        <w:rPr>
          <w:rFonts w:ascii="宋体" w:hAnsi="宋体" w:cs="宋体"/>
          <w:snapToGrid w:val="0"/>
          <w:color w:val="000000" w:themeColor="text1"/>
          <w:kern w:val="0"/>
          <w:sz w:val="24"/>
          <w:szCs w:val="24"/>
          <w:lang w:eastAsia="en-US"/>
        </w:rPr>
        <w:t>，</w:t>
      </w:r>
      <w:r>
        <w:rPr>
          <w:rFonts w:ascii="宋体" w:hAnsi="宋体" w:cs="宋体" w:hint="eastAsia"/>
          <w:snapToGrid w:val="0"/>
          <w:color w:val="000000" w:themeColor="text1"/>
          <w:kern w:val="0"/>
          <w:sz w:val="24"/>
          <w:szCs w:val="24"/>
        </w:rPr>
        <w:t>远远小于临界量，故本</w:t>
      </w:r>
      <w:r>
        <w:rPr>
          <w:rFonts w:ascii="宋体" w:hAnsi="宋体" w:cs="宋体"/>
          <w:snapToGrid w:val="0"/>
          <w:color w:val="000000" w:themeColor="text1"/>
          <w:kern w:val="0"/>
          <w:sz w:val="24"/>
          <w:szCs w:val="24"/>
          <w:lang w:eastAsia="en-US"/>
        </w:rPr>
        <w:t>工程</w:t>
      </w:r>
      <w:r>
        <w:rPr>
          <w:rFonts w:ascii="宋体" w:hAnsi="宋体" w:cs="宋体" w:hint="eastAsia"/>
          <w:snapToGrid w:val="0"/>
          <w:color w:val="000000" w:themeColor="text1"/>
          <w:kern w:val="0"/>
          <w:sz w:val="24"/>
          <w:szCs w:val="24"/>
        </w:rPr>
        <w:t>施工过程中</w:t>
      </w:r>
      <w:r>
        <w:rPr>
          <w:rFonts w:ascii="宋体" w:hAnsi="宋体" w:cs="宋体"/>
          <w:snapToGrid w:val="0"/>
          <w:color w:val="000000" w:themeColor="text1"/>
          <w:kern w:val="0"/>
          <w:sz w:val="24"/>
          <w:szCs w:val="24"/>
          <w:lang w:eastAsia="en-US"/>
        </w:rPr>
        <w:t>危险化学品储存不属于重大危险源。</w:t>
      </w:r>
    </w:p>
    <w:p w14:paraId="0E9A21C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本工程未设天然气储存设施，天然气在站场及管道内均处于输送状态，装置内存在天然气的量远远小于物质临界量。</w:t>
      </w:r>
    </w:p>
    <w:p w14:paraId="4A0DC23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、重大危险源辨识小结</w:t>
      </w:r>
    </w:p>
    <w:p w14:paraId="0CE01D9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根据《危险化学品重大危险源辨识》（</w:t>
      </w:r>
      <w:r>
        <w:rPr>
          <w:rFonts w:hint="eastAsia"/>
          <w:color w:val="000000" w:themeColor="text1"/>
          <w:sz w:val="24"/>
          <w:szCs w:val="24"/>
        </w:rPr>
        <w:t>GB18218-2018</w:t>
      </w:r>
      <w:r>
        <w:rPr>
          <w:rFonts w:hint="eastAsia"/>
          <w:color w:val="000000" w:themeColor="text1"/>
          <w:sz w:val="24"/>
          <w:szCs w:val="24"/>
        </w:rPr>
        <w:t>）要求，本项目</w:t>
      </w:r>
      <w:r>
        <w:rPr>
          <w:rFonts w:ascii="宋体" w:hAnsi="宋体" w:cs="宋体"/>
          <w:color w:val="000000" w:themeColor="text1"/>
          <w:spacing w:val="1"/>
          <w:sz w:val="26"/>
          <w:szCs w:val="26"/>
        </w:rPr>
        <w:t>不构成危险化学品重大危险源。</w:t>
      </w:r>
    </w:p>
    <w:p w14:paraId="0CDC9F8C" w14:textId="77777777" w:rsidR="002E0859" w:rsidRDefault="00000000">
      <w:pPr>
        <w:pStyle w:val="2"/>
        <w:keepNext w:val="0"/>
        <w:keepLines w:val="0"/>
        <w:spacing w:before="120" w:after="120" w:line="360" w:lineRule="auto"/>
        <w:jc w:val="center"/>
        <w:rPr>
          <w:color w:val="000000" w:themeColor="text1"/>
        </w:rPr>
      </w:pPr>
      <w:bookmarkStart w:id="40" w:name="_Toc30809"/>
      <w:r>
        <w:rPr>
          <w:rFonts w:hint="eastAsia"/>
          <w:color w:val="000000" w:themeColor="text1"/>
        </w:rPr>
        <w:t>事故案例与事故原因分析</w:t>
      </w:r>
      <w:bookmarkEnd w:id="40"/>
    </w:p>
    <w:p w14:paraId="06E18858"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重庆开县特大井喷事故</w:t>
      </w:r>
    </w:p>
    <w:p w14:paraId="15383A37" w14:textId="77777777" w:rsidR="002E0859" w:rsidRDefault="00000000">
      <w:pPr>
        <w:pStyle w:val="a0"/>
        <w:spacing w:line="360" w:lineRule="auto"/>
        <w:ind w:firstLine="480"/>
        <w:rPr>
          <w:color w:val="000000" w:themeColor="text1"/>
          <w:sz w:val="24"/>
          <w:szCs w:val="24"/>
        </w:rPr>
      </w:pPr>
      <w:r>
        <w:rPr>
          <w:color w:val="000000" w:themeColor="text1"/>
          <w:sz w:val="24"/>
          <w:szCs w:val="24"/>
        </w:rPr>
        <w:t>2003</w:t>
      </w:r>
      <w:r>
        <w:rPr>
          <w:color w:val="000000" w:themeColor="text1"/>
          <w:sz w:val="24"/>
          <w:szCs w:val="24"/>
        </w:rPr>
        <w:t>年</w:t>
      </w:r>
      <w:r>
        <w:rPr>
          <w:color w:val="000000" w:themeColor="text1"/>
          <w:sz w:val="24"/>
          <w:szCs w:val="24"/>
        </w:rPr>
        <w:t>12</w:t>
      </w:r>
      <w:r>
        <w:rPr>
          <w:color w:val="000000" w:themeColor="text1"/>
          <w:sz w:val="24"/>
          <w:szCs w:val="24"/>
        </w:rPr>
        <w:t>月</w:t>
      </w:r>
      <w:r>
        <w:rPr>
          <w:color w:val="000000" w:themeColor="text1"/>
          <w:sz w:val="24"/>
          <w:szCs w:val="24"/>
        </w:rPr>
        <w:t>23</w:t>
      </w:r>
      <w:r>
        <w:rPr>
          <w:color w:val="000000" w:themeColor="text1"/>
          <w:sz w:val="24"/>
          <w:szCs w:val="24"/>
        </w:rPr>
        <w:t>日</w:t>
      </w:r>
      <w:r>
        <w:rPr>
          <w:color w:val="000000" w:themeColor="text1"/>
          <w:sz w:val="24"/>
          <w:szCs w:val="24"/>
        </w:rPr>
        <w:t>22</w:t>
      </w:r>
      <w:r>
        <w:rPr>
          <w:color w:val="000000" w:themeColor="text1"/>
          <w:sz w:val="24"/>
          <w:szCs w:val="24"/>
        </w:rPr>
        <w:t>时，位于重庆市开县的某井发生天然气井喷失控和</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中毒事故，造成井场周围居民和井队职工</w:t>
      </w:r>
      <w:r>
        <w:rPr>
          <w:color w:val="000000" w:themeColor="text1"/>
          <w:sz w:val="24"/>
          <w:szCs w:val="24"/>
        </w:rPr>
        <w:t>243</w:t>
      </w:r>
      <w:r>
        <w:rPr>
          <w:color w:val="000000" w:themeColor="text1"/>
          <w:sz w:val="24"/>
          <w:szCs w:val="24"/>
        </w:rPr>
        <w:t>人死亡，</w:t>
      </w:r>
      <w:r>
        <w:rPr>
          <w:color w:val="000000" w:themeColor="text1"/>
          <w:sz w:val="24"/>
          <w:szCs w:val="24"/>
        </w:rPr>
        <w:t>2142</w:t>
      </w:r>
      <w:r>
        <w:rPr>
          <w:color w:val="000000" w:themeColor="text1"/>
          <w:sz w:val="24"/>
          <w:szCs w:val="24"/>
        </w:rPr>
        <w:t>人中毒住院，</w:t>
      </w:r>
      <w:r>
        <w:rPr>
          <w:color w:val="000000" w:themeColor="text1"/>
          <w:sz w:val="24"/>
          <w:szCs w:val="24"/>
        </w:rPr>
        <w:t>6500</w:t>
      </w:r>
      <w:r>
        <w:rPr>
          <w:color w:val="000000" w:themeColor="text1"/>
          <w:sz w:val="24"/>
          <w:szCs w:val="24"/>
        </w:rPr>
        <w:t>余人紧急疏散转移，直接经济损失</w:t>
      </w:r>
      <w:r>
        <w:rPr>
          <w:color w:val="000000" w:themeColor="text1"/>
          <w:sz w:val="24"/>
          <w:szCs w:val="24"/>
        </w:rPr>
        <w:t>6432</w:t>
      </w:r>
      <w:r>
        <w:rPr>
          <w:color w:val="000000" w:themeColor="text1"/>
          <w:sz w:val="24"/>
          <w:szCs w:val="24"/>
        </w:rPr>
        <w:t>万元。</w:t>
      </w:r>
    </w:p>
    <w:p w14:paraId="291E03D5"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井况简介</w:t>
      </w:r>
    </w:p>
    <w:p w14:paraId="7F85D087" w14:textId="77777777" w:rsidR="002E0859" w:rsidRDefault="00000000">
      <w:pPr>
        <w:pStyle w:val="a0"/>
        <w:spacing w:line="360" w:lineRule="auto"/>
        <w:ind w:firstLine="480"/>
        <w:rPr>
          <w:color w:val="000000" w:themeColor="text1"/>
          <w:sz w:val="24"/>
          <w:szCs w:val="24"/>
        </w:rPr>
      </w:pPr>
      <w:r>
        <w:rPr>
          <w:color w:val="000000" w:themeColor="text1"/>
          <w:sz w:val="24"/>
          <w:szCs w:val="24"/>
        </w:rPr>
        <w:t>该井是四川盆地川东断褶带罗家寨构造上的一口国家重点工程科研项目水平井，拟钻采高含硫天然气。同一井场还部署另外三口水平井组；已建成的邻井测试产量</w:t>
      </w:r>
      <w:r>
        <w:rPr>
          <w:color w:val="000000" w:themeColor="text1"/>
          <w:sz w:val="24"/>
          <w:szCs w:val="24"/>
        </w:rPr>
        <w:t>62.3×10</w:t>
      </w:r>
      <w:r>
        <w:rPr>
          <w:color w:val="000000" w:themeColor="text1"/>
          <w:sz w:val="24"/>
          <w:szCs w:val="24"/>
          <w:vertAlign w:val="superscript"/>
        </w:rPr>
        <w:t>4</w:t>
      </w:r>
      <w:r>
        <w:rPr>
          <w:color w:val="000000" w:themeColor="text1"/>
          <w:sz w:val="24"/>
          <w:szCs w:val="24"/>
        </w:rPr>
        <w:t>m</w:t>
      </w:r>
      <w:r>
        <w:rPr>
          <w:color w:val="000000" w:themeColor="text1"/>
          <w:sz w:val="24"/>
          <w:szCs w:val="24"/>
          <w:vertAlign w:val="superscript"/>
        </w:rPr>
        <w:t>3</w:t>
      </w:r>
      <w:r>
        <w:rPr>
          <w:color w:val="000000" w:themeColor="text1"/>
          <w:sz w:val="24"/>
          <w:szCs w:val="24"/>
        </w:rPr>
        <w:t>/d</w:t>
      </w:r>
      <w:r>
        <w:rPr>
          <w:color w:val="000000" w:themeColor="text1"/>
          <w:sz w:val="24"/>
          <w:szCs w:val="24"/>
        </w:rPr>
        <w:t>，</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含量</w:t>
      </w:r>
      <w:r>
        <w:rPr>
          <w:color w:val="000000" w:themeColor="text1"/>
          <w:sz w:val="24"/>
          <w:szCs w:val="24"/>
        </w:rPr>
        <w:t>125.53g/m</w:t>
      </w:r>
      <w:r>
        <w:rPr>
          <w:color w:val="000000" w:themeColor="text1"/>
          <w:sz w:val="24"/>
          <w:szCs w:val="24"/>
          <w:vertAlign w:val="superscript"/>
        </w:rPr>
        <w:t>3</w:t>
      </w:r>
      <w:r>
        <w:rPr>
          <w:color w:val="000000" w:themeColor="text1"/>
          <w:sz w:val="24"/>
          <w:szCs w:val="24"/>
        </w:rPr>
        <w:t>，暂时封井待脱硫厂建成后输气。该井设计井深</w:t>
      </w:r>
      <w:r>
        <w:rPr>
          <w:color w:val="000000" w:themeColor="text1"/>
          <w:sz w:val="24"/>
          <w:szCs w:val="24"/>
        </w:rPr>
        <w:t>4322m</w:t>
      </w:r>
      <w:r>
        <w:rPr>
          <w:color w:val="000000" w:themeColor="text1"/>
          <w:sz w:val="24"/>
          <w:szCs w:val="24"/>
        </w:rPr>
        <w:t>，垂深</w:t>
      </w:r>
      <w:r>
        <w:rPr>
          <w:color w:val="000000" w:themeColor="text1"/>
          <w:sz w:val="24"/>
          <w:szCs w:val="24"/>
        </w:rPr>
        <w:t>3410m</w:t>
      </w:r>
      <w:r>
        <w:rPr>
          <w:color w:val="000000" w:themeColor="text1"/>
          <w:sz w:val="24"/>
          <w:szCs w:val="24"/>
        </w:rPr>
        <w:t>，水平段长</w:t>
      </w:r>
      <w:r>
        <w:rPr>
          <w:color w:val="000000" w:themeColor="text1"/>
          <w:sz w:val="24"/>
          <w:szCs w:val="24"/>
        </w:rPr>
        <w:t>700m</w:t>
      </w:r>
      <w:r>
        <w:rPr>
          <w:color w:val="000000" w:themeColor="text1"/>
          <w:sz w:val="24"/>
          <w:szCs w:val="24"/>
        </w:rPr>
        <w:t>；水平段设计在邻井区飞仙关组第二套储层内（厚度</w:t>
      </w:r>
      <w:r>
        <w:rPr>
          <w:color w:val="000000" w:themeColor="text1"/>
          <w:sz w:val="24"/>
          <w:szCs w:val="24"/>
        </w:rPr>
        <w:t>20m</w:t>
      </w:r>
      <w:r>
        <w:rPr>
          <w:color w:val="000000" w:themeColor="text1"/>
          <w:sz w:val="24"/>
          <w:szCs w:val="24"/>
        </w:rPr>
        <w:t>以上），是培育</w:t>
      </w:r>
      <w:r>
        <w:rPr>
          <w:color w:val="000000" w:themeColor="text1"/>
          <w:sz w:val="24"/>
          <w:szCs w:val="24"/>
        </w:rPr>
        <w:t>100×10</w:t>
      </w:r>
      <w:r>
        <w:rPr>
          <w:color w:val="000000" w:themeColor="text1"/>
          <w:sz w:val="24"/>
          <w:szCs w:val="24"/>
          <w:vertAlign w:val="superscript"/>
        </w:rPr>
        <w:t>4</w:t>
      </w:r>
      <w:r>
        <w:rPr>
          <w:color w:val="000000" w:themeColor="text1"/>
          <w:sz w:val="24"/>
          <w:szCs w:val="24"/>
        </w:rPr>
        <w:t>m</w:t>
      </w:r>
      <w:r>
        <w:rPr>
          <w:color w:val="000000" w:themeColor="text1"/>
          <w:sz w:val="24"/>
          <w:szCs w:val="24"/>
          <w:vertAlign w:val="superscript"/>
        </w:rPr>
        <w:t>3</w:t>
      </w:r>
      <w:r>
        <w:rPr>
          <w:color w:val="000000" w:themeColor="text1"/>
          <w:sz w:val="24"/>
          <w:szCs w:val="24"/>
        </w:rPr>
        <w:t>/d</w:t>
      </w:r>
      <w:r>
        <w:rPr>
          <w:color w:val="000000" w:themeColor="text1"/>
          <w:sz w:val="24"/>
          <w:szCs w:val="24"/>
        </w:rPr>
        <w:t>级的高产气井之一；预测目的层地层压力</w:t>
      </w:r>
      <w:r>
        <w:rPr>
          <w:color w:val="000000" w:themeColor="text1"/>
          <w:sz w:val="24"/>
          <w:szCs w:val="24"/>
        </w:rPr>
        <w:t>40.45MPa</w:t>
      </w:r>
      <w:r>
        <w:rPr>
          <w:color w:val="000000" w:themeColor="text1"/>
          <w:sz w:val="24"/>
          <w:szCs w:val="24"/>
        </w:rPr>
        <w:t>，地压系数</w:t>
      </w:r>
      <w:r>
        <w:rPr>
          <w:color w:val="000000" w:themeColor="text1"/>
          <w:sz w:val="24"/>
          <w:szCs w:val="24"/>
        </w:rPr>
        <w:t>1.28</w:t>
      </w:r>
      <w:r>
        <w:rPr>
          <w:color w:val="000000" w:themeColor="text1"/>
          <w:sz w:val="24"/>
          <w:szCs w:val="24"/>
        </w:rPr>
        <w:t>；井喷时井深</w:t>
      </w:r>
      <w:r>
        <w:rPr>
          <w:color w:val="000000" w:themeColor="text1"/>
          <w:sz w:val="24"/>
          <w:szCs w:val="24"/>
        </w:rPr>
        <w:t>4049.68m</w:t>
      </w:r>
      <w:r>
        <w:rPr>
          <w:color w:val="000000" w:themeColor="text1"/>
          <w:sz w:val="24"/>
          <w:szCs w:val="24"/>
        </w:rPr>
        <w:t>，水平段长</w:t>
      </w:r>
      <w:r>
        <w:rPr>
          <w:color w:val="000000" w:themeColor="text1"/>
          <w:sz w:val="24"/>
          <w:szCs w:val="24"/>
        </w:rPr>
        <w:t>424m</w:t>
      </w:r>
      <w:r>
        <w:rPr>
          <w:color w:val="000000" w:themeColor="text1"/>
          <w:sz w:val="24"/>
          <w:szCs w:val="24"/>
        </w:rPr>
        <w:t>；井口与邻井仅距</w:t>
      </w:r>
      <w:r>
        <w:rPr>
          <w:color w:val="000000" w:themeColor="text1"/>
          <w:sz w:val="24"/>
          <w:szCs w:val="24"/>
        </w:rPr>
        <w:t>3.8m</w:t>
      </w:r>
      <w:r>
        <w:rPr>
          <w:color w:val="000000" w:themeColor="text1"/>
          <w:sz w:val="24"/>
          <w:szCs w:val="24"/>
        </w:rPr>
        <w:t>。</w:t>
      </w:r>
    </w:p>
    <w:p w14:paraId="4B9DB631"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事故发生及处理经过</w:t>
      </w:r>
    </w:p>
    <w:p w14:paraId="7C63460C" w14:textId="77777777" w:rsidR="002E0859" w:rsidRDefault="00000000">
      <w:pPr>
        <w:pStyle w:val="a0"/>
        <w:spacing w:line="360" w:lineRule="auto"/>
        <w:ind w:firstLine="480"/>
        <w:rPr>
          <w:color w:val="000000" w:themeColor="text1"/>
          <w:sz w:val="24"/>
          <w:szCs w:val="24"/>
        </w:rPr>
      </w:pPr>
      <w:r>
        <w:rPr>
          <w:color w:val="000000" w:themeColor="text1"/>
          <w:sz w:val="24"/>
          <w:szCs w:val="24"/>
        </w:rPr>
        <w:t>2003</w:t>
      </w:r>
      <w:r>
        <w:rPr>
          <w:color w:val="000000" w:themeColor="text1"/>
          <w:sz w:val="24"/>
          <w:szCs w:val="24"/>
        </w:rPr>
        <w:t>年</w:t>
      </w:r>
      <w:r>
        <w:rPr>
          <w:color w:val="000000" w:themeColor="text1"/>
          <w:sz w:val="24"/>
          <w:szCs w:val="24"/>
        </w:rPr>
        <w:t>12</w:t>
      </w:r>
      <w:r>
        <w:rPr>
          <w:color w:val="000000" w:themeColor="text1"/>
          <w:sz w:val="24"/>
          <w:szCs w:val="24"/>
        </w:rPr>
        <w:t>月</w:t>
      </w:r>
      <w:r>
        <w:rPr>
          <w:color w:val="000000" w:themeColor="text1"/>
          <w:sz w:val="24"/>
          <w:szCs w:val="24"/>
        </w:rPr>
        <w:t>23</w:t>
      </w:r>
      <w:r>
        <w:rPr>
          <w:color w:val="000000" w:themeColor="text1"/>
          <w:sz w:val="24"/>
          <w:szCs w:val="24"/>
        </w:rPr>
        <w:t>日</w:t>
      </w:r>
      <w:r>
        <w:rPr>
          <w:color w:val="000000" w:themeColor="text1"/>
          <w:sz w:val="24"/>
          <w:szCs w:val="24"/>
        </w:rPr>
        <w:t>2</w:t>
      </w:r>
      <w:r>
        <w:rPr>
          <w:color w:val="000000" w:themeColor="text1"/>
          <w:sz w:val="24"/>
          <w:szCs w:val="24"/>
        </w:rPr>
        <w:t>时</w:t>
      </w:r>
      <w:r>
        <w:rPr>
          <w:color w:val="000000" w:themeColor="text1"/>
          <w:sz w:val="24"/>
          <w:szCs w:val="24"/>
        </w:rPr>
        <w:t>29</w:t>
      </w:r>
      <w:r>
        <w:rPr>
          <w:color w:val="000000" w:themeColor="text1"/>
          <w:sz w:val="24"/>
          <w:szCs w:val="24"/>
        </w:rPr>
        <w:t>分钻至井深</w:t>
      </w:r>
      <w:r>
        <w:rPr>
          <w:color w:val="000000" w:themeColor="text1"/>
          <w:sz w:val="24"/>
          <w:szCs w:val="24"/>
        </w:rPr>
        <w:t>4049.68m</w:t>
      </w:r>
      <w:r>
        <w:rPr>
          <w:color w:val="000000" w:themeColor="text1"/>
          <w:sz w:val="24"/>
          <w:szCs w:val="24"/>
        </w:rPr>
        <w:t>；</w:t>
      </w:r>
      <w:r>
        <w:rPr>
          <w:color w:val="000000" w:themeColor="text1"/>
          <w:sz w:val="24"/>
          <w:szCs w:val="24"/>
        </w:rPr>
        <w:t>3</w:t>
      </w:r>
      <w:r>
        <w:rPr>
          <w:color w:val="000000" w:themeColor="text1"/>
          <w:sz w:val="24"/>
          <w:szCs w:val="24"/>
        </w:rPr>
        <w:t>时</w:t>
      </w:r>
      <w:r>
        <w:rPr>
          <w:color w:val="000000" w:themeColor="text1"/>
          <w:sz w:val="24"/>
          <w:szCs w:val="24"/>
        </w:rPr>
        <w:t>30</w:t>
      </w:r>
      <w:r>
        <w:rPr>
          <w:color w:val="000000" w:themeColor="text1"/>
          <w:sz w:val="24"/>
          <w:szCs w:val="24"/>
        </w:rPr>
        <w:t>分至</w:t>
      </w:r>
      <w:r>
        <w:rPr>
          <w:color w:val="000000" w:themeColor="text1"/>
          <w:sz w:val="24"/>
          <w:szCs w:val="24"/>
        </w:rPr>
        <w:t>12</w:t>
      </w:r>
      <w:r>
        <w:rPr>
          <w:color w:val="000000" w:themeColor="text1"/>
          <w:sz w:val="24"/>
          <w:szCs w:val="24"/>
        </w:rPr>
        <w:t>时循环起钻过程中顶驱滑轨偏移，导致挂吊卡困难，强行起至安全井段（井深</w:t>
      </w:r>
      <w:r>
        <w:rPr>
          <w:color w:val="000000" w:themeColor="text1"/>
          <w:sz w:val="24"/>
          <w:szCs w:val="24"/>
        </w:rPr>
        <w:t>1948m</w:t>
      </w:r>
      <w:r>
        <w:rPr>
          <w:color w:val="000000" w:themeColor="text1"/>
          <w:sz w:val="24"/>
          <w:szCs w:val="24"/>
        </w:rPr>
        <w:t>套管内），灌满泥浆后，开始修顶驱滑轨；</w:t>
      </w:r>
      <w:r>
        <w:rPr>
          <w:color w:val="000000" w:themeColor="text1"/>
          <w:sz w:val="24"/>
          <w:szCs w:val="24"/>
        </w:rPr>
        <w:t>12</w:t>
      </w:r>
      <w:r>
        <w:rPr>
          <w:color w:val="000000" w:themeColor="text1"/>
          <w:sz w:val="24"/>
          <w:szCs w:val="24"/>
        </w:rPr>
        <w:t>时至</w:t>
      </w:r>
      <w:r>
        <w:rPr>
          <w:color w:val="000000" w:themeColor="text1"/>
          <w:sz w:val="24"/>
          <w:szCs w:val="24"/>
        </w:rPr>
        <w:t>16</w:t>
      </w:r>
      <w:r>
        <w:rPr>
          <w:color w:val="000000" w:themeColor="text1"/>
          <w:sz w:val="24"/>
          <w:szCs w:val="24"/>
        </w:rPr>
        <w:t>时</w:t>
      </w:r>
      <w:r>
        <w:rPr>
          <w:color w:val="000000" w:themeColor="text1"/>
          <w:sz w:val="24"/>
          <w:szCs w:val="24"/>
        </w:rPr>
        <w:t>20</w:t>
      </w:r>
      <w:r>
        <w:rPr>
          <w:color w:val="000000" w:themeColor="text1"/>
          <w:sz w:val="24"/>
          <w:szCs w:val="24"/>
        </w:rPr>
        <w:t>分修顶驱滑轨；</w:t>
      </w:r>
      <w:r>
        <w:rPr>
          <w:color w:val="000000" w:themeColor="text1"/>
          <w:sz w:val="24"/>
          <w:szCs w:val="24"/>
        </w:rPr>
        <w:t>16</w:t>
      </w:r>
      <w:r>
        <w:rPr>
          <w:color w:val="000000" w:themeColor="text1"/>
          <w:sz w:val="24"/>
          <w:szCs w:val="24"/>
        </w:rPr>
        <w:t>时</w:t>
      </w:r>
      <w:r>
        <w:rPr>
          <w:color w:val="000000" w:themeColor="text1"/>
          <w:sz w:val="24"/>
          <w:szCs w:val="24"/>
        </w:rPr>
        <w:t>20</w:t>
      </w:r>
      <w:r>
        <w:rPr>
          <w:color w:val="000000" w:themeColor="text1"/>
          <w:sz w:val="24"/>
          <w:szCs w:val="24"/>
        </w:rPr>
        <w:t>分至</w:t>
      </w:r>
      <w:r>
        <w:rPr>
          <w:color w:val="000000" w:themeColor="text1"/>
          <w:sz w:val="24"/>
          <w:szCs w:val="24"/>
        </w:rPr>
        <w:t>21</w:t>
      </w:r>
      <w:r>
        <w:rPr>
          <w:color w:val="000000" w:themeColor="text1"/>
          <w:sz w:val="24"/>
          <w:szCs w:val="24"/>
        </w:rPr>
        <w:t>时</w:t>
      </w:r>
      <w:r>
        <w:rPr>
          <w:color w:val="000000" w:themeColor="text1"/>
          <w:sz w:val="24"/>
          <w:szCs w:val="24"/>
        </w:rPr>
        <w:t>51</w:t>
      </w:r>
      <w:r>
        <w:rPr>
          <w:color w:val="000000" w:themeColor="text1"/>
          <w:sz w:val="24"/>
          <w:szCs w:val="24"/>
        </w:rPr>
        <w:t>分起钻至井深</w:t>
      </w:r>
      <w:r>
        <w:rPr>
          <w:color w:val="000000" w:themeColor="text1"/>
          <w:sz w:val="24"/>
          <w:szCs w:val="24"/>
        </w:rPr>
        <w:t>195.31m</w:t>
      </w:r>
      <w:r>
        <w:rPr>
          <w:color w:val="000000" w:themeColor="text1"/>
          <w:sz w:val="24"/>
          <w:szCs w:val="24"/>
        </w:rPr>
        <w:t>，发现溢流</w:t>
      </w:r>
      <w:r>
        <w:rPr>
          <w:color w:val="000000" w:themeColor="text1"/>
          <w:sz w:val="24"/>
          <w:szCs w:val="24"/>
        </w:rPr>
        <w:t>1.1m</w:t>
      </w:r>
      <w:r>
        <w:rPr>
          <w:color w:val="000000" w:themeColor="text1"/>
          <w:sz w:val="24"/>
          <w:szCs w:val="24"/>
          <w:vertAlign w:val="superscript"/>
        </w:rPr>
        <w:t>3</w:t>
      </w:r>
      <w:r>
        <w:rPr>
          <w:color w:val="000000" w:themeColor="text1"/>
          <w:sz w:val="24"/>
          <w:szCs w:val="24"/>
        </w:rPr>
        <w:t>，立即放钻具至</w:t>
      </w:r>
      <w:r>
        <w:rPr>
          <w:color w:val="000000" w:themeColor="text1"/>
          <w:sz w:val="24"/>
          <w:szCs w:val="24"/>
        </w:rPr>
        <w:t>197.31m</w:t>
      </w:r>
      <w:r>
        <w:rPr>
          <w:color w:val="000000" w:themeColor="text1"/>
          <w:sz w:val="24"/>
          <w:szCs w:val="24"/>
        </w:rPr>
        <w:t>；</w:t>
      </w:r>
      <w:r>
        <w:rPr>
          <w:color w:val="000000" w:themeColor="text1"/>
          <w:sz w:val="24"/>
          <w:szCs w:val="24"/>
        </w:rPr>
        <w:t>21</w:t>
      </w:r>
      <w:r>
        <w:rPr>
          <w:color w:val="000000" w:themeColor="text1"/>
          <w:sz w:val="24"/>
          <w:szCs w:val="24"/>
        </w:rPr>
        <w:t>时</w:t>
      </w:r>
      <w:r>
        <w:rPr>
          <w:color w:val="000000" w:themeColor="text1"/>
          <w:sz w:val="24"/>
          <w:szCs w:val="24"/>
        </w:rPr>
        <w:t>55</w:t>
      </w:r>
      <w:r>
        <w:rPr>
          <w:color w:val="000000" w:themeColor="text1"/>
          <w:sz w:val="24"/>
          <w:szCs w:val="24"/>
        </w:rPr>
        <w:t>分抢接回压凡尔、</w:t>
      </w:r>
      <w:r>
        <w:rPr>
          <w:color w:val="000000" w:themeColor="text1"/>
          <w:sz w:val="24"/>
          <w:szCs w:val="24"/>
        </w:rPr>
        <w:lastRenderedPageBreak/>
        <w:t>抢接顶驱未成功，发生强烈井喷，钻杆内气液喷高</w:t>
      </w:r>
      <w:r>
        <w:rPr>
          <w:color w:val="000000" w:themeColor="text1"/>
          <w:sz w:val="24"/>
          <w:szCs w:val="24"/>
        </w:rPr>
        <w:t>5</w:t>
      </w:r>
      <w:r>
        <w:rPr>
          <w:color w:val="000000" w:themeColor="text1"/>
          <w:sz w:val="24"/>
          <w:szCs w:val="24"/>
        </w:rPr>
        <w:t>～</w:t>
      </w:r>
      <w:r>
        <w:rPr>
          <w:color w:val="000000" w:themeColor="text1"/>
          <w:sz w:val="24"/>
          <w:szCs w:val="24"/>
        </w:rPr>
        <w:t>10m</w:t>
      </w:r>
      <w:r>
        <w:rPr>
          <w:color w:val="000000" w:themeColor="text1"/>
          <w:sz w:val="24"/>
          <w:szCs w:val="24"/>
        </w:rPr>
        <w:t>，钻具上行</w:t>
      </w:r>
      <w:r>
        <w:rPr>
          <w:color w:val="000000" w:themeColor="text1"/>
          <w:sz w:val="24"/>
          <w:szCs w:val="24"/>
        </w:rPr>
        <w:t>2m</w:t>
      </w:r>
      <w:r>
        <w:rPr>
          <w:color w:val="000000" w:themeColor="text1"/>
          <w:sz w:val="24"/>
          <w:szCs w:val="24"/>
        </w:rPr>
        <w:t>左右，大方瓦飞出转盘；</w:t>
      </w:r>
      <w:r>
        <w:rPr>
          <w:color w:val="000000" w:themeColor="text1"/>
          <w:sz w:val="24"/>
          <w:szCs w:val="24"/>
        </w:rPr>
        <w:t>21</w:t>
      </w:r>
      <w:r>
        <w:rPr>
          <w:color w:val="000000" w:themeColor="text1"/>
          <w:sz w:val="24"/>
          <w:szCs w:val="24"/>
        </w:rPr>
        <w:t>时</w:t>
      </w:r>
      <w:r>
        <w:rPr>
          <w:color w:val="000000" w:themeColor="text1"/>
          <w:sz w:val="24"/>
          <w:szCs w:val="24"/>
        </w:rPr>
        <w:t>59</w:t>
      </w:r>
      <w:r>
        <w:rPr>
          <w:color w:val="000000" w:themeColor="text1"/>
          <w:sz w:val="24"/>
          <w:szCs w:val="24"/>
        </w:rPr>
        <w:t>分关万能、半封防喷器，钻杆内液气同喷至二层台以上；</w:t>
      </w:r>
      <w:r>
        <w:rPr>
          <w:color w:val="000000" w:themeColor="text1"/>
          <w:sz w:val="24"/>
          <w:szCs w:val="24"/>
        </w:rPr>
        <w:t>22</w:t>
      </w:r>
      <w:r>
        <w:rPr>
          <w:color w:val="000000" w:themeColor="text1"/>
          <w:sz w:val="24"/>
          <w:szCs w:val="24"/>
        </w:rPr>
        <w:t>时</w:t>
      </w:r>
      <w:r>
        <w:rPr>
          <w:color w:val="000000" w:themeColor="text1"/>
          <w:sz w:val="24"/>
          <w:szCs w:val="24"/>
        </w:rPr>
        <w:t>01</w:t>
      </w:r>
      <w:r>
        <w:rPr>
          <w:color w:val="000000" w:themeColor="text1"/>
          <w:sz w:val="24"/>
          <w:szCs w:val="24"/>
        </w:rPr>
        <w:t>分钻杆被井内压力上顶撞击在顶驱上，撞出火花引发钻杆内喷出的天然气着火；</w:t>
      </w:r>
      <w:r>
        <w:rPr>
          <w:color w:val="000000" w:themeColor="text1"/>
          <w:sz w:val="24"/>
          <w:szCs w:val="24"/>
        </w:rPr>
        <w:t>22</w:t>
      </w:r>
      <w:r>
        <w:rPr>
          <w:color w:val="000000" w:themeColor="text1"/>
          <w:sz w:val="24"/>
          <w:szCs w:val="24"/>
        </w:rPr>
        <w:t>时</w:t>
      </w:r>
      <w:r>
        <w:rPr>
          <w:color w:val="000000" w:themeColor="text1"/>
          <w:sz w:val="24"/>
          <w:szCs w:val="24"/>
        </w:rPr>
        <w:t>03</w:t>
      </w:r>
      <w:r>
        <w:rPr>
          <w:color w:val="000000" w:themeColor="text1"/>
          <w:sz w:val="24"/>
          <w:szCs w:val="24"/>
        </w:rPr>
        <w:t>分关全封防喷器，钻杆末被剪断而发生变形，火虽熄灭，但井口失控，转盘面以上有约</w:t>
      </w:r>
      <w:r>
        <w:rPr>
          <w:color w:val="000000" w:themeColor="text1"/>
          <w:sz w:val="24"/>
          <w:szCs w:val="24"/>
        </w:rPr>
        <w:t>14m</w:t>
      </w:r>
      <w:r>
        <w:rPr>
          <w:color w:val="000000" w:themeColor="text1"/>
          <w:sz w:val="24"/>
          <w:szCs w:val="24"/>
        </w:rPr>
        <w:t>钻杆倾斜倒向指重表方向；</w:t>
      </w:r>
      <w:r>
        <w:rPr>
          <w:color w:val="000000" w:themeColor="text1"/>
          <w:sz w:val="24"/>
          <w:szCs w:val="24"/>
        </w:rPr>
        <w:t>22</w:t>
      </w:r>
      <w:r>
        <w:rPr>
          <w:color w:val="000000" w:themeColor="text1"/>
          <w:sz w:val="24"/>
          <w:szCs w:val="24"/>
        </w:rPr>
        <w:t>时</w:t>
      </w:r>
      <w:r>
        <w:rPr>
          <w:color w:val="000000" w:themeColor="text1"/>
          <w:sz w:val="24"/>
          <w:szCs w:val="24"/>
        </w:rPr>
        <w:t>32</w:t>
      </w:r>
      <w:r>
        <w:rPr>
          <w:color w:val="000000" w:themeColor="text1"/>
          <w:sz w:val="24"/>
          <w:szCs w:val="24"/>
        </w:rPr>
        <w:t>分向井内注入</w:t>
      </w:r>
      <w:r>
        <w:rPr>
          <w:color w:val="000000" w:themeColor="text1"/>
          <w:sz w:val="24"/>
          <w:szCs w:val="24"/>
        </w:rPr>
        <w:t>1.60g/cm</w:t>
      </w:r>
      <w:r>
        <w:rPr>
          <w:color w:val="000000" w:themeColor="text1"/>
          <w:sz w:val="24"/>
          <w:szCs w:val="24"/>
          <w:vertAlign w:val="superscript"/>
        </w:rPr>
        <w:t>3</w:t>
      </w:r>
      <w:r>
        <w:rPr>
          <w:color w:val="000000" w:themeColor="text1"/>
          <w:sz w:val="24"/>
          <w:szCs w:val="24"/>
        </w:rPr>
        <w:t>的钻井液，关油罐总闸，停泵、柴油机和发电机；</w:t>
      </w:r>
      <w:r>
        <w:rPr>
          <w:color w:val="000000" w:themeColor="text1"/>
          <w:sz w:val="24"/>
          <w:szCs w:val="24"/>
        </w:rPr>
        <w:t>24</w:t>
      </w:r>
      <w:r>
        <w:rPr>
          <w:color w:val="000000" w:themeColor="text1"/>
          <w:sz w:val="24"/>
          <w:szCs w:val="24"/>
        </w:rPr>
        <w:t>时井队人员全部撤离现场，</w:t>
      </w:r>
      <w:r>
        <w:rPr>
          <w:color w:val="000000" w:themeColor="text1"/>
          <w:sz w:val="24"/>
          <w:szCs w:val="24"/>
        </w:rPr>
        <w:t>24</w:t>
      </w:r>
      <w:r>
        <w:rPr>
          <w:color w:val="000000" w:themeColor="text1"/>
          <w:sz w:val="24"/>
          <w:szCs w:val="24"/>
        </w:rPr>
        <w:t>日</w:t>
      </w:r>
      <w:r>
        <w:rPr>
          <w:color w:val="000000" w:themeColor="text1"/>
          <w:sz w:val="24"/>
          <w:szCs w:val="24"/>
        </w:rPr>
        <w:t>13</w:t>
      </w:r>
      <w:r>
        <w:rPr>
          <w:color w:val="000000" w:themeColor="text1"/>
          <w:sz w:val="24"/>
          <w:szCs w:val="24"/>
        </w:rPr>
        <w:t>时</w:t>
      </w:r>
      <w:r>
        <w:rPr>
          <w:color w:val="000000" w:themeColor="text1"/>
          <w:sz w:val="24"/>
          <w:szCs w:val="24"/>
        </w:rPr>
        <w:t>30</w:t>
      </w:r>
      <w:r>
        <w:rPr>
          <w:color w:val="000000" w:themeColor="text1"/>
          <w:sz w:val="24"/>
          <w:szCs w:val="24"/>
        </w:rPr>
        <w:t>分井口停喷，两条放喷管线放喷，井口压力</w:t>
      </w:r>
      <w:r>
        <w:rPr>
          <w:color w:val="000000" w:themeColor="text1"/>
          <w:sz w:val="24"/>
          <w:szCs w:val="24"/>
        </w:rPr>
        <w:t>28MPa</w:t>
      </w:r>
      <w:r>
        <w:rPr>
          <w:color w:val="000000" w:themeColor="text1"/>
          <w:sz w:val="24"/>
          <w:szCs w:val="24"/>
        </w:rPr>
        <w:t>，</w:t>
      </w:r>
      <w:r>
        <w:rPr>
          <w:color w:val="000000" w:themeColor="text1"/>
          <w:sz w:val="24"/>
          <w:szCs w:val="24"/>
        </w:rPr>
        <w:t>24</w:t>
      </w:r>
      <w:r>
        <w:rPr>
          <w:color w:val="000000" w:themeColor="text1"/>
          <w:sz w:val="24"/>
          <w:szCs w:val="24"/>
        </w:rPr>
        <w:t>日</w:t>
      </w:r>
      <w:r>
        <w:rPr>
          <w:color w:val="000000" w:themeColor="text1"/>
          <w:sz w:val="24"/>
          <w:szCs w:val="24"/>
        </w:rPr>
        <w:t>16</w:t>
      </w:r>
      <w:r>
        <w:rPr>
          <w:color w:val="000000" w:themeColor="text1"/>
          <w:sz w:val="24"/>
          <w:szCs w:val="24"/>
        </w:rPr>
        <w:t>时点火成功。</w:t>
      </w:r>
      <w:r>
        <w:rPr>
          <w:color w:val="000000" w:themeColor="text1"/>
          <w:sz w:val="24"/>
          <w:szCs w:val="24"/>
        </w:rPr>
        <w:t>27</w:t>
      </w:r>
      <w:r>
        <w:rPr>
          <w:color w:val="000000" w:themeColor="text1"/>
          <w:sz w:val="24"/>
          <w:szCs w:val="24"/>
        </w:rPr>
        <w:t>日由</w:t>
      </w:r>
      <w:r>
        <w:rPr>
          <w:color w:val="000000" w:themeColor="text1"/>
          <w:sz w:val="24"/>
          <w:szCs w:val="24"/>
        </w:rPr>
        <w:t>14</w:t>
      </w:r>
      <w:r>
        <w:rPr>
          <w:color w:val="000000" w:themeColor="text1"/>
          <w:sz w:val="24"/>
          <w:szCs w:val="24"/>
        </w:rPr>
        <w:t>名专家及技术人员组成的前线总指挥部和</w:t>
      </w:r>
      <w:r>
        <w:rPr>
          <w:color w:val="000000" w:themeColor="text1"/>
          <w:sz w:val="24"/>
          <w:szCs w:val="24"/>
        </w:rPr>
        <w:t>75</w:t>
      </w:r>
      <w:r>
        <w:rPr>
          <w:color w:val="000000" w:themeColor="text1"/>
          <w:sz w:val="24"/>
          <w:szCs w:val="24"/>
        </w:rPr>
        <w:t>名抢险队员组成的</w:t>
      </w:r>
      <w:r>
        <w:rPr>
          <w:color w:val="000000" w:themeColor="text1"/>
          <w:sz w:val="24"/>
          <w:szCs w:val="24"/>
        </w:rPr>
        <w:t>10</w:t>
      </w:r>
      <w:r>
        <w:rPr>
          <w:color w:val="000000" w:themeColor="text1"/>
          <w:sz w:val="24"/>
          <w:szCs w:val="24"/>
        </w:rPr>
        <w:t>个抢险施工组共</w:t>
      </w:r>
      <w:r>
        <w:rPr>
          <w:color w:val="000000" w:themeColor="text1"/>
          <w:sz w:val="24"/>
          <w:szCs w:val="24"/>
        </w:rPr>
        <w:t>89</w:t>
      </w:r>
      <w:r>
        <w:rPr>
          <w:color w:val="000000" w:themeColor="text1"/>
          <w:sz w:val="24"/>
          <w:szCs w:val="24"/>
        </w:rPr>
        <w:t>人进入该井井场，</w:t>
      </w:r>
      <w:r>
        <w:rPr>
          <w:color w:val="000000" w:themeColor="text1"/>
          <w:sz w:val="24"/>
          <w:szCs w:val="24"/>
        </w:rPr>
        <w:t>27</w:t>
      </w:r>
      <w:r>
        <w:rPr>
          <w:color w:val="000000" w:themeColor="text1"/>
          <w:sz w:val="24"/>
          <w:szCs w:val="24"/>
        </w:rPr>
        <w:t>日</w:t>
      </w:r>
      <w:r>
        <w:rPr>
          <w:color w:val="000000" w:themeColor="text1"/>
          <w:sz w:val="24"/>
          <w:szCs w:val="24"/>
        </w:rPr>
        <w:t>8</w:t>
      </w:r>
      <w:r>
        <w:rPr>
          <w:color w:val="000000" w:themeColor="text1"/>
          <w:sz w:val="24"/>
          <w:szCs w:val="24"/>
        </w:rPr>
        <w:t>时至</w:t>
      </w:r>
      <w:r>
        <w:rPr>
          <w:color w:val="000000" w:themeColor="text1"/>
          <w:sz w:val="24"/>
          <w:szCs w:val="24"/>
        </w:rPr>
        <w:t>9</w:t>
      </w:r>
      <w:r>
        <w:rPr>
          <w:color w:val="000000" w:themeColor="text1"/>
          <w:sz w:val="24"/>
          <w:szCs w:val="24"/>
        </w:rPr>
        <w:t>时</w:t>
      </w:r>
      <w:r>
        <w:rPr>
          <w:color w:val="000000" w:themeColor="text1"/>
          <w:sz w:val="24"/>
          <w:szCs w:val="24"/>
        </w:rPr>
        <w:t>36</w:t>
      </w:r>
      <w:r>
        <w:rPr>
          <w:color w:val="000000" w:themeColor="text1"/>
          <w:sz w:val="24"/>
          <w:szCs w:val="24"/>
        </w:rPr>
        <w:t>分压井施工准备，</w:t>
      </w:r>
      <w:r>
        <w:rPr>
          <w:color w:val="000000" w:themeColor="text1"/>
          <w:sz w:val="24"/>
          <w:szCs w:val="24"/>
        </w:rPr>
        <w:t>3</w:t>
      </w:r>
      <w:r>
        <w:rPr>
          <w:color w:val="000000" w:themeColor="text1"/>
          <w:sz w:val="24"/>
          <w:szCs w:val="24"/>
        </w:rPr>
        <w:t>条放喷管线放喷，井口压力</w:t>
      </w:r>
      <w:r>
        <w:rPr>
          <w:color w:val="000000" w:themeColor="text1"/>
          <w:sz w:val="24"/>
          <w:szCs w:val="24"/>
        </w:rPr>
        <w:t>13MPa</w:t>
      </w:r>
      <w:r>
        <w:rPr>
          <w:color w:val="000000" w:themeColor="text1"/>
          <w:sz w:val="24"/>
          <w:szCs w:val="24"/>
        </w:rPr>
        <w:t>；</w:t>
      </w:r>
      <w:r>
        <w:rPr>
          <w:color w:val="000000" w:themeColor="text1"/>
          <w:sz w:val="24"/>
          <w:szCs w:val="24"/>
        </w:rPr>
        <w:t>9</w:t>
      </w:r>
      <w:r>
        <w:rPr>
          <w:color w:val="000000" w:themeColor="text1"/>
          <w:sz w:val="24"/>
          <w:szCs w:val="24"/>
        </w:rPr>
        <w:t>时</w:t>
      </w:r>
      <w:r>
        <w:rPr>
          <w:color w:val="000000" w:themeColor="text1"/>
          <w:sz w:val="24"/>
          <w:szCs w:val="24"/>
        </w:rPr>
        <w:t>36</w:t>
      </w:r>
      <w:r>
        <w:rPr>
          <w:color w:val="000000" w:themeColor="text1"/>
          <w:sz w:val="24"/>
          <w:szCs w:val="24"/>
        </w:rPr>
        <w:t>分至</w:t>
      </w:r>
      <w:r>
        <w:rPr>
          <w:color w:val="000000" w:themeColor="text1"/>
          <w:sz w:val="24"/>
          <w:szCs w:val="24"/>
        </w:rPr>
        <w:t>10</w:t>
      </w:r>
      <w:r>
        <w:rPr>
          <w:color w:val="000000" w:themeColor="text1"/>
          <w:sz w:val="24"/>
          <w:szCs w:val="24"/>
        </w:rPr>
        <w:t>时</w:t>
      </w:r>
      <w:r>
        <w:rPr>
          <w:color w:val="000000" w:themeColor="text1"/>
          <w:sz w:val="24"/>
          <w:szCs w:val="24"/>
        </w:rPr>
        <w:t>15</w:t>
      </w:r>
      <w:r>
        <w:rPr>
          <w:color w:val="000000" w:themeColor="text1"/>
          <w:sz w:val="24"/>
          <w:szCs w:val="24"/>
        </w:rPr>
        <w:t>分用</w:t>
      </w:r>
      <w:r>
        <w:rPr>
          <w:color w:val="000000" w:themeColor="text1"/>
          <w:sz w:val="24"/>
          <w:szCs w:val="24"/>
        </w:rPr>
        <w:t>3</w:t>
      </w:r>
      <w:r>
        <w:rPr>
          <w:color w:val="000000" w:themeColor="text1"/>
          <w:sz w:val="24"/>
          <w:szCs w:val="24"/>
        </w:rPr>
        <w:t>台压裂车向井内注密度</w:t>
      </w:r>
      <w:r>
        <w:rPr>
          <w:color w:val="000000" w:themeColor="text1"/>
          <w:sz w:val="24"/>
          <w:szCs w:val="24"/>
        </w:rPr>
        <w:t>1.85</w:t>
      </w:r>
      <w:r>
        <w:rPr>
          <w:color w:val="000000" w:themeColor="text1"/>
          <w:sz w:val="24"/>
          <w:szCs w:val="24"/>
        </w:rPr>
        <w:t>～</w:t>
      </w:r>
      <w:r>
        <w:rPr>
          <w:color w:val="000000" w:themeColor="text1"/>
          <w:sz w:val="24"/>
          <w:szCs w:val="24"/>
        </w:rPr>
        <w:t>2.0g/cm</w:t>
      </w:r>
      <w:r>
        <w:rPr>
          <w:color w:val="000000" w:themeColor="text1"/>
          <w:sz w:val="24"/>
          <w:szCs w:val="24"/>
          <w:vertAlign w:val="superscript"/>
        </w:rPr>
        <w:t>3</w:t>
      </w:r>
      <w:r>
        <w:rPr>
          <w:color w:val="000000" w:themeColor="text1"/>
          <w:sz w:val="24"/>
          <w:szCs w:val="24"/>
        </w:rPr>
        <w:t>压井泥浆</w:t>
      </w:r>
      <w:r>
        <w:rPr>
          <w:color w:val="000000" w:themeColor="text1"/>
          <w:sz w:val="24"/>
          <w:szCs w:val="24"/>
        </w:rPr>
        <w:t>182.9m</w:t>
      </w:r>
      <w:r>
        <w:rPr>
          <w:color w:val="000000" w:themeColor="text1"/>
          <w:sz w:val="24"/>
          <w:szCs w:val="24"/>
          <w:vertAlign w:val="superscript"/>
        </w:rPr>
        <w:t>3</w:t>
      </w:r>
      <w:r>
        <w:rPr>
          <w:color w:val="000000" w:themeColor="text1"/>
          <w:sz w:val="24"/>
          <w:szCs w:val="24"/>
        </w:rPr>
        <w:t>，井口最大施工压力</w:t>
      </w:r>
      <w:r>
        <w:rPr>
          <w:color w:val="000000" w:themeColor="text1"/>
          <w:sz w:val="24"/>
          <w:szCs w:val="24"/>
        </w:rPr>
        <w:t>48MPa</w:t>
      </w:r>
      <w:r>
        <w:rPr>
          <w:color w:val="000000" w:themeColor="text1"/>
          <w:sz w:val="24"/>
          <w:szCs w:val="24"/>
        </w:rPr>
        <w:t>；</w:t>
      </w:r>
      <w:r>
        <w:rPr>
          <w:color w:val="000000" w:themeColor="text1"/>
          <w:sz w:val="24"/>
          <w:szCs w:val="24"/>
        </w:rPr>
        <w:t>10</w:t>
      </w:r>
      <w:r>
        <w:rPr>
          <w:color w:val="000000" w:themeColor="text1"/>
          <w:sz w:val="24"/>
          <w:szCs w:val="24"/>
        </w:rPr>
        <w:t>时</w:t>
      </w:r>
      <w:r>
        <w:rPr>
          <w:color w:val="000000" w:themeColor="text1"/>
          <w:sz w:val="24"/>
          <w:szCs w:val="24"/>
        </w:rPr>
        <w:t>15</w:t>
      </w:r>
      <w:r>
        <w:rPr>
          <w:color w:val="000000" w:themeColor="text1"/>
          <w:sz w:val="24"/>
          <w:szCs w:val="24"/>
        </w:rPr>
        <w:t>分至</w:t>
      </w:r>
      <w:r>
        <w:rPr>
          <w:color w:val="000000" w:themeColor="text1"/>
          <w:sz w:val="24"/>
          <w:szCs w:val="24"/>
        </w:rPr>
        <w:t>10</w:t>
      </w:r>
      <w:r>
        <w:rPr>
          <w:color w:val="000000" w:themeColor="text1"/>
          <w:sz w:val="24"/>
          <w:szCs w:val="24"/>
        </w:rPr>
        <w:t>时</w:t>
      </w:r>
      <w:r>
        <w:rPr>
          <w:color w:val="000000" w:themeColor="text1"/>
          <w:sz w:val="24"/>
          <w:szCs w:val="24"/>
        </w:rPr>
        <w:t>45</w:t>
      </w:r>
      <w:r>
        <w:rPr>
          <w:color w:val="000000" w:themeColor="text1"/>
          <w:sz w:val="24"/>
          <w:szCs w:val="24"/>
        </w:rPr>
        <w:t>分用</w:t>
      </w:r>
      <w:r>
        <w:rPr>
          <w:color w:val="000000" w:themeColor="text1"/>
          <w:sz w:val="24"/>
          <w:szCs w:val="24"/>
        </w:rPr>
        <w:t>2</w:t>
      </w:r>
      <w:r>
        <w:rPr>
          <w:color w:val="000000" w:themeColor="text1"/>
          <w:sz w:val="24"/>
          <w:szCs w:val="24"/>
        </w:rPr>
        <w:t>台泥浆泵注入浓度</w:t>
      </w:r>
      <w:r>
        <w:rPr>
          <w:color w:val="000000" w:themeColor="text1"/>
          <w:sz w:val="24"/>
          <w:szCs w:val="24"/>
        </w:rPr>
        <w:t>10%</w:t>
      </w:r>
      <w:r>
        <w:rPr>
          <w:color w:val="000000" w:themeColor="text1"/>
          <w:sz w:val="24"/>
          <w:szCs w:val="24"/>
        </w:rPr>
        <w:t>、密度</w:t>
      </w:r>
      <w:r>
        <w:rPr>
          <w:color w:val="000000" w:themeColor="text1"/>
          <w:sz w:val="24"/>
          <w:szCs w:val="24"/>
        </w:rPr>
        <w:t>1.50g/cm</w:t>
      </w:r>
      <w:r>
        <w:rPr>
          <w:color w:val="000000" w:themeColor="text1"/>
          <w:sz w:val="24"/>
          <w:szCs w:val="24"/>
          <w:vertAlign w:val="superscript"/>
        </w:rPr>
        <w:t>3</w:t>
      </w:r>
      <w:r>
        <w:rPr>
          <w:color w:val="000000" w:themeColor="text1"/>
          <w:sz w:val="24"/>
          <w:szCs w:val="24"/>
        </w:rPr>
        <w:t>桥塞泥浆</w:t>
      </w:r>
      <w:r>
        <w:rPr>
          <w:color w:val="000000" w:themeColor="text1"/>
          <w:sz w:val="24"/>
          <w:szCs w:val="24"/>
        </w:rPr>
        <w:t>27m</w:t>
      </w:r>
      <w:r>
        <w:rPr>
          <w:color w:val="000000" w:themeColor="text1"/>
          <w:sz w:val="24"/>
          <w:szCs w:val="24"/>
          <w:vertAlign w:val="superscript"/>
        </w:rPr>
        <w:t>3</w:t>
      </w:r>
      <w:r>
        <w:rPr>
          <w:color w:val="000000" w:themeColor="text1"/>
          <w:sz w:val="24"/>
          <w:szCs w:val="24"/>
        </w:rPr>
        <w:t>；</w:t>
      </w:r>
      <w:r>
        <w:rPr>
          <w:color w:val="000000" w:themeColor="text1"/>
          <w:sz w:val="24"/>
          <w:szCs w:val="24"/>
        </w:rPr>
        <w:t>10</w:t>
      </w:r>
      <w:r>
        <w:rPr>
          <w:color w:val="000000" w:themeColor="text1"/>
          <w:sz w:val="24"/>
          <w:szCs w:val="24"/>
        </w:rPr>
        <w:t>时</w:t>
      </w:r>
      <w:r>
        <w:rPr>
          <w:color w:val="000000" w:themeColor="text1"/>
          <w:sz w:val="24"/>
          <w:szCs w:val="24"/>
        </w:rPr>
        <w:t>45</w:t>
      </w:r>
      <w:r>
        <w:rPr>
          <w:color w:val="000000" w:themeColor="text1"/>
          <w:sz w:val="24"/>
          <w:szCs w:val="24"/>
        </w:rPr>
        <w:t>分至</w:t>
      </w:r>
      <w:r>
        <w:rPr>
          <w:color w:val="000000" w:themeColor="text1"/>
          <w:sz w:val="24"/>
          <w:szCs w:val="24"/>
        </w:rPr>
        <w:t>11</w:t>
      </w:r>
      <w:r>
        <w:rPr>
          <w:color w:val="000000" w:themeColor="text1"/>
          <w:sz w:val="24"/>
          <w:szCs w:val="24"/>
        </w:rPr>
        <w:t>时用</w:t>
      </w:r>
      <w:r>
        <w:rPr>
          <w:color w:val="000000" w:themeColor="text1"/>
          <w:sz w:val="24"/>
          <w:szCs w:val="24"/>
        </w:rPr>
        <w:t>1</w:t>
      </w:r>
      <w:r>
        <w:rPr>
          <w:color w:val="000000" w:themeColor="text1"/>
          <w:sz w:val="24"/>
          <w:szCs w:val="24"/>
        </w:rPr>
        <w:t>台压裂车向井内注密度</w:t>
      </w:r>
      <w:r>
        <w:rPr>
          <w:color w:val="000000" w:themeColor="text1"/>
          <w:sz w:val="24"/>
          <w:szCs w:val="24"/>
        </w:rPr>
        <w:t>1.85</w:t>
      </w:r>
      <w:r>
        <w:rPr>
          <w:color w:val="000000" w:themeColor="text1"/>
          <w:sz w:val="24"/>
          <w:szCs w:val="24"/>
        </w:rPr>
        <w:t>～</w:t>
      </w:r>
      <w:r>
        <w:rPr>
          <w:color w:val="000000" w:themeColor="text1"/>
          <w:sz w:val="24"/>
          <w:szCs w:val="24"/>
        </w:rPr>
        <w:t>2.0g/cm</w:t>
      </w:r>
      <w:r>
        <w:rPr>
          <w:color w:val="000000" w:themeColor="text1"/>
          <w:sz w:val="24"/>
          <w:szCs w:val="24"/>
          <w:vertAlign w:val="superscript"/>
        </w:rPr>
        <w:t>3</w:t>
      </w:r>
      <w:r>
        <w:rPr>
          <w:color w:val="000000" w:themeColor="text1"/>
          <w:sz w:val="24"/>
          <w:szCs w:val="24"/>
        </w:rPr>
        <w:t>压井泥浆</w:t>
      </w:r>
      <w:r>
        <w:rPr>
          <w:color w:val="000000" w:themeColor="text1"/>
          <w:sz w:val="24"/>
          <w:szCs w:val="24"/>
        </w:rPr>
        <w:t>20m</w:t>
      </w:r>
      <w:r>
        <w:rPr>
          <w:color w:val="000000" w:themeColor="text1"/>
          <w:sz w:val="24"/>
          <w:szCs w:val="24"/>
          <w:vertAlign w:val="superscript"/>
        </w:rPr>
        <w:t>3</w:t>
      </w:r>
      <w:r>
        <w:rPr>
          <w:color w:val="000000" w:themeColor="text1"/>
          <w:sz w:val="24"/>
          <w:szCs w:val="24"/>
        </w:rPr>
        <w:t>，压井成功。</w:t>
      </w:r>
    </w:p>
    <w:p w14:paraId="078328CF"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事故</w:t>
      </w:r>
      <w:r>
        <w:rPr>
          <w:rFonts w:hint="eastAsia"/>
          <w:color w:val="000000" w:themeColor="text1"/>
          <w:sz w:val="24"/>
          <w:szCs w:val="24"/>
        </w:rPr>
        <w:t>原因</w:t>
      </w:r>
    </w:p>
    <w:p w14:paraId="4DC136C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溢流和井喷发生原因分析</w:t>
      </w:r>
    </w:p>
    <w:p w14:paraId="085F8F98" w14:textId="77777777" w:rsidR="002E0859" w:rsidRDefault="00000000">
      <w:pPr>
        <w:pStyle w:val="a0"/>
        <w:spacing w:line="360" w:lineRule="auto"/>
        <w:ind w:firstLine="480"/>
        <w:rPr>
          <w:color w:val="000000" w:themeColor="text1"/>
          <w:sz w:val="24"/>
          <w:szCs w:val="24"/>
        </w:rPr>
      </w:pPr>
      <w:r>
        <w:rPr>
          <w:color w:val="000000" w:themeColor="text1"/>
          <w:sz w:val="24"/>
          <w:szCs w:val="24"/>
        </w:rPr>
        <w:t>2003</w:t>
      </w:r>
      <w:r>
        <w:rPr>
          <w:color w:val="000000" w:themeColor="text1"/>
          <w:sz w:val="24"/>
          <w:szCs w:val="24"/>
        </w:rPr>
        <w:t>年</w:t>
      </w:r>
      <w:r>
        <w:rPr>
          <w:color w:val="000000" w:themeColor="text1"/>
          <w:sz w:val="24"/>
          <w:szCs w:val="24"/>
        </w:rPr>
        <w:t>12</w:t>
      </w:r>
      <w:r>
        <w:rPr>
          <w:color w:val="000000" w:themeColor="text1"/>
          <w:sz w:val="24"/>
          <w:szCs w:val="24"/>
        </w:rPr>
        <w:t>月</w:t>
      </w:r>
      <w:r>
        <w:rPr>
          <w:color w:val="000000" w:themeColor="text1"/>
          <w:sz w:val="24"/>
          <w:szCs w:val="24"/>
        </w:rPr>
        <w:t>23</w:t>
      </w:r>
      <w:r>
        <w:rPr>
          <w:color w:val="000000" w:themeColor="text1"/>
          <w:sz w:val="24"/>
          <w:szCs w:val="24"/>
        </w:rPr>
        <w:t>日</w:t>
      </w:r>
      <w:r>
        <w:rPr>
          <w:color w:val="000000" w:themeColor="text1"/>
          <w:sz w:val="24"/>
          <w:szCs w:val="24"/>
        </w:rPr>
        <w:t>20</w:t>
      </w:r>
      <w:r>
        <w:rPr>
          <w:color w:val="000000" w:themeColor="text1"/>
          <w:sz w:val="24"/>
          <w:szCs w:val="24"/>
        </w:rPr>
        <w:t>时起钻，第一个小组起钻</w:t>
      </w:r>
      <w:r>
        <w:rPr>
          <w:color w:val="000000" w:themeColor="text1"/>
          <w:sz w:val="24"/>
          <w:szCs w:val="24"/>
        </w:rPr>
        <w:t>20</w:t>
      </w:r>
      <w:r>
        <w:rPr>
          <w:color w:val="000000" w:themeColor="text1"/>
          <w:sz w:val="24"/>
          <w:szCs w:val="24"/>
        </w:rPr>
        <w:t>余柱，未发现异常，</w:t>
      </w:r>
      <w:r>
        <w:rPr>
          <w:color w:val="000000" w:themeColor="text1"/>
          <w:sz w:val="24"/>
          <w:szCs w:val="24"/>
        </w:rPr>
        <w:t>2h</w:t>
      </w:r>
      <w:r>
        <w:rPr>
          <w:color w:val="000000" w:themeColor="text1"/>
          <w:sz w:val="24"/>
          <w:szCs w:val="24"/>
        </w:rPr>
        <w:t>后交由第二小组继续起钻，起出第一柱钻杆母接头泥浆是满的，没有外溢；起出两个单根后，钻杆母接头处溢流，接着发生井喷，作业人员想把钻杆下放，没下到转盘面，大方瓦就被冲飞，钻具也上顶，不能及时接回压阀，试图接顶驱也没有成功。</w:t>
      </w:r>
    </w:p>
    <w:p w14:paraId="55147423" w14:textId="77777777" w:rsidR="002E0859" w:rsidRDefault="00000000">
      <w:pPr>
        <w:pStyle w:val="a0"/>
        <w:spacing w:line="360" w:lineRule="auto"/>
        <w:ind w:firstLine="480"/>
        <w:rPr>
          <w:color w:val="000000" w:themeColor="text1"/>
          <w:sz w:val="24"/>
          <w:szCs w:val="24"/>
        </w:rPr>
      </w:pPr>
      <w:r>
        <w:rPr>
          <w:color w:val="000000" w:themeColor="text1"/>
          <w:sz w:val="24"/>
          <w:szCs w:val="24"/>
        </w:rPr>
        <w:t>地质录井报告显示，</w:t>
      </w:r>
      <w:r>
        <w:rPr>
          <w:color w:val="000000" w:themeColor="text1"/>
          <w:sz w:val="24"/>
          <w:szCs w:val="24"/>
        </w:rPr>
        <w:t>21</w:t>
      </w:r>
      <w:r>
        <w:rPr>
          <w:color w:val="000000" w:themeColor="text1"/>
          <w:sz w:val="24"/>
          <w:szCs w:val="24"/>
        </w:rPr>
        <w:t>时</w:t>
      </w:r>
      <w:r>
        <w:rPr>
          <w:color w:val="000000" w:themeColor="text1"/>
          <w:sz w:val="24"/>
          <w:szCs w:val="24"/>
        </w:rPr>
        <w:t>51</w:t>
      </w:r>
      <w:r>
        <w:rPr>
          <w:color w:val="000000" w:themeColor="text1"/>
          <w:sz w:val="24"/>
          <w:szCs w:val="24"/>
        </w:rPr>
        <w:t>分起钻至</w:t>
      </w:r>
      <w:r>
        <w:rPr>
          <w:color w:val="000000" w:themeColor="text1"/>
          <w:sz w:val="24"/>
          <w:szCs w:val="24"/>
        </w:rPr>
        <w:t>195.31m</w:t>
      </w:r>
      <w:r>
        <w:rPr>
          <w:color w:val="000000" w:themeColor="text1"/>
          <w:sz w:val="24"/>
          <w:szCs w:val="24"/>
        </w:rPr>
        <w:t>时，发现溢流</w:t>
      </w:r>
      <w:r>
        <w:rPr>
          <w:color w:val="000000" w:themeColor="text1"/>
          <w:sz w:val="24"/>
          <w:szCs w:val="24"/>
        </w:rPr>
        <w:t>1</w:t>
      </w:r>
      <w:r>
        <w:rPr>
          <w:rFonts w:hint="eastAsia"/>
          <w:color w:val="000000" w:themeColor="text1"/>
          <w:sz w:val="24"/>
          <w:szCs w:val="24"/>
        </w:rPr>
        <w:t>.</w:t>
      </w:r>
      <w:r>
        <w:rPr>
          <w:color w:val="000000" w:themeColor="text1"/>
          <w:sz w:val="24"/>
          <w:szCs w:val="24"/>
        </w:rPr>
        <w:t>lm</w:t>
      </w:r>
      <w:r>
        <w:rPr>
          <w:color w:val="000000" w:themeColor="text1"/>
          <w:sz w:val="24"/>
          <w:szCs w:val="24"/>
          <w:vertAlign w:val="superscript"/>
        </w:rPr>
        <w:t>3</w:t>
      </w:r>
      <w:r>
        <w:rPr>
          <w:color w:val="000000" w:themeColor="text1"/>
          <w:sz w:val="24"/>
          <w:szCs w:val="24"/>
        </w:rPr>
        <w:t>（录井时间记录与钻井时间记录相差</w:t>
      </w:r>
      <w:r>
        <w:rPr>
          <w:color w:val="000000" w:themeColor="text1"/>
          <w:sz w:val="24"/>
          <w:szCs w:val="24"/>
        </w:rPr>
        <w:t>10</w:t>
      </w:r>
      <w:r>
        <w:rPr>
          <w:color w:val="000000" w:themeColor="text1"/>
          <w:sz w:val="24"/>
          <w:szCs w:val="24"/>
        </w:rPr>
        <w:t>～</w:t>
      </w:r>
      <w:r>
        <w:rPr>
          <w:color w:val="000000" w:themeColor="text1"/>
          <w:sz w:val="24"/>
          <w:szCs w:val="24"/>
        </w:rPr>
        <w:t>25min</w:t>
      </w:r>
      <w:r>
        <w:rPr>
          <w:color w:val="000000" w:themeColor="text1"/>
          <w:sz w:val="24"/>
          <w:szCs w:val="24"/>
        </w:rPr>
        <w:t>），当报告给钻台时，实际已发生了井喷。从起下钻实时</w:t>
      </w:r>
      <w:r>
        <w:rPr>
          <w:rFonts w:hint="eastAsia"/>
          <w:color w:val="000000" w:themeColor="text1"/>
          <w:sz w:val="24"/>
          <w:szCs w:val="24"/>
        </w:rPr>
        <w:t>，</w:t>
      </w:r>
      <w:r>
        <w:rPr>
          <w:color w:val="000000" w:themeColor="text1"/>
          <w:sz w:val="24"/>
          <w:szCs w:val="24"/>
        </w:rPr>
        <w:t>报告表上可以看出溢流开始时间为</w:t>
      </w:r>
      <w:r>
        <w:rPr>
          <w:color w:val="000000" w:themeColor="text1"/>
          <w:sz w:val="24"/>
          <w:szCs w:val="24"/>
        </w:rPr>
        <w:t>21</w:t>
      </w:r>
      <w:r>
        <w:rPr>
          <w:color w:val="000000" w:themeColor="text1"/>
          <w:sz w:val="24"/>
          <w:szCs w:val="24"/>
        </w:rPr>
        <w:t>时</w:t>
      </w:r>
      <w:r>
        <w:rPr>
          <w:color w:val="000000" w:themeColor="text1"/>
          <w:sz w:val="24"/>
          <w:szCs w:val="24"/>
        </w:rPr>
        <w:t>42</w:t>
      </w:r>
      <w:r>
        <w:rPr>
          <w:color w:val="000000" w:themeColor="text1"/>
          <w:sz w:val="24"/>
          <w:szCs w:val="24"/>
        </w:rPr>
        <w:t>分，井喷时间为</w:t>
      </w:r>
      <w:r>
        <w:rPr>
          <w:color w:val="000000" w:themeColor="text1"/>
          <w:sz w:val="24"/>
          <w:szCs w:val="24"/>
        </w:rPr>
        <w:t>21</w:t>
      </w:r>
      <w:r>
        <w:rPr>
          <w:color w:val="000000" w:themeColor="text1"/>
          <w:sz w:val="24"/>
          <w:szCs w:val="24"/>
        </w:rPr>
        <w:t>时</w:t>
      </w:r>
      <w:r>
        <w:rPr>
          <w:color w:val="000000" w:themeColor="text1"/>
          <w:sz w:val="24"/>
          <w:szCs w:val="24"/>
        </w:rPr>
        <w:t>57</w:t>
      </w:r>
      <w:r>
        <w:rPr>
          <w:color w:val="000000" w:themeColor="text1"/>
          <w:sz w:val="24"/>
          <w:szCs w:val="24"/>
        </w:rPr>
        <w:t>分。说明溢流的预兆发现较晚，失去了抢接回压阀的时机。</w:t>
      </w:r>
    </w:p>
    <w:p w14:paraId="0CB84C38"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color w:val="000000" w:themeColor="text1"/>
          <w:sz w:val="24"/>
          <w:szCs w:val="24"/>
        </w:rPr>
        <w:t>）溢流预兆不能及时发现的原因</w:t>
      </w:r>
    </w:p>
    <w:p w14:paraId="1550AA3B" w14:textId="77777777" w:rsidR="002E0859" w:rsidRDefault="00000000">
      <w:pPr>
        <w:pStyle w:val="a0"/>
        <w:spacing w:line="360" w:lineRule="auto"/>
        <w:ind w:firstLine="480"/>
        <w:rPr>
          <w:color w:val="000000" w:themeColor="text1"/>
          <w:sz w:val="24"/>
          <w:szCs w:val="24"/>
        </w:rPr>
      </w:pPr>
      <w:r>
        <w:rPr>
          <w:color w:val="000000" w:themeColor="text1"/>
          <w:sz w:val="24"/>
          <w:szCs w:val="24"/>
        </w:rPr>
        <w:t>①</w:t>
      </w:r>
      <w:r>
        <w:rPr>
          <w:color w:val="000000" w:themeColor="text1"/>
          <w:sz w:val="24"/>
          <w:szCs w:val="24"/>
        </w:rPr>
        <w:t>钻台和钻井液岗未设专人观察井口和灌浆量变化。</w:t>
      </w:r>
    </w:p>
    <w:p w14:paraId="529F6184" w14:textId="77777777" w:rsidR="002E0859" w:rsidRDefault="00000000">
      <w:pPr>
        <w:pStyle w:val="a0"/>
        <w:spacing w:line="360" w:lineRule="auto"/>
        <w:ind w:firstLine="480"/>
        <w:rPr>
          <w:color w:val="000000" w:themeColor="text1"/>
          <w:sz w:val="24"/>
          <w:szCs w:val="24"/>
        </w:rPr>
      </w:pPr>
      <w:r>
        <w:rPr>
          <w:color w:val="000000" w:themeColor="text1"/>
          <w:sz w:val="24"/>
          <w:szCs w:val="24"/>
        </w:rPr>
        <w:t>②</w:t>
      </w:r>
      <w:r>
        <w:rPr>
          <w:color w:val="000000" w:themeColor="text1"/>
          <w:sz w:val="24"/>
          <w:szCs w:val="24"/>
        </w:rPr>
        <w:t>钻井液由泥浆泵直灌，很难发现灌不进或进少出多的情况；另外，通过泥浆池液面变化来预报溢流，会因泥浆池表面积大，当溢流刚开始且量少时难以及时发现。</w:t>
      </w:r>
    </w:p>
    <w:p w14:paraId="476CD4C0" w14:textId="77777777" w:rsidR="002E0859" w:rsidRDefault="00000000">
      <w:pPr>
        <w:pStyle w:val="a0"/>
        <w:spacing w:line="360" w:lineRule="auto"/>
        <w:ind w:firstLine="480"/>
        <w:rPr>
          <w:color w:val="000000" w:themeColor="text1"/>
          <w:sz w:val="24"/>
          <w:szCs w:val="24"/>
        </w:rPr>
      </w:pPr>
      <w:r>
        <w:rPr>
          <w:color w:val="000000" w:themeColor="text1"/>
          <w:sz w:val="24"/>
          <w:szCs w:val="24"/>
        </w:rPr>
        <w:t>③</w:t>
      </w:r>
      <w:r>
        <w:rPr>
          <w:color w:val="000000" w:themeColor="text1"/>
          <w:sz w:val="24"/>
          <w:szCs w:val="24"/>
        </w:rPr>
        <w:t>依据出口泥浆电导率的变化来预报，要待高电导率的天然气出来才能发现，预报时间过晚。</w:t>
      </w:r>
    </w:p>
    <w:p w14:paraId="352AB4C0"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color w:val="000000" w:themeColor="text1"/>
          <w:sz w:val="24"/>
          <w:szCs w:val="24"/>
        </w:rPr>
        <w:t>）溢流发生的原因</w:t>
      </w:r>
    </w:p>
    <w:p w14:paraId="4264EBE9"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溢流是井涌、井喷的初始阶段，是由于井底压力小于地层孔隙压力造成地层流体迸入井筒，使井口返出量大于泵入量或在停泵后钻井液从井口自动外溢的现象。造成井底压力下降而不能平衡地层压力的因素是多方面的，该井溢流的主要直接原因有：</w:t>
      </w:r>
    </w:p>
    <w:p w14:paraId="34BB3265" w14:textId="77777777" w:rsidR="002E0859" w:rsidRDefault="00000000">
      <w:pPr>
        <w:pStyle w:val="a0"/>
        <w:spacing w:line="360" w:lineRule="auto"/>
        <w:ind w:firstLine="480"/>
        <w:rPr>
          <w:color w:val="000000" w:themeColor="text1"/>
          <w:sz w:val="24"/>
          <w:szCs w:val="24"/>
        </w:rPr>
      </w:pPr>
      <w:r>
        <w:rPr>
          <w:color w:val="000000" w:themeColor="text1"/>
          <w:sz w:val="24"/>
          <w:szCs w:val="24"/>
        </w:rPr>
        <w:t>①</w:t>
      </w:r>
      <w:r>
        <w:rPr>
          <w:color w:val="000000" w:themeColor="text1"/>
          <w:sz w:val="24"/>
          <w:szCs w:val="24"/>
        </w:rPr>
        <w:t>起钻前循环泥浆时间短，没有将井下岩屑和气体全部排除，井内钻井液密度尚未均匀就起钻，造成井底压力的降低。从记录曲线反映</w:t>
      </w:r>
      <w:r>
        <w:rPr>
          <w:color w:val="000000" w:themeColor="text1"/>
          <w:sz w:val="24"/>
          <w:szCs w:val="24"/>
        </w:rPr>
        <w:t>2</w:t>
      </w:r>
      <w:r>
        <w:rPr>
          <w:color w:val="000000" w:themeColor="text1"/>
          <w:sz w:val="24"/>
          <w:szCs w:val="24"/>
        </w:rPr>
        <w:t>时</w:t>
      </w:r>
      <w:r>
        <w:rPr>
          <w:color w:val="000000" w:themeColor="text1"/>
          <w:sz w:val="24"/>
          <w:szCs w:val="24"/>
        </w:rPr>
        <w:t>55</w:t>
      </w:r>
      <w:r>
        <w:rPr>
          <w:color w:val="000000" w:themeColor="text1"/>
          <w:sz w:val="24"/>
          <w:szCs w:val="24"/>
        </w:rPr>
        <w:t>分前井底加有钻压（</w:t>
      </w:r>
      <w:r>
        <w:rPr>
          <w:color w:val="000000" w:themeColor="text1"/>
          <w:sz w:val="24"/>
          <w:szCs w:val="24"/>
        </w:rPr>
        <w:t>130</w:t>
      </w:r>
      <w:r>
        <w:rPr>
          <w:color w:val="000000" w:themeColor="text1"/>
          <w:sz w:val="24"/>
          <w:szCs w:val="24"/>
        </w:rPr>
        <w:t>～</w:t>
      </w:r>
      <w:r>
        <w:rPr>
          <w:color w:val="000000" w:themeColor="text1"/>
          <w:sz w:val="24"/>
          <w:szCs w:val="24"/>
        </w:rPr>
        <w:t>160</w:t>
      </w:r>
      <w:r>
        <w:rPr>
          <w:color w:val="000000" w:themeColor="text1"/>
          <w:sz w:val="24"/>
          <w:szCs w:val="24"/>
        </w:rPr>
        <w:t>）</w:t>
      </w:r>
      <w:r>
        <w:rPr>
          <w:color w:val="000000" w:themeColor="text1"/>
          <w:sz w:val="24"/>
          <w:szCs w:val="24"/>
        </w:rPr>
        <w:t>kN</w:t>
      </w:r>
      <w:r>
        <w:rPr>
          <w:color w:val="000000" w:themeColor="text1"/>
          <w:sz w:val="24"/>
          <w:szCs w:val="24"/>
        </w:rPr>
        <w:t>，</w:t>
      </w:r>
      <w:r>
        <w:rPr>
          <w:color w:val="000000" w:themeColor="text1"/>
          <w:sz w:val="24"/>
          <w:szCs w:val="24"/>
        </w:rPr>
        <w:t>3</w:t>
      </w:r>
      <w:r>
        <w:rPr>
          <w:color w:val="000000" w:themeColor="text1"/>
          <w:sz w:val="24"/>
          <w:szCs w:val="24"/>
        </w:rPr>
        <w:t>时</w:t>
      </w:r>
      <w:r>
        <w:rPr>
          <w:color w:val="000000" w:themeColor="text1"/>
          <w:sz w:val="24"/>
          <w:szCs w:val="24"/>
        </w:rPr>
        <w:t>30</w:t>
      </w:r>
      <w:r>
        <w:rPr>
          <w:color w:val="000000" w:themeColor="text1"/>
          <w:sz w:val="24"/>
          <w:szCs w:val="24"/>
        </w:rPr>
        <w:t>分已停泵，可以确认循环时间是</w:t>
      </w:r>
      <w:r>
        <w:rPr>
          <w:color w:val="000000" w:themeColor="text1"/>
          <w:sz w:val="24"/>
          <w:szCs w:val="24"/>
        </w:rPr>
        <w:t>35min</w:t>
      </w:r>
      <w:r>
        <w:rPr>
          <w:color w:val="000000" w:themeColor="text1"/>
          <w:sz w:val="24"/>
          <w:szCs w:val="24"/>
        </w:rPr>
        <w:t>（迟到时间为</w:t>
      </w:r>
      <w:r>
        <w:rPr>
          <w:color w:val="000000" w:themeColor="text1"/>
          <w:sz w:val="24"/>
          <w:szCs w:val="24"/>
        </w:rPr>
        <w:t>62min</w:t>
      </w:r>
      <w:r>
        <w:rPr>
          <w:color w:val="000000" w:themeColor="text1"/>
          <w:sz w:val="24"/>
          <w:szCs w:val="24"/>
        </w:rPr>
        <w:t>），循环时的排量为</w:t>
      </w:r>
      <w:r>
        <w:rPr>
          <w:color w:val="000000" w:themeColor="text1"/>
          <w:sz w:val="24"/>
          <w:szCs w:val="24"/>
        </w:rPr>
        <w:t>26L/s</w:t>
      </w:r>
      <w:r>
        <w:rPr>
          <w:color w:val="000000" w:themeColor="text1"/>
          <w:sz w:val="24"/>
          <w:szCs w:val="24"/>
        </w:rPr>
        <w:t>，因为是按冲数计算，若考虑钻井泵上水效率</w:t>
      </w:r>
      <w:r>
        <w:rPr>
          <w:color w:val="000000" w:themeColor="text1"/>
          <w:sz w:val="24"/>
          <w:szCs w:val="24"/>
        </w:rPr>
        <w:t>96%</w:t>
      </w:r>
      <w:r>
        <w:rPr>
          <w:color w:val="000000" w:themeColor="text1"/>
          <w:sz w:val="24"/>
          <w:szCs w:val="24"/>
        </w:rPr>
        <w:t>，排量应为</w:t>
      </w:r>
      <w:r>
        <w:rPr>
          <w:color w:val="000000" w:themeColor="text1"/>
          <w:sz w:val="24"/>
          <w:szCs w:val="24"/>
        </w:rPr>
        <w:t>1.498m</w:t>
      </w:r>
      <w:r>
        <w:rPr>
          <w:color w:val="000000" w:themeColor="text1"/>
          <w:sz w:val="24"/>
          <w:szCs w:val="24"/>
          <w:vertAlign w:val="superscript"/>
        </w:rPr>
        <w:t>3</w:t>
      </w:r>
      <w:r>
        <w:rPr>
          <w:color w:val="000000" w:themeColor="text1"/>
          <w:sz w:val="24"/>
          <w:szCs w:val="24"/>
        </w:rPr>
        <w:t>/min</w:t>
      </w:r>
      <w:r>
        <w:rPr>
          <w:color w:val="000000" w:themeColor="text1"/>
          <w:sz w:val="24"/>
          <w:szCs w:val="24"/>
        </w:rPr>
        <w:t>（与钻井技术员提供的排量</w:t>
      </w:r>
      <w:r>
        <w:rPr>
          <w:color w:val="000000" w:themeColor="text1"/>
          <w:sz w:val="24"/>
          <w:szCs w:val="24"/>
        </w:rPr>
        <w:t>1.5m</w:t>
      </w:r>
      <w:r>
        <w:rPr>
          <w:color w:val="000000" w:themeColor="text1"/>
          <w:sz w:val="24"/>
          <w:szCs w:val="24"/>
          <w:vertAlign w:val="superscript"/>
        </w:rPr>
        <w:t>3</w:t>
      </w:r>
      <w:r>
        <w:rPr>
          <w:color w:val="000000" w:themeColor="text1"/>
          <w:sz w:val="24"/>
          <w:szCs w:val="24"/>
        </w:rPr>
        <w:t>/min</w:t>
      </w:r>
      <w:r>
        <w:rPr>
          <w:color w:val="000000" w:themeColor="text1"/>
          <w:sz w:val="24"/>
          <w:szCs w:val="24"/>
        </w:rPr>
        <w:t>是符合的），因此循环过程中共打入井内钻井液为</w:t>
      </w:r>
      <w:r>
        <w:rPr>
          <w:color w:val="000000" w:themeColor="text1"/>
          <w:sz w:val="24"/>
          <w:szCs w:val="24"/>
        </w:rPr>
        <w:t>52.55</w:t>
      </w:r>
      <w:r>
        <w:rPr>
          <w:color w:val="000000" w:themeColor="text1"/>
          <w:sz w:val="24"/>
          <w:szCs w:val="24"/>
        </w:rPr>
        <w:t>（</w:t>
      </w:r>
      <w:r>
        <w:rPr>
          <w:color w:val="000000" w:themeColor="text1"/>
          <w:sz w:val="24"/>
          <w:szCs w:val="24"/>
        </w:rPr>
        <w:t>35×1.5</w:t>
      </w:r>
      <w:r>
        <w:rPr>
          <w:color w:val="000000" w:themeColor="text1"/>
          <w:sz w:val="24"/>
          <w:szCs w:val="24"/>
        </w:rPr>
        <w:t>）</w:t>
      </w:r>
      <w:r>
        <w:rPr>
          <w:color w:val="000000" w:themeColor="text1"/>
          <w:sz w:val="24"/>
          <w:szCs w:val="24"/>
        </w:rPr>
        <w:t>m</w:t>
      </w:r>
      <w:r>
        <w:rPr>
          <w:color w:val="000000" w:themeColor="text1"/>
          <w:sz w:val="24"/>
          <w:szCs w:val="24"/>
          <w:vertAlign w:val="superscript"/>
        </w:rPr>
        <w:t>3</w:t>
      </w:r>
      <w:r>
        <w:rPr>
          <w:color w:val="000000" w:themeColor="text1"/>
          <w:sz w:val="24"/>
          <w:szCs w:val="24"/>
        </w:rPr>
        <w:t>。按照</w:t>
      </w:r>
      <w:r>
        <w:rPr>
          <w:color w:val="000000" w:themeColor="text1"/>
          <w:sz w:val="24"/>
          <w:szCs w:val="24"/>
        </w:rPr>
        <w:t>Φ215.9mm</w:t>
      </w:r>
      <w:r>
        <w:rPr>
          <w:color w:val="000000" w:themeColor="text1"/>
          <w:sz w:val="24"/>
          <w:szCs w:val="24"/>
        </w:rPr>
        <w:t>的井径和</w:t>
      </w:r>
      <w:r>
        <w:rPr>
          <w:color w:val="000000" w:themeColor="text1"/>
          <w:sz w:val="24"/>
          <w:szCs w:val="24"/>
        </w:rPr>
        <w:t>Φ127mm</w:t>
      </w:r>
      <w:r>
        <w:rPr>
          <w:color w:val="000000" w:themeColor="text1"/>
          <w:sz w:val="24"/>
          <w:szCs w:val="24"/>
        </w:rPr>
        <w:t>钻杆形成的环行空间，</w:t>
      </w:r>
      <w:r>
        <w:rPr>
          <w:color w:val="000000" w:themeColor="text1"/>
          <w:sz w:val="24"/>
          <w:szCs w:val="24"/>
        </w:rPr>
        <w:t>52.55m</w:t>
      </w:r>
      <w:r>
        <w:rPr>
          <w:color w:val="000000" w:themeColor="text1"/>
          <w:sz w:val="24"/>
          <w:szCs w:val="24"/>
          <w:vertAlign w:val="superscript"/>
        </w:rPr>
        <w:t>3</w:t>
      </w:r>
      <w:r>
        <w:rPr>
          <w:color w:val="000000" w:themeColor="text1"/>
          <w:sz w:val="24"/>
          <w:szCs w:val="24"/>
        </w:rPr>
        <w:t>钻井液只占</w:t>
      </w:r>
      <w:r>
        <w:rPr>
          <w:color w:val="000000" w:themeColor="text1"/>
          <w:sz w:val="24"/>
          <w:szCs w:val="24"/>
        </w:rPr>
        <w:t>2178m</w:t>
      </w:r>
      <w:r>
        <w:rPr>
          <w:color w:val="000000" w:themeColor="text1"/>
          <w:sz w:val="24"/>
          <w:szCs w:val="24"/>
        </w:rPr>
        <w:t>长的井段，还有</w:t>
      </w:r>
      <w:r>
        <w:rPr>
          <w:color w:val="000000" w:themeColor="text1"/>
          <w:sz w:val="24"/>
          <w:szCs w:val="24"/>
        </w:rPr>
        <w:t>1870m</w:t>
      </w:r>
      <w:r>
        <w:rPr>
          <w:color w:val="000000" w:themeColor="text1"/>
          <w:sz w:val="24"/>
          <w:szCs w:val="24"/>
        </w:rPr>
        <w:t>的环行容积的钻井液含气。这些气体不断地滑移上窜，体积不断膨胀，当它上升到井筒上部时体积将逐渐膨胀顶出钻井液，这就造成井下液柱压力下降。因此，循环不干净是造成液柱压力下降的重要原因之一。</w:t>
      </w:r>
    </w:p>
    <w:p w14:paraId="0C8923FD" w14:textId="77777777" w:rsidR="002E0859" w:rsidRDefault="00000000">
      <w:pPr>
        <w:pStyle w:val="a0"/>
        <w:spacing w:line="360" w:lineRule="auto"/>
        <w:ind w:firstLine="480"/>
        <w:rPr>
          <w:color w:val="000000" w:themeColor="text1"/>
          <w:sz w:val="24"/>
          <w:szCs w:val="24"/>
        </w:rPr>
      </w:pPr>
      <w:r>
        <w:rPr>
          <w:color w:val="000000" w:themeColor="text1"/>
          <w:sz w:val="24"/>
          <w:szCs w:val="24"/>
        </w:rPr>
        <w:t>②</w:t>
      </w:r>
      <w:r>
        <w:rPr>
          <w:color w:val="000000" w:themeColor="text1"/>
          <w:sz w:val="24"/>
          <w:szCs w:val="24"/>
        </w:rPr>
        <w:t>起钻未按制度要求灌钻井液，造成井下液柱压力降低，是产生溢流的一个重要原因。</w:t>
      </w:r>
    </w:p>
    <w:p w14:paraId="0436457B" w14:textId="77777777" w:rsidR="002E0859" w:rsidRDefault="00000000">
      <w:pPr>
        <w:pStyle w:val="a0"/>
        <w:spacing w:line="360" w:lineRule="auto"/>
        <w:ind w:firstLine="480"/>
        <w:rPr>
          <w:color w:val="000000" w:themeColor="text1"/>
          <w:sz w:val="24"/>
          <w:szCs w:val="24"/>
        </w:rPr>
      </w:pPr>
      <w:r>
        <w:rPr>
          <w:color w:val="000000" w:themeColor="text1"/>
          <w:sz w:val="24"/>
          <w:szCs w:val="24"/>
        </w:rPr>
        <w:t>较长时间未灌钻井液或未灌满钻井液，会造成井筒内的液面下降，给地层流体进入井内并给井内的气体上窜提供了机会，到了一定的程度就会形成溢流，诱发井涌，甚至井喷。</w:t>
      </w:r>
    </w:p>
    <w:p w14:paraId="31142560" w14:textId="77777777" w:rsidR="002E0859" w:rsidRDefault="00000000">
      <w:pPr>
        <w:pStyle w:val="a0"/>
        <w:spacing w:line="360" w:lineRule="auto"/>
        <w:ind w:firstLine="480"/>
        <w:rPr>
          <w:color w:val="000000" w:themeColor="text1"/>
          <w:sz w:val="24"/>
          <w:szCs w:val="24"/>
        </w:rPr>
      </w:pPr>
      <w:r>
        <w:rPr>
          <w:color w:val="000000" w:themeColor="text1"/>
          <w:sz w:val="24"/>
          <w:szCs w:val="24"/>
        </w:rPr>
        <w:t>按规定井队起钻每</w:t>
      </w:r>
      <w:r>
        <w:rPr>
          <w:color w:val="000000" w:themeColor="text1"/>
          <w:sz w:val="24"/>
          <w:szCs w:val="24"/>
        </w:rPr>
        <w:t>3</w:t>
      </w:r>
      <w:r>
        <w:rPr>
          <w:color w:val="000000" w:themeColor="text1"/>
          <w:sz w:val="24"/>
          <w:szCs w:val="24"/>
        </w:rPr>
        <w:t>柱灌满一次浆是合适的。但该井</w:t>
      </w:r>
      <w:r>
        <w:rPr>
          <w:color w:val="000000" w:themeColor="text1"/>
          <w:sz w:val="24"/>
          <w:szCs w:val="24"/>
        </w:rPr>
        <w:t>12</w:t>
      </w:r>
      <w:r>
        <w:rPr>
          <w:color w:val="000000" w:themeColor="text1"/>
          <w:sz w:val="24"/>
          <w:szCs w:val="24"/>
        </w:rPr>
        <w:t>月</w:t>
      </w:r>
      <w:r>
        <w:rPr>
          <w:color w:val="000000" w:themeColor="text1"/>
          <w:sz w:val="24"/>
          <w:szCs w:val="24"/>
        </w:rPr>
        <w:t>23</w:t>
      </w:r>
      <w:r>
        <w:rPr>
          <w:color w:val="000000" w:themeColor="text1"/>
          <w:sz w:val="24"/>
          <w:szCs w:val="24"/>
        </w:rPr>
        <w:t>日起钻时，通过实时参数记录的原始曲线反映，从起钻到事故发生共</w:t>
      </w:r>
      <w:r>
        <w:rPr>
          <w:color w:val="000000" w:themeColor="text1"/>
          <w:sz w:val="24"/>
          <w:szCs w:val="24"/>
        </w:rPr>
        <w:t>18.5h</w:t>
      </w:r>
      <w:r>
        <w:rPr>
          <w:color w:val="000000" w:themeColor="text1"/>
          <w:sz w:val="24"/>
          <w:szCs w:val="24"/>
        </w:rPr>
        <w:t>，起钻</w:t>
      </w:r>
      <w:r>
        <w:rPr>
          <w:color w:val="000000" w:themeColor="text1"/>
          <w:sz w:val="24"/>
          <w:szCs w:val="24"/>
        </w:rPr>
        <w:t>120</w:t>
      </w:r>
      <w:r>
        <w:rPr>
          <w:color w:val="000000" w:themeColor="text1"/>
          <w:sz w:val="24"/>
          <w:szCs w:val="24"/>
        </w:rPr>
        <w:t>柱，灌浆</w:t>
      </w:r>
      <w:r>
        <w:rPr>
          <w:color w:val="000000" w:themeColor="text1"/>
          <w:sz w:val="24"/>
          <w:szCs w:val="24"/>
        </w:rPr>
        <w:t>38</w:t>
      </w:r>
      <w:r>
        <w:rPr>
          <w:color w:val="000000" w:themeColor="text1"/>
          <w:sz w:val="24"/>
          <w:szCs w:val="24"/>
        </w:rPr>
        <w:t>次，其中有</w:t>
      </w:r>
      <w:r>
        <w:rPr>
          <w:color w:val="000000" w:themeColor="text1"/>
          <w:sz w:val="24"/>
          <w:szCs w:val="24"/>
        </w:rPr>
        <w:t>9</w:t>
      </w:r>
      <w:r>
        <w:rPr>
          <w:color w:val="000000" w:themeColor="text1"/>
          <w:sz w:val="24"/>
          <w:szCs w:val="24"/>
        </w:rPr>
        <w:t>次超过了</w:t>
      </w:r>
      <w:r>
        <w:rPr>
          <w:color w:val="000000" w:themeColor="text1"/>
          <w:sz w:val="24"/>
          <w:szCs w:val="24"/>
        </w:rPr>
        <w:t>3</w:t>
      </w:r>
      <w:r>
        <w:rPr>
          <w:color w:val="000000" w:themeColor="text1"/>
          <w:sz w:val="24"/>
          <w:szCs w:val="24"/>
        </w:rPr>
        <w:t>柱才灌，最长一次</w:t>
      </w:r>
      <w:r>
        <w:rPr>
          <w:color w:val="000000" w:themeColor="text1"/>
          <w:sz w:val="24"/>
          <w:szCs w:val="24"/>
        </w:rPr>
        <w:t>9</w:t>
      </w:r>
      <w:r>
        <w:rPr>
          <w:color w:val="000000" w:themeColor="text1"/>
          <w:sz w:val="24"/>
          <w:szCs w:val="24"/>
        </w:rPr>
        <w:t>柱（第</w:t>
      </w:r>
      <w:r>
        <w:rPr>
          <w:color w:val="000000" w:themeColor="text1"/>
          <w:sz w:val="24"/>
          <w:szCs w:val="24"/>
        </w:rPr>
        <w:t>87</w:t>
      </w:r>
      <w:r>
        <w:rPr>
          <w:color w:val="000000" w:themeColor="text1"/>
          <w:sz w:val="24"/>
          <w:szCs w:val="24"/>
        </w:rPr>
        <w:t>～</w:t>
      </w:r>
      <w:r>
        <w:rPr>
          <w:color w:val="000000" w:themeColor="text1"/>
          <w:sz w:val="24"/>
          <w:szCs w:val="24"/>
        </w:rPr>
        <w:t>95</w:t>
      </w:r>
      <w:r>
        <w:rPr>
          <w:color w:val="000000" w:themeColor="text1"/>
          <w:sz w:val="24"/>
          <w:szCs w:val="24"/>
        </w:rPr>
        <w:t>柱）才灌，时间是</w:t>
      </w:r>
      <w:r>
        <w:rPr>
          <w:color w:val="000000" w:themeColor="text1"/>
          <w:sz w:val="24"/>
          <w:szCs w:val="24"/>
        </w:rPr>
        <w:t>18</w:t>
      </w:r>
      <w:r>
        <w:rPr>
          <w:color w:val="000000" w:themeColor="text1"/>
          <w:sz w:val="24"/>
          <w:szCs w:val="24"/>
        </w:rPr>
        <w:t>时</w:t>
      </w:r>
      <w:r>
        <w:rPr>
          <w:color w:val="000000" w:themeColor="text1"/>
          <w:sz w:val="24"/>
          <w:szCs w:val="24"/>
        </w:rPr>
        <w:t>40</w:t>
      </w:r>
      <w:r>
        <w:rPr>
          <w:color w:val="000000" w:themeColor="text1"/>
          <w:sz w:val="24"/>
          <w:szCs w:val="24"/>
        </w:rPr>
        <w:t>分至</w:t>
      </w:r>
      <w:r>
        <w:rPr>
          <w:color w:val="000000" w:themeColor="text1"/>
          <w:sz w:val="24"/>
          <w:szCs w:val="24"/>
        </w:rPr>
        <w:t>19</w:t>
      </w:r>
      <w:r>
        <w:rPr>
          <w:color w:val="000000" w:themeColor="text1"/>
          <w:sz w:val="24"/>
          <w:szCs w:val="24"/>
        </w:rPr>
        <w:t>时</w:t>
      </w:r>
      <w:r>
        <w:rPr>
          <w:color w:val="000000" w:themeColor="text1"/>
          <w:sz w:val="24"/>
          <w:szCs w:val="24"/>
        </w:rPr>
        <w:t>40</w:t>
      </w:r>
      <w:r>
        <w:rPr>
          <w:color w:val="000000" w:themeColor="text1"/>
          <w:sz w:val="24"/>
          <w:szCs w:val="24"/>
        </w:rPr>
        <w:t>分共</w:t>
      </w:r>
      <w:r>
        <w:rPr>
          <w:color w:val="000000" w:themeColor="text1"/>
          <w:sz w:val="24"/>
          <w:szCs w:val="24"/>
        </w:rPr>
        <w:t>1h</w:t>
      </w:r>
      <w:r>
        <w:rPr>
          <w:color w:val="000000" w:themeColor="text1"/>
          <w:sz w:val="24"/>
          <w:szCs w:val="24"/>
        </w:rPr>
        <w:t>，连续起出</w:t>
      </w:r>
      <w:r>
        <w:rPr>
          <w:color w:val="000000" w:themeColor="text1"/>
          <w:sz w:val="24"/>
          <w:szCs w:val="24"/>
        </w:rPr>
        <w:t>9</w:t>
      </w:r>
      <w:r>
        <w:rPr>
          <w:color w:val="000000" w:themeColor="text1"/>
          <w:sz w:val="24"/>
          <w:szCs w:val="24"/>
        </w:rPr>
        <w:t>柱钻杆未灌浆造成液面降低</w:t>
      </w:r>
      <w:r>
        <w:rPr>
          <w:color w:val="000000" w:themeColor="text1"/>
          <w:sz w:val="24"/>
          <w:szCs w:val="24"/>
        </w:rPr>
        <w:t>38m</w:t>
      </w:r>
      <w:r>
        <w:rPr>
          <w:color w:val="000000" w:themeColor="text1"/>
          <w:sz w:val="24"/>
          <w:szCs w:val="24"/>
        </w:rPr>
        <w:t>，按</w:t>
      </w:r>
      <w:r>
        <w:rPr>
          <w:color w:val="000000" w:themeColor="text1"/>
          <w:sz w:val="24"/>
          <w:szCs w:val="24"/>
        </w:rPr>
        <w:t>1.43g/cm</w:t>
      </w:r>
      <w:r>
        <w:rPr>
          <w:color w:val="000000" w:themeColor="text1"/>
          <w:sz w:val="24"/>
          <w:szCs w:val="24"/>
          <w:vertAlign w:val="superscript"/>
        </w:rPr>
        <w:t>3</w:t>
      </w:r>
      <w:r>
        <w:rPr>
          <w:color w:val="000000" w:themeColor="text1"/>
          <w:sz w:val="24"/>
          <w:szCs w:val="24"/>
        </w:rPr>
        <w:t>密度计算，液柱压力下降</w:t>
      </w:r>
      <w:r>
        <w:rPr>
          <w:color w:val="000000" w:themeColor="text1"/>
          <w:sz w:val="24"/>
          <w:szCs w:val="24"/>
        </w:rPr>
        <w:t>0.55MPa</w:t>
      </w:r>
      <w:r>
        <w:rPr>
          <w:color w:val="000000" w:themeColor="text1"/>
          <w:sz w:val="24"/>
          <w:szCs w:val="24"/>
        </w:rPr>
        <w:t>。</w:t>
      </w:r>
    </w:p>
    <w:p w14:paraId="6CEA955C" w14:textId="77777777" w:rsidR="002E0859" w:rsidRDefault="00000000">
      <w:pPr>
        <w:pStyle w:val="a0"/>
        <w:spacing w:line="360" w:lineRule="auto"/>
        <w:ind w:firstLine="480"/>
        <w:rPr>
          <w:color w:val="000000" w:themeColor="text1"/>
          <w:sz w:val="24"/>
          <w:szCs w:val="24"/>
        </w:rPr>
      </w:pPr>
      <w:r>
        <w:rPr>
          <w:color w:val="000000" w:themeColor="text1"/>
          <w:sz w:val="24"/>
          <w:szCs w:val="24"/>
        </w:rPr>
        <w:t>③</w:t>
      </w:r>
      <w:r>
        <w:rPr>
          <w:color w:val="000000" w:themeColor="text1"/>
          <w:sz w:val="24"/>
          <w:szCs w:val="24"/>
        </w:rPr>
        <w:t>造成井底压力下降的因素是很多的，所以在设计钻井液密度时必须有一个附加量。本井的附加量是</w:t>
      </w:r>
      <w:r>
        <w:rPr>
          <w:color w:val="000000" w:themeColor="text1"/>
          <w:sz w:val="24"/>
          <w:szCs w:val="24"/>
        </w:rPr>
        <w:t>0.15g/cm</w:t>
      </w:r>
      <w:r>
        <w:rPr>
          <w:color w:val="000000" w:themeColor="text1"/>
          <w:sz w:val="24"/>
          <w:szCs w:val="24"/>
          <w:vertAlign w:val="superscript"/>
        </w:rPr>
        <w:t>3</w:t>
      </w:r>
      <w:r>
        <w:rPr>
          <w:color w:val="000000" w:themeColor="text1"/>
          <w:sz w:val="24"/>
          <w:szCs w:val="24"/>
        </w:rPr>
        <w:t>，按规范可以满足要求。但对本井产层发育、水平段长等特殊情况，附加量是否足够值得研究探讨。确定附加量要考虑很多实际因素，如起钻的抽汲作用所产生的负压问题，本井用的是</w:t>
      </w:r>
      <w:r>
        <w:rPr>
          <w:color w:val="000000" w:themeColor="text1"/>
          <w:sz w:val="24"/>
          <w:szCs w:val="24"/>
        </w:rPr>
        <w:t>PDC</w:t>
      </w:r>
      <w:r>
        <w:rPr>
          <w:color w:val="000000" w:themeColor="text1"/>
          <w:sz w:val="24"/>
          <w:szCs w:val="24"/>
        </w:rPr>
        <w:t>钻头，</w:t>
      </w:r>
      <w:r>
        <w:rPr>
          <w:color w:val="000000" w:themeColor="text1"/>
          <w:sz w:val="24"/>
          <w:szCs w:val="24"/>
        </w:rPr>
        <w:t>PDC</w:t>
      </w:r>
      <w:r>
        <w:rPr>
          <w:color w:val="000000" w:themeColor="text1"/>
          <w:sz w:val="24"/>
          <w:szCs w:val="24"/>
        </w:rPr>
        <w:t>钻头与井壁的间隙通道较牙轮钻头小，若有一点泥包或岩屑床，在起钻时极易造成</w:t>
      </w:r>
      <w:r>
        <w:rPr>
          <w:rFonts w:hint="eastAsia"/>
          <w:color w:val="000000" w:themeColor="text1"/>
          <w:sz w:val="24"/>
          <w:szCs w:val="24"/>
        </w:rPr>
        <w:t>“</w:t>
      </w:r>
      <w:r>
        <w:rPr>
          <w:color w:val="000000" w:themeColor="text1"/>
          <w:sz w:val="24"/>
          <w:szCs w:val="24"/>
        </w:rPr>
        <w:t>拔活塞</w:t>
      </w:r>
      <w:r>
        <w:rPr>
          <w:rFonts w:hint="eastAsia"/>
          <w:color w:val="000000" w:themeColor="text1"/>
          <w:sz w:val="24"/>
          <w:szCs w:val="24"/>
        </w:rPr>
        <w:t>”</w:t>
      </w:r>
      <w:r>
        <w:rPr>
          <w:color w:val="000000" w:themeColor="text1"/>
          <w:sz w:val="24"/>
          <w:szCs w:val="24"/>
        </w:rPr>
        <w:t>而使井下形成暂时的真空，将地层流体抽出来。另外，本井的水平段是产层，已钻开的</w:t>
      </w:r>
      <w:r>
        <w:rPr>
          <w:color w:val="000000" w:themeColor="text1"/>
          <w:sz w:val="24"/>
          <w:szCs w:val="24"/>
        </w:rPr>
        <w:t>424m</w:t>
      </w:r>
      <w:r>
        <w:rPr>
          <w:color w:val="000000" w:themeColor="text1"/>
          <w:sz w:val="24"/>
          <w:szCs w:val="24"/>
        </w:rPr>
        <w:t>产层裸露也为抽汲引流提供了长距离的条件，此为造成溢流的又一因素。</w:t>
      </w:r>
    </w:p>
    <w:p w14:paraId="7E70E12E" w14:textId="77777777" w:rsidR="002E0859" w:rsidRDefault="00000000">
      <w:pPr>
        <w:pStyle w:val="a0"/>
        <w:spacing w:line="360" w:lineRule="auto"/>
        <w:ind w:firstLine="480"/>
        <w:rPr>
          <w:color w:val="000000" w:themeColor="text1"/>
          <w:sz w:val="24"/>
          <w:szCs w:val="24"/>
        </w:rPr>
      </w:pPr>
      <w:r>
        <w:rPr>
          <w:color w:val="000000" w:themeColor="text1"/>
          <w:sz w:val="24"/>
          <w:szCs w:val="24"/>
        </w:rPr>
        <w:t>④</w:t>
      </w:r>
      <w:r>
        <w:rPr>
          <w:color w:val="000000" w:themeColor="text1"/>
          <w:sz w:val="24"/>
          <w:szCs w:val="24"/>
        </w:rPr>
        <w:t>在没有循环的情况下井内的气体由于与钻井液的密度差会滑移上窜，滑移上窜速</w:t>
      </w:r>
      <w:r>
        <w:rPr>
          <w:color w:val="000000" w:themeColor="text1"/>
          <w:sz w:val="24"/>
          <w:szCs w:val="24"/>
        </w:rPr>
        <w:lastRenderedPageBreak/>
        <w:t>度受地层压力、气体的性质及钻井液性能等因素的影响。本井的钻井工程设计要求钻井作业中需进行短程起下钻，并计算气体上窜速度，以测定每趟起下钻作业的安全时间。但本井没有做这项工作，停止循环的时间越长，气体上窜越高，体积膨胀越大，井底压力越低，因此钻井工程作业中都要求井下静止时间（不循环时间）越短越好。这次钻井中用了</w:t>
      </w:r>
      <w:r>
        <w:rPr>
          <w:color w:val="000000" w:themeColor="text1"/>
          <w:sz w:val="24"/>
          <w:szCs w:val="24"/>
        </w:rPr>
        <w:t>4</w:t>
      </w:r>
      <w:r>
        <w:rPr>
          <w:color w:val="000000" w:themeColor="text1"/>
          <w:sz w:val="24"/>
          <w:szCs w:val="24"/>
        </w:rPr>
        <w:t>小时</w:t>
      </w:r>
      <w:r>
        <w:rPr>
          <w:color w:val="000000" w:themeColor="text1"/>
          <w:sz w:val="24"/>
          <w:szCs w:val="24"/>
        </w:rPr>
        <w:t>20</w:t>
      </w:r>
      <w:r>
        <w:rPr>
          <w:color w:val="000000" w:themeColor="text1"/>
          <w:sz w:val="24"/>
          <w:szCs w:val="24"/>
        </w:rPr>
        <w:t>分钟（</w:t>
      </w:r>
      <w:r>
        <w:rPr>
          <w:color w:val="000000" w:themeColor="text1"/>
          <w:sz w:val="24"/>
          <w:szCs w:val="24"/>
        </w:rPr>
        <w:t>12</w:t>
      </w:r>
      <w:r>
        <w:rPr>
          <w:color w:val="000000" w:themeColor="text1"/>
          <w:sz w:val="24"/>
          <w:szCs w:val="24"/>
        </w:rPr>
        <w:t>时至</w:t>
      </w:r>
      <w:r>
        <w:rPr>
          <w:color w:val="000000" w:themeColor="text1"/>
          <w:sz w:val="24"/>
          <w:szCs w:val="24"/>
        </w:rPr>
        <w:t>16</w:t>
      </w:r>
      <w:r>
        <w:rPr>
          <w:color w:val="000000" w:themeColor="text1"/>
          <w:sz w:val="24"/>
          <w:szCs w:val="24"/>
        </w:rPr>
        <w:t>时</w:t>
      </w:r>
      <w:r>
        <w:rPr>
          <w:color w:val="000000" w:themeColor="text1"/>
          <w:sz w:val="24"/>
          <w:szCs w:val="24"/>
        </w:rPr>
        <w:t>20</w:t>
      </w:r>
      <w:r>
        <w:rPr>
          <w:color w:val="000000" w:themeColor="text1"/>
          <w:sz w:val="24"/>
          <w:szCs w:val="24"/>
        </w:rPr>
        <w:t>分）处理顶驱滑轨偏移问题后，如果下钻通井循环再起钻，情况可能会好得多。</w:t>
      </w:r>
    </w:p>
    <w:p w14:paraId="4B7B9E2B" w14:textId="77777777" w:rsidR="002E0859" w:rsidRDefault="00000000">
      <w:pPr>
        <w:pStyle w:val="a0"/>
        <w:spacing w:line="360" w:lineRule="auto"/>
        <w:ind w:firstLine="480"/>
        <w:rPr>
          <w:color w:val="000000" w:themeColor="text1"/>
          <w:sz w:val="24"/>
          <w:szCs w:val="24"/>
        </w:rPr>
      </w:pPr>
      <w:r>
        <w:rPr>
          <w:color w:val="000000" w:themeColor="text1"/>
          <w:sz w:val="24"/>
          <w:szCs w:val="24"/>
        </w:rPr>
        <w:t>造成井底压力下降可能还有其他因素，以上原因所产生的压力降叠加在一起，导致全井的井底压力低于地层压力，地层流体严重侵入井内，造成了此次井的溢流。</w:t>
      </w:r>
    </w:p>
    <w:p w14:paraId="606FA638"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color w:val="000000" w:themeColor="text1"/>
          <w:sz w:val="24"/>
          <w:szCs w:val="24"/>
        </w:rPr>
        <w:t>）井喷原因分析</w:t>
      </w:r>
    </w:p>
    <w:p w14:paraId="3648A0F0" w14:textId="77777777" w:rsidR="002E0859" w:rsidRDefault="00000000">
      <w:pPr>
        <w:pStyle w:val="a0"/>
        <w:spacing w:line="360" w:lineRule="auto"/>
        <w:ind w:firstLine="480"/>
        <w:rPr>
          <w:color w:val="000000" w:themeColor="text1"/>
          <w:sz w:val="24"/>
          <w:szCs w:val="24"/>
        </w:rPr>
      </w:pPr>
      <w:r>
        <w:rPr>
          <w:color w:val="000000" w:themeColor="text1"/>
          <w:sz w:val="24"/>
          <w:szCs w:val="24"/>
        </w:rPr>
        <w:t>井喷是地层流体无控制地涌入井筒并喷出的一种现象。它有一个发展的过程，即井侵</w:t>
      </w:r>
      <w:r>
        <w:rPr>
          <w:color w:val="000000" w:themeColor="text1"/>
          <w:sz w:val="24"/>
          <w:szCs w:val="24"/>
        </w:rPr>
        <w:t>-</w:t>
      </w:r>
      <w:r>
        <w:rPr>
          <w:color w:val="000000" w:themeColor="text1"/>
          <w:sz w:val="24"/>
          <w:szCs w:val="24"/>
        </w:rPr>
        <w:t>溢流</w:t>
      </w:r>
      <w:r>
        <w:rPr>
          <w:color w:val="000000" w:themeColor="text1"/>
          <w:sz w:val="24"/>
          <w:szCs w:val="24"/>
        </w:rPr>
        <w:t>-</w:t>
      </w:r>
      <w:r>
        <w:rPr>
          <w:color w:val="000000" w:themeColor="text1"/>
          <w:sz w:val="24"/>
          <w:szCs w:val="24"/>
        </w:rPr>
        <w:t>井涌</w:t>
      </w:r>
      <w:r>
        <w:rPr>
          <w:color w:val="000000" w:themeColor="text1"/>
          <w:sz w:val="24"/>
          <w:szCs w:val="24"/>
        </w:rPr>
        <w:t>-</w:t>
      </w:r>
      <w:r>
        <w:rPr>
          <w:color w:val="000000" w:themeColor="text1"/>
          <w:sz w:val="24"/>
          <w:szCs w:val="24"/>
        </w:rPr>
        <w:t>井喷</w:t>
      </w:r>
      <w:r>
        <w:rPr>
          <w:color w:val="000000" w:themeColor="text1"/>
          <w:sz w:val="24"/>
          <w:szCs w:val="24"/>
        </w:rPr>
        <w:t>-</w:t>
      </w:r>
      <w:r>
        <w:rPr>
          <w:color w:val="000000" w:themeColor="text1"/>
          <w:sz w:val="24"/>
          <w:szCs w:val="24"/>
        </w:rPr>
        <w:t>井喷失控，每个环节若处理不好就会向下一个环节发展。每个环节的初始阶段都有预兆显示，早发现并及时正确处理就不会向下一个环节发展。本次事故是起钻过程中发生的，主要是溢流未被及时发现，当气测仪发现溢流</w:t>
      </w:r>
      <w:r>
        <w:rPr>
          <w:color w:val="000000" w:themeColor="text1"/>
          <w:sz w:val="24"/>
          <w:szCs w:val="24"/>
        </w:rPr>
        <w:t>1.1m</w:t>
      </w:r>
      <w:r>
        <w:rPr>
          <w:color w:val="000000" w:themeColor="text1"/>
          <w:sz w:val="24"/>
          <w:szCs w:val="24"/>
          <w:vertAlign w:val="superscript"/>
        </w:rPr>
        <w:t>3</w:t>
      </w:r>
      <w:r>
        <w:rPr>
          <w:color w:val="000000" w:themeColor="text1"/>
          <w:sz w:val="24"/>
          <w:szCs w:val="24"/>
        </w:rPr>
        <w:t>并报告时，实际已发生了井喷。该井是一口开发井，压力不高。钻井液附加值</w:t>
      </w:r>
      <w:r>
        <w:rPr>
          <w:color w:val="000000" w:themeColor="text1"/>
          <w:sz w:val="24"/>
          <w:szCs w:val="24"/>
        </w:rPr>
        <w:t>0.15g/cm</w:t>
      </w:r>
      <w:r>
        <w:rPr>
          <w:color w:val="000000" w:themeColor="text1"/>
          <w:sz w:val="24"/>
          <w:szCs w:val="24"/>
          <w:vertAlign w:val="superscript"/>
        </w:rPr>
        <w:t>3</w:t>
      </w:r>
      <w:r>
        <w:rPr>
          <w:color w:val="000000" w:themeColor="text1"/>
          <w:sz w:val="24"/>
          <w:szCs w:val="24"/>
        </w:rPr>
        <w:t>，相当于超地层压力</w:t>
      </w:r>
      <w:r>
        <w:rPr>
          <w:color w:val="000000" w:themeColor="text1"/>
          <w:sz w:val="24"/>
          <w:szCs w:val="24"/>
        </w:rPr>
        <w:t>5.lMPa</w:t>
      </w:r>
      <w:r>
        <w:rPr>
          <w:color w:val="000000" w:themeColor="text1"/>
          <w:sz w:val="24"/>
          <w:szCs w:val="24"/>
        </w:rPr>
        <w:t>。井内有钻具时，有近</w:t>
      </w:r>
      <w:r>
        <w:rPr>
          <w:color w:val="000000" w:themeColor="text1"/>
          <w:sz w:val="24"/>
          <w:szCs w:val="24"/>
        </w:rPr>
        <w:t>400m</w:t>
      </w:r>
      <w:r>
        <w:rPr>
          <w:color w:val="000000" w:themeColor="text1"/>
          <w:sz w:val="24"/>
          <w:szCs w:val="24"/>
        </w:rPr>
        <w:t>钻井液柱，即有</w:t>
      </w:r>
      <w:r>
        <w:rPr>
          <w:color w:val="000000" w:themeColor="text1"/>
          <w:sz w:val="24"/>
          <w:szCs w:val="24"/>
        </w:rPr>
        <w:t>11m</w:t>
      </w:r>
      <w:r>
        <w:rPr>
          <w:color w:val="000000" w:themeColor="text1"/>
          <w:sz w:val="24"/>
          <w:szCs w:val="24"/>
          <w:vertAlign w:val="superscript"/>
        </w:rPr>
        <w:t>3</w:t>
      </w:r>
      <w:r>
        <w:rPr>
          <w:color w:val="000000" w:themeColor="text1"/>
          <w:sz w:val="24"/>
          <w:szCs w:val="24"/>
        </w:rPr>
        <w:t>左右（除掉己发现的溢流</w:t>
      </w:r>
      <w:r>
        <w:rPr>
          <w:color w:val="000000" w:themeColor="text1"/>
          <w:sz w:val="24"/>
          <w:szCs w:val="24"/>
        </w:rPr>
        <w:t>1.1m</w:t>
      </w:r>
      <w:r>
        <w:rPr>
          <w:color w:val="000000" w:themeColor="text1"/>
          <w:sz w:val="24"/>
          <w:szCs w:val="24"/>
          <w:vertAlign w:val="superscript"/>
        </w:rPr>
        <w:t>3</w:t>
      </w:r>
      <w:r>
        <w:rPr>
          <w:color w:val="000000" w:themeColor="text1"/>
          <w:sz w:val="24"/>
          <w:szCs w:val="24"/>
        </w:rPr>
        <w:t>）钻井液被耗掉，各个环节都未及时发现。应该指出的是，起下钻的溢流预报不能按钻进工况的标准进行。此外，由于钻具上未带回压阀，导致井内流体（钻井液和天然气）直接从钻杆内喷出，失去了很好的关井控制溢流的条件，造成了严重的井喷后果。</w:t>
      </w:r>
    </w:p>
    <w:p w14:paraId="1B52F4E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井喷失控的原因分析</w:t>
      </w:r>
    </w:p>
    <w:p w14:paraId="588AE47D" w14:textId="77777777" w:rsidR="002E0859" w:rsidRDefault="00000000">
      <w:pPr>
        <w:pStyle w:val="a0"/>
        <w:spacing w:line="360" w:lineRule="auto"/>
        <w:ind w:firstLine="480"/>
        <w:rPr>
          <w:color w:val="000000" w:themeColor="text1"/>
          <w:sz w:val="24"/>
          <w:szCs w:val="24"/>
        </w:rPr>
      </w:pPr>
      <w:r>
        <w:rPr>
          <w:color w:val="000000" w:themeColor="text1"/>
          <w:sz w:val="24"/>
          <w:szCs w:val="24"/>
        </w:rPr>
        <w:t>井喷失控是指井喷发生后，无法用正常的常规方法控制井口而出现敞喷的现象。这是钻井过程中最恶性的事故。该井当时井深</w:t>
      </w:r>
      <w:r>
        <w:rPr>
          <w:color w:val="000000" w:themeColor="text1"/>
          <w:sz w:val="24"/>
          <w:szCs w:val="24"/>
        </w:rPr>
        <w:t>4049.68m</w:t>
      </w:r>
      <w:r>
        <w:rPr>
          <w:color w:val="000000" w:themeColor="text1"/>
          <w:sz w:val="24"/>
          <w:szCs w:val="24"/>
        </w:rPr>
        <w:t>起钻至</w:t>
      </w:r>
      <w:r>
        <w:rPr>
          <w:color w:val="000000" w:themeColor="text1"/>
          <w:sz w:val="24"/>
          <w:szCs w:val="24"/>
        </w:rPr>
        <w:t>195.31m</w:t>
      </w:r>
      <w:r>
        <w:rPr>
          <w:color w:val="000000" w:themeColor="text1"/>
          <w:sz w:val="24"/>
          <w:szCs w:val="24"/>
        </w:rPr>
        <w:t>发现溢流时，钻杆提出转盘面</w:t>
      </w:r>
      <w:r>
        <w:rPr>
          <w:color w:val="000000" w:themeColor="text1"/>
          <w:sz w:val="24"/>
          <w:szCs w:val="24"/>
        </w:rPr>
        <w:t>2</w:t>
      </w:r>
      <w:r>
        <w:rPr>
          <w:color w:val="000000" w:themeColor="text1"/>
          <w:sz w:val="24"/>
          <w:szCs w:val="24"/>
        </w:rPr>
        <w:t>个多单根（长度</w:t>
      </w:r>
      <w:r>
        <w:rPr>
          <w:color w:val="000000" w:themeColor="text1"/>
          <w:sz w:val="24"/>
          <w:szCs w:val="24"/>
        </w:rPr>
        <w:t>19m</w:t>
      </w:r>
      <w:r>
        <w:rPr>
          <w:color w:val="000000" w:themeColor="text1"/>
          <w:sz w:val="24"/>
          <w:szCs w:val="24"/>
        </w:rPr>
        <w:t>左右）发生井喷，大方瓦被气流冲出转盘，无法抢接回压阀，抢接顶驱未成功，关防喷器又未能控制住，造成井喷失控。</w:t>
      </w:r>
    </w:p>
    <w:p w14:paraId="636C78AF"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color w:val="000000" w:themeColor="text1"/>
          <w:sz w:val="24"/>
          <w:szCs w:val="24"/>
        </w:rPr>
        <w:t>）钻具组合未装回压阀。如果装有回压阀，井喷时井内液体、气体就不会从钻杆内喷出。打开节流管线，关防喷器，可以正常实施井控操作。</w:t>
      </w:r>
    </w:p>
    <w:p w14:paraId="535EB348" w14:textId="77777777" w:rsidR="002E0859" w:rsidRDefault="00000000">
      <w:pPr>
        <w:pStyle w:val="a0"/>
        <w:spacing w:line="360" w:lineRule="auto"/>
        <w:ind w:firstLine="480"/>
        <w:rPr>
          <w:color w:val="000000" w:themeColor="text1"/>
          <w:sz w:val="24"/>
          <w:szCs w:val="24"/>
        </w:rPr>
      </w:pPr>
      <w:r>
        <w:rPr>
          <w:color w:val="000000" w:themeColor="text1"/>
          <w:sz w:val="24"/>
          <w:szCs w:val="24"/>
        </w:rPr>
        <w:t>2003</w:t>
      </w:r>
      <w:r>
        <w:rPr>
          <w:color w:val="000000" w:themeColor="text1"/>
          <w:sz w:val="24"/>
          <w:szCs w:val="24"/>
        </w:rPr>
        <w:t>年</w:t>
      </w:r>
      <w:r>
        <w:rPr>
          <w:color w:val="000000" w:themeColor="text1"/>
          <w:sz w:val="24"/>
          <w:szCs w:val="24"/>
        </w:rPr>
        <w:t>9</w:t>
      </w:r>
      <w:r>
        <w:rPr>
          <w:color w:val="000000" w:themeColor="text1"/>
          <w:sz w:val="24"/>
          <w:szCs w:val="24"/>
        </w:rPr>
        <w:t>月</w:t>
      </w:r>
      <w:r>
        <w:rPr>
          <w:color w:val="000000" w:themeColor="text1"/>
          <w:sz w:val="24"/>
          <w:szCs w:val="24"/>
        </w:rPr>
        <w:t>28</w:t>
      </w:r>
      <w:r>
        <w:rPr>
          <w:color w:val="000000" w:themeColor="text1"/>
          <w:sz w:val="24"/>
          <w:szCs w:val="24"/>
        </w:rPr>
        <w:t>日该井钻开油气层现场办公要求第一条内容是：从钻开油气层前到完钻作业结束必须始终在钻具上安装内防喷工具（包括钻具回压阀和方钻杆上下旋塞），这次下钻没有按此要求执行。</w:t>
      </w:r>
    </w:p>
    <w:p w14:paraId="7310A599" w14:textId="77777777" w:rsidR="002E0859" w:rsidRDefault="00000000">
      <w:pPr>
        <w:pStyle w:val="a0"/>
        <w:spacing w:line="360" w:lineRule="auto"/>
        <w:ind w:firstLine="480"/>
        <w:rPr>
          <w:color w:val="000000" w:themeColor="text1"/>
          <w:sz w:val="24"/>
          <w:szCs w:val="24"/>
        </w:rPr>
      </w:pPr>
      <w:r>
        <w:rPr>
          <w:color w:val="000000" w:themeColor="text1"/>
          <w:sz w:val="24"/>
          <w:szCs w:val="24"/>
        </w:rPr>
        <w:t>实际用的钻具组合没有安装回压阀，查其原因是：本趟在下钻时，由于更换了无线随钻测斜仪，仪器操作者认为由于使用</w:t>
      </w:r>
      <w:r>
        <w:rPr>
          <w:color w:val="000000" w:themeColor="text1"/>
          <w:sz w:val="24"/>
          <w:szCs w:val="24"/>
        </w:rPr>
        <w:t>MWD</w:t>
      </w:r>
      <w:r>
        <w:rPr>
          <w:color w:val="000000" w:themeColor="text1"/>
          <w:sz w:val="24"/>
          <w:szCs w:val="24"/>
        </w:rPr>
        <w:t>无线随钻测斜仪，钻具中安装回压阀影响</w:t>
      </w:r>
      <w:r>
        <w:rPr>
          <w:color w:val="000000" w:themeColor="text1"/>
          <w:sz w:val="24"/>
          <w:szCs w:val="24"/>
        </w:rPr>
        <w:lastRenderedPageBreak/>
        <w:t>测量，定向井现场施工人员决定拆除回压阀，卸下回压阀是本次井喷失控的直接原因。</w:t>
      </w:r>
    </w:p>
    <w:p w14:paraId="60ADD39E"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color w:val="000000" w:themeColor="text1"/>
          <w:sz w:val="24"/>
          <w:szCs w:val="24"/>
        </w:rPr>
        <w:t>）防喷器组中没有装剪切闸板防喷器。剪切闸板能把井内的钻具切断，使井孔全部关闭。井队若当时安装有剪切闸板，井喷时用剪切闸板挤扁井口钻杆，在当时情况下是必要的，不但可以扑灭井口着火，同时使喷流大大减小形成套压，完全可以实现从放喷管线出口放喷点火，防止事态的扩大。</w:t>
      </w:r>
    </w:p>
    <w:p w14:paraId="079C4A1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事态扩大的原因分析</w:t>
      </w:r>
    </w:p>
    <w:p w14:paraId="11D3FBBA" w14:textId="77777777" w:rsidR="002E0859" w:rsidRDefault="00000000">
      <w:pPr>
        <w:pStyle w:val="a0"/>
        <w:spacing w:line="360" w:lineRule="auto"/>
        <w:ind w:firstLine="480"/>
        <w:rPr>
          <w:color w:val="000000" w:themeColor="text1"/>
          <w:sz w:val="24"/>
          <w:szCs w:val="24"/>
        </w:rPr>
      </w:pPr>
      <w:r>
        <w:rPr>
          <w:color w:val="000000" w:themeColor="text1"/>
          <w:sz w:val="24"/>
          <w:szCs w:val="24"/>
        </w:rPr>
        <w:t>井喷失控后，从井口喷出的高含硫的天然气迅速弥漫，</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气体随空气流动会大面积扩散，危及周围的生态环境，特别是人员的生命安全。</w:t>
      </w:r>
    </w:p>
    <w:p w14:paraId="0C6CC319" w14:textId="77777777" w:rsidR="002E0859" w:rsidRDefault="00000000">
      <w:pPr>
        <w:pStyle w:val="a0"/>
        <w:spacing w:line="360" w:lineRule="auto"/>
        <w:ind w:firstLine="480"/>
        <w:rPr>
          <w:color w:val="000000" w:themeColor="text1"/>
          <w:sz w:val="24"/>
          <w:szCs w:val="24"/>
        </w:rPr>
      </w:pPr>
      <w:r>
        <w:rPr>
          <w:color w:val="000000" w:themeColor="text1"/>
          <w:sz w:val="24"/>
          <w:szCs w:val="24"/>
        </w:rPr>
        <w:t>由于</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燃烧后能产生低毒性的</w:t>
      </w:r>
      <w:r>
        <w:rPr>
          <w:color w:val="000000" w:themeColor="text1"/>
          <w:sz w:val="24"/>
          <w:szCs w:val="24"/>
        </w:rPr>
        <w:t>SO</w:t>
      </w:r>
      <w:r>
        <w:rPr>
          <w:color w:val="000000" w:themeColor="text1"/>
          <w:sz w:val="24"/>
          <w:szCs w:val="24"/>
          <w:vertAlign w:val="subscript"/>
        </w:rPr>
        <w:t>2</w:t>
      </w:r>
      <w:r>
        <w:rPr>
          <w:color w:val="000000" w:themeColor="text1"/>
          <w:sz w:val="24"/>
          <w:szCs w:val="24"/>
        </w:rPr>
        <w:t>，点燃含</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气体是有效制止井内喷出的有害气体大范围扩散、减少危害的有效措施。在多种行业规范及标准中都从不同角度较为明确地阐述了含硫天然气井井喷后需放喷点燃的必要性。按规范，井喷失控后，应立即组织放喷，同时在放喷口点燃。该井从发生井喷、井口失控到井场柴油机和发电机熄火之间至少有</w:t>
      </w:r>
      <w:r>
        <w:rPr>
          <w:color w:val="000000" w:themeColor="text1"/>
          <w:sz w:val="24"/>
          <w:szCs w:val="24"/>
        </w:rPr>
        <w:t>l</w:t>
      </w:r>
      <w:r>
        <w:rPr>
          <w:color w:val="000000" w:themeColor="text1"/>
          <w:sz w:val="24"/>
          <w:szCs w:val="24"/>
        </w:rPr>
        <w:t>小时</w:t>
      </w:r>
      <w:r>
        <w:rPr>
          <w:color w:val="000000" w:themeColor="text1"/>
          <w:sz w:val="24"/>
          <w:szCs w:val="24"/>
        </w:rPr>
        <w:t>l7</w:t>
      </w:r>
      <w:r>
        <w:rPr>
          <w:color w:val="000000" w:themeColor="text1"/>
          <w:sz w:val="24"/>
          <w:szCs w:val="24"/>
        </w:rPr>
        <w:t>分钟以上的时间，当时井场天然气的浓度还未达到天然气与空气混合比和硫化氢与空气混合比的爆炸极限，组织放喷点火有充足的时间，点火也不致危及井场安全。但负有现场安全责任的钻井监督没有在最短的时间内安排放喷点火，失去了控制有害气体扩散的有利时机。在失去环境条件比较有利的第一点火时间后，生产指挥部门的决策者应根据高压天然气井井喷失控具有严重危害后果的特殊情况，迅速组织、明确指令井队准备实施点火，这是减少事态进一步扩大的必要措施。但该井在此期间，除疏散现场人员和村民外，一直未对井喷失控采取进一步的处理措施。</w:t>
      </w:r>
    </w:p>
    <w:p w14:paraId="43855639" w14:textId="77777777" w:rsidR="002E0859" w:rsidRDefault="00000000">
      <w:pPr>
        <w:pStyle w:val="4"/>
        <w:keepNext w:val="0"/>
        <w:keepLines w:val="0"/>
        <w:spacing w:line="360" w:lineRule="auto"/>
        <w:rPr>
          <w:color w:val="000000" w:themeColor="text1"/>
          <w:sz w:val="24"/>
          <w:szCs w:val="24"/>
        </w:rPr>
      </w:pPr>
      <w:r>
        <w:rPr>
          <w:color w:val="000000" w:themeColor="text1"/>
          <w:sz w:val="24"/>
          <w:szCs w:val="24"/>
        </w:rPr>
        <w:t>事故</w:t>
      </w:r>
      <w:r>
        <w:rPr>
          <w:rFonts w:hint="eastAsia"/>
          <w:color w:val="000000" w:themeColor="text1"/>
          <w:sz w:val="24"/>
          <w:szCs w:val="24"/>
        </w:rPr>
        <w:t>性质</w:t>
      </w:r>
    </w:p>
    <w:p w14:paraId="6D498EC3" w14:textId="77777777" w:rsidR="002E0859" w:rsidRDefault="00000000">
      <w:pPr>
        <w:pStyle w:val="a0"/>
        <w:spacing w:line="360" w:lineRule="auto"/>
        <w:ind w:firstLine="480"/>
        <w:rPr>
          <w:color w:val="000000" w:themeColor="text1"/>
          <w:sz w:val="24"/>
          <w:szCs w:val="24"/>
        </w:rPr>
      </w:pPr>
      <w:r>
        <w:rPr>
          <w:color w:val="000000" w:themeColor="text1"/>
          <w:sz w:val="24"/>
          <w:szCs w:val="24"/>
        </w:rPr>
        <w:t>经过专家组的分析论证</w:t>
      </w:r>
      <w:r>
        <w:rPr>
          <w:rFonts w:hint="eastAsia"/>
          <w:color w:val="000000" w:themeColor="text1"/>
          <w:sz w:val="24"/>
          <w:szCs w:val="24"/>
        </w:rPr>
        <w:t>，</w:t>
      </w:r>
      <w:r>
        <w:rPr>
          <w:color w:val="000000" w:themeColor="text1"/>
          <w:sz w:val="24"/>
          <w:szCs w:val="24"/>
        </w:rPr>
        <w:t>排除了不可抗力和人为破坏因素导致事故发生的可能性</w:t>
      </w:r>
      <w:r>
        <w:rPr>
          <w:rFonts w:hint="eastAsia"/>
          <w:color w:val="000000" w:themeColor="text1"/>
          <w:sz w:val="24"/>
          <w:szCs w:val="24"/>
        </w:rPr>
        <w:t>，</w:t>
      </w:r>
      <w:r>
        <w:rPr>
          <w:color w:val="000000" w:themeColor="text1"/>
          <w:sz w:val="24"/>
          <w:szCs w:val="24"/>
        </w:rPr>
        <w:t>认定中石油川东钻探公司</w:t>
      </w:r>
      <w:r>
        <w:rPr>
          <w:rFonts w:hint="eastAsia"/>
          <w:color w:val="000000" w:themeColor="text1"/>
          <w:sz w:val="24"/>
          <w:szCs w:val="24"/>
        </w:rPr>
        <w:t>“</w:t>
      </w:r>
      <w:r>
        <w:rPr>
          <w:color w:val="000000" w:themeColor="text1"/>
          <w:sz w:val="24"/>
          <w:szCs w:val="24"/>
        </w:rPr>
        <w:t>12·23</w:t>
      </w:r>
      <w:r>
        <w:rPr>
          <w:rFonts w:hint="eastAsia"/>
          <w:color w:val="000000" w:themeColor="text1"/>
          <w:sz w:val="24"/>
          <w:szCs w:val="24"/>
        </w:rPr>
        <w:t>”</w:t>
      </w:r>
      <w:r>
        <w:rPr>
          <w:color w:val="000000" w:themeColor="text1"/>
          <w:sz w:val="24"/>
          <w:szCs w:val="24"/>
        </w:rPr>
        <w:t>井喷特大事故是一起责任事故。</w:t>
      </w:r>
    </w:p>
    <w:p w14:paraId="39F6C8A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w:t>
      </w:r>
      <w:r>
        <w:rPr>
          <w:color w:val="000000" w:themeColor="text1"/>
          <w:sz w:val="24"/>
          <w:szCs w:val="24"/>
        </w:rPr>
        <w:t>12.14</w:t>
      </w:r>
      <w:r>
        <w:rPr>
          <w:rFonts w:hint="eastAsia"/>
          <w:color w:val="000000" w:themeColor="text1"/>
          <w:sz w:val="24"/>
          <w:szCs w:val="24"/>
        </w:rPr>
        <w:t>”</w:t>
      </w:r>
      <w:r>
        <w:rPr>
          <w:color w:val="000000" w:themeColor="text1"/>
          <w:sz w:val="24"/>
          <w:szCs w:val="24"/>
        </w:rPr>
        <w:t>某气井井喷着火事故</w:t>
      </w:r>
    </w:p>
    <w:p w14:paraId="4B7D55CF"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、事故经过</w:t>
      </w:r>
    </w:p>
    <w:p w14:paraId="2251D28C"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2004</w:t>
      </w:r>
      <w:r>
        <w:rPr>
          <w:rFonts w:ascii="Times New Roman" w:hAnsi="Times New Roman" w:cs="Times New Roman"/>
          <w:color w:val="000000" w:themeColor="text1"/>
          <w:sz w:val="24"/>
          <w:szCs w:val="24"/>
        </w:rPr>
        <w:t>年</w:t>
      </w:r>
      <w:r>
        <w:rPr>
          <w:rFonts w:ascii="Times New Roman" w:hAnsi="Times New Roman" w:cs="Times New Roman"/>
          <w:color w:val="000000" w:themeColor="text1"/>
          <w:sz w:val="24"/>
          <w:szCs w:val="24"/>
        </w:rPr>
        <w:t>12</w:t>
      </w:r>
      <w:r>
        <w:rPr>
          <w:rFonts w:ascii="Times New Roman" w:hAnsi="Times New Roman" w:cs="Times New Roman"/>
          <w:color w:val="000000" w:themeColor="text1"/>
          <w:sz w:val="24"/>
          <w:szCs w:val="24"/>
        </w:rPr>
        <w:t>月</w:t>
      </w:r>
      <w:r>
        <w:rPr>
          <w:rFonts w:ascii="Times New Roman" w:hAnsi="Times New Roman" w:cs="Times New Roman"/>
          <w:color w:val="000000" w:themeColor="text1"/>
          <w:sz w:val="24"/>
          <w:szCs w:val="24"/>
        </w:rPr>
        <w:t>14</w:t>
      </w:r>
      <w:r>
        <w:rPr>
          <w:rFonts w:ascii="Times New Roman" w:hAnsi="Times New Roman" w:cs="Times New Roman"/>
          <w:color w:val="000000" w:themeColor="text1"/>
          <w:sz w:val="24"/>
          <w:szCs w:val="24"/>
        </w:rPr>
        <w:t>日，在起管柱过程中，用电潜泵向井内添加压井液。约</w:t>
      </w:r>
      <w:r>
        <w:rPr>
          <w:rFonts w:ascii="Times New Roman" w:hAnsi="Times New Roman" w:cs="Times New Roman"/>
          <w:color w:val="000000" w:themeColor="text1"/>
          <w:sz w:val="24"/>
          <w:szCs w:val="24"/>
        </w:rPr>
        <w:t>16</w:t>
      </w:r>
      <w:r>
        <w:rPr>
          <w:rFonts w:ascii="Times New Roman" w:hAnsi="Times New Roman" w:cs="Times New Roman"/>
          <w:color w:val="000000" w:themeColor="text1"/>
          <w:sz w:val="24"/>
          <w:szCs w:val="24"/>
        </w:rPr>
        <w:t>时</w:t>
      </w:r>
      <w:r>
        <w:rPr>
          <w:rFonts w:ascii="Times New Roman" w:hAnsi="Times New Roman" w:cs="Times New Roman"/>
          <w:color w:val="000000" w:themeColor="text1"/>
          <w:sz w:val="24"/>
          <w:szCs w:val="24"/>
        </w:rPr>
        <w:t>40</w:t>
      </w:r>
      <w:r>
        <w:rPr>
          <w:rFonts w:ascii="Times New Roman" w:hAnsi="Times New Roman" w:cs="Times New Roman"/>
          <w:color w:val="000000" w:themeColor="text1"/>
          <w:sz w:val="24"/>
          <w:szCs w:val="24"/>
        </w:rPr>
        <w:t>分，当射孔管柱起到第</w:t>
      </w:r>
      <w:r>
        <w:rPr>
          <w:rFonts w:ascii="Times New Roman" w:hAnsi="Times New Roman" w:cs="Times New Roman"/>
          <w:color w:val="000000" w:themeColor="text1"/>
          <w:sz w:val="24"/>
          <w:szCs w:val="24"/>
        </w:rPr>
        <w:t>40</w:t>
      </w:r>
      <w:r>
        <w:rPr>
          <w:rFonts w:ascii="Times New Roman" w:hAnsi="Times New Roman" w:cs="Times New Roman"/>
          <w:color w:val="000000" w:themeColor="text1"/>
          <w:sz w:val="24"/>
          <w:szCs w:val="24"/>
        </w:rPr>
        <w:t>根时，突然发生溢流现象。之后，紧急安装悬挂器，游动滑车起升到接近井架顶部后，通井机熄火；王某停井场发电机并通知施工的水罐车离开。由于井内气体压力很大，悬挂器上下窜动，顶丝无法紧固，致使悬挂器提升短节没能拆下，无法关井，高压气流从提升短节和套管闸门向上和两侧喷出。约</w:t>
      </w:r>
      <w:r>
        <w:rPr>
          <w:rFonts w:ascii="Times New Roman" w:hAnsi="Times New Roman" w:cs="Times New Roman"/>
          <w:color w:val="000000" w:themeColor="text1"/>
          <w:sz w:val="24"/>
          <w:szCs w:val="24"/>
        </w:rPr>
        <w:t>16</w:t>
      </w:r>
      <w:r>
        <w:rPr>
          <w:rFonts w:ascii="Times New Roman" w:hAnsi="Times New Roman" w:cs="Times New Roman"/>
          <w:color w:val="000000" w:themeColor="text1"/>
          <w:sz w:val="24"/>
          <w:szCs w:val="24"/>
        </w:rPr>
        <w:t>时</w:t>
      </w:r>
      <w:r>
        <w:rPr>
          <w:rFonts w:ascii="Times New Roman" w:hAnsi="Times New Roman" w:cs="Times New Roman"/>
          <w:color w:val="000000" w:themeColor="text1"/>
          <w:sz w:val="24"/>
          <w:szCs w:val="24"/>
        </w:rPr>
        <w:t>50</w:t>
      </w:r>
      <w:r>
        <w:rPr>
          <w:rFonts w:ascii="Times New Roman" w:hAnsi="Times New Roman" w:cs="Times New Roman"/>
          <w:color w:val="000000" w:themeColor="text1"/>
          <w:sz w:val="24"/>
          <w:szCs w:val="24"/>
        </w:rPr>
        <w:t>分，井口上方</w:t>
      </w:r>
      <w:r>
        <w:rPr>
          <w:rFonts w:ascii="Times New Roman" w:hAnsi="Times New Roman" w:cs="Times New Roman"/>
          <w:color w:val="000000" w:themeColor="text1"/>
          <w:sz w:val="24"/>
          <w:szCs w:val="24"/>
        </w:rPr>
        <w:lastRenderedPageBreak/>
        <w:t>突然起火，现场施工人员四散逃生，刘某少量头发被灼烧。</w:t>
      </w:r>
    </w:p>
    <w:p w14:paraId="3807115D"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、原因分析</w:t>
      </w:r>
    </w:p>
    <w:p w14:paraId="0231E1B9"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lang w:eastAsia="zh-CN"/>
        </w:rPr>
        <w:t>）</w:t>
      </w:r>
      <w:r>
        <w:rPr>
          <w:rFonts w:ascii="Times New Roman" w:hAnsi="Times New Roman" w:cs="Times New Roman"/>
          <w:color w:val="000000" w:themeColor="text1"/>
          <w:sz w:val="24"/>
          <w:szCs w:val="24"/>
        </w:rPr>
        <w:t>井喷原因</w:t>
      </w:r>
    </w:p>
    <w:p w14:paraId="4EAD2DE1"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一是发生井涌到井喷时间短，井底压力高，造成悬挂器上下窜动，短节无法拆卸；二是现场施工没有具体指挥人员，施工人员没有经过正规培训和防井喷演练，处理突发事件的能力差。最重要的原因是没有安装封井器。</w:t>
      </w:r>
    </w:p>
    <w:p w14:paraId="64C5E901"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lang w:eastAsia="zh-CN"/>
        </w:rPr>
        <w:t>2</w:t>
      </w:r>
      <w:r>
        <w:rPr>
          <w:rFonts w:ascii="Times New Roman" w:hAnsi="Times New Roman" w:cs="Times New Roman" w:hint="eastAsia"/>
          <w:color w:val="000000" w:themeColor="text1"/>
          <w:sz w:val="24"/>
          <w:szCs w:val="24"/>
          <w:lang w:eastAsia="zh-CN"/>
        </w:rPr>
        <w:t>）</w:t>
      </w:r>
      <w:r>
        <w:rPr>
          <w:rFonts w:ascii="Times New Roman" w:hAnsi="Times New Roman" w:cs="Times New Roman"/>
          <w:color w:val="000000" w:themeColor="text1"/>
          <w:sz w:val="24"/>
          <w:szCs w:val="24"/>
        </w:rPr>
        <w:t>着火原因</w:t>
      </w:r>
    </w:p>
    <w:p w14:paraId="1788BB29"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第一种可能是从悬挂器短节中喷出的气体压力很大，大钩上的吊环被气体吹得左右摇晃，吊环的剧烈晃动可能产生碰撞，产生火花引燃气体；第二种可能是气体内带出的沙粒与井架或吊环碰撞产生火花，引燃气体。因起火燃烧的部位距离井口有一段距离，因此在井口施工的人员没有造成伤亡。</w:t>
      </w:r>
    </w:p>
    <w:p w14:paraId="7380C7AB" w14:textId="77777777" w:rsidR="002E0859" w:rsidRDefault="00000000">
      <w:pPr>
        <w:pStyle w:val="a8"/>
        <w:spacing w:line="360" w:lineRule="auto"/>
        <w:ind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Pr>
          <w:rFonts w:ascii="Times New Roman" w:hAnsi="Times New Roman" w:cs="Times New Roman"/>
          <w:color w:val="000000" w:themeColor="text1"/>
          <w:sz w:val="24"/>
          <w:szCs w:val="24"/>
        </w:rPr>
        <w:t>、防范措施</w:t>
      </w:r>
    </w:p>
    <w:p w14:paraId="2E78D8A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加强安全教育，增强现场人员的安全生产意识。</w:t>
      </w:r>
    </w:p>
    <w:p w14:paraId="6D1CE12C"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加强安全操作规程培训，杜绝违章操作，提高风险识别能力。</w:t>
      </w:r>
    </w:p>
    <w:p w14:paraId="07F7590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作业人员一定要按照操作规程进行正确操作，避免此次事故的发生。</w:t>
      </w:r>
    </w:p>
    <w:p w14:paraId="371E7DA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天然气爆炸</w:t>
      </w:r>
      <w:r>
        <w:rPr>
          <w:color w:val="000000" w:themeColor="text1"/>
          <w:sz w:val="24"/>
          <w:szCs w:val="24"/>
        </w:rPr>
        <w:t>事故</w:t>
      </w:r>
    </w:p>
    <w:p w14:paraId="27C7B7BA"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事故经过简述</w:t>
      </w:r>
    </w:p>
    <w:p w14:paraId="33E033A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x</w:t>
      </w:r>
      <w:r>
        <w:rPr>
          <w:color w:val="000000" w:themeColor="text1"/>
          <w:sz w:val="24"/>
          <w:szCs w:val="24"/>
        </w:rPr>
        <w:t>年</w:t>
      </w:r>
      <w:r>
        <w:rPr>
          <w:color w:val="000000" w:themeColor="text1"/>
          <w:sz w:val="24"/>
          <w:szCs w:val="24"/>
        </w:rPr>
        <w:t>12</w:t>
      </w:r>
      <w:r>
        <w:rPr>
          <w:color w:val="000000" w:themeColor="text1"/>
          <w:sz w:val="24"/>
          <w:szCs w:val="24"/>
        </w:rPr>
        <w:t>月</w:t>
      </w:r>
      <w:r>
        <w:rPr>
          <w:color w:val="000000" w:themeColor="text1"/>
          <w:sz w:val="24"/>
          <w:szCs w:val="24"/>
        </w:rPr>
        <w:t>18</w:t>
      </w:r>
      <w:r>
        <w:rPr>
          <w:color w:val="000000" w:themeColor="text1"/>
          <w:sz w:val="24"/>
          <w:szCs w:val="24"/>
        </w:rPr>
        <w:t>日</w:t>
      </w:r>
      <w:r>
        <w:rPr>
          <w:color w:val="000000" w:themeColor="text1"/>
          <w:sz w:val="24"/>
          <w:szCs w:val="24"/>
        </w:rPr>
        <w:t>15</w:t>
      </w:r>
      <w:r>
        <w:rPr>
          <w:color w:val="000000" w:themeColor="text1"/>
          <w:sz w:val="24"/>
          <w:szCs w:val="24"/>
        </w:rPr>
        <w:t>时</w:t>
      </w:r>
      <w:r>
        <w:rPr>
          <w:color w:val="000000" w:themeColor="text1"/>
          <w:sz w:val="24"/>
          <w:szCs w:val="24"/>
        </w:rPr>
        <w:t>54</w:t>
      </w:r>
      <w:r>
        <w:rPr>
          <w:color w:val="000000" w:themeColor="text1"/>
          <w:sz w:val="24"/>
          <w:szCs w:val="24"/>
        </w:rPr>
        <w:t>分，某油田天然气调压站与天然气管线接口处突然爆裂。由于爆炸产生的巨大能量和冲击波，将爆管西侧约</w:t>
      </w:r>
      <w:r>
        <w:rPr>
          <w:color w:val="000000" w:themeColor="text1"/>
          <w:sz w:val="24"/>
          <w:szCs w:val="24"/>
        </w:rPr>
        <w:t>4m</w:t>
      </w:r>
      <w:r>
        <w:rPr>
          <w:color w:val="000000" w:themeColor="text1"/>
          <w:sz w:val="24"/>
          <w:szCs w:val="24"/>
        </w:rPr>
        <w:t>长的管线扭断，东侧</w:t>
      </w:r>
      <w:r>
        <w:rPr>
          <w:color w:val="000000" w:themeColor="text1"/>
          <w:sz w:val="24"/>
          <w:szCs w:val="24"/>
        </w:rPr>
        <w:t>16m</w:t>
      </w:r>
      <w:r>
        <w:rPr>
          <w:color w:val="000000" w:themeColor="text1"/>
          <w:sz w:val="24"/>
          <w:szCs w:val="24"/>
        </w:rPr>
        <w:t>长的管线撕裂扭断，北侧管线连同调压站阀门一起扭断并向北飞出</w:t>
      </w:r>
      <w:r>
        <w:rPr>
          <w:color w:val="000000" w:themeColor="text1"/>
          <w:sz w:val="24"/>
          <w:szCs w:val="24"/>
        </w:rPr>
        <w:t>70</w:t>
      </w:r>
      <w:r>
        <w:rPr>
          <w:color w:val="000000" w:themeColor="text1"/>
          <w:sz w:val="24"/>
          <w:szCs w:val="24"/>
        </w:rPr>
        <w:t>多米远，爆炸的碎片向南飞出</w:t>
      </w:r>
      <w:r>
        <w:rPr>
          <w:color w:val="000000" w:themeColor="text1"/>
          <w:sz w:val="24"/>
          <w:szCs w:val="24"/>
        </w:rPr>
        <w:t>70</w:t>
      </w:r>
      <w:r>
        <w:rPr>
          <w:color w:val="000000" w:themeColor="text1"/>
          <w:sz w:val="24"/>
          <w:szCs w:val="24"/>
        </w:rPr>
        <w:t>多米远，并将调压站院墙外的杂草引燃起火，外泄的天然气发生着火。事故造成了巨大的经济损失，引起油田各级领导的高度重视。</w:t>
      </w:r>
    </w:p>
    <w:p w14:paraId="3B2AB31C"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事故原因分析</w:t>
      </w:r>
    </w:p>
    <w:p w14:paraId="70261568" w14:textId="77777777" w:rsidR="002E0859" w:rsidRDefault="00000000">
      <w:pPr>
        <w:pStyle w:val="a0"/>
        <w:spacing w:line="360" w:lineRule="auto"/>
        <w:ind w:firstLine="480"/>
        <w:rPr>
          <w:color w:val="000000" w:themeColor="text1"/>
          <w:sz w:val="24"/>
          <w:szCs w:val="24"/>
        </w:rPr>
      </w:pPr>
      <w:r>
        <w:rPr>
          <w:color w:val="000000" w:themeColor="text1"/>
          <w:sz w:val="24"/>
          <w:szCs w:val="24"/>
        </w:rPr>
        <w:t>通过事故发生后进行的宏观检查、厚度测定、腐蚀产物检测及扫描电镜分析的结果可知，爆管的主要原因为：</w:t>
      </w:r>
    </w:p>
    <w:p w14:paraId="001027A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天然气中含有部分</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w:t>
      </w:r>
      <w:r>
        <w:rPr>
          <w:color w:val="000000" w:themeColor="text1"/>
          <w:sz w:val="24"/>
          <w:szCs w:val="24"/>
        </w:rPr>
        <w:t>CO</w:t>
      </w:r>
      <w:r>
        <w:rPr>
          <w:color w:val="000000" w:themeColor="text1"/>
          <w:sz w:val="24"/>
          <w:szCs w:val="24"/>
        </w:rPr>
        <w:t>，</w:t>
      </w:r>
      <w:r>
        <w:rPr>
          <w:color w:val="000000" w:themeColor="text1"/>
          <w:sz w:val="24"/>
          <w:szCs w:val="24"/>
        </w:rPr>
        <w:t>CO</w:t>
      </w:r>
      <w:r>
        <w:rPr>
          <w:color w:val="000000" w:themeColor="text1"/>
          <w:sz w:val="24"/>
          <w:szCs w:val="24"/>
          <w:vertAlign w:val="subscript"/>
        </w:rPr>
        <w:t>2</w:t>
      </w:r>
      <w:r>
        <w:rPr>
          <w:color w:val="000000" w:themeColor="text1"/>
          <w:sz w:val="24"/>
          <w:szCs w:val="24"/>
        </w:rPr>
        <w:t>气体及部分水份等杂质，导致了管线的严重腐蚀。通过测厚检查发现，爆破的三通底部减薄最严重。根据三通部位的几何特殊性，可知该处天然气流速最慢，从而使天然气中的</w:t>
      </w:r>
      <w:r>
        <w:rPr>
          <w:color w:val="000000" w:themeColor="text1"/>
          <w:sz w:val="24"/>
          <w:szCs w:val="24"/>
        </w:rPr>
        <w:t>H</w:t>
      </w:r>
      <w:r>
        <w:rPr>
          <w:color w:val="000000" w:themeColor="text1"/>
          <w:sz w:val="24"/>
          <w:szCs w:val="24"/>
          <w:vertAlign w:val="subscript"/>
        </w:rPr>
        <w:t>2</w:t>
      </w:r>
      <w:r>
        <w:rPr>
          <w:color w:val="000000" w:themeColor="text1"/>
          <w:sz w:val="24"/>
          <w:szCs w:val="24"/>
        </w:rPr>
        <w:t>S</w:t>
      </w:r>
      <w:r>
        <w:rPr>
          <w:color w:val="000000" w:themeColor="text1"/>
          <w:sz w:val="24"/>
          <w:szCs w:val="24"/>
        </w:rPr>
        <w:t>，</w:t>
      </w:r>
      <w:r>
        <w:rPr>
          <w:color w:val="000000" w:themeColor="text1"/>
          <w:sz w:val="24"/>
          <w:szCs w:val="24"/>
        </w:rPr>
        <w:t>CO</w:t>
      </w:r>
      <w:r>
        <w:rPr>
          <w:color w:val="000000" w:themeColor="text1"/>
          <w:sz w:val="24"/>
          <w:szCs w:val="24"/>
        </w:rPr>
        <w:t>，</w:t>
      </w:r>
      <w:r>
        <w:rPr>
          <w:color w:val="000000" w:themeColor="text1"/>
          <w:sz w:val="24"/>
          <w:szCs w:val="24"/>
        </w:rPr>
        <w:t>CO</w:t>
      </w:r>
      <w:r>
        <w:rPr>
          <w:color w:val="000000" w:themeColor="text1"/>
          <w:sz w:val="24"/>
          <w:szCs w:val="24"/>
          <w:vertAlign w:val="subscript"/>
        </w:rPr>
        <w:t>2</w:t>
      </w:r>
      <w:r>
        <w:rPr>
          <w:color w:val="000000" w:themeColor="text1"/>
          <w:sz w:val="24"/>
          <w:szCs w:val="24"/>
        </w:rPr>
        <w:t>气体及部分水份等杂质有更为充足的时间与金属管壁发生各种反应，导致了该处腐蚀最为严重。</w:t>
      </w:r>
    </w:p>
    <w:p w14:paraId="06CCEDE2"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2</w:t>
      </w:r>
      <w:r>
        <w:rPr>
          <w:color w:val="000000" w:themeColor="text1"/>
          <w:sz w:val="24"/>
          <w:szCs w:val="24"/>
        </w:rPr>
        <w:t>）三通管线的选材没有按设计要求取材，管线不符合</w:t>
      </w:r>
      <w:r>
        <w:rPr>
          <w:color w:val="000000" w:themeColor="text1"/>
          <w:sz w:val="24"/>
          <w:szCs w:val="24"/>
        </w:rPr>
        <w:t>20#</w:t>
      </w:r>
      <w:r>
        <w:rPr>
          <w:color w:val="000000" w:themeColor="text1"/>
          <w:sz w:val="24"/>
          <w:szCs w:val="24"/>
        </w:rPr>
        <w:t>钢的要求和标准，焊接质量差，加速了材质的腐蚀和减薄。</w:t>
      </w:r>
    </w:p>
    <w:p w14:paraId="7ECEB8E3"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color w:val="000000" w:themeColor="text1"/>
          <w:sz w:val="24"/>
          <w:szCs w:val="24"/>
        </w:rPr>
        <w:t>）塑性变形使金属内部产生大量的位错和空位，位错沿滑移面移动，在交叉处形成位错塞积，造成很大的应力集中，当材料达到屈服极限后，应力不能得到松弛，形成初裂纹，随着时间的延迟，裂纹不断扩展。</w:t>
      </w:r>
    </w:p>
    <w:p w14:paraId="5B97D664"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color w:val="000000" w:themeColor="text1"/>
          <w:sz w:val="24"/>
          <w:szCs w:val="24"/>
        </w:rPr>
        <w:t>）该管线从未进行过专业的技术检测，使用状况不明，也是造成事故的原因之一。长期使用</w:t>
      </w:r>
      <w:r>
        <w:rPr>
          <w:color w:val="000000" w:themeColor="text1"/>
          <w:sz w:val="24"/>
          <w:szCs w:val="24"/>
        </w:rPr>
        <w:t>13</w:t>
      </w:r>
      <w:r>
        <w:rPr>
          <w:color w:val="000000" w:themeColor="text1"/>
          <w:sz w:val="24"/>
          <w:szCs w:val="24"/>
        </w:rPr>
        <w:t>年的天然气管线遭受严重腐蚀之后，造成强度大大降低，实际壁厚小于计算厚度，远远不能满足使用条件，在微裂纹的诱导下，不能满足强度要求，发生了爆炸事故。</w:t>
      </w:r>
    </w:p>
    <w:p w14:paraId="6B08A0C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事故</w:t>
      </w:r>
      <w:r>
        <w:rPr>
          <w:rFonts w:hint="eastAsia"/>
          <w:color w:val="000000" w:themeColor="text1"/>
          <w:sz w:val="24"/>
          <w:szCs w:val="24"/>
        </w:rPr>
        <w:t>教训</w:t>
      </w:r>
    </w:p>
    <w:p w14:paraId="450BF191" w14:textId="77777777" w:rsidR="002E0859" w:rsidRDefault="00000000">
      <w:pPr>
        <w:pStyle w:val="a0"/>
        <w:spacing w:line="360" w:lineRule="auto"/>
        <w:ind w:firstLine="480"/>
        <w:rPr>
          <w:color w:val="000000" w:themeColor="text1"/>
          <w:sz w:val="24"/>
          <w:szCs w:val="24"/>
        </w:rPr>
      </w:pPr>
      <w:r>
        <w:rPr>
          <w:color w:val="000000" w:themeColor="text1"/>
          <w:sz w:val="24"/>
          <w:szCs w:val="24"/>
        </w:rPr>
        <w:t>这次事故的教训是非常深刻的，本次建设的天然气调压箱是易发生重大安全事故的部位，从设计、施工到监督检验，必须进行强有力的专业检查、验收，杜绝使用不合格的管线，确保施工质量。使用单位在加强自检的同时，必须定期的由专业检测单位进行定期检查，以便及早发现事故隐患，找出薄弱环节，防患于未然。</w:t>
      </w:r>
    </w:p>
    <w:p w14:paraId="763F1F6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江汉油田“</w:t>
      </w:r>
      <w:r>
        <w:rPr>
          <w:rFonts w:hint="eastAsia"/>
          <w:color w:val="000000" w:themeColor="text1"/>
          <w:sz w:val="24"/>
          <w:szCs w:val="24"/>
        </w:rPr>
        <w:t>8.29</w:t>
      </w:r>
      <w:r>
        <w:rPr>
          <w:rFonts w:hint="eastAsia"/>
          <w:color w:val="000000" w:themeColor="text1"/>
          <w:sz w:val="24"/>
          <w:szCs w:val="24"/>
        </w:rPr>
        <w:t>”井架倾倒死亡</w:t>
      </w:r>
      <w:r>
        <w:rPr>
          <w:color w:val="000000" w:themeColor="text1"/>
          <w:sz w:val="24"/>
          <w:szCs w:val="24"/>
        </w:rPr>
        <w:t>事故</w:t>
      </w:r>
    </w:p>
    <w:p w14:paraId="6EA51A3E" w14:textId="77777777" w:rsidR="002E0859" w:rsidRDefault="00000000">
      <w:pPr>
        <w:pStyle w:val="a0"/>
        <w:numPr>
          <w:ilvl w:val="0"/>
          <w:numId w:val="24"/>
        </w:numPr>
        <w:spacing w:line="360" w:lineRule="auto"/>
        <w:ind w:firstLine="480"/>
        <w:rPr>
          <w:color w:val="000000" w:themeColor="text1"/>
          <w:sz w:val="24"/>
          <w:szCs w:val="24"/>
        </w:rPr>
      </w:pPr>
      <w:r>
        <w:rPr>
          <w:rFonts w:hint="eastAsia"/>
          <w:color w:val="000000" w:themeColor="text1"/>
          <w:sz w:val="24"/>
          <w:szCs w:val="24"/>
        </w:rPr>
        <w:t>事故经过</w:t>
      </w:r>
    </w:p>
    <w:p w14:paraId="4EECBCB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2004</w:t>
      </w:r>
      <w:r>
        <w:rPr>
          <w:rFonts w:hint="eastAsia"/>
          <w:color w:val="000000" w:themeColor="text1"/>
          <w:sz w:val="24"/>
          <w:szCs w:val="24"/>
        </w:rPr>
        <w:t>年</w:t>
      </w:r>
      <w:r>
        <w:rPr>
          <w:rFonts w:hint="eastAsia"/>
          <w:color w:val="000000" w:themeColor="text1"/>
          <w:sz w:val="24"/>
          <w:szCs w:val="24"/>
        </w:rPr>
        <w:t>8</w:t>
      </w:r>
      <w:r>
        <w:rPr>
          <w:rFonts w:hint="eastAsia"/>
          <w:color w:val="000000" w:themeColor="text1"/>
          <w:sz w:val="24"/>
          <w:szCs w:val="24"/>
        </w:rPr>
        <w:t>月</w:t>
      </w:r>
      <w:r>
        <w:rPr>
          <w:rFonts w:hint="eastAsia"/>
          <w:color w:val="000000" w:themeColor="text1"/>
          <w:sz w:val="24"/>
          <w:szCs w:val="24"/>
        </w:rPr>
        <w:t>29</w:t>
      </w:r>
      <w:r>
        <w:rPr>
          <w:rFonts w:hint="eastAsia"/>
          <w:color w:val="000000" w:themeColor="text1"/>
          <w:sz w:val="24"/>
          <w:szCs w:val="24"/>
        </w:rPr>
        <w:t>日，钻井工程处</w:t>
      </w:r>
      <w:r>
        <w:rPr>
          <w:rFonts w:hint="eastAsia"/>
          <w:color w:val="000000" w:themeColor="text1"/>
          <w:sz w:val="24"/>
          <w:szCs w:val="24"/>
        </w:rPr>
        <w:t>20902JH</w:t>
      </w:r>
      <w:r>
        <w:rPr>
          <w:rFonts w:hint="eastAsia"/>
          <w:color w:val="000000" w:themeColor="text1"/>
          <w:sz w:val="24"/>
          <w:szCs w:val="24"/>
        </w:rPr>
        <w:t>队使用</w:t>
      </w:r>
      <w:r>
        <w:rPr>
          <w:rFonts w:hint="eastAsia"/>
          <w:color w:val="000000" w:themeColor="text1"/>
          <w:sz w:val="24"/>
          <w:szCs w:val="24"/>
        </w:rPr>
        <w:t>ZJ20</w:t>
      </w:r>
      <w:r>
        <w:rPr>
          <w:rFonts w:hint="eastAsia"/>
          <w:color w:val="000000" w:themeColor="text1"/>
          <w:sz w:val="24"/>
          <w:szCs w:val="24"/>
        </w:rPr>
        <w:t>型车载钻机，在广</w:t>
      </w:r>
      <w:r>
        <w:rPr>
          <w:rFonts w:hint="eastAsia"/>
          <w:color w:val="000000" w:themeColor="text1"/>
          <w:sz w:val="24"/>
          <w:szCs w:val="24"/>
        </w:rPr>
        <w:t>34C</w:t>
      </w:r>
      <w:r>
        <w:rPr>
          <w:rFonts w:hint="eastAsia"/>
          <w:color w:val="000000" w:themeColor="text1"/>
          <w:sz w:val="24"/>
          <w:szCs w:val="24"/>
        </w:rPr>
        <w:t>井进行起钻作业。</w:t>
      </w:r>
      <w:r>
        <w:rPr>
          <w:rFonts w:hint="eastAsia"/>
          <w:color w:val="000000" w:themeColor="text1"/>
          <w:sz w:val="24"/>
          <w:szCs w:val="24"/>
        </w:rPr>
        <w:t>19:55</w:t>
      </w:r>
      <w:r>
        <w:rPr>
          <w:rFonts w:hint="eastAsia"/>
          <w:color w:val="000000" w:themeColor="text1"/>
          <w:sz w:val="24"/>
          <w:szCs w:val="24"/>
        </w:rPr>
        <w:t>钻井三班接上一个班继续进行起钻作业，井下剩</w:t>
      </w:r>
      <w:r>
        <w:rPr>
          <w:rFonts w:hint="eastAsia"/>
          <w:color w:val="000000" w:themeColor="text1"/>
          <w:sz w:val="24"/>
          <w:szCs w:val="24"/>
        </w:rPr>
        <w:t>33</w:t>
      </w:r>
      <w:r>
        <w:rPr>
          <w:rFonts w:hint="eastAsia"/>
          <w:color w:val="000000" w:themeColor="text1"/>
          <w:sz w:val="24"/>
          <w:szCs w:val="24"/>
        </w:rPr>
        <w:t>柱。</w:t>
      </w:r>
      <w:r>
        <w:rPr>
          <w:rFonts w:hint="eastAsia"/>
          <w:color w:val="000000" w:themeColor="text1"/>
          <w:sz w:val="24"/>
          <w:szCs w:val="24"/>
        </w:rPr>
        <w:t>21:40</w:t>
      </w:r>
      <w:r>
        <w:rPr>
          <w:rFonts w:hint="eastAsia"/>
          <w:color w:val="000000" w:themeColor="text1"/>
          <w:sz w:val="24"/>
          <w:szCs w:val="24"/>
        </w:rPr>
        <w:t>，起至最后一柱钻柱，钻台上共摆有</w:t>
      </w:r>
      <w:r>
        <w:rPr>
          <w:rFonts w:hint="eastAsia"/>
          <w:color w:val="000000" w:themeColor="text1"/>
          <w:sz w:val="24"/>
          <w:szCs w:val="24"/>
        </w:rPr>
        <w:t>180</w:t>
      </w:r>
      <w:r>
        <w:rPr>
          <w:rFonts w:hint="eastAsia"/>
          <w:color w:val="000000" w:themeColor="text1"/>
          <w:sz w:val="24"/>
          <w:szCs w:val="24"/>
        </w:rPr>
        <w:t>柱中</w:t>
      </w:r>
      <w:r>
        <w:rPr>
          <w:rFonts w:hint="eastAsia"/>
          <w:color w:val="000000" w:themeColor="text1"/>
          <w:sz w:val="24"/>
          <w:szCs w:val="24"/>
        </w:rPr>
        <w:t>73mm</w:t>
      </w:r>
      <w:r>
        <w:rPr>
          <w:rFonts w:hint="eastAsia"/>
          <w:color w:val="000000" w:themeColor="text1"/>
          <w:sz w:val="24"/>
          <w:szCs w:val="24"/>
        </w:rPr>
        <w:t>（</w:t>
      </w:r>
      <w:r>
        <w:rPr>
          <w:rFonts w:hint="eastAsia"/>
          <w:color w:val="000000" w:themeColor="text1"/>
          <w:sz w:val="24"/>
          <w:szCs w:val="24"/>
        </w:rPr>
        <w:t>360</w:t>
      </w:r>
      <w:r>
        <w:rPr>
          <w:rFonts w:hint="eastAsia"/>
          <w:color w:val="000000" w:themeColor="text1"/>
          <w:sz w:val="24"/>
          <w:szCs w:val="24"/>
        </w:rPr>
        <w:t>根）钻杆，其中右侧</w:t>
      </w:r>
      <w:r>
        <w:rPr>
          <w:rFonts w:hint="eastAsia"/>
          <w:color w:val="000000" w:themeColor="text1"/>
          <w:sz w:val="24"/>
          <w:szCs w:val="24"/>
        </w:rPr>
        <w:t>141</w:t>
      </w:r>
      <w:r>
        <w:rPr>
          <w:rFonts w:hint="eastAsia"/>
          <w:color w:val="000000" w:themeColor="text1"/>
          <w:sz w:val="24"/>
          <w:szCs w:val="24"/>
        </w:rPr>
        <w:t>柱，左侧</w:t>
      </w:r>
      <w:r>
        <w:rPr>
          <w:rFonts w:hint="eastAsia"/>
          <w:color w:val="000000" w:themeColor="text1"/>
          <w:sz w:val="24"/>
          <w:szCs w:val="24"/>
        </w:rPr>
        <w:t>39</w:t>
      </w:r>
      <w:r>
        <w:rPr>
          <w:rFonts w:hint="eastAsia"/>
          <w:color w:val="000000" w:themeColor="text1"/>
          <w:sz w:val="24"/>
          <w:szCs w:val="24"/>
        </w:rPr>
        <w:t>柱．在卸通井接头时，因扣太紧，用液压大钳卸不开，准备改用</w:t>
      </w:r>
      <w:r>
        <w:rPr>
          <w:rFonts w:hint="eastAsia"/>
          <w:color w:val="000000" w:themeColor="text1"/>
          <w:sz w:val="24"/>
          <w:szCs w:val="24"/>
        </w:rPr>
        <w:t>B</w:t>
      </w:r>
      <w:r>
        <w:rPr>
          <w:rFonts w:hint="eastAsia"/>
          <w:color w:val="000000" w:themeColor="text1"/>
          <w:sz w:val="24"/>
          <w:szCs w:val="24"/>
        </w:rPr>
        <w:t>型大钳卸扣。</w:t>
      </w:r>
    </w:p>
    <w:p w14:paraId="6B10FD5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21:45</w:t>
      </w:r>
      <w:r>
        <w:rPr>
          <w:rFonts w:hint="eastAsia"/>
          <w:color w:val="000000" w:themeColor="text1"/>
          <w:sz w:val="24"/>
          <w:szCs w:val="24"/>
        </w:rPr>
        <w:t>，副司钻张继东在二层台发现二层台沿逆时针方向扭转，钻具发出摩擦声和撞击声，井架开始倾斜，便高声喊叫并发出信号。约</w:t>
      </w:r>
      <w:r>
        <w:rPr>
          <w:rFonts w:hint="eastAsia"/>
          <w:color w:val="000000" w:themeColor="text1"/>
          <w:sz w:val="24"/>
          <w:szCs w:val="24"/>
        </w:rPr>
        <w:t>4</w:t>
      </w:r>
      <w:r>
        <w:rPr>
          <w:rFonts w:hint="eastAsia"/>
          <w:color w:val="000000" w:themeColor="text1"/>
          <w:sz w:val="24"/>
          <w:szCs w:val="24"/>
        </w:rPr>
        <w:t>～</w:t>
      </w:r>
      <w:r>
        <w:rPr>
          <w:rFonts w:hint="eastAsia"/>
          <w:color w:val="000000" w:themeColor="text1"/>
          <w:sz w:val="24"/>
          <w:szCs w:val="24"/>
        </w:rPr>
        <w:t>5s</w:t>
      </w:r>
      <w:r>
        <w:rPr>
          <w:rFonts w:hint="eastAsia"/>
          <w:color w:val="000000" w:themeColor="text1"/>
          <w:sz w:val="24"/>
          <w:szCs w:val="24"/>
        </w:rPr>
        <w:t>时间，井架朝大门右侧倾倒。</w:t>
      </w:r>
    </w:p>
    <w:p w14:paraId="05D2ECC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在倾倒过程中，场地工陈忠、井架工周春松从大门左侧的梯子滑下，司钻李承超躲闪到控制台附近，正在岗位上的内钳工赵庭全逃离不及，从钻台右前方跳下，从钻台上倒落的钻杆将其头部右侧和左腿击伤，当场死亡。副司钻张继东因系有安全带，随井架一起倒下，落在泥浆池内，捡了一条命。</w:t>
      </w:r>
    </w:p>
    <w:p w14:paraId="07D2A547" w14:textId="77777777" w:rsidR="002E0859" w:rsidRDefault="00000000">
      <w:pPr>
        <w:pStyle w:val="a0"/>
        <w:numPr>
          <w:ilvl w:val="0"/>
          <w:numId w:val="24"/>
        </w:numPr>
        <w:spacing w:line="360" w:lineRule="auto"/>
        <w:ind w:firstLine="480"/>
        <w:rPr>
          <w:color w:val="000000" w:themeColor="text1"/>
          <w:sz w:val="24"/>
          <w:szCs w:val="24"/>
        </w:rPr>
      </w:pPr>
      <w:r>
        <w:rPr>
          <w:rFonts w:hint="eastAsia"/>
          <w:color w:val="000000" w:themeColor="text1"/>
          <w:sz w:val="24"/>
          <w:szCs w:val="24"/>
        </w:rPr>
        <w:t>事故原因</w:t>
      </w:r>
    </w:p>
    <w:p w14:paraId="371B487F"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地锚安装固定不符合规定要求是造成此次事故的主要原因。</w:t>
      </w:r>
    </w:p>
    <w:p w14:paraId="2CB8F05A" w14:textId="77777777" w:rsidR="002E0859" w:rsidRDefault="00000000">
      <w:pPr>
        <w:pStyle w:val="a0"/>
        <w:spacing w:line="360" w:lineRule="auto"/>
        <w:ind w:firstLine="480"/>
        <w:rPr>
          <w:color w:val="000000" w:themeColor="text1"/>
          <w:sz w:val="24"/>
          <w:szCs w:val="24"/>
        </w:rPr>
      </w:pPr>
      <w:r>
        <w:rPr>
          <w:color w:val="000000" w:themeColor="text1"/>
          <w:sz w:val="24"/>
          <w:szCs w:val="24"/>
        </w:rPr>
        <w:t>一是绷绳坑未使用水泥砂浆浇灌；</w:t>
      </w:r>
    </w:p>
    <w:p w14:paraId="4DE979B9"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二是绷绳坑深度均未达到</w:t>
      </w:r>
      <w:r>
        <w:rPr>
          <w:color w:val="000000" w:themeColor="text1"/>
          <w:sz w:val="24"/>
          <w:szCs w:val="24"/>
        </w:rPr>
        <w:t>1.8m</w:t>
      </w:r>
      <w:r>
        <w:rPr>
          <w:color w:val="000000" w:themeColor="text1"/>
          <w:sz w:val="24"/>
          <w:szCs w:val="24"/>
        </w:rPr>
        <w:t>的标准要求；</w:t>
      </w:r>
    </w:p>
    <w:p w14:paraId="10EF7D8F" w14:textId="77777777" w:rsidR="002E0859" w:rsidRDefault="00000000">
      <w:pPr>
        <w:pStyle w:val="a0"/>
        <w:spacing w:line="360" w:lineRule="auto"/>
        <w:ind w:firstLine="480"/>
        <w:rPr>
          <w:color w:val="000000" w:themeColor="text1"/>
          <w:sz w:val="24"/>
          <w:szCs w:val="24"/>
        </w:rPr>
      </w:pPr>
      <w:r>
        <w:rPr>
          <w:color w:val="000000" w:themeColor="text1"/>
          <w:sz w:val="24"/>
          <w:szCs w:val="24"/>
        </w:rPr>
        <w:t>三是地锚（角钢）与地锚钢丝绳的连接不当，容易造成钢丝绳损伤；</w:t>
      </w:r>
    </w:p>
    <w:p w14:paraId="4EB09823" w14:textId="77777777" w:rsidR="002E0859" w:rsidRDefault="00000000">
      <w:pPr>
        <w:pStyle w:val="a0"/>
        <w:spacing w:line="360" w:lineRule="auto"/>
        <w:ind w:firstLine="480"/>
        <w:rPr>
          <w:color w:val="000000" w:themeColor="text1"/>
          <w:sz w:val="24"/>
          <w:szCs w:val="24"/>
        </w:rPr>
      </w:pPr>
      <w:r>
        <w:rPr>
          <w:color w:val="000000" w:themeColor="text1"/>
          <w:sz w:val="24"/>
          <w:szCs w:val="24"/>
        </w:rPr>
        <w:t>四是受地形限制，绷绳坑相互距离及距井口距离不足，但在施工时未采取针对性加强措施，致使绷绳承受的拉力增大。</w:t>
      </w:r>
    </w:p>
    <w:p w14:paraId="67C9519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管理不严是造成此次事故的重要原因。</w:t>
      </w:r>
    </w:p>
    <w:p w14:paraId="314C6773" w14:textId="77777777" w:rsidR="002E0859" w:rsidRDefault="00000000">
      <w:pPr>
        <w:pStyle w:val="a0"/>
        <w:spacing w:line="360" w:lineRule="auto"/>
        <w:ind w:firstLine="480"/>
        <w:rPr>
          <w:color w:val="000000" w:themeColor="text1"/>
          <w:sz w:val="24"/>
          <w:szCs w:val="24"/>
        </w:rPr>
      </w:pPr>
      <w:r>
        <w:rPr>
          <w:color w:val="000000" w:themeColor="text1"/>
          <w:sz w:val="24"/>
          <w:szCs w:val="24"/>
        </w:rPr>
        <w:t>一是钻井工程处钻前大队在进行绷绳坑施工时未执行企业标准《钻井设备基础施工与井架安装质量验收》中</w:t>
      </w:r>
      <w:r>
        <w:rPr>
          <w:color w:val="000000" w:themeColor="text1"/>
          <w:sz w:val="24"/>
          <w:szCs w:val="24"/>
        </w:rPr>
        <w:t>16.3.1</w:t>
      </w:r>
      <w:r>
        <w:rPr>
          <w:color w:val="000000" w:themeColor="text1"/>
          <w:sz w:val="24"/>
          <w:szCs w:val="24"/>
        </w:rPr>
        <w:t>条的规定，违反了石油天然气行业标准《石油钻井队安全生产检查规定》中</w:t>
      </w:r>
      <w:r>
        <w:rPr>
          <w:color w:val="000000" w:themeColor="text1"/>
          <w:sz w:val="24"/>
          <w:szCs w:val="24"/>
        </w:rPr>
        <w:t>3.2.10.1</w:t>
      </w:r>
      <w:r>
        <w:rPr>
          <w:color w:val="000000" w:themeColor="text1"/>
          <w:sz w:val="24"/>
          <w:szCs w:val="24"/>
        </w:rPr>
        <w:t>条的规定。</w:t>
      </w:r>
    </w:p>
    <w:p w14:paraId="5B296CD5" w14:textId="77777777" w:rsidR="002E0859" w:rsidRDefault="00000000">
      <w:pPr>
        <w:pStyle w:val="a0"/>
        <w:spacing w:line="360" w:lineRule="auto"/>
        <w:ind w:firstLine="480"/>
        <w:rPr>
          <w:color w:val="000000" w:themeColor="text1"/>
          <w:sz w:val="24"/>
          <w:szCs w:val="24"/>
        </w:rPr>
      </w:pPr>
      <w:r>
        <w:rPr>
          <w:color w:val="000000" w:themeColor="text1"/>
          <w:sz w:val="24"/>
          <w:szCs w:val="24"/>
        </w:rPr>
        <w:t>二是钻井工程处调度室未按企业标准《开钻前验收项目及要求》第</w:t>
      </w:r>
      <w:r>
        <w:rPr>
          <w:color w:val="000000" w:themeColor="text1"/>
          <w:sz w:val="24"/>
          <w:szCs w:val="24"/>
        </w:rPr>
        <w:t>3</w:t>
      </w:r>
      <w:r>
        <w:rPr>
          <w:color w:val="000000" w:themeColor="text1"/>
          <w:sz w:val="24"/>
          <w:szCs w:val="24"/>
        </w:rPr>
        <w:t>条的规定，组织开钻前的验收。</w:t>
      </w:r>
    </w:p>
    <w:p w14:paraId="5F412136" w14:textId="77777777" w:rsidR="002E0859" w:rsidRDefault="00000000">
      <w:pPr>
        <w:pStyle w:val="a0"/>
        <w:spacing w:line="360" w:lineRule="auto"/>
        <w:ind w:firstLine="480"/>
        <w:rPr>
          <w:color w:val="000000" w:themeColor="text1"/>
          <w:sz w:val="24"/>
          <w:szCs w:val="24"/>
        </w:rPr>
      </w:pPr>
      <w:r>
        <w:rPr>
          <w:color w:val="000000" w:themeColor="text1"/>
          <w:sz w:val="24"/>
          <w:szCs w:val="24"/>
        </w:rPr>
        <w:t>三是《钻井井架安全检查标准》存在明显错误</w:t>
      </w:r>
      <w:r>
        <w:rPr>
          <w:rFonts w:hint="eastAsia"/>
          <w:color w:val="000000" w:themeColor="text1"/>
          <w:sz w:val="24"/>
          <w:szCs w:val="24"/>
        </w:rPr>
        <w:t>。</w:t>
      </w:r>
      <w:r>
        <w:rPr>
          <w:color w:val="000000" w:themeColor="text1"/>
          <w:sz w:val="24"/>
          <w:szCs w:val="24"/>
        </w:rPr>
        <w:t>该标准是</w:t>
      </w:r>
      <w:r>
        <w:rPr>
          <w:color w:val="000000" w:themeColor="text1"/>
          <w:sz w:val="24"/>
          <w:szCs w:val="24"/>
        </w:rPr>
        <w:t>1995</w:t>
      </w:r>
      <w:r>
        <w:rPr>
          <w:color w:val="000000" w:themeColor="text1"/>
          <w:sz w:val="24"/>
          <w:szCs w:val="24"/>
        </w:rPr>
        <w:t>年钻井工程处起草，但在绷绳地锚的安装上违反了行业标准的相关规定，将</w:t>
      </w:r>
      <w:r>
        <w:rPr>
          <w:rFonts w:hint="eastAsia"/>
          <w:color w:val="000000" w:themeColor="text1"/>
          <w:sz w:val="24"/>
          <w:szCs w:val="24"/>
        </w:rPr>
        <w:t>“</w:t>
      </w:r>
      <w:r>
        <w:rPr>
          <w:color w:val="000000" w:themeColor="text1"/>
          <w:sz w:val="24"/>
          <w:szCs w:val="24"/>
        </w:rPr>
        <w:t>地锚埋深</w:t>
      </w:r>
      <w:r>
        <w:rPr>
          <w:rFonts w:hint="eastAsia"/>
          <w:color w:val="000000" w:themeColor="text1"/>
          <w:sz w:val="24"/>
          <w:szCs w:val="24"/>
        </w:rPr>
        <w:t>”</w:t>
      </w:r>
      <w:r>
        <w:rPr>
          <w:color w:val="000000" w:themeColor="text1"/>
          <w:sz w:val="24"/>
          <w:szCs w:val="24"/>
        </w:rPr>
        <w:t>由行标的</w:t>
      </w:r>
      <w:r>
        <w:rPr>
          <w:rFonts w:hint="eastAsia"/>
          <w:color w:val="000000" w:themeColor="text1"/>
          <w:sz w:val="24"/>
          <w:szCs w:val="24"/>
        </w:rPr>
        <w:t>“</w:t>
      </w:r>
      <w:r>
        <w:rPr>
          <w:color w:val="000000" w:themeColor="text1"/>
          <w:sz w:val="24"/>
          <w:szCs w:val="24"/>
        </w:rPr>
        <w:t>1.8m</w:t>
      </w:r>
      <w:r>
        <w:rPr>
          <w:rFonts w:hint="eastAsia"/>
          <w:color w:val="000000" w:themeColor="text1"/>
          <w:sz w:val="24"/>
          <w:szCs w:val="24"/>
        </w:rPr>
        <w:t>”</w:t>
      </w:r>
      <w:r>
        <w:rPr>
          <w:color w:val="000000" w:themeColor="text1"/>
          <w:sz w:val="24"/>
          <w:szCs w:val="24"/>
        </w:rPr>
        <w:t>改为</w:t>
      </w:r>
      <w:r>
        <w:rPr>
          <w:rFonts w:hint="eastAsia"/>
          <w:color w:val="000000" w:themeColor="text1"/>
          <w:sz w:val="24"/>
          <w:szCs w:val="24"/>
        </w:rPr>
        <w:t>“</w:t>
      </w:r>
      <w:r>
        <w:rPr>
          <w:color w:val="000000" w:themeColor="text1"/>
          <w:sz w:val="24"/>
          <w:szCs w:val="24"/>
        </w:rPr>
        <w:t>1.2m</w:t>
      </w:r>
      <w:r>
        <w:rPr>
          <w:rFonts w:hint="eastAsia"/>
          <w:color w:val="000000" w:themeColor="text1"/>
          <w:sz w:val="24"/>
          <w:szCs w:val="24"/>
        </w:rPr>
        <w:t>”</w:t>
      </w:r>
      <w:r>
        <w:rPr>
          <w:color w:val="000000" w:themeColor="text1"/>
          <w:sz w:val="24"/>
          <w:szCs w:val="24"/>
        </w:rPr>
        <w:t>，并未按行标的要求</w:t>
      </w:r>
      <w:r>
        <w:rPr>
          <w:rFonts w:hint="eastAsia"/>
          <w:color w:val="000000" w:themeColor="text1"/>
          <w:sz w:val="24"/>
          <w:szCs w:val="24"/>
        </w:rPr>
        <w:t>“</w:t>
      </w:r>
      <w:r>
        <w:rPr>
          <w:color w:val="000000" w:themeColor="text1"/>
          <w:sz w:val="24"/>
          <w:szCs w:val="24"/>
        </w:rPr>
        <w:t>用水泥砂浆浇灌</w:t>
      </w:r>
      <w:r>
        <w:rPr>
          <w:rFonts w:hint="eastAsia"/>
          <w:color w:val="000000" w:themeColor="text1"/>
          <w:sz w:val="24"/>
          <w:szCs w:val="24"/>
        </w:rPr>
        <w:t>”</w:t>
      </w:r>
      <w:r>
        <w:rPr>
          <w:color w:val="000000" w:themeColor="text1"/>
          <w:sz w:val="24"/>
          <w:szCs w:val="24"/>
        </w:rPr>
        <w:t>；安全环保专业标准化委员会在审查时未发现这一明显错误，就由江汉石油管理局标准化委员会予以发布，造成执行标准混乱。</w:t>
      </w:r>
    </w:p>
    <w:p w14:paraId="60A3FBCB"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分公司地质工程设计监督中心对该井的工程监督不到位，是造成此次事故的间接原因。</w:t>
      </w:r>
    </w:p>
    <w:p w14:paraId="0DFF7929" w14:textId="77777777" w:rsidR="002E0859" w:rsidRDefault="00000000">
      <w:pPr>
        <w:pStyle w:val="a0"/>
        <w:spacing w:line="360" w:lineRule="auto"/>
        <w:ind w:firstLine="480"/>
        <w:rPr>
          <w:color w:val="000000" w:themeColor="text1"/>
          <w:sz w:val="24"/>
          <w:szCs w:val="24"/>
        </w:rPr>
      </w:pPr>
      <w:r>
        <w:rPr>
          <w:color w:val="000000" w:themeColor="text1"/>
          <w:sz w:val="24"/>
          <w:szCs w:val="24"/>
        </w:rPr>
        <w:t>监督中心作为甲方的监督部门，对该井的工程监督职责不到位，在该井施工中监督工作不落实。</w:t>
      </w:r>
    </w:p>
    <w:p w14:paraId="1CD7C847" w14:textId="77777777" w:rsidR="002E0859" w:rsidRDefault="00000000">
      <w:pPr>
        <w:ind w:firstLine="480"/>
        <w:rPr>
          <w:color w:val="000000" w:themeColor="text1"/>
          <w:sz w:val="24"/>
          <w:szCs w:val="24"/>
        </w:rPr>
      </w:pPr>
      <w:r>
        <w:rPr>
          <w:color w:val="000000" w:themeColor="text1"/>
          <w:sz w:val="24"/>
          <w:szCs w:val="24"/>
        </w:rPr>
        <w:br w:type="page"/>
      </w:r>
    </w:p>
    <w:p w14:paraId="1D2B0FFB" w14:textId="77777777" w:rsidR="002E0859" w:rsidRDefault="00000000">
      <w:pPr>
        <w:pStyle w:val="1"/>
        <w:keepNext w:val="0"/>
        <w:keepLines w:val="0"/>
        <w:spacing w:before="240" w:after="240" w:line="360" w:lineRule="auto"/>
        <w:rPr>
          <w:color w:val="000000" w:themeColor="text1"/>
        </w:rPr>
      </w:pPr>
      <w:bookmarkStart w:id="41" w:name="_Toc17507"/>
      <w:r>
        <w:rPr>
          <w:rFonts w:hint="eastAsia"/>
          <w:color w:val="000000" w:themeColor="text1"/>
        </w:rPr>
        <w:lastRenderedPageBreak/>
        <w:t>评价单元划分和评价方法选择</w:t>
      </w:r>
      <w:bookmarkEnd w:id="41"/>
    </w:p>
    <w:p w14:paraId="1810CEE7" w14:textId="77777777" w:rsidR="002E0859" w:rsidRDefault="00000000">
      <w:pPr>
        <w:pStyle w:val="2"/>
        <w:keepNext w:val="0"/>
        <w:keepLines w:val="0"/>
        <w:spacing w:before="120" w:after="120" w:line="360" w:lineRule="auto"/>
        <w:jc w:val="center"/>
        <w:rPr>
          <w:color w:val="000000" w:themeColor="text1"/>
        </w:rPr>
      </w:pPr>
      <w:bookmarkStart w:id="42" w:name="_Toc11683"/>
      <w:r>
        <w:rPr>
          <w:rFonts w:hint="eastAsia"/>
          <w:color w:val="000000" w:themeColor="text1"/>
        </w:rPr>
        <w:t>评价单元划分</w:t>
      </w:r>
      <w:bookmarkEnd w:id="42"/>
    </w:p>
    <w:p w14:paraId="57DE28AB"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划分原则</w:t>
      </w:r>
    </w:p>
    <w:p w14:paraId="00CAFD2B" w14:textId="77777777" w:rsidR="002E0859" w:rsidRDefault="00000000">
      <w:pPr>
        <w:pStyle w:val="a0"/>
        <w:spacing w:line="360" w:lineRule="auto"/>
        <w:ind w:firstLine="480"/>
        <w:rPr>
          <w:color w:val="000000" w:themeColor="text1"/>
          <w:sz w:val="24"/>
          <w:szCs w:val="24"/>
        </w:rPr>
      </w:pPr>
      <w:r>
        <w:rPr>
          <w:color w:val="000000" w:themeColor="text1"/>
          <w:sz w:val="24"/>
          <w:szCs w:val="24"/>
        </w:rPr>
        <w:t>评价单元是指在对工程危险、有害因素进行分析的基础上，根据评价目标和评价方法的需要，将整个系统划分成若干个有限的确定范围而分别进行评价的相对独立的装置、设施和场所。</w:t>
      </w:r>
    </w:p>
    <w:p w14:paraId="065F1452" w14:textId="77777777" w:rsidR="002E0859" w:rsidRDefault="00000000">
      <w:pPr>
        <w:pStyle w:val="a0"/>
        <w:spacing w:line="360" w:lineRule="auto"/>
        <w:ind w:firstLine="480"/>
        <w:rPr>
          <w:color w:val="000000" w:themeColor="text1"/>
          <w:sz w:val="24"/>
          <w:szCs w:val="24"/>
        </w:rPr>
      </w:pPr>
      <w:r>
        <w:rPr>
          <w:color w:val="000000" w:themeColor="text1"/>
          <w:sz w:val="24"/>
          <w:szCs w:val="24"/>
        </w:rPr>
        <w:t>划分评价单元的一般性原则是按生产工艺功能、生产设施设备相对独立空间、危险有害因素类别及事故范围划分评价单元，使评价单元相对独立，具有明显特征界限。</w:t>
      </w:r>
    </w:p>
    <w:p w14:paraId="089B3C06" w14:textId="77777777" w:rsidR="002E0859" w:rsidRDefault="00000000">
      <w:pPr>
        <w:pStyle w:val="a0"/>
        <w:spacing w:line="360" w:lineRule="auto"/>
        <w:ind w:firstLine="480"/>
        <w:rPr>
          <w:color w:val="000000" w:themeColor="text1"/>
          <w:sz w:val="24"/>
          <w:szCs w:val="24"/>
        </w:rPr>
      </w:pPr>
      <w:r>
        <w:rPr>
          <w:color w:val="000000" w:themeColor="text1"/>
          <w:sz w:val="24"/>
          <w:szCs w:val="24"/>
        </w:rPr>
        <w:t>常用的评价单元的划分原则有：</w:t>
      </w:r>
    </w:p>
    <w:p w14:paraId="465A73ED"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以危险、有害因素的类别为主划分；</w:t>
      </w:r>
    </w:p>
    <w:p w14:paraId="171E1915"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以装置和物质的特性划分。</w:t>
      </w:r>
    </w:p>
    <w:p w14:paraId="78B4F957" w14:textId="77777777" w:rsidR="002E0859" w:rsidRDefault="00000000">
      <w:pPr>
        <w:pStyle w:val="a0"/>
        <w:spacing w:line="360" w:lineRule="auto"/>
        <w:ind w:firstLine="480"/>
        <w:rPr>
          <w:color w:val="000000" w:themeColor="text1"/>
          <w:sz w:val="24"/>
          <w:szCs w:val="24"/>
        </w:rPr>
      </w:pPr>
      <w:r>
        <w:rPr>
          <w:color w:val="000000" w:themeColor="text1"/>
          <w:sz w:val="24"/>
          <w:szCs w:val="24"/>
        </w:rPr>
        <w:t>通过对本工程生产过程中的危险、有害因素分析，结合本工程的特点和具体情况，本次预评价按工艺流程，兼顾危险、有害因素的相似特性等进行评价单元的划分。</w:t>
      </w:r>
    </w:p>
    <w:p w14:paraId="51CE8015"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评价单元划分</w:t>
      </w:r>
    </w:p>
    <w:p w14:paraId="7A147AAB"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根据本工程的生产工艺特点、危险有害因素的分布状况、便于实施评价的原则，本次评价划分为以下评价单元进行评价：</w:t>
      </w:r>
    </w:p>
    <w:p w14:paraId="7EB2F88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w:t>
      </w:r>
      <w:r>
        <w:rPr>
          <w:rFonts w:hint="eastAsia"/>
          <w:color w:val="000000" w:themeColor="text1"/>
          <w:sz w:val="24"/>
          <w:szCs w:val="24"/>
        </w:rPr>
        <w:t>、钻井工程单元及井下作业单元</w:t>
      </w:r>
    </w:p>
    <w:p w14:paraId="32F5C13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、采气工程单元</w:t>
      </w:r>
    </w:p>
    <w:p w14:paraId="19032BC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、站场单元</w:t>
      </w:r>
    </w:p>
    <w:p w14:paraId="29B383B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、集输管道单元</w:t>
      </w:r>
    </w:p>
    <w:p w14:paraId="66D0676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、采出水处理单元</w:t>
      </w:r>
    </w:p>
    <w:p w14:paraId="641AF00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、公用工程及辅助生产设施单元</w:t>
      </w:r>
    </w:p>
    <w:p w14:paraId="7876CC5A" w14:textId="77777777" w:rsidR="002E0859" w:rsidRDefault="00000000">
      <w:pPr>
        <w:pStyle w:val="2"/>
        <w:keepNext w:val="0"/>
        <w:keepLines w:val="0"/>
        <w:spacing w:before="120" w:after="120" w:line="360" w:lineRule="auto"/>
        <w:jc w:val="center"/>
        <w:rPr>
          <w:color w:val="000000" w:themeColor="text1"/>
        </w:rPr>
      </w:pPr>
      <w:bookmarkStart w:id="43" w:name="_Toc9146"/>
      <w:r>
        <w:rPr>
          <w:rFonts w:hint="eastAsia"/>
          <w:color w:val="000000" w:themeColor="text1"/>
        </w:rPr>
        <w:t>评价方法选择</w:t>
      </w:r>
      <w:bookmarkEnd w:id="43"/>
    </w:p>
    <w:p w14:paraId="008A7F0D" w14:textId="77777777" w:rsidR="002E0859" w:rsidRDefault="00000000">
      <w:pPr>
        <w:pStyle w:val="a0"/>
        <w:spacing w:line="360" w:lineRule="auto"/>
        <w:ind w:firstLine="480"/>
        <w:rPr>
          <w:color w:val="000000" w:themeColor="text1"/>
          <w:sz w:val="24"/>
          <w:szCs w:val="24"/>
        </w:rPr>
      </w:pPr>
      <w:r>
        <w:rPr>
          <w:color w:val="000000" w:themeColor="text1"/>
          <w:sz w:val="24"/>
          <w:szCs w:val="24"/>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w:t>
      </w:r>
      <w:r>
        <w:rPr>
          <w:rFonts w:hint="eastAsia"/>
          <w:color w:val="000000" w:themeColor="text1"/>
          <w:sz w:val="24"/>
          <w:szCs w:val="24"/>
        </w:rPr>
        <w:t>四</w:t>
      </w:r>
      <w:r>
        <w:rPr>
          <w:color w:val="000000" w:themeColor="text1"/>
          <w:sz w:val="24"/>
          <w:szCs w:val="24"/>
        </w:rPr>
        <w:t>种评价方法：预先危险性分析法（</w:t>
      </w:r>
      <w:r>
        <w:rPr>
          <w:color w:val="000000" w:themeColor="text1"/>
          <w:sz w:val="24"/>
          <w:szCs w:val="24"/>
        </w:rPr>
        <w:t>PHA</w:t>
      </w:r>
      <w:r>
        <w:rPr>
          <w:color w:val="000000" w:themeColor="text1"/>
          <w:sz w:val="24"/>
          <w:szCs w:val="24"/>
        </w:rPr>
        <w:t>）</w:t>
      </w:r>
      <w:r>
        <w:rPr>
          <w:rFonts w:hint="eastAsia"/>
          <w:color w:val="000000" w:themeColor="text1"/>
          <w:sz w:val="24"/>
          <w:szCs w:val="24"/>
        </w:rPr>
        <w:t>、</w:t>
      </w:r>
      <w:r>
        <w:rPr>
          <w:color w:val="000000" w:themeColor="text1"/>
          <w:sz w:val="24"/>
          <w:szCs w:val="24"/>
        </w:rPr>
        <w:t>安全检查表法（</w:t>
      </w:r>
      <w:r>
        <w:rPr>
          <w:color w:val="000000" w:themeColor="text1"/>
          <w:sz w:val="24"/>
          <w:szCs w:val="24"/>
        </w:rPr>
        <w:t>SCL</w:t>
      </w:r>
      <w:r>
        <w:rPr>
          <w:color w:val="000000" w:themeColor="text1"/>
          <w:sz w:val="24"/>
          <w:szCs w:val="24"/>
        </w:rPr>
        <w:t>）</w:t>
      </w:r>
      <w:r>
        <w:rPr>
          <w:rFonts w:hint="eastAsia"/>
          <w:color w:val="000000" w:themeColor="text1"/>
          <w:sz w:val="24"/>
          <w:szCs w:val="24"/>
        </w:rPr>
        <w:t>、故障假设分析法和</w:t>
      </w:r>
      <w:bookmarkStart w:id="44" w:name="_Toc18254"/>
      <w:r>
        <w:rPr>
          <w:rFonts w:hint="eastAsia"/>
          <w:color w:val="000000" w:themeColor="text1"/>
          <w:sz w:val="24"/>
          <w:szCs w:val="24"/>
        </w:rPr>
        <w:t>定量风险模拟评价方</w:t>
      </w:r>
      <w:r>
        <w:rPr>
          <w:rFonts w:hint="eastAsia"/>
          <w:color w:val="000000" w:themeColor="text1"/>
          <w:sz w:val="24"/>
          <w:szCs w:val="24"/>
        </w:rPr>
        <w:lastRenderedPageBreak/>
        <w:t>法</w:t>
      </w:r>
      <w:bookmarkEnd w:id="44"/>
      <w:r>
        <w:rPr>
          <w:color w:val="000000" w:themeColor="text1"/>
          <w:sz w:val="24"/>
          <w:szCs w:val="24"/>
        </w:rPr>
        <w:t>。在具体评价中，针对各单元的不同特点，可有选择地应用上述评价方法。</w:t>
      </w:r>
    </w:p>
    <w:p w14:paraId="5C38CDFE" w14:textId="77777777" w:rsidR="002E0859" w:rsidRDefault="00000000">
      <w:pPr>
        <w:pStyle w:val="a0"/>
        <w:spacing w:line="360" w:lineRule="auto"/>
        <w:ind w:firstLine="480"/>
        <w:rPr>
          <w:color w:val="000000" w:themeColor="text1"/>
          <w:sz w:val="24"/>
          <w:szCs w:val="24"/>
        </w:rPr>
      </w:pPr>
      <w:r>
        <w:rPr>
          <w:color w:val="000000" w:themeColor="text1"/>
          <w:sz w:val="24"/>
          <w:szCs w:val="24"/>
        </w:rPr>
        <w:t>各评价方法的具体操作程序如下表：</w:t>
      </w:r>
    </w:p>
    <w:p w14:paraId="0A4372ED"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hint="eastAsia"/>
          <w:color w:val="000000" w:themeColor="text1"/>
          <w:sz w:val="21"/>
          <w:szCs w:val="21"/>
        </w:rPr>
        <w:t>表</w:t>
      </w:r>
      <w:r>
        <w:rPr>
          <w:rFonts w:eastAsia="黑体" w:hint="eastAsia"/>
          <w:color w:val="000000" w:themeColor="text1"/>
          <w:sz w:val="21"/>
          <w:szCs w:val="21"/>
        </w:rPr>
        <w:t xml:space="preserve">4.2-1 </w:t>
      </w:r>
      <w:r>
        <w:rPr>
          <w:rFonts w:eastAsia="黑体" w:hint="eastAsia"/>
          <w:color w:val="000000" w:themeColor="text1"/>
          <w:sz w:val="21"/>
          <w:szCs w:val="21"/>
        </w:rPr>
        <w:t>各单元评价方法表</w:t>
      </w:r>
    </w:p>
    <w:tbl>
      <w:tblPr>
        <w:tblStyle w:val="ac"/>
        <w:tblW w:w="939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7"/>
        <w:gridCol w:w="3167"/>
        <w:gridCol w:w="3973"/>
        <w:gridCol w:w="1831"/>
      </w:tblGrid>
      <w:tr w:rsidR="002E0859" w14:paraId="37A7DF92" w14:textId="77777777">
        <w:trPr>
          <w:cantSplit/>
          <w:trHeight w:val="23"/>
        </w:trPr>
        <w:tc>
          <w:tcPr>
            <w:tcW w:w="427" w:type="dxa"/>
            <w:tcBorders>
              <w:tl2br w:val="nil"/>
              <w:tr2bl w:val="nil"/>
            </w:tcBorders>
            <w:vAlign w:val="center"/>
          </w:tcPr>
          <w:p w14:paraId="589CB162"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序号</w:t>
            </w:r>
          </w:p>
        </w:tc>
        <w:tc>
          <w:tcPr>
            <w:tcW w:w="3167" w:type="dxa"/>
            <w:tcBorders>
              <w:tl2br w:val="nil"/>
              <w:tr2bl w:val="nil"/>
            </w:tcBorders>
            <w:vAlign w:val="center"/>
          </w:tcPr>
          <w:p w14:paraId="0E4DDACA"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评价单元</w:t>
            </w:r>
          </w:p>
        </w:tc>
        <w:tc>
          <w:tcPr>
            <w:tcW w:w="3973" w:type="dxa"/>
            <w:tcBorders>
              <w:tl2br w:val="nil"/>
              <w:tr2bl w:val="nil"/>
            </w:tcBorders>
            <w:vAlign w:val="center"/>
          </w:tcPr>
          <w:p w14:paraId="5BCF3738" w14:textId="77777777" w:rsidR="002E0859" w:rsidRDefault="00000000">
            <w:pPr>
              <w:topLinePunct w:val="0"/>
              <w:spacing w:line="240" w:lineRule="auto"/>
              <w:ind w:firstLineChars="0" w:firstLine="0"/>
              <w:jc w:val="center"/>
              <w:rPr>
                <w:b/>
                <w:bCs/>
                <w:color w:val="000000" w:themeColor="text1"/>
                <w:sz w:val="21"/>
                <w:szCs w:val="21"/>
              </w:rPr>
            </w:pPr>
            <w:r>
              <w:rPr>
                <w:b/>
                <w:bCs/>
                <w:color w:val="000000" w:themeColor="text1"/>
                <w:sz w:val="21"/>
                <w:szCs w:val="21"/>
              </w:rPr>
              <w:t>评价方法</w:t>
            </w:r>
          </w:p>
        </w:tc>
        <w:tc>
          <w:tcPr>
            <w:tcW w:w="1831" w:type="dxa"/>
            <w:tcBorders>
              <w:tl2br w:val="nil"/>
              <w:tr2bl w:val="nil"/>
            </w:tcBorders>
            <w:vAlign w:val="center"/>
          </w:tcPr>
          <w:p w14:paraId="37865641" w14:textId="77777777" w:rsidR="002E0859" w:rsidRDefault="00000000">
            <w:pPr>
              <w:topLinePunct w:val="0"/>
              <w:spacing w:line="240" w:lineRule="auto"/>
              <w:ind w:firstLineChars="0" w:firstLine="0"/>
              <w:jc w:val="center"/>
              <w:rPr>
                <w:b/>
                <w:bCs/>
                <w:color w:val="000000" w:themeColor="text1"/>
                <w:sz w:val="21"/>
                <w:szCs w:val="21"/>
              </w:rPr>
            </w:pPr>
            <w:r>
              <w:rPr>
                <w:rFonts w:hint="eastAsia"/>
                <w:b/>
                <w:bCs/>
                <w:color w:val="000000" w:themeColor="text1"/>
                <w:sz w:val="21"/>
                <w:szCs w:val="21"/>
              </w:rPr>
              <w:t>备注</w:t>
            </w:r>
          </w:p>
        </w:tc>
      </w:tr>
      <w:tr w:rsidR="002E0859" w14:paraId="5B4309C3" w14:textId="77777777">
        <w:trPr>
          <w:cantSplit/>
          <w:trHeight w:val="23"/>
        </w:trPr>
        <w:tc>
          <w:tcPr>
            <w:tcW w:w="427" w:type="dxa"/>
            <w:tcBorders>
              <w:tl2br w:val="nil"/>
              <w:tr2bl w:val="nil"/>
            </w:tcBorders>
            <w:vAlign w:val="center"/>
          </w:tcPr>
          <w:p w14:paraId="3E38A35B"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1</w:t>
            </w:r>
          </w:p>
        </w:tc>
        <w:tc>
          <w:tcPr>
            <w:tcW w:w="3167" w:type="dxa"/>
            <w:tcBorders>
              <w:tl2br w:val="nil"/>
              <w:tr2bl w:val="nil"/>
            </w:tcBorders>
            <w:vAlign w:val="center"/>
          </w:tcPr>
          <w:p w14:paraId="1DDFA032"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钻井工程单元</w:t>
            </w:r>
            <w:r>
              <w:rPr>
                <w:rFonts w:hint="eastAsia"/>
                <w:color w:val="000000" w:themeColor="text1"/>
                <w:sz w:val="21"/>
                <w:szCs w:val="21"/>
              </w:rPr>
              <w:t>及井下作业</w:t>
            </w:r>
            <w:r>
              <w:rPr>
                <w:color w:val="000000" w:themeColor="text1"/>
                <w:sz w:val="21"/>
                <w:szCs w:val="21"/>
              </w:rPr>
              <w:t>单元</w:t>
            </w:r>
          </w:p>
        </w:tc>
        <w:tc>
          <w:tcPr>
            <w:tcW w:w="3973" w:type="dxa"/>
            <w:tcBorders>
              <w:tl2br w:val="nil"/>
              <w:tr2bl w:val="nil"/>
            </w:tcBorders>
            <w:vAlign w:val="center"/>
          </w:tcPr>
          <w:p w14:paraId="2711523E"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安全检查表</w:t>
            </w:r>
          </w:p>
        </w:tc>
        <w:tc>
          <w:tcPr>
            <w:tcW w:w="1831" w:type="dxa"/>
            <w:tcBorders>
              <w:tl2br w:val="nil"/>
              <w:tr2bl w:val="nil"/>
            </w:tcBorders>
            <w:vAlign w:val="center"/>
          </w:tcPr>
          <w:p w14:paraId="5E8CD137" w14:textId="77777777" w:rsidR="002E0859" w:rsidRDefault="002E0859">
            <w:pPr>
              <w:pStyle w:val="a0"/>
              <w:spacing w:line="240" w:lineRule="auto"/>
              <w:ind w:firstLineChars="0" w:firstLine="0"/>
              <w:jc w:val="center"/>
              <w:rPr>
                <w:color w:val="000000" w:themeColor="text1"/>
                <w:sz w:val="21"/>
                <w:szCs w:val="21"/>
              </w:rPr>
            </w:pPr>
          </w:p>
        </w:tc>
      </w:tr>
      <w:tr w:rsidR="002E0859" w14:paraId="550AE33E" w14:textId="77777777">
        <w:trPr>
          <w:cantSplit/>
          <w:trHeight w:val="23"/>
        </w:trPr>
        <w:tc>
          <w:tcPr>
            <w:tcW w:w="427" w:type="dxa"/>
            <w:tcBorders>
              <w:tl2br w:val="nil"/>
              <w:tr2bl w:val="nil"/>
            </w:tcBorders>
            <w:vAlign w:val="center"/>
          </w:tcPr>
          <w:p w14:paraId="35DA756D"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2</w:t>
            </w:r>
          </w:p>
        </w:tc>
        <w:tc>
          <w:tcPr>
            <w:tcW w:w="3167" w:type="dxa"/>
            <w:tcBorders>
              <w:tl2br w:val="nil"/>
              <w:tr2bl w:val="nil"/>
            </w:tcBorders>
            <w:vAlign w:val="center"/>
          </w:tcPr>
          <w:p w14:paraId="18D7AC8B"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采气工程</w:t>
            </w:r>
            <w:r>
              <w:rPr>
                <w:rFonts w:hint="eastAsia"/>
                <w:color w:val="000000" w:themeColor="text1"/>
                <w:sz w:val="21"/>
                <w:szCs w:val="21"/>
              </w:rPr>
              <w:t>单元</w:t>
            </w:r>
          </w:p>
        </w:tc>
        <w:tc>
          <w:tcPr>
            <w:tcW w:w="3973" w:type="dxa"/>
            <w:tcBorders>
              <w:tl2br w:val="nil"/>
              <w:tr2bl w:val="nil"/>
            </w:tcBorders>
            <w:vAlign w:val="center"/>
          </w:tcPr>
          <w:p w14:paraId="25031116"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预先危险性分析、安全检查表</w:t>
            </w:r>
          </w:p>
        </w:tc>
        <w:tc>
          <w:tcPr>
            <w:tcW w:w="1831" w:type="dxa"/>
            <w:tcBorders>
              <w:tl2br w:val="nil"/>
              <w:tr2bl w:val="nil"/>
            </w:tcBorders>
            <w:vAlign w:val="center"/>
          </w:tcPr>
          <w:p w14:paraId="01B34280" w14:textId="77777777" w:rsidR="002E0859" w:rsidRDefault="002E0859">
            <w:pPr>
              <w:pStyle w:val="a0"/>
              <w:spacing w:line="240" w:lineRule="auto"/>
              <w:ind w:firstLineChars="0" w:firstLine="0"/>
              <w:jc w:val="center"/>
              <w:rPr>
                <w:color w:val="000000" w:themeColor="text1"/>
                <w:sz w:val="21"/>
                <w:szCs w:val="21"/>
              </w:rPr>
            </w:pPr>
          </w:p>
        </w:tc>
      </w:tr>
      <w:tr w:rsidR="002E0859" w14:paraId="7324BB9F" w14:textId="77777777">
        <w:trPr>
          <w:cantSplit/>
          <w:trHeight w:val="312"/>
        </w:trPr>
        <w:tc>
          <w:tcPr>
            <w:tcW w:w="427" w:type="dxa"/>
            <w:tcBorders>
              <w:tl2br w:val="nil"/>
              <w:tr2bl w:val="nil"/>
            </w:tcBorders>
            <w:vAlign w:val="center"/>
          </w:tcPr>
          <w:p w14:paraId="1DBCAAF4"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3</w:t>
            </w:r>
          </w:p>
        </w:tc>
        <w:tc>
          <w:tcPr>
            <w:tcW w:w="3167" w:type="dxa"/>
            <w:tcBorders>
              <w:tl2br w:val="nil"/>
              <w:tr2bl w:val="nil"/>
            </w:tcBorders>
            <w:vAlign w:val="center"/>
          </w:tcPr>
          <w:p w14:paraId="69F70C8F"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站场</w:t>
            </w:r>
            <w:r>
              <w:rPr>
                <w:color w:val="000000" w:themeColor="text1"/>
                <w:sz w:val="21"/>
                <w:szCs w:val="21"/>
              </w:rPr>
              <w:t>单元</w:t>
            </w:r>
          </w:p>
        </w:tc>
        <w:tc>
          <w:tcPr>
            <w:tcW w:w="3973" w:type="dxa"/>
            <w:tcBorders>
              <w:tl2br w:val="nil"/>
              <w:tr2bl w:val="nil"/>
            </w:tcBorders>
            <w:vAlign w:val="center"/>
          </w:tcPr>
          <w:p w14:paraId="45A9B373"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安全检查表、定量风险模拟评价</w:t>
            </w:r>
          </w:p>
        </w:tc>
        <w:tc>
          <w:tcPr>
            <w:tcW w:w="1831" w:type="dxa"/>
            <w:tcBorders>
              <w:tl2br w:val="nil"/>
              <w:tr2bl w:val="nil"/>
            </w:tcBorders>
            <w:vAlign w:val="center"/>
          </w:tcPr>
          <w:p w14:paraId="1A561307" w14:textId="77777777" w:rsidR="002E0859" w:rsidRDefault="002E0859">
            <w:pPr>
              <w:pStyle w:val="a0"/>
              <w:spacing w:line="240" w:lineRule="auto"/>
              <w:ind w:firstLineChars="0" w:firstLine="0"/>
              <w:jc w:val="center"/>
              <w:rPr>
                <w:color w:val="000000" w:themeColor="text1"/>
                <w:sz w:val="21"/>
                <w:szCs w:val="21"/>
              </w:rPr>
            </w:pPr>
          </w:p>
        </w:tc>
      </w:tr>
      <w:tr w:rsidR="002E0859" w14:paraId="747E701B" w14:textId="77777777">
        <w:trPr>
          <w:cantSplit/>
          <w:trHeight w:val="312"/>
        </w:trPr>
        <w:tc>
          <w:tcPr>
            <w:tcW w:w="427" w:type="dxa"/>
            <w:tcBorders>
              <w:tl2br w:val="nil"/>
              <w:tr2bl w:val="nil"/>
            </w:tcBorders>
            <w:vAlign w:val="center"/>
          </w:tcPr>
          <w:p w14:paraId="633EB8EC"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4</w:t>
            </w:r>
          </w:p>
        </w:tc>
        <w:tc>
          <w:tcPr>
            <w:tcW w:w="3167" w:type="dxa"/>
            <w:tcBorders>
              <w:tl2br w:val="nil"/>
              <w:tr2bl w:val="nil"/>
            </w:tcBorders>
            <w:vAlign w:val="center"/>
          </w:tcPr>
          <w:p w14:paraId="784920CE"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集输管道单元</w:t>
            </w:r>
          </w:p>
        </w:tc>
        <w:tc>
          <w:tcPr>
            <w:tcW w:w="3973" w:type="dxa"/>
            <w:tcBorders>
              <w:tl2br w:val="nil"/>
              <w:tr2bl w:val="nil"/>
            </w:tcBorders>
            <w:vAlign w:val="center"/>
          </w:tcPr>
          <w:p w14:paraId="287C6E55"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安全检查表</w:t>
            </w:r>
          </w:p>
        </w:tc>
        <w:tc>
          <w:tcPr>
            <w:tcW w:w="1831" w:type="dxa"/>
            <w:tcBorders>
              <w:tl2br w:val="nil"/>
              <w:tr2bl w:val="nil"/>
            </w:tcBorders>
            <w:vAlign w:val="center"/>
          </w:tcPr>
          <w:p w14:paraId="48A17125" w14:textId="77777777" w:rsidR="002E0859" w:rsidRDefault="002E0859">
            <w:pPr>
              <w:pStyle w:val="a0"/>
              <w:spacing w:line="240" w:lineRule="auto"/>
              <w:ind w:firstLineChars="0" w:firstLine="0"/>
              <w:jc w:val="center"/>
              <w:rPr>
                <w:color w:val="000000" w:themeColor="text1"/>
                <w:sz w:val="21"/>
                <w:szCs w:val="21"/>
              </w:rPr>
            </w:pPr>
          </w:p>
        </w:tc>
      </w:tr>
      <w:tr w:rsidR="002E0859" w14:paraId="56FF5D93" w14:textId="77777777">
        <w:trPr>
          <w:cantSplit/>
          <w:trHeight w:val="312"/>
        </w:trPr>
        <w:tc>
          <w:tcPr>
            <w:tcW w:w="427" w:type="dxa"/>
            <w:tcBorders>
              <w:tl2br w:val="nil"/>
              <w:tr2bl w:val="nil"/>
            </w:tcBorders>
            <w:vAlign w:val="center"/>
          </w:tcPr>
          <w:p w14:paraId="319FA994"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5</w:t>
            </w:r>
          </w:p>
        </w:tc>
        <w:tc>
          <w:tcPr>
            <w:tcW w:w="3167" w:type="dxa"/>
            <w:tcBorders>
              <w:tl2br w:val="nil"/>
              <w:tr2bl w:val="nil"/>
            </w:tcBorders>
            <w:vAlign w:val="center"/>
          </w:tcPr>
          <w:p w14:paraId="553970A6"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采出水处理单元</w:t>
            </w:r>
          </w:p>
        </w:tc>
        <w:tc>
          <w:tcPr>
            <w:tcW w:w="3973" w:type="dxa"/>
            <w:tcBorders>
              <w:tl2br w:val="nil"/>
              <w:tr2bl w:val="nil"/>
            </w:tcBorders>
            <w:vAlign w:val="center"/>
          </w:tcPr>
          <w:p w14:paraId="17A38100"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安全检查表</w:t>
            </w:r>
          </w:p>
        </w:tc>
        <w:tc>
          <w:tcPr>
            <w:tcW w:w="1831" w:type="dxa"/>
            <w:tcBorders>
              <w:tl2br w:val="nil"/>
              <w:tr2bl w:val="nil"/>
            </w:tcBorders>
            <w:vAlign w:val="center"/>
          </w:tcPr>
          <w:p w14:paraId="769897AA" w14:textId="77777777" w:rsidR="002E0859" w:rsidRDefault="002E0859">
            <w:pPr>
              <w:pStyle w:val="a0"/>
              <w:spacing w:line="240" w:lineRule="auto"/>
              <w:ind w:firstLineChars="0" w:firstLine="0"/>
              <w:jc w:val="center"/>
              <w:rPr>
                <w:color w:val="000000" w:themeColor="text1"/>
                <w:sz w:val="21"/>
                <w:szCs w:val="21"/>
              </w:rPr>
            </w:pPr>
          </w:p>
        </w:tc>
      </w:tr>
      <w:tr w:rsidR="002E0859" w14:paraId="328801BA" w14:textId="77777777">
        <w:trPr>
          <w:cantSplit/>
          <w:trHeight w:val="23"/>
        </w:trPr>
        <w:tc>
          <w:tcPr>
            <w:tcW w:w="427" w:type="dxa"/>
            <w:tcBorders>
              <w:tl2br w:val="nil"/>
              <w:tr2bl w:val="nil"/>
            </w:tcBorders>
            <w:vAlign w:val="center"/>
          </w:tcPr>
          <w:p w14:paraId="1DB5C452"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6</w:t>
            </w:r>
          </w:p>
        </w:tc>
        <w:tc>
          <w:tcPr>
            <w:tcW w:w="3167" w:type="dxa"/>
            <w:tcBorders>
              <w:tl2br w:val="nil"/>
              <w:tr2bl w:val="nil"/>
            </w:tcBorders>
            <w:vAlign w:val="center"/>
          </w:tcPr>
          <w:p w14:paraId="61393130"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公用工程及辅助生产设施单元</w:t>
            </w:r>
          </w:p>
        </w:tc>
        <w:tc>
          <w:tcPr>
            <w:tcW w:w="3973" w:type="dxa"/>
            <w:tcBorders>
              <w:tl2br w:val="nil"/>
              <w:tr2bl w:val="nil"/>
            </w:tcBorders>
            <w:vAlign w:val="center"/>
          </w:tcPr>
          <w:p w14:paraId="6A20EF81" w14:textId="77777777" w:rsidR="002E0859" w:rsidRDefault="00000000">
            <w:pPr>
              <w:pStyle w:val="a0"/>
              <w:spacing w:line="240" w:lineRule="auto"/>
              <w:ind w:firstLineChars="0" w:firstLine="0"/>
              <w:jc w:val="center"/>
              <w:rPr>
                <w:color w:val="000000" w:themeColor="text1"/>
                <w:sz w:val="21"/>
                <w:szCs w:val="21"/>
              </w:rPr>
            </w:pPr>
            <w:r>
              <w:rPr>
                <w:rFonts w:hint="eastAsia"/>
                <w:color w:val="000000" w:themeColor="text1"/>
                <w:sz w:val="21"/>
                <w:szCs w:val="21"/>
              </w:rPr>
              <w:t>安全检查表</w:t>
            </w:r>
          </w:p>
        </w:tc>
        <w:tc>
          <w:tcPr>
            <w:tcW w:w="1831" w:type="dxa"/>
            <w:tcBorders>
              <w:tl2br w:val="nil"/>
              <w:tr2bl w:val="nil"/>
            </w:tcBorders>
            <w:vAlign w:val="center"/>
          </w:tcPr>
          <w:p w14:paraId="0C910561" w14:textId="77777777" w:rsidR="002E0859" w:rsidRDefault="002E0859">
            <w:pPr>
              <w:pStyle w:val="a0"/>
              <w:spacing w:line="240" w:lineRule="auto"/>
              <w:ind w:firstLineChars="0" w:firstLine="0"/>
              <w:jc w:val="center"/>
              <w:rPr>
                <w:color w:val="000000" w:themeColor="text1"/>
                <w:sz w:val="21"/>
                <w:szCs w:val="21"/>
              </w:rPr>
            </w:pPr>
          </w:p>
        </w:tc>
      </w:tr>
    </w:tbl>
    <w:p w14:paraId="26B70BD9"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安全检查表（</w:t>
      </w:r>
      <w:r>
        <w:rPr>
          <w:rFonts w:hint="eastAsia"/>
          <w:color w:val="000000" w:themeColor="text1"/>
          <w:sz w:val="24"/>
          <w:szCs w:val="24"/>
        </w:rPr>
        <w:t>SCL</w:t>
      </w:r>
      <w:r>
        <w:rPr>
          <w:rFonts w:hint="eastAsia"/>
          <w:color w:val="000000" w:themeColor="text1"/>
          <w:sz w:val="24"/>
          <w:szCs w:val="24"/>
        </w:rPr>
        <w:t>）</w:t>
      </w:r>
    </w:p>
    <w:p w14:paraId="574E3E0D" w14:textId="77777777" w:rsidR="002E0859" w:rsidRDefault="00000000">
      <w:pPr>
        <w:pStyle w:val="a0"/>
        <w:spacing w:line="360" w:lineRule="auto"/>
        <w:ind w:firstLine="480"/>
        <w:rPr>
          <w:color w:val="000000" w:themeColor="text1"/>
          <w:sz w:val="24"/>
          <w:szCs w:val="24"/>
        </w:rPr>
      </w:pPr>
      <w:r>
        <w:rPr>
          <w:color w:val="000000" w:themeColor="text1"/>
          <w:sz w:val="24"/>
          <w:szCs w:val="24"/>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6FAF57BB" w14:textId="77777777" w:rsidR="002E0859" w:rsidRDefault="00000000">
      <w:pPr>
        <w:pStyle w:val="a0"/>
        <w:spacing w:line="360" w:lineRule="auto"/>
        <w:ind w:firstLine="480"/>
        <w:rPr>
          <w:color w:val="000000" w:themeColor="text1"/>
          <w:sz w:val="24"/>
          <w:szCs w:val="24"/>
        </w:rPr>
      </w:pPr>
      <w:r>
        <w:rPr>
          <w:color w:val="000000" w:themeColor="text1"/>
          <w:sz w:val="24"/>
          <w:szCs w:val="24"/>
        </w:rPr>
        <w:t>安全检查表以下列格式列出，对于设计方案中已经涉及且符合要求的检查内容，在检查结果栏中标以</w:t>
      </w:r>
      <w:r>
        <w:rPr>
          <w:rFonts w:hint="eastAsia"/>
          <w:color w:val="000000" w:themeColor="text1"/>
          <w:sz w:val="24"/>
          <w:szCs w:val="24"/>
        </w:rPr>
        <w:t>“</w:t>
      </w:r>
      <w:r>
        <w:rPr>
          <w:color w:val="000000" w:themeColor="text1"/>
          <w:sz w:val="24"/>
          <w:szCs w:val="24"/>
        </w:rPr>
        <w:t>√</w:t>
      </w:r>
      <w:r>
        <w:rPr>
          <w:rFonts w:hint="eastAsia"/>
          <w:color w:val="000000" w:themeColor="text1"/>
          <w:sz w:val="24"/>
          <w:szCs w:val="24"/>
        </w:rPr>
        <w:t>”</w:t>
      </w:r>
      <w:r>
        <w:rPr>
          <w:color w:val="000000" w:themeColor="text1"/>
          <w:sz w:val="24"/>
          <w:szCs w:val="24"/>
        </w:rPr>
        <w:t>，对于可研应涉及而未涉及的检查项目在检查结果栏中标以</w:t>
      </w:r>
      <w:r>
        <w:rPr>
          <w:rFonts w:hint="eastAsia"/>
          <w:color w:val="000000" w:themeColor="text1"/>
          <w:sz w:val="24"/>
          <w:szCs w:val="24"/>
        </w:rPr>
        <w:t>“</w:t>
      </w:r>
      <w:r>
        <w:rPr>
          <w:color w:val="000000" w:themeColor="text1"/>
          <w:sz w:val="24"/>
          <w:szCs w:val="24"/>
        </w:rPr>
        <w:t>※</w:t>
      </w:r>
      <w:r>
        <w:rPr>
          <w:rFonts w:hint="eastAsia"/>
          <w:color w:val="000000" w:themeColor="text1"/>
          <w:sz w:val="24"/>
          <w:szCs w:val="24"/>
        </w:rPr>
        <w:t>”</w:t>
      </w:r>
      <w:r>
        <w:rPr>
          <w:color w:val="000000" w:themeColor="text1"/>
          <w:sz w:val="24"/>
          <w:szCs w:val="24"/>
        </w:rPr>
        <w:t>，对于不符合要求的检查项目在检查结果栏中标以</w:t>
      </w:r>
      <w:r>
        <w:rPr>
          <w:rFonts w:hint="eastAsia"/>
          <w:color w:val="000000" w:themeColor="text1"/>
          <w:sz w:val="24"/>
          <w:szCs w:val="24"/>
        </w:rPr>
        <w:t>“</w:t>
      </w:r>
      <w:r>
        <w:rPr>
          <w:color w:val="000000" w:themeColor="text1"/>
          <w:sz w:val="24"/>
          <w:szCs w:val="24"/>
        </w:rPr>
        <w:t>×</w:t>
      </w:r>
      <w:r>
        <w:rPr>
          <w:rFonts w:hint="eastAsia"/>
          <w:color w:val="000000" w:themeColor="text1"/>
          <w:sz w:val="24"/>
          <w:szCs w:val="24"/>
        </w:rPr>
        <w:t>”</w:t>
      </w:r>
      <w:r>
        <w:rPr>
          <w:color w:val="000000" w:themeColor="text1"/>
          <w:sz w:val="24"/>
          <w:szCs w:val="24"/>
        </w:rPr>
        <w:t>。见下表</w:t>
      </w:r>
      <w:r>
        <w:rPr>
          <w:color w:val="000000" w:themeColor="text1"/>
          <w:sz w:val="24"/>
          <w:szCs w:val="24"/>
        </w:rPr>
        <w:t>4.2-2</w:t>
      </w:r>
      <w:r>
        <w:rPr>
          <w:color w:val="000000" w:themeColor="text1"/>
          <w:sz w:val="24"/>
          <w:szCs w:val="24"/>
        </w:rPr>
        <w:t>。</w:t>
      </w:r>
    </w:p>
    <w:p w14:paraId="34C58710" w14:textId="77777777" w:rsidR="002E0859" w:rsidRDefault="00000000">
      <w:pPr>
        <w:pStyle w:val="a0"/>
        <w:spacing w:line="240" w:lineRule="auto"/>
        <w:ind w:firstLineChars="0" w:firstLine="0"/>
        <w:jc w:val="center"/>
        <w:rPr>
          <w:rFonts w:eastAsia="黑体"/>
          <w:color w:val="000000" w:themeColor="text1"/>
          <w:sz w:val="21"/>
          <w:szCs w:val="21"/>
        </w:rPr>
      </w:pPr>
      <w:r>
        <w:rPr>
          <w:rFonts w:eastAsia="黑体"/>
          <w:color w:val="000000" w:themeColor="text1"/>
          <w:sz w:val="21"/>
          <w:szCs w:val="21"/>
        </w:rPr>
        <w:t>表</w:t>
      </w:r>
      <w:r>
        <w:rPr>
          <w:rFonts w:eastAsia="黑体"/>
          <w:color w:val="000000" w:themeColor="text1"/>
          <w:sz w:val="21"/>
          <w:szCs w:val="21"/>
        </w:rPr>
        <w:t>4.2-2</w:t>
      </w:r>
      <w:r>
        <w:rPr>
          <w:rFonts w:eastAsia="黑体" w:hint="eastAsia"/>
          <w:color w:val="000000" w:themeColor="text1"/>
          <w:sz w:val="21"/>
          <w:szCs w:val="21"/>
        </w:rPr>
        <w:t xml:space="preserve"> </w:t>
      </w:r>
      <w:r>
        <w:rPr>
          <w:rFonts w:eastAsia="黑体"/>
          <w:color w:val="000000" w:themeColor="text1"/>
          <w:sz w:val="21"/>
          <w:szCs w:val="21"/>
        </w:rPr>
        <w:t>安全检查表</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79"/>
        <w:gridCol w:w="1992"/>
        <w:gridCol w:w="1993"/>
        <w:gridCol w:w="1993"/>
        <w:gridCol w:w="1993"/>
      </w:tblGrid>
      <w:tr w:rsidR="002E0859" w14:paraId="796C41D1" w14:textId="77777777">
        <w:trPr>
          <w:cantSplit/>
          <w:trHeight w:val="340"/>
        </w:trPr>
        <w:tc>
          <w:tcPr>
            <w:tcW w:w="644" w:type="pct"/>
            <w:tcBorders>
              <w:tl2br w:val="nil"/>
              <w:tr2bl w:val="nil"/>
            </w:tcBorders>
            <w:vAlign w:val="center"/>
          </w:tcPr>
          <w:p w14:paraId="18DB3A78"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序号</w:t>
            </w:r>
          </w:p>
        </w:tc>
        <w:tc>
          <w:tcPr>
            <w:tcW w:w="1088" w:type="pct"/>
            <w:tcBorders>
              <w:tl2br w:val="nil"/>
              <w:tr2bl w:val="nil"/>
            </w:tcBorders>
            <w:vAlign w:val="center"/>
          </w:tcPr>
          <w:p w14:paraId="2D5ED647"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检查项目</w:t>
            </w:r>
          </w:p>
        </w:tc>
        <w:tc>
          <w:tcPr>
            <w:tcW w:w="1088" w:type="pct"/>
            <w:tcBorders>
              <w:tl2br w:val="nil"/>
              <w:tr2bl w:val="nil"/>
            </w:tcBorders>
            <w:vAlign w:val="center"/>
          </w:tcPr>
          <w:p w14:paraId="2A4F1C9D"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检查依据</w:t>
            </w:r>
          </w:p>
        </w:tc>
        <w:tc>
          <w:tcPr>
            <w:tcW w:w="1088" w:type="pct"/>
            <w:tcBorders>
              <w:tl2br w:val="nil"/>
              <w:tr2bl w:val="nil"/>
            </w:tcBorders>
            <w:vAlign w:val="center"/>
          </w:tcPr>
          <w:p w14:paraId="38097D11"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实际情况</w:t>
            </w:r>
          </w:p>
        </w:tc>
        <w:tc>
          <w:tcPr>
            <w:tcW w:w="1088" w:type="pct"/>
            <w:tcBorders>
              <w:tl2br w:val="nil"/>
              <w:tr2bl w:val="nil"/>
            </w:tcBorders>
            <w:vAlign w:val="center"/>
          </w:tcPr>
          <w:p w14:paraId="5F0FBA55" w14:textId="77777777" w:rsidR="002E0859" w:rsidRDefault="00000000">
            <w:pPr>
              <w:pStyle w:val="a0"/>
              <w:spacing w:line="240" w:lineRule="auto"/>
              <w:ind w:firstLineChars="0" w:firstLine="0"/>
              <w:jc w:val="center"/>
              <w:rPr>
                <w:color w:val="000000" w:themeColor="text1"/>
                <w:sz w:val="21"/>
                <w:szCs w:val="21"/>
              </w:rPr>
            </w:pPr>
            <w:r>
              <w:rPr>
                <w:color w:val="000000" w:themeColor="text1"/>
                <w:sz w:val="21"/>
                <w:szCs w:val="21"/>
              </w:rPr>
              <w:t>检查结果</w:t>
            </w:r>
          </w:p>
        </w:tc>
      </w:tr>
      <w:tr w:rsidR="002E0859" w14:paraId="46D8CD54" w14:textId="77777777">
        <w:trPr>
          <w:cantSplit/>
          <w:trHeight w:val="340"/>
        </w:trPr>
        <w:tc>
          <w:tcPr>
            <w:tcW w:w="644" w:type="pct"/>
            <w:tcBorders>
              <w:tl2br w:val="nil"/>
              <w:tr2bl w:val="nil"/>
            </w:tcBorders>
            <w:vAlign w:val="center"/>
          </w:tcPr>
          <w:p w14:paraId="4925E131" w14:textId="77777777" w:rsidR="002E0859" w:rsidRDefault="002E0859">
            <w:pPr>
              <w:pStyle w:val="a0"/>
              <w:spacing w:line="240" w:lineRule="auto"/>
              <w:ind w:firstLineChars="0" w:firstLine="0"/>
              <w:jc w:val="center"/>
              <w:rPr>
                <w:color w:val="000000" w:themeColor="text1"/>
                <w:sz w:val="21"/>
                <w:szCs w:val="21"/>
              </w:rPr>
            </w:pPr>
          </w:p>
        </w:tc>
        <w:tc>
          <w:tcPr>
            <w:tcW w:w="1088" w:type="pct"/>
            <w:tcBorders>
              <w:tl2br w:val="nil"/>
              <w:tr2bl w:val="nil"/>
            </w:tcBorders>
            <w:vAlign w:val="center"/>
          </w:tcPr>
          <w:p w14:paraId="4D3CEECA" w14:textId="77777777" w:rsidR="002E0859" w:rsidRDefault="002E0859">
            <w:pPr>
              <w:pStyle w:val="a0"/>
              <w:spacing w:line="240" w:lineRule="auto"/>
              <w:ind w:firstLineChars="0" w:firstLine="0"/>
              <w:jc w:val="center"/>
              <w:rPr>
                <w:color w:val="000000" w:themeColor="text1"/>
                <w:sz w:val="21"/>
                <w:szCs w:val="21"/>
              </w:rPr>
            </w:pPr>
          </w:p>
        </w:tc>
        <w:tc>
          <w:tcPr>
            <w:tcW w:w="1088" w:type="pct"/>
            <w:tcBorders>
              <w:tl2br w:val="nil"/>
              <w:tr2bl w:val="nil"/>
            </w:tcBorders>
            <w:vAlign w:val="center"/>
          </w:tcPr>
          <w:p w14:paraId="35A19AFE" w14:textId="77777777" w:rsidR="002E0859" w:rsidRDefault="002E0859">
            <w:pPr>
              <w:pStyle w:val="a0"/>
              <w:spacing w:line="240" w:lineRule="auto"/>
              <w:ind w:firstLineChars="0" w:firstLine="0"/>
              <w:jc w:val="center"/>
              <w:rPr>
                <w:color w:val="000000" w:themeColor="text1"/>
                <w:sz w:val="21"/>
                <w:szCs w:val="21"/>
              </w:rPr>
            </w:pPr>
          </w:p>
        </w:tc>
        <w:tc>
          <w:tcPr>
            <w:tcW w:w="1088" w:type="pct"/>
            <w:tcBorders>
              <w:tl2br w:val="nil"/>
              <w:tr2bl w:val="nil"/>
            </w:tcBorders>
            <w:vAlign w:val="center"/>
          </w:tcPr>
          <w:p w14:paraId="13C3D36C" w14:textId="77777777" w:rsidR="002E0859" w:rsidRDefault="002E0859">
            <w:pPr>
              <w:pStyle w:val="a0"/>
              <w:spacing w:line="240" w:lineRule="auto"/>
              <w:ind w:firstLineChars="0" w:firstLine="0"/>
              <w:jc w:val="center"/>
              <w:rPr>
                <w:color w:val="000000" w:themeColor="text1"/>
                <w:sz w:val="21"/>
                <w:szCs w:val="21"/>
              </w:rPr>
            </w:pPr>
          </w:p>
        </w:tc>
        <w:tc>
          <w:tcPr>
            <w:tcW w:w="1088" w:type="pct"/>
            <w:tcBorders>
              <w:tl2br w:val="nil"/>
              <w:tr2bl w:val="nil"/>
            </w:tcBorders>
            <w:vAlign w:val="center"/>
          </w:tcPr>
          <w:p w14:paraId="5A92A535" w14:textId="77777777" w:rsidR="002E0859" w:rsidRDefault="002E0859">
            <w:pPr>
              <w:pStyle w:val="a0"/>
              <w:spacing w:line="240" w:lineRule="auto"/>
              <w:ind w:firstLineChars="0" w:firstLine="0"/>
              <w:jc w:val="center"/>
              <w:rPr>
                <w:color w:val="000000" w:themeColor="text1"/>
                <w:sz w:val="21"/>
                <w:szCs w:val="21"/>
              </w:rPr>
            </w:pPr>
          </w:p>
        </w:tc>
      </w:tr>
    </w:tbl>
    <w:p w14:paraId="0649D8A6"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预先危险性分析（</w:t>
      </w:r>
      <w:r>
        <w:rPr>
          <w:rFonts w:hint="eastAsia"/>
          <w:color w:val="000000" w:themeColor="text1"/>
          <w:sz w:val="24"/>
          <w:szCs w:val="24"/>
        </w:rPr>
        <w:t>PHA</w:t>
      </w:r>
      <w:r>
        <w:rPr>
          <w:rFonts w:hint="eastAsia"/>
          <w:color w:val="000000" w:themeColor="text1"/>
          <w:sz w:val="24"/>
          <w:szCs w:val="24"/>
        </w:rPr>
        <w:t>）</w:t>
      </w:r>
    </w:p>
    <w:p w14:paraId="5A091692"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29B3B6B5"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lastRenderedPageBreak/>
        <w:t>1</w:t>
      </w:r>
      <w:r>
        <w:rPr>
          <w:rFonts w:hint="eastAsia"/>
          <w:snapToGrid w:val="0"/>
          <w:color w:val="000000" w:themeColor="text1"/>
          <w:kern w:val="0"/>
          <w:sz w:val="24"/>
          <w:szCs w:val="24"/>
        </w:rPr>
        <w:t>、</w:t>
      </w:r>
      <w:r>
        <w:rPr>
          <w:snapToGrid w:val="0"/>
          <w:color w:val="000000" w:themeColor="text1"/>
          <w:kern w:val="0"/>
          <w:sz w:val="24"/>
          <w:szCs w:val="24"/>
        </w:rPr>
        <w:t>预先危险性分析法的主要功能有：</w:t>
      </w:r>
    </w:p>
    <w:p w14:paraId="6E750528"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1</w:t>
      </w:r>
      <w:r>
        <w:rPr>
          <w:rFonts w:hint="eastAsia"/>
          <w:bCs/>
          <w:color w:val="000000" w:themeColor="text1"/>
          <w:sz w:val="24"/>
          <w:szCs w:val="24"/>
          <w:lang w:bidi="en-US"/>
        </w:rPr>
        <w:t>）</w:t>
      </w:r>
      <w:r>
        <w:rPr>
          <w:snapToGrid w:val="0"/>
          <w:color w:val="000000" w:themeColor="text1"/>
          <w:kern w:val="0"/>
          <w:sz w:val="24"/>
          <w:szCs w:val="24"/>
        </w:rPr>
        <w:t>大体识别与系统有关的危险；</w:t>
      </w:r>
    </w:p>
    <w:p w14:paraId="1A53D3B5"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2</w:t>
      </w:r>
      <w:r>
        <w:rPr>
          <w:rFonts w:hint="eastAsia"/>
          <w:bCs/>
          <w:color w:val="000000" w:themeColor="text1"/>
          <w:sz w:val="24"/>
          <w:szCs w:val="24"/>
          <w:lang w:bidi="en-US"/>
        </w:rPr>
        <w:t>）</w:t>
      </w:r>
      <w:r>
        <w:rPr>
          <w:snapToGrid w:val="0"/>
          <w:color w:val="000000" w:themeColor="text1"/>
          <w:kern w:val="0"/>
          <w:sz w:val="24"/>
          <w:szCs w:val="24"/>
        </w:rPr>
        <w:t>鉴别产生危险的原因；</w:t>
      </w:r>
    </w:p>
    <w:p w14:paraId="1CED8A1E"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3</w:t>
      </w:r>
      <w:r>
        <w:rPr>
          <w:rFonts w:hint="eastAsia"/>
          <w:bCs/>
          <w:color w:val="000000" w:themeColor="text1"/>
          <w:sz w:val="24"/>
          <w:szCs w:val="24"/>
          <w:lang w:bidi="en-US"/>
        </w:rPr>
        <w:t>）</w:t>
      </w:r>
      <w:r>
        <w:rPr>
          <w:snapToGrid w:val="0"/>
          <w:color w:val="000000" w:themeColor="text1"/>
          <w:kern w:val="0"/>
          <w:sz w:val="24"/>
          <w:szCs w:val="24"/>
        </w:rPr>
        <w:t>估计事故出现对系统的影响；</w:t>
      </w:r>
    </w:p>
    <w:p w14:paraId="5FD85FB0"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4</w:t>
      </w:r>
      <w:r>
        <w:rPr>
          <w:rFonts w:hint="eastAsia"/>
          <w:bCs/>
          <w:color w:val="000000" w:themeColor="text1"/>
          <w:sz w:val="24"/>
          <w:szCs w:val="24"/>
          <w:lang w:bidi="en-US"/>
        </w:rPr>
        <w:t>）</w:t>
      </w:r>
      <w:r>
        <w:rPr>
          <w:snapToGrid w:val="0"/>
          <w:color w:val="000000" w:themeColor="text1"/>
          <w:kern w:val="0"/>
          <w:sz w:val="24"/>
          <w:szCs w:val="24"/>
        </w:rPr>
        <w:t>对已经识别的危险进行分级，并提出消除或控制危险性的措施。</w:t>
      </w:r>
    </w:p>
    <w:p w14:paraId="0ADBC506"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2</w:t>
      </w:r>
      <w:r>
        <w:rPr>
          <w:rFonts w:hint="eastAsia"/>
          <w:snapToGrid w:val="0"/>
          <w:color w:val="000000" w:themeColor="text1"/>
          <w:kern w:val="0"/>
          <w:sz w:val="24"/>
          <w:szCs w:val="24"/>
        </w:rPr>
        <w:t>、</w:t>
      </w:r>
      <w:r>
        <w:rPr>
          <w:snapToGrid w:val="0"/>
          <w:color w:val="000000" w:themeColor="text1"/>
          <w:kern w:val="0"/>
          <w:sz w:val="24"/>
          <w:szCs w:val="24"/>
        </w:rPr>
        <w:t>预先危险性分析步骤</w:t>
      </w:r>
    </w:p>
    <w:p w14:paraId="2C2221BE"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1</w:t>
      </w:r>
      <w:r>
        <w:rPr>
          <w:rFonts w:hint="eastAsia"/>
          <w:bCs/>
          <w:color w:val="000000" w:themeColor="text1"/>
          <w:sz w:val="24"/>
          <w:szCs w:val="24"/>
          <w:lang w:bidi="en-US"/>
        </w:rPr>
        <w:t>）</w:t>
      </w:r>
      <w:r>
        <w:rPr>
          <w:snapToGrid w:val="0"/>
          <w:color w:val="000000" w:themeColor="text1"/>
          <w:kern w:val="0"/>
          <w:sz w:val="24"/>
          <w:szCs w:val="24"/>
        </w:rPr>
        <w:t>对系统的生产目的、工艺过程以及操作条件，对周围环境进行充分的调查了解；</w:t>
      </w:r>
    </w:p>
    <w:p w14:paraId="34753018"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2</w:t>
      </w:r>
      <w:r>
        <w:rPr>
          <w:rFonts w:hint="eastAsia"/>
          <w:bCs/>
          <w:color w:val="000000" w:themeColor="text1"/>
          <w:sz w:val="24"/>
          <w:szCs w:val="24"/>
          <w:lang w:bidi="en-US"/>
        </w:rPr>
        <w:t>）</w:t>
      </w:r>
      <w:r>
        <w:rPr>
          <w:snapToGrid w:val="0"/>
          <w:color w:val="000000" w:themeColor="text1"/>
          <w:kern w:val="0"/>
          <w:sz w:val="24"/>
          <w:szCs w:val="24"/>
        </w:rPr>
        <w:t>收集以往的经验和同类生产中发生过的事故情况，判断所要分析对象中是否也会出现类似情况，查找能够造成系统故障、物质损失和人员伤害的危险性；</w:t>
      </w:r>
    </w:p>
    <w:p w14:paraId="0EC2D9CB"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3</w:t>
      </w:r>
      <w:r>
        <w:rPr>
          <w:rFonts w:hint="eastAsia"/>
          <w:bCs/>
          <w:color w:val="000000" w:themeColor="text1"/>
          <w:sz w:val="24"/>
          <w:szCs w:val="24"/>
          <w:lang w:bidi="en-US"/>
        </w:rPr>
        <w:t>）</w:t>
      </w:r>
      <w:r>
        <w:rPr>
          <w:snapToGrid w:val="0"/>
          <w:color w:val="000000" w:themeColor="text1"/>
          <w:kern w:val="0"/>
          <w:sz w:val="24"/>
          <w:szCs w:val="24"/>
        </w:rPr>
        <w:t>根据经验、技术诊断等方法确定危险源；</w:t>
      </w:r>
    </w:p>
    <w:p w14:paraId="642A08C0"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4</w:t>
      </w:r>
      <w:r>
        <w:rPr>
          <w:rFonts w:hint="eastAsia"/>
          <w:bCs/>
          <w:color w:val="000000" w:themeColor="text1"/>
          <w:sz w:val="24"/>
          <w:szCs w:val="24"/>
          <w:lang w:bidi="en-US"/>
        </w:rPr>
        <w:t>）</w:t>
      </w:r>
      <w:r>
        <w:rPr>
          <w:snapToGrid w:val="0"/>
          <w:color w:val="000000" w:themeColor="text1"/>
          <w:kern w:val="0"/>
          <w:sz w:val="24"/>
          <w:szCs w:val="24"/>
        </w:rPr>
        <w:t>识别危险转化条件，研究危险因素转变成事故的触发条件；</w:t>
      </w:r>
    </w:p>
    <w:p w14:paraId="3B9E9CF2" w14:textId="77777777" w:rsidR="002E0859" w:rsidRDefault="00000000">
      <w:pPr>
        <w:spacing w:line="360" w:lineRule="auto"/>
        <w:ind w:firstLine="480"/>
        <w:rPr>
          <w:snapToGrid w:val="0"/>
          <w:color w:val="000000" w:themeColor="text1"/>
          <w:kern w:val="0"/>
          <w:sz w:val="24"/>
          <w:szCs w:val="24"/>
        </w:rPr>
      </w:pPr>
      <w:r>
        <w:rPr>
          <w:rFonts w:hint="eastAsia"/>
          <w:bCs/>
          <w:color w:val="000000" w:themeColor="text1"/>
          <w:sz w:val="24"/>
          <w:szCs w:val="24"/>
          <w:lang w:bidi="en-US"/>
        </w:rPr>
        <w:t>5</w:t>
      </w:r>
      <w:r>
        <w:rPr>
          <w:rFonts w:hint="eastAsia"/>
          <w:bCs/>
          <w:color w:val="000000" w:themeColor="text1"/>
          <w:sz w:val="24"/>
          <w:szCs w:val="24"/>
          <w:lang w:bidi="en-US"/>
        </w:rPr>
        <w:t>）</w:t>
      </w:r>
      <w:r>
        <w:rPr>
          <w:snapToGrid w:val="0"/>
          <w:color w:val="000000" w:themeColor="text1"/>
          <w:kern w:val="0"/>
          <w:sz w:val="24"/>
          <w:szCs w:val="24"/>
        </w:rPr>
        <w:t>进行危险性分级，确定危险程度，找出应重点控制的危险源；</w:t>
      </w:r>
    </w:p>
    <w:p w14:paraId="4EF7B8AB" w14:textId="77777777" w:rsidR="002E0859" w:rsidRDefault="00000000">
      <w:pPr>
        <w:spacing w:line="360" w:lineRule="auto"/>
        <w:ind w:firstLine="480"/>
        <w:rPr>
          <w:snapToGrid w:val="0"/>
          <w:color w:val="000000" w:themeColor="text1"/>
          <w:kern w:val="0"/>
          <w:sz w:val="24"/>
          <w:szCs w:val="24"/>
        </w:rPr>
      </w:pPr>
      <w:r>
        <w:rPr>
          <w:rFonts w:hint="eastAsia"/>
          <w:snapToGrid w:val="0"/>
          <w:color w:val="000000" w:themeColor="text1"/>
          <w:kern w:val="0"/>
          <w:sz w:val="24"/>
          <w:szCs w:val="24"/>
        </w:rPr>
        <w:t>6</w:t>
      </w:r>
      <w:r>
        <w:rPr>
          <w:rFonts w:hint="eastAsia"/>
          <w:snapToGrid w:val="0"/>
          <w:color w:val="000000" w:themeColor="text1"/>
          <w:kern w:val="0"/>
          <w:sz w:val="24"/>
          <w:szCs w:val="24"/>
        </w:rPr>
        <w:t>）</w:t>
      </w:r>
      <w:r>
        <w:rPr>
          <w:snapToGrid w:val="0"/>
          <w:color w:val="000000" w:themeColor="text1"/>
          <w:kern w:val="0"/>
          <w:sz w:val="24"/>
          <w:szCs w:val="24"/>
        </w:rPr>
        <w:t>制定危险防范措施。</w:t>
      </w:r>
    </w:p>
    <w:p w14:paraId="10746046"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预先危险性分析结果最终以表格的形式表示。</w:t>
      </w:r>
    </w:p>
    <w:p w14:paraId="5B9E2356"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3</w:t>
      </w:r>
      <w:r>
        <w:rPr>
          <w:rFonts w:hint="eastAsia"/>
          <w:snapToGrid w:val="0"/>
          <w:color w:val="000000" w:themeColor="text1"/>
          <w:kern w:val="0"/>
          <w:sz w:val="24"/>
          <w:szCs w:val="24"/>
        </w:rPr>
        <w:t>、</w:t>
      </w:r>
      <w:r>
        <w:rPr>
          <w:snapToGrid w:val="0"/>
          <w:color w:val="000000" w:themeColor="text1"/>
          <w:kern w:val="0"/>
          <w:sz w:val="24"/>
          <w:szCs w:val="24"/>
        </w:rPr>
        <w:t>危险、有害因素的危险性等级</w:t>
      </w:r>
    </w:p>
    <w:p w14:paraId="5CBE8623" w14:textId="77777777" w:rsidR="002E0859" w:rsidRDefault="00000000">
      <w:pPr>
        <w:spacing w:line="360" w:lineRule="auto"/>
        <w:ind w:firstLine="480"/>
        <w:rPr>
          <w:snapToGrid w:val="0"/>
          <w:color w:val="000000" w:themeColor="text1"/>
          <w:kern w:val="0"/>
          <w:sz w:val="24"/>
          <w:szCs w:val="24"/>
        </w:rPr>
      </w:pPr>
      <w:r>
        <w:rPr>
          <w:snapToGrid w:val="0"/>
          <w:color w:val="000000" w:themeColor="text1"/>
          <w:kern w:val="0"/>
          <w:sz w:val="24"/>
          <w:szCs w:val="24"/>
        </w:rPr>
        <w:t>PHA</w:t>
      </w:r>
      <w:r>
        <w:rPr>
          <w:snapToGrid w:val="0"/>
          <w:color w:val="000000" w:themeColor="text1"/>
          <w:kern w:val="0"/>
          <w:sz w:val="24"/>
          <w:szCs w:val="24"/>
        </w:rPr>
        <w:t>分析的结果用危险性等级来表示。危险性可划分为四个等级，见下表</w:t>
      </w:r>
      <w:r>
        <w:rPr>
          <w:snapToGrid w:val="0"/>
          <w:color w:val="000000" w:themeColor="text1"/>
          <w:kern w:val="0"/>
          <w:sz w:val="24"/>
          <w:szCs w:val="24"/>
        </w:rPr>
        <w:t>4.2-3</w:t>
      </w:r>
      <w:r>
        <w:rPr>
          <w:snapToGrid w:val="0"/>
          <w:color w:val="000000" w:themeColor="text1"/>
          <w:kern w:val="0"/>
          <w:sz w:val="24"/>
          <w:szCs w:val="24"/>
        </w:rPr>
        <w:t>。</w:t>
      </w:r>
    </w:p>
    <w:p w14:paraId="142CDC23" w14:textId="77777777" w:rsidR="002E0859" w:rsidRDefault="00000000">
      <w:pPr>
        <w:spacing w:line="240" w:lineRule="auto"/>
        <w:ind w:firstLineChars="0" w:firstLine="0"/>
        <w:jc w:val="center"/>
        <w:rPr>
          <w:rFonts w:eastAsia="黑体"/>
          <w:bCs/>
          <w:snapToGrid w:val="0"/>
          <w:color w:val="000000" w:themeColor="text1"/>
          <w:kern w:val="0"/>
          <w:sz w:val="21"/>
          <w:szCs w:val="21"/>
        </w:rPr>
      </w:pPr>
      <w:r>
        <w:rPr>
          <w:rFonts w:eastAsia="黑体"/>
          <w:bCs/>
          <w:snapToGrid w:val="0"/>
          <w:color w:val="000000" w:themeColor="text1"/>
          <w:kern w:val="0"/>
          <w:sz w:val="21"/>
          <w:szCs w:val="21"/>
        </w:rPr>
        <w:t>表</w:t>
      </w:r>
      <w:r>
        <w:rPr>
          <w:rFonts w:eastAsia="黑体"/>
          <w:bCs/>
          <w:snapToGrid w:val="0"/>
          <w:color w:val="000000" w:themeColor="text1"/>
          <w:kern w:val="0"/>
          <w:sz w:val="21"/>
          <w:szCs w:val="21"/>
        </w:rPr>
        <w:t>4.2-3</w:t>
      </w:r>
      <w:r>
        <w:rPr>
          <w:rFonts w:eastAsia="黑体" w:hint="eastAsia"/>
          <w:bCs/>
          <w:snapToGrid w:val="0"/>
          <w:color w:val="000000" w:themeColor="text1"/>
          <w:kern w:val="0"/>
          <w:sz w:val="21"/>
          <w:szCs w:val="21"/>
        </w:rPr>
        <w:t xml:space="preserve"> </w:t>
      </w:r>
      <w:r>
        <w:rPr>
          <w:rFonts w:eastAsia="黑体"/>
          <w:bCs/>
          <w:snapToGrid w:val="0"/>
          <w:color w:val="000000" w:themeColor="text1"/>
          <w:kern w:val="0"/>
          <w:sz w:val="21"/>
          <w:szCs w:val="21"/>
        </w:rPr>
        <w:t>危险性等级划分表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15"/>
        <w:gridCol w:w="1200"/>
        <w:gridCol w:w="7135"/>
      </w:tblGrid>
      <w:tr w:rsidR="002E0859" w14:paraId="7A77D4E5" w14:textId="77777777">
        <w:trPr>
          <w:cantSplit/>
          <w:trHeight w:val="340"/>
          <w:jc w:val="center"/>
        </w:trPr>
        <w:tc>
          <w:tcPr>
            <w:tcW w:w="445" w:type="pct"/>
            <w:tcBorders>
              <w:tl2br w:val="nil"/>
              <w:tr2bl w:val="nil"/>
            </w:tcBorders>
            <w:vAlign w:val="center"/>
          </w:tcPr>
          <w:p w14:paraId="1805E204" w14:textId="77777777" w:rsidR="002E0859" w:rsidRDefault="00000000">
            <w:pPr>
              <w:topLinePunct w:val="0"/>
              <w:spacing w:line="240" w:lineRule="auto"/>
              <w:ind w:firstLineChars="0" w:firstLine="0"/>
              <w:jc w:val="center"/>
              <w:rPr>
                <w:b/>
                <w:color w:val="000000" w:themeColor="text1"/>
                <w:sz w:val="21"/>
                <w:szCs w:val="21"/>
              </w:rPr>
            </w:pPr>
            <w:r>
              <w:rPr>
                <w:b/>
                <w:color w:val="000000" w:themeColor="text1"/>
                <w:sz w:val="21"/>
                <w:szCs w:val="21"/>
              </w:rPr>
              <w:t>级别</w:t>
            </w:r>
          </w:p>
        </w:tc>
        <w:tc>
          <w:tcPr>
            <w:tcW w:w="656" w:type="pct"/>
            <w:tcBorders>
              <w:tl2br w:val="nil"/>
              <w:tr2bl w:val="nil"/>
            </w:tcBorders>
            <w:vAlign w:val="center"/>
          </w:tcPr>
          <w:p w14:paraId="34BC68E1" w14:textId="77777777" w:rsidR="002E0859" w:rsidRDefault="00000000">
            <w:pPr>
              <w:topLinePunct w:val="0"/>
              <w:spacing w:line="240" w:lineRule="auto"/>
              <w:ind w:firstLineChars="0" w:firstLine="0"/>
              <w:jc w:val="center"/>
              <w:rPr>
                <w:b/>
                <w:color w:val="000000" w:themeColor="text1"/>
                <w:sz w:val="21"/>
                <w:szCs w:val="21"/>
              </w:rPr>
            </w:pPr>
            <w:r>
              <w:rPr>
                <w:b/>
                <w:color w:val="000000" w:themeColor="text1"/>
                <w:sz w:val="21"/>
                <w:szCs w:val="21"/>
              </w:rPr>
              <w:t>危险程度</w:t>
            </w:r>
          </w:p>
        </w:tc>
        <w:tc>
          <w:tcPr>
            <w:tcW w:w="3897" w:type="pct"/>
            <w:tcBorders>
              <w:tl2br w:val="nil"/>
              <w:tr2bl w:val="nil"/>
            </w:tcBorders>
            <w:vAlign w:val="center"/>
          </w:tcPr>
          <w:p w14:paraId="3B1046C5" w14:textId="77777777" w:rsidR="002E0859" w:rsidRDefault="00000000">
            <w:pPr>
              <w:topLinePunct w:val="0"/>
              <w:spacing w:line="240" w:lineRule="auto"/>
              <w:ind w:firstLineChars="0" w:firstLine="0"/>
              <w:jc w:val="center"/>
              <w:rPr>
                <w:b/>
                <w:color w:val="000000" w:themeColor="text1"/>
                <w:sz w:val="21"/>
                <w:szCs w:val="21"/>
              </w:rPr>
            </w:pPr>
            <w:r>
              <w:rPr>
                <w:b/>
                <w:color w:val="000000" w:themeColor="text1"/>
                <w:sz w:val="21"/>
                <w:szCs w:val="21"/>
              </w:rPr>
              <w:t>可能导致的后果</w:t>
            </w:r>
          </w:p>
        </w:tc>
      </w:tr>
      <w:tr w:rsidR="002E0859" w14:paraId="6428CD48" w14:textId="77777777">
        <w:trPr>
          <w:cantSplit/>
          <w:trHeight w:val="340"/>
          <w:jc w:val="center"/>
        </w:trPr>
        <w:tc>
          <w:tcPr>
            <w:tcW w:w="445" w:type="pct"/>
            <w:tcBorders>
              <w:tl2br w:val="nil"/>
              <w:tr2bl w:val="nil"/>
            </w:tcBorders>
            <w:vAlign w:val="center"/>
          </w:tcPr>
          <w:p w14:paraId="622F5385"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Ⅰ</w:t>
            </w:r>
          </w:p>
        </w:tc>
        <w:tc>
          <w:tcPr>
            <w:tcW w:w="656" w:type="pct"/>
            <w:tcBorders>
              <w:tl2br w:val="nil"/>
              <w:tr2bl w:val="nil"/>
            </w:tcBorders>
            <w:vAlign w:val="center"/>
          </w:tcPr>
          <w:p w14:paraId="4CA3F8BF"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安全的</w:t>
            </w:r>
          </w:p>
        </w:tc>
        <w:tc>
          <w:tcPr>
            <w:tcW w:w="3897" w:type="pct"/>
            <w:tcBorders>
              <w:tl2br w:val="nil"/>
              <w:tr2bl w:val="nil"/>
            </w:tcBorders>
            <w:vAlign w:val="center"/>
          </w:tcPr>
          <w:p w14:paraId="498A92A6" w14:textId="77777777" w:rsidR="002E0859" w:rsidRDefault="00000000">
            <w:pPr>
              <w:topLinePunct w:val="0"/>
              <w:spacing w:line="240" w:lineRule="auto"/>
              <w:ind w:firstLineChars="0" w:firstLine="0"/>
              <w:jc w:val="left"/>
              <w:rPr>
                <w:color w:val="000000" w:themeColor="text1"/>
                <w:sz w:val="21"/>
                <w:szCs w:val="21"/>
              </w:rPr>
            </w:pPr>
            <w:r>
              <w:rPr>
                <w:color w:val="000000" w:themeColor="text1"/>
                <w:sz w:val="21"/>
                <w:szCs w:val="21"/>
              </w:rPr>
              <w:t>不会造成人员伤亡及系统损失</w:t>
            </w:r>
          </w:p>
        </w:tc>
      </w:tr>
      <w:tr w:rsidR="002E0859" w14:paraId="044DF6ED" w14:textId="77777777">
        <w:trPr>
          <w:cantSplit/>
          <w:trHeight w:val="340"/>
          <w:jc w:val="center"/>
        </w:trPr>
        <w:tc>
          <w:tcPr>
            <w:tcW w:w="445" w:type="pct"/>
            <w:tcBorders>
              <w:tl2br w:val="nil"/>
              <w:tr2bl w:val="nil"/>
            </w:tcBorders>
            <w:vAlign w:val="center"/>
          </w:tcPr>
          <w:p w14:paraId="0C584157"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Ⅱ</w:t>
            </w:r>
          </w:p>
        </w:tc>
        <w:tc>
          <w:tcPr>
            <w:tcW w:w="656" w:type="pct"/>
            <w:tcBorders>
              <w:tl2br w:val="nil"/>
              <w:tr2bl w:val="nil"/>
            </w:tcBorders>
            <w:vAlign w:val="center"/>
          </w:tcPr>
          <w:p w14:paraId="30CF5596"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临界的</w:t>
            </w:r>
          </w:p>
        </w:tc>
        <w:tc>
          <w:tcPr>
            <w:tcW w:w="3897" w:type="pct"/>
            <w:tcBorders>
              <w:tl2br w:val="nil"/>
              <w:tr2bl w:val="nil"/>
            </w:tcBorders>
            <w:vAlign w:val="center"/>
          </w:tcPr>
          <w:p w14:paraId="1D133110" w14:textId="77777777" w:rsidR="002E0859" w:rsidRDefault="00000000">
            <w:pPr>
              <w:pStyle w:val="11"/>
              <w:topLinePunct w:val="0"/>
              <w:spacing w:line="240" w:lineRule="auto"/>
              <w:ind w:firstLineChars="0" w:firstLine="0"/>
              <w:jc w:val="left"/>
              <w:rPr>
                <w:color w:val="000000" w:themeColor="text1"/>
                <w:sz w:val="21"/>
                <w:szCs w:val="21"/>
              </w:rPr>
            </w:pPr>
            <w:r>
              <w:rPr>
                <w:color w:val="000000" w:themeColor="text1"/>
                <w:sz w:val="21"/>
                <w:szCs w:val="21"/>
              </w:rPr>
              <w:t>处于事故的边缘状态，暂时还不至于造成人员伤亡、系统损失或降低系统性能，但应予以排除或采取控制措施</w:t>
            </w:r>
          </w:p>
        </w:tc>
      </w:tr>
      <w:tr w:rsidR="002E0859" w14:paraId="194FDB08" w14:textId="77777777">
        <w:trPr>
          <w:cantSplit/>
          <w:trHeight w:val="340"/>
          <w:jc w:val="center"/>
        </w:trPr>
        <w:tc>
          <w:tcPr>
            <w:tcW w:w="445" w:type="pct"/>
            <w:tcBorders>
              <w:tl2br w:val="nil"/>
              <w:tr2bl w:val="nil"/>
            </w:tcBorders>
            <w:vAlign w:val="center"/>
          </w:tcPr>
          <w:p w14:paraId="3E0699D8"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Ⅲ</w:t>
            </w:r>
          </w:p>
        </w:tc>
        <w:tc>
          <w:tcPr>
            <w:tcW w:w="656" w:type="pct"/>
            <w:tcBorders>
              <w:tl2br w:val="nil"/>
              <w:tr2bl w:val="nil"/>
            </w:tcBorders>
            <w:vAlign w:val="center"/>
          </w:tcPr>
          <w:p w14:paraId="1E48D2B4"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危险的</w:t>
            </w:r>
          </w:p>
        </w:tc>
        <w:tc>
          <w:tcPr>
            <w:tcW w:w="3897" w:type="pct"/>
            <w:tcBorders>
              <w:tl2br w:val="nil"/>
              <w:tr2bl w:val="nil"/>
            </w:tcBorders>
            <w:vAlign w:val="center"/>
          </w:tcPr>
          <w:p w14:paraId="6AC8180F" w14:textId="77777777" w:rsidR="002E0859" w:rsidRDefault="00000000">
            <w:pPr>
              <w:pStyle w:val="11"/>
              <w:topLinePunct w:val="0"/>
              <w:spacing w:line="240" w:lineRule="auto"/>
              <w:ind w:firstLineChars="0" w:firstLine="0"/>
              <w:jc w:val="left"/>
              <w:rPr>
                <w:color w:val="000000" w:themeColor="text1"/>
                <w:sz w:val="21"/>
                <w:szCs w:val="21"/>
              </w:rPr>
            </w:pPr>
            <w:r>
              <w:rPr>
                <w:color w:val="000000" w:themeColor="text1"/>
                <w:sz w:val="21"/>
                <w:szCs w:val="21"/>
              </w:rPr>
              <w:t>会造成人员伤亡和系统损失，要立即采取防范对策措施</w:t>
            </w:r>
          </w:p>
        </w:tc>
      </w:tr>
      <w:tr w:rsidR="002E0859" w14:paraId="06ECA04A" w14:textId="77777777">
        <w:trPr>
          <w:cantSplit/>
          <w:trHeight w:val="340"/>
          <w:jc w:val="center"/>
        </w:trPr>
        <w:tc>
          <w:tcPr>
            <w:tcW w:w="445" w:type="pct"/>
            <w:tcBorders>
              <w:tl2br w:val="nil"/>
              <w:tr2bl w:val="nil"/>
            </w:tcBorders>
            <w:vAlign w:val="center"/>
          </w:tcPr>
          <w:p w14:paraId="279284D2"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Ⅳ</w:t>
            </w:r>
          </w:p>
        </w:tc>
        <w:tc>
          <w:tcPr>
            <w:tcW w:w="656" w:type="pct"/>
            <w:tcBorders>
              <w:tl2br w:val="nil"/>
              <w:tr2bl w:val="nil"/>
            </w:tcBorders>
            <w:vAlign w:val="center"/>
          </w:tcPr>
          <w:p w14:paraId="3AFE27A2" w14:textId="77777777" w:rsidR="002E0859" w:rsidRDefault="00000000">
            <w:pPr>
              <w:topLinePunct w:val="0"/>
              <w:spacing w:line="240" w:lineRule="auto"/>
              <w:ind w:firstLineChars="0" w:firstLine="0"/>
              <w:jc w:val="center"/>
              <w:rPr>
                <w:color w:val="000000" w:themeColor="text1"/>
                <w:sz w:val="21"/>
                <w:szCs w:val="21"/>
              </w:rPr>
            </w:pPr>
            <w:r>
              <w:rPr>
                <w:color w:val="000000" w:themeColor="text1"/>
                <w:sz w:val="21"/>
                <w:szCs w:val="21"/>
              </w:rPr>
              <w:t>灾难性的</w:t>
            </w:r>
          </w:p>
        </w:tc>
        <w:tc>
          <w:tcPr>
            <w:tcW w:w="3897" w:type="pct"/>
            <w:tcBorders>
              <w:tl2br w:val="nil"/>
              <w:tr2bl w:val="nil"/>
            </w:tcBorders>
            <w:vAlign w:val="center"/>
          </w:tcPr>
          <w:p w14:paraId="4343464C" w14:textId="77777777" w:rsidR="002E0859" w:rsidRDefault="00000000">
            <w:pPr>
              <w:topLinePunct w:val="0"/>
              <w:spacing w:line="240" w:lineRule="auto"/>
              <w:ind w:firstLineChars="0" w:firstLine="0"/>
              <w:jc w:val="left"/>
              <w:rPr>
                <w:color w:val="000000" w:themeColor="text1"/>
                <w:sz w:val="21"/>
                <w:szCs w:val="21"/>
              </w:rPr>
            </w:pPr>
            <w:r>
              <w:rPr>
                <w:color w:val="000000" w:themeColor="text1"/>
                <w:sz w:val="21"/>
                <w:szCs w:val="21"/>
              </w:rPr>
              <w:t>会造成人员重大伤亡及系统严重破坏的灾难性事故，必须予以果断排除并进行重点防范</w:t>
            </w:r>
          </w:p>
        </w:tc>
      </w:tr>
    </w:tbl>
    <w:p w14:paraId="3ECDDFB8"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定量风险模拟评价方法</w:t>
      </w:r>
    </w:p>
    <w:p w14:paraId="7B0C6F74" w14:textId="77777777" w:rsidR="002E0859" w:rsidRDefault="00000000">
      <w:pPr>
        <w:pStyle w:val="a0"/>
        <w:spacing w:line="360" w:lineRule="auto"/>
        <w:ind w:firstLine="480"/>
        <w:rPr>
          <w:color w:val="000000" w:themeColor="text1"/>
          <w:sz w:val="24"/>
          <w:szCs w:val="24"/>
        </w:rPr>
      </w:pPr>
      <w:r>
        <w:rPr>
          <w:color w:val="000000" w:themeColor="text1"/>
          <w:sz w:val="24"/>
          <w:szCs w:val="24"/>
        </w:rPr>
        <w:t>采气站场是高风险存在和集中的场所。对其发生的事故后果进行分析计算是很有必要的。</w:t>
      </w:r>
    </w:p>
    <w:p w14:paraId="271CBEA3" w14:textId="77777777" w:rsidR="002E0859" w:rsidRDefault="00000000">
      <w:pPr>
        <w:pStyle w:val="a0"/>
        <w:spacing w:line="360" w:lineRule="auto"/>
        <w:ind w:firstLine="480"/>
        <w:rPr>
          <w:color w:val="000000" w:themeColor="text1"/>
          <w:sz w:val="24"/>
          <w:szCs w:val="24"/>
        </w:rPr>
      </w:pPr>
      <w:r>
        <w:rPr>
          <w:color w:val="000000" w:themeColor="text1"/>
          <w:sz w:val="24"/>
          <w:szCs w:val="24"/>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14CA32AF" w14:textId="77777777" w:rsidR="002E0859" w:rsidRDefault="00000000">
      <w:pPr>
        <w:pStyle w:val="a0"/>
        <w:spacing w:line="360" w:lineRule="auto"/>
        <w:ind w:firstLine="480"/>
        <w:rPr>
          <w:color w:val="000000" w:themeColor="text1"/>
          <w:sz w:val="24"/>
          <w:szCs w:val="24"/>
        </w:rPr>
      </w:pPr>
      <w:r>
        <w:rPr>
          <w:color w:val="000000" w:themeColor="text1"/>
          <w:sz w:val="24"/>
          <w:szCs w:val="24"/>
        </w:rPr>
        <w:lastRenderedPageBreak/>
        <w:t>本次评价是根据中国安全生产科学研究院研发的定量风险量化评估软件（</w:t>
      </w:r>
      <w:r>
        <w:rPr>
          <w:color w:val="000000" w:themeColor="text1"/>
          <w:sz w:val="24"/>
          <w:szCs w:val="24"/>
        </w:rPr>
        <w:t>CASSTQRA</w:t>
      </w:r>
      <w:r>
        <w:rPr>
          <w:color w:val="000000" w:themeColor="text1"/>
          <w:sz w:val="24"/>
          <w:szCs w:val="24"/>
        </w:rPr>
        <w:t>）对涪陵页岩气田江东区块焦页</w:t>
      </w:r>
      <w:r>
        <w:rPr>
          <w:color w:val="000000" w:themeColor="text1"/>
          <w:sz w:val="24"/>
          <w:szCs w:val="24"/>
        </w:rPr>
        <w:t>90</w:t>
      </w:r>
      <w:r>
        <w:rPr>
          <w:color w:val="000000" w:themeColor="text1"/>
          <w:sz w:val="24"/>
          <w:szCs w:val="24"/>
        </w:rPr>
        <w:t>号评价井组危险性较大的设备发生天然气泄漏事故后果进行模拟，得出在不同事故情景下，可能对周围环境造成的事故影响、伤害范围（轻伤、重伤、死亡）。</w:t>
      </w:r>
    </w:p>
    <w:p w14:paraId="2C071148" w14:textId="77777777" w:rsidR="002E0859" w:rsidRDefault="00000000">
      <w:pPr>
        <w:pStyle w:val="a0"/>
        <w:spacing w:line="360" w:lineRule="auto"/>
        <w:ind w:firstLine="480"/>
        <w:rPr>
          <w:color w:val="000000" w:themeColor="text1"/>
          <w:sz w:val="24"/>
          <w:szCs w:val="24"/>
        </w:rPr>
      </w:pPr>
      <w:r>
        <w:rPr>
          <w:color w:val="000000" w:themeColor="text1"/>
          <w:sz w:val="24"/>
          <w:szCs w:val="24"/>
        </w:rPr>
        <w:t>由于事故发生具有不可预见性，不一定按照设定的模式发生，因此本次事故后果模拟计算的结果仅供参考</w:t>
      </w:r>
      <w:r>
        <w:rPr>
          <w:rFonts w:hint="eastAsia"/>
          <w:color w:val="000000" w:themeColor="text1"/>
          <w:sz w:val="24"/>
          <w:szCs w:val="24"/>
        </w:rPr>
        <w:t>。</w:t>
      </w:r>
    </w:p>
    <w:p w14:paraId="262EC95B" w14:textId="77777777" w:rsidR="002E0859" w:rsidRDefault="00000000">
      <w:pPr>
        <w:ind w:firstLine="480"/>
        <w:rPr>
          <w:color w:val="000000" w:themeColor="text1"/>
          <w:sz w:val="24"/>
          <w:szCs w:val="24"/>
        </w:rPr>
      </w:pPr>
      <w:r>
        <w:rPr>
          <w:color w:val="000000" w:themeColor="text1"/>
          <w:sz w:val="24"/>
          <w:szCs w:val="24"/>
        </w:rPr>
        <w:br w:type="page"/>
      </w:r>
    </w:p>
    <w:p w14:paraId="6BEF657F" w14:textId="77777777" w:rsidR="002E0859" w:rsidRDefault="00000000">
      <w:pPr>
        <w:pStyle w:val="1"/>
        <w:keepNext w:val="0"/>
        <w:keepLines w:val="0"/>
        <w:spacing w:before="240" w:after="240" w:line="360" w:lineRule="auto"/>
        <w:rPr>
          <w:color w:val="000000" w:themeColor="text1"/>
        </w:rPr>
      </w:pPr>
      <w:bookmarkStart w:id="45" w:name="_Toc7713"/>
      <w:r>
        <w:rPr>
          <w:rFonts w:hint="eastAsia"/>
          <w:color w:val="000000" w:themeColor="text1"/>
        </w:rPr>
        <w:lastRenderedPageBreak/>
        <w:t>定性、定量评价</w:t>
      </w:r>
      <w:bookmarkEnd w:id="45"/>
    </w:p>
    <w:p w14:paraId="5A15B73D" w14:textId="77777777" w:rsidR="002E0859" w:rsidRDefault="00000000">
      <w:pPr>
        <w:pStyle w:val="2"/>
        <w:keepNext w:val="0"/>
        <w:keepLines w:val="0"/>
        <w:spacing w:before="120" w:after="120" w:line="360" w:lineRule="auto"/>
        <w:jc w:val="center"/>
        <w:rPr>
          <w:color w:val="000000" w:themeColor="text1"/>
        </w:rPr>
      </w:pPr>
      <w:bookmarkStart w:id="46" w:name="_Toc599"/>
      <w:r>
        <w:rPr>
          <w:rFonts w:hint="eastAsia"/>
          <w:color w:val="000000" w:themeColor="text1"/>
        </w:rPr>
        <w:t>选址及外部安全条件评价</w:t>
      </w:r>
      <w:bookmarkEnd w:id="46"/>
    </w:p>
    <w:p w14:paraId="0E2393FA" w14:textId="77777777" w:rsidR="002E0859" w:rsidRDefault="00000000">
      <w:pPr>
        <w:pStyle w:val="3"/>
        <w:keepNext w:val="0"/>
        <w:keepLines w:val="0"/>
        <w:numPr>
          <w:ilvl w:val="2"/>
          <w:numId w:val="0"/>
        </w:numPr>
        <w:spacing w:beforeLines="50" w:before="120" w:afterLines="50" w:after="120" w:line="360" w:lineRule="auto"/>
        <w:rPr>
          <w:color w:val="000000" w:themeColor="text1"/>
          <w:sz w:val="24"/>
          <w:szCs w:val="24"/>
        </w:rPr>
      </w:pPr>
      <w:r>
        <w:rPr>
          <w:color w:val="000000" w:themeColor="text1"/>
          <w:sz w:val="24"/>
          <w:szCs w:val="24"/>
        </w:rPr>
        <w:t>5.1.1</w:t>
      </w:r>
      <w:r>
        <w:rPr>
          <w:color w:val="000000" w:themeColor="text1"/>
          <w:sz w:val="24"/>
          <w:szCs w:val="24"/>
        </w:rPr>
        <w:t>自然条件对工程建设和生产运行的影响评价</w:t>
      </w:r>
    </w:p>
    <w:p w14:paraId="05F0981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7A087682" w14:textId="77777777" w:rsidR="002E0859" w:rsidRDefault="00000000">
      <w:pPr>
        <w:widowControl/>
        <w:spacing w:beforeLines="50" w:before="120" w:line="360" w:lineRule="auto"/>
        <w:ind w:firstLine="480"/>
        <w:rPr>
          <w:color w:val="000000" w:themeColor="text1"/>
          <w:sz w:val="24"/>
          <w:szCs w:val="24"/>
        </w:rPr>
      </w:pPr>
      <w:r>
        <w:rPr>
          <w:rFonts w:hint="eastAsia"/>
          <w:color w:val="000000" w:themeColor="text1"/>
          <w:sz w:val="24"/>
          <w:szCs w:val="24"/>
        </w:rPr>
        <w:t>小结：经安全检查表检查，自然条件对工程建设和生产运行的影响较小，满足项目建设及运行需求。</w:t>
      </w:r>
    </w:p>
    <w:p w14:paraId="31B76199" w14:textId="77777777" w:rsidR="002E0859" w:rsidRDefault="00000000">
      <w:pPr>
        <w:pStyle w:val="3"/>
        <w:keepNext w:val="0"/>
        <w:keepLines w:val="0"/>
        <w:numPr>
          <w:ilvl w:val="2"/>
          <w:numId w:val="0"/>
        </w:numPr>
        <w:spacing w:beforeLines="50" w:before="120" w:afterLines="50" w:after="120" w:line="360" w:lineRule="auto"/>
        <w:rPr>
          <w:color w:val="000000" w:themeColor="text1"/>
          <w:sz w:val="24"/>
          <w:szCs w:val="24"/>
        </w:rPr>
      </w:pPr>
      <w:r>
        <w:rPr>
          <w:color w:val="000000" w:themeColor="text1"/>
          <w:sz w:val="24"/>
          <w:szCs w:val="24"/>
        </w:rPr>
        <w:t>5.1.2</w:t>
      </w:r>
      <w:r>
        <w:rPr>
          <w:color w:val="000000" w:themeColor="text1"/>
          <w:sz w:val="24"/>
          <w:szCs w:val="24"/>
        </w:rPr>
        <w:t>与周边生产经营活动或居民生活的影响评价</w:t>
      </w:r>
    </w:p>
    <w:p w14:paraId="6327F48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0EDD1054" w14:textId="77777777" w:rsidR="002E0859" w:rsidRDefault="00000000">
      <w:pPr>
        <w:pStyle w:val="3"/>
        <w:keepNext w:val="0"/>
        <w:keepLines w:val="0"/>
        <w:numPr>
          <w:ilvl w:val="2"/>
          <w:numId w:val="0"/>
        </w:numPr>
        <w:spacing w:beforeLines="50" w:before="120" w:afterLines="50" w:after="120" w:line="360" w:lineRule="auto"/>
        <w:rPr>
          <w:color w:val="000000" w:themeColor="text1"/>
          <w:sz w:val="24"/>
          <w:szCs w:val="24"/>
        </w:rPr>
      </w:pPr>
      <w:r>
        <w:rPr>
          <w:color w:val="000000" w:themeColor="text1"/>
          <w:sz w:val="24"/>
          <w:szCs w:val="24"/>
        </w:rPr>
        <w:t>5.1.</w:t>
      </w:r>
      <w:r>
        <w:rPr>
          <w:rFonts w:hint="eastAsia"/>
          <w:color w:val="000000" w:themeColor="text1"/>
          <w:sz w:val="24"/>
          <w:szCs w:val="24"/>
        </w:rPr>
        <w:t>3</w:t>
      </w:r>
      <w:r>
        <w:rPr>
          <w:rFonts w:hint="eastAsia"/>
          <w:color w:val="000000" w:themeColor="text1"/>
          <w:sz w:val="24"/>
          <w:szCs w:val="24"/>
        </w:rPr>
        <w:t>自然保护区等保护区域及法律、法规符合性评价</w:t>
      </w:r>
    </w:p>
    <w:p w14:paraId="51C810D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033B46BA" w14:textId="77777777" w:rsidR="002E0859" w:rsidRDefault="00000000">
      <w:pPr>
        <w:widowControl/>
        <w:spacing w:beforeLines="50" w:before="120" w:line="240" w:lineRule="auto"/>
        <w:ind w:firstLine="480"/>
        <w:jc w:val="left"/>
        <w:rPr>
          <w:color w:val="000000" w:themeColor="text1"/>
          <w:sz w:val="24"/>
          <w:szCs w:val="24"/>
        </w:rPr>
      </w:pPr>
      <w:r>
        <w:rPr>
          <w:rFonts w:hint="eastAsia"/>
          <w:color w:val="000000" w:themeColor="text1"/>
          <w:kern w:val="0"/>
          <w:sz w:val="24"/>
          <w:szCs w:val="24"/>
          <w:lang w:bidi="ar"/>
        </w:rPr>
        <w:t>小结：经安全检查表检查，站场附近无自然保护区等保护区域，满足要求。</w:t>
      </w:r>
    </w:p>
    <w:p w14:paraId="141504A5" w14:textId="77777777" w:rsidR="002E0859" w:rsidRDefault="00000000">
      <w:pPr>
        <w:pStyle w:val="2"/>
        <w:keepNext w:val="0"/>
        <w:keepLines w:val="0"/>
        <w:spacing w:before="120" w:after="120" w:line="360" w:lineRule="auto"/>
        <w:jc w:val="center"/>
        <w:rPr>
          <w:color w:val="000000" w:themeColor="text1"/>
        </w:rPr>
      </w:pPr>
      <w:bookmarkStart w:id="47" w:name="_Toc24350"/>
      <w:r>
        <w:rPr>
          <w:rFonts w:hint="eastAsia"/>
          <w:color w:val="000000" w:themeColor="text1"/>
        </w:rPr>
        <w:t>技术、工艺安全可靠性评价</w:t>
      </w:r>
      <w:bookmarkEnd w:id="47"/>
    </w:p>
    <w:p w14:paraId="055FF4D4"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工艺、技术的安全可靠性评价</w:t>
      </w:r>
    </w:p>
    <w:p w14:paraId="4D402D0D"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安全检查表评价</w:t>
      </w:r>
    </w:p>
    <w:p w14:paraId="320D22D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3CFF5BA4" w14:textId="77777777" w:rsidR="002E0859" w:rsidRDefault="00000000">
      <w:pPr>
        <w:pStyle w:val="4"/>
        <w:keepNext w:val="0"/>
        <w:keepLines w:val="0"/>
        <w:spacing w:line="360" w:lineRule="auto"/>
        <w:rPr>
          <w:color w:val="000000" w:themeColor="text1"/>
        </w:rPr>
      </w:pPr>
      <w:r>
        <w:rPr>
          <w:rFonts w:hint="eastAsia"/>
          <w:color w:val="000000" w:themeColor="text1"/>
          <w:sz w:val="24"/>
          <w:szCs w:val="24"/>
        </w:rPr>
        <w:t>预先危险性评价</w:t>
      </w:r>
    </w:p>
    <w:p w14:paraId="2B6B76E0"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本节采用预先危险性分析对采气工程涉及的气井测试作业进行评价</w:t>
      </w:r>
      <w:r>
        <w:rPr>
          <w:rFonts w:hint="eastAsia"/>
          <w:color w:val="000000" w:themeColor="text1"/>
          <w:sz w:val="24"/>
          <w:szCs w:val="24"/>
        </w:rPr>
        <w:t>分析。</w:t>
      </w:r>
    </w:p>
    <w:p w14:paraId="54BC301D" w14:textId="6B936AAE" w:rsidR="002E0859" w:rsidRDefault="00000000">
      <w:pPr>
        <w:pStyle w:val="af1"/>
        <w:topLinePunct w:val="0"/>
        <w:spacing w:line="240" w:lineRule="auto"/>
        <w:rPr>
          <w:color w:val="000000" w:themeColor="text1"/>
          <w:szCs w:val="21"/>
        </w:rPr>
      </w:pPr>
      <w:r>
        <w:rPr>
          <w:rFonts w:hint="eastAsia"/>
          <w:color w:val="000000" w:themeColor="text1"/>
          <w:szCs w:val="21"/>
        </w:rPr>
        <w:t>表</w:t>
      </w:r>
      <w:hyperlink r:id="rId30" w:history="1">
        <w:r>
          <w:rPr>
            <w:color w:val="000000" w:themeColor="text1"/>
            <w:szCs w:val="21"/>
          </w:rPr>
          <w:t>5</w:t>
        </w:r>
      </w:hyperlink>
      <w:r>
        <w:rPr>
          <w:rFonts w:hint="eastAsia"/>
          <w:color w:val="000000" w:themeColor="text1"/>
          <w:szCs w:val="21"/>
        </w:rPr>
        <w:t>.2</w:t>
      </w:r>
      <w:r>
        <w:rPr>
          <w:color w:val="000000" w:themeColor="text1"/>
          <w:szCs w:val="21"/>
        </w:rPr>
        <w:t>-</w:t>
      </w:r>
      <w:r>
        <w:rPr>
          <w:rFonts w:hint="eastAsia"/>
          <w:color w:val="000000" w:themeColor="text1"/>
          <w:szCs w:val="21"/>
        </w:rPr>
        <w:t xml:space="preserve">2 </w:t>
      </w:r>
      <w:r>
        <w:rPr>
          <w:rFonts w:hint="eastAsia"/>
          <w:color w:val="000000" w:themeColor="text1"/>
          <w:szCs w:val="21"/>
        </w:rPr>
        <w:t>气井测试作业主要危险预分析</w:t>
      </w:r>
    </w:p>
    <w:tbl>
      <w:tblPr>
        <w:tblStyle w:val="TableNormal"/>
        <w:tblW w:w="502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23"/>
        <w:gridCol w:w="1018"/>
        <w:gridCol w:w="1020"/>
        <w:gridCol w:w="1812"/>
        <w:gridCol w:w="1256"/>
        <w:gridCol w:w="725"/>
        <w:gridCol w:w="2651"/>
      </w:tblGrid>
      <w:tr w:rsidR="002E0859" w14:paraId="3A832945" w14:textId="77777777">
        <w:trPr>
          <w:trHeight w:val="476"/>
          <w:tblHeader/>
        </w:trPr>
        <w:tc>
          <w:tcPr>
            <w:tcW w:w="392" w:type="pct"/>
            <w:tcBorders>
              <w:tl2br w:val="nil"/>
              <w:tr2bl w:val="nil"/>
            </w:tcBorders>
            <w:vAlign w:val="center"/>
          </w:tcPr>
          <w:p w14:paraId="528E9FFA" w14:textId="77777777" w:rsidR="002E0859" w:rsidRDefault="00000000">
            <w:pPr>
              <w:pStyle w:val="af0"/>
              <w:rPr>
                <w:b/>
                <w:bCs/>
                <w:color w:val="000000" w:themeColor="text1"/>
              </w:rPr>
            </w:pPr>
            <w:r>
              <w:rPr>
                <w:b/>
                <w:bCs/>
                <w:color w:val="000000" w:themeColor="text1"/>
              </w:rPr>
              <w:t>序号</w:t>
            </w:r>
          </w:p>
        </w:tc>
        <w:tc>
          <w:tcPr>
            <w:tcW w:w="553" w:type="pct"/>
            <w:tcBorders>
              <w:tl2br w:val="nil"/>
              <w:tr2bl w:val="nil"/>
            </w:tcBorders>
            <w:vAlign w:val="center"/>
          </w:tcPr>
          <w:p w14:paraId="449C12AF" w14:textId="77777777" w:rsidR="002E0859" w:rsidRDefault="00000000">
            <w:pPr>
              <w:pStyle w:val="af0"/>
              <w:rPr>
                <w:b/>
                <w:bCs/>
                <w:color w:val="000000" w:themeColor="text1"/>
              </w:rPr>
            </w:pPr>
            <w:r>
              <w:rPr>
                <w:b/>
                <w:bCs/>
                <w:color w:val="000000" w:themeColor="text1"/>
              </w:rPr>
              <w:t>危险</w:t>
            </w:r>
            <w:r>
              <w:rPr>
                <w:b/>
                <w:bCs/>
                <w:color w:val="000000" w:themeColor="text1"/>
              </w:rPr>
              <w:t>/</w:t>
            </w:r>
            <w:r>
              <w:rPr>
                <w:b/>
                <w:bCs/>
                <w:color w:val="000000" w:themeColor="text1"/>
              </w:rPr>
              <w:t>意外事故</w:t>
            </w:r>
          </w:p>
        </w:tc>
        <w:tc>
          <w:tcPr>
            <w:tcW w:w="554" w:type="pct"/>
            <w:tcBorders>
              <w:tl2br w:val="nil"/>
              <w:tr2bl w:val="nil"/>
            </w:tcBorders>
            <w:vAlign w:val="center"/>
          </w:tcPr>
          <w:p w14:paraId="3285ADC0" w14:textId="77777777" w:rsidR="002E0859" w:rsidRDefault="00000000">
            <w:pPr>
              <w:pStyle w:val="af0"/>
              <w:rPr>
                <w:b/>
                <w:bCs/>
                <w:color w:val="000000" w:themeColor="text1"/>
              </w:rPr>
            </w:pPr>
            <w:r>
              <w:rPr>
                <w:b/>
                <w:bCs/>
                <w:color w:val="000000" w:themeColor="text1"/>
              </w:rPr>
              <w:t>阶段</w:t>
            </w:r>
          </w:p>
        </w:tc>
        <w:tc>
          <w:tcPr>
            <w:tcW w:w="983" w:type="pct"/>
            <w:tcBorders>
              <w:tl2br w:val="nil"/>
              <w:tr2bl w:val="nil"/>
            </w:tcBorders>
            <w:vAlign w:val="center"/>
          </w:tcPr>
          <w:p w14:paraId="4D6760FC" w14:textId="77777777" w:rsidR="002E0859" w:rsidRDefault="00000000">
            <w:pPr>
              <w:pStyle w:val="af0"/>
              <w:rPr>
                <w:b/>
                <w:bCs/>
                <w:color w:val="000000" w:themeColor="text1"/>
              </w:rPr>
            </w:pPr>
            <w:r>
              <w:rPr>
                <w:b/>
                <w:bCs/>
                <w:color w:val="000000" w:themeColor="text1"/>
              </w:rPr>
              <w:t>起因</w:t>
            </w:r>
          </w:p>
        </w:tc>
        <w:tc>
          <w:tcPr>
            <w:tcW w:w="682" w:type="pct"/>
            <w:tcBorders>
              <w:tl2br w:val="nil"/>
              <w:tr2bl w:val="nil"/>
            </w:tcBorders>
            <w:vAlign w:val="center"/>
          </w:tcPr>
          <w:p w14:paraId="12009345" w14:textId="77777777" w:rsidR="002E0859" w:rsidRDefault="00000000">
            <w:pPr>
              <w:pStyle w:val="af0"/>
              <w:rPr>
                <w:b/>
                <w:bCs/>
                <w:color w:val="000000" w:themeColor="text1"/>
              </w:rPr>
            </w:pPr>
            <w:r>
              <w:rPr>
                <w:b/>
                <w:bCs/>
                <w:color w:val="000000" w:themeColor="text1"/>
              </w:rPr>
              <w:t>影响</w:t>
            </w:r>
          </w:p>
        </w:tc>
        <w:tc>
          <w:tcPr>
            <w:tcW w:w="394" w:type="pct"/>
            <w:tcBorders>
              <w:tl2br w:val="nil"/>
              <w:tr2bl w:val="nil"/>
            </w:tcBorders>
            <w:vAlign w:val="center"/>
          </w:tcPr>
          <w:p w14:paraId="3B1E6AE0" w14:textId="77777777" w:rsidR="002E0859" w:rsidRDefault="00000000">
            <w:pPr>
              <w:pStyle w:val="af0"/>
              <w:rPr>
                <w:b/>
                <w:bCs/>
                <w:color w:val="000000" w:themeColor="text1"/>
              </w:rPr>
            </w:pPr>
            <w:r>
              <w:rPr>
                <w:b/>
                <w:bCs/>
                <w:color w:val="000000" w:themeColor="text1"/>
              </w:rPr>
              <w:t>危险</w:t>
            </w:r>
          </w:p>
          <w:p w14:paraId="18F6DEAE" w14:textId="77777777" w:rsidR="002E0859" w:rsidRDefault="00000000">
            <w:pPr>
              <w:pStyle w:val="af0"/>
              <w:rPr>
                <w:b/>
                <w:bCs/>
                <w:color w:val="000000" w:themeColor="text1"/>
              </w:rPr>
            </w:pPr>
            <w:r>
              <w:rPr>
                <w:b/>
                <w:bCs/>
                <w:color w:val="000000" w:themeColor="text1"/>
              </w:rPr>
              <w:t>等级</w:t>
            </w:r>
          </w:p>
        </w:tc>
        <w:tc>
          <w:tcPr>
            <w:tcW w:w="1439" w:type="pct"/>
            <w:tcBorders>
              <w:tl2br w:val="nil"/>
              <w:tr2bl w:val="nil"/>
            </w:tcBorders>
            <w:vAlign w:val="center"/>
          </w:tcPr>
          <w:p w14:paraId="51C981BE" w14:textId="77777777" w:rsidR="002E0859" w:rsidRDefault="00000000">
            <w:pPr>
              <w:pStyle w:val="af0"/>
              <w:rPr>
                <w:b/>
                <w:bCs/>
                <w:color w:val="000000" w:themeColor="text1"/>
              </w:rPr>
            </w:pPr>
            <w:r>
              <w:rPr>
                <w:b/>
                <w:bCs/>
                <w:color w:val="000000" w:themeColor="text1"/>
              </w:rPr>
              <w:t>对策</w:t>
            </w:r>
          </w:p>
        </w:tc>
      </w:tr>
      <w:tr w:rsidR="002E0859" w14:paraId="4F721B17" w14:textId="77777777">
        <w:trPr>
          <w:trHeight w:val="1173"/>
        </w:trPr>
        <w:tc>
          <w:tcPr>
            <w:tcW w:w="392" w:type="pct"/>
            <w:tcBorders>
              <w:tl2br w:val="nil"/>
              <w:tr2bl w:val="nil"/>
            </w:tcBorders>
            <w:vAlign w:val="center"/>
          </w:tcPr>
          <w:p w14:paraId="54D30E56" w14:textId="77777777" w:rsidR="002E0859" w:rsidRDefault="00000000">
            <w:pPr>
              <w:pStyle w:val="af0"/>
              <w:rPr>
                <w:color w:val="000000" w:themeColor="text1"/>
              </w:rPr>
            </w:pPr>
            <w:r>
              <w:rPr>
                <w:color w:val="000000" w:themeColor="text1"/>
              </w:rPr>
              <w:t>1</w:t>
            </w:r>
          </w:p>
        </w:tc>
        <w:tc>
          <w:tcPr>
            <w:tcW w:w="553" w:type="pct"/>
            <w:tcBorders>
              <w:tl2br w:val="nil"/>
              <w:tr2bl w:val="nil"/>
            </w:tcBorders>
            <w:vAlign w:val="center"/>
          </w:tcPr>
          <w:p w14:paraId="3FD9E404" w14:textId="77777777" w:rsidR="002E0859" w:rsidRDefault="00000000">
            <w:pPr>
              <w:pStyle w:val="af0"/>
              <w:rPr>
                <w:color w:val="000000" w:themeColor="text1"/>
              </w:rPr>
            </w:pPr>
            <w:r>
              <w:rPr>
                <w:color w:val="000000" w:themeColor="text1"/>
              </w:rPr>
              <w:t>火灾爆炸</w:t>
            </w:r>
          </w:p>
        </w:tc>
        <w:tc>
          <w:tcPr>
            <w:tcW w:w="554" w:type="pct"/>
            <w:tcBorders>
              <w:tl2br w:val="nil"/>
              <w:tr2bl w:val="nil"/>
            </w:tcBorders>
            <w:vAlign w:val="center"/>
          </w:tcPr>
          <w:p w14:paraId="250D4113" w14:textId="77777777" w:rsidR="002E0859" w:rsidRDefault="00000000">
            <w:pPr>
              <w:pStyle w:val="af0"/>
              <w:rPr>
                <w:color w:val="000000" w:themeColor="text1"/>
              </w:rPr>
            </w:pPr>
            <w:r>
              <w:rPr>
                <w:color w:val="000000" w:themeColor="text1"/>
              </w:rPr>
              <w:t>测试中油气泄漏遇</w:t>
            </w:r>
          </w:p>
          <w:p w14:paraId="088644A8" w14:textId="77777777" w:rsidR="002E0859" w:rsidRDefault="00000000">
            <w:pPr>
              <w:pStyle w:val="af0"/>
              <w:rPr>
                <w:color w:val="000000" w:themeColor="text1"/>
              </w:rPr>
            </w:pPr>
            <w:r>
              <w:rPr>
                <w:color w:val="000000" w:themeColor="text1"/>
              </w:rPr>
              <w:t>火源</w:t>
            </w:r>
          </w:p>
        </w:tc>
        <w:tc>
          <w:tcPr>
            <w:tcW w:w="983" w:type="pct"/>
            <w:tcBorders>
              <w:tl2br w:val="nil"/>
              <w:tr2bl w:val="nil"/>
            </w:tcBorders>
            <w:vAlign w:val="center"/>
          </w:tcPr>
          <w:p w14:paraId="220490D6" w14:textId="77777777" w:rsidR="002E0859" w:rsidRDefault="00000000">
            <w:pPr>
              <w:pStyle w:val="af0"/>
              <w:jc w:val="both"/>
              <w:rPr>
                <w:color w:val="000000" w:themeColor="text1"/>
              </w:rPr>
            </w:pPr>
            <w:r>
              <w:rPr>
                <w:color w:val="000000" w:themeColor="text1"/>
              </w:rPr>
              <w:t>流程管线损坏；接箍未上紧；丝扣损坏；未缠密封带；</w:t>
            </w:r>
            <w:r>
              <w:rPr>
                <w:rFonts w:hint="eastAsia"/>
                <w:color w:val="000000" w:themeColor="text1"/>
              </w:rPr>
              <w:t>游</w:t>
            </w:r>
            <w:r>
              <w:rPr>
                <w:color w:val="000000" w:themeColor="text1"/>
              </w:rPr>
              <w:t>壬未砸紧或垫子坏。</w:t>
            </w:r>
          </w:p>
        </w:tc>
        <w:tc>
          <w:tcPr>
            <w:tcW w:w="682" w:type="pct"/>
            <w:tcBorders>
              <w:tl2br w:val="nil"/>
              <w:tr2bl w:val="nil"/>
            </w:tcBorders>
            <w:vAlign w:val="center"/>
          </w:tcPr>
          <w:p w14:paraId="2435373D" w14:textId="77777777" w:rsidR="002E0859" w:rsidRDefault="00000000">
            <w:pPr>
              <w:pStyle w:val="af0"/>
              <w:rPr>
                <w:color w:val="000000" w:themeColor="text1"/>
              </w:rPr>
            </w:pPr>
            <w:r>
              <w:rPr>
                <w:color w:val="000000" w:themeColor="text1"/>
              </w:rPr>
              <w:t>伤人财产损失</w:t>
            </w:r>
          </w:p>
        </w:tc>
        <w:tc>
          <w:tcPr>
            <w:tcW w:w="394" w:type="pct"/>
            <w:tcBorders>
              <w:tl2br w:val="nil"/>
              <w:tr2bl w:val="nil"/>
            </w:tcBorders>
            <w:vAlign w:val="center"/>
          </w:tcPr>
          <w:p w14:paraId="2894DC4E"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71D45833" w14:textId="77777777" w:rsidR="002E0859" w:rsidRDefault="00000000">
            <w:pPr>
              <w:pStyle w:val="af0"/>
              <w:jc w:val="both"/>
              <w:rPr>
                <w:color w:val="000000" w:themeColor="text1"/>
              </w:rPr>
            </w:pPr>
            <w:r>
              <w:rPr>
                <w:color w:val="000000" w:themeColor="text1"/>
              </w:rPr>
              <w:t>施工前流程管线试压合格；丝扣上到位，并缠密封纸；游壬连接处装垫子并砸紧；现场严格控制火源；巡检，有泄漏当</w:t>
            </w:r>
          </w:p>
          <w:p w14:paraId="7A48A1BF" w14:textId="77777777" w:rsidR="002E0859" w:rsidRDefault="00000000">
            <w:pPr>
              <w:pStyle w:val="af0"/>
              <w:jc w:val="both"/>
              <w:rPr>
                <w:color w:val="000000" w:themeColor="text1"/>
              </w:rPr>
            </w:pPr>
            <w:r>
              <w:rPr>
                <w:color w:val="000000" w:themeColor="text1"/>
              </w:rPr>
              <w:t>即处理。</w:t>
            </w:r>
          </w:p>
        </w:tc>
      </w:tr>
      <w:tr w:rsidR="002E0859" w14:paraId="38814A66" w14:textId="77777777">
        <w:trPr>
          <w:trHeight w:val="1170"/>
        </w:trPr>
        <w:tc>
          <w:tcPr>
            <w:tcW w:w="392" w:type="pct"/>
            <w:tcBorders>
              <w:tl2br w:val="nil"/>
              <w:tr2bl w:val="nil"/>
            </w:tcBorders>
            <w:vAlign w:val="center"/>
          </w:tcPr>
          <w:p w14:paraId="67862130" w14:textId="77777777" w:rsidR="002E0859" w:rsidRDefault="00000000">
            <w:pPr>
              <w:pStyle w:val="af0"/>
              <w:rPr>
                <w:color w:val="000000" w:themeColor="text1"/>
              </w:rPr>
            </w:pPr>
            <w:r>
              <w:rPr>
                <w:color w:val="000000" w:themeColor="text1"/>
              </w:rPr>
              <w:t>2</w:t>
            </w:r>
          </w:p>
        </w:tc>
        <w:tc>
          <w:tcPr>
            <w:tcW w:w="553" w:type="pct"/>
            <w:tcBorders>
              <w:tl2br w:val="nil"/>
              <w:tr2bl w:val="nil"/>
            </w:tcBorders>
            <w:vAlign w:val="center"/>
          </w:tcPr>
          <w:p w14:paraId="1FB4147E" w14:textId="77777777" w:rsidR="002E0859" w:rsidRDefault="00000000">
            <w:pPr>
              <w:pStyle w:val="af0"/>
              <w:rPr>
                <w:color w:val="000000" w:themeColor="text1"/>
              </w:rPr>
            </w:pPr>
            <w:r>
              <w:rPr>
                <w:color w:val="000000" w:themeColor="text1"/>
              </w:rPr>
              <w:t>井喷</w:t>
            </w:r>
          </w:p>
        </w:tc>
        <w:tc>
          <w:tcPr>
            <w:tcW w:w="554" w:type="pct"/>
            <w:tcBorders>
              <w:tl2br w:val="nil"/>
              <w:tr2bl w:val="nil"/>
            </w:tcBorders>
            <w:vAlign w:val="center"/>
          </w:tcPr>
          <w:p w14:paraId="5A82E862" w14:textId="77777777" w:rsidR="002E0859" w:rsidRDefault="00000000">
            <w:pPr>
              <w:pStyle w:val="af0"/>
              <w:rPr>
                <w:color w:val="000000" w:themeColor="text1"/>
              </w:rPr>
            </w:pPr>
            <w:r>
              <w:rPr>
                <w:color w:val="000000" w:themeColor="text1"/>
              </w:rPr>
              <w:t>在试</w:t>
            </w:r>
            <w:r>
              <w:rPr>
                <w:rFonts w:hint="eastAsia"/>
                <w:color w:val="000000" w:themeColor="text1"/>
              </w:rPr>
              <w:t>气</w:t>
            </w:r>
            <w:r>
              <w:rPr>
                <w:color w:val="000000" w:themeColor="text1"/>
              </w:rPr>
              <w:t>施工中</w:t>
            </w:r>
          </w:p>
        </w:tc>
        <w:tc>
          <w:tcPr>
            <w:tcW w:w="983" w:type="pct"/>
            <w:tcBorders>
              <w:tl2br w:val="nil"/>
              <w:tr2bl w:val="nil"/>
            </w:tcBorders>
            <w:vAlign w:val="center"/>
          </w:tcPr>
          <w:p w14:paraId="6B19E3CC" w14:textId="77777777" w:rsidR="002E0859" w:rsidRDefault="00000000">
            <w:pPr>
              <w:pStyle w:val="af0"/>
              <w:jc w:val="both"/>
              <w:rPr>
                <w:color w:val="000000" w:themeColor="text1"/>
              </w:rPr>
            </w:pPr>
            <w:r>
              <w:rPr>
                <w:color w:val="000000" w:themeColor="text1"/>
              </w:rPr>
              <w:t>没装井控装置；井控装置失败；设计有误；测量有误；没有及时边起边灌；误操作。</w:t>
            </w:r>
          </w:p>
        </w:tc>
        <w:tc>
          <w:tcPr>
            <w:tcW w:w="682" w:type="pct"/>
            <w:tcBorders>
              <w:tl2br w:val="nil"/>
              <w:tr2bl w:val="nil"/>
            </w:tcBorders>
            <w:vAlign w:val="center"/>
          </w:tcPr>
          <w:p w14:paraId="5B44EE09" w14:textId="77777777" w:rsidR="002E0859" w:rsidRDefault="00000000">
            <w:pPr>
              <w:pStyle w:val="af0"/>
              <w:rPr>
                <w:color w:val="000000" w:themeColor="text1"/>
              </w:rPr>
            </w:pPr>
            <w:r>
              <w:rPr>
                <w:color w:val="000000" w:themeColor="text1"/>
              </w:rPr>
              <w:t>着火、爆炸污染、损坏设备、伤人</w:t>
            </w:r>
          </w:p>
        </w:tc>
        <w:tc>
          <w:tcPr>
            <w:tcW w:w="394" w:type="pct"/>
            <w:tcBorders>
              <w:tl2br w:val="nil"/>
              <w:tr2bl w:val="nil"/>
            </w:tcBorders>
            <w:vAlign w:val="center"/>
          </w:tcPr>
          <w:p w14:paraId="7E6CC2E1" w14:textId="77777777" w:rsidR="002E0859" w:rsidRDefault="00000000">
            <w:pPr>
              <w:pStyle w:val="af0"/>
              <w:rPr>
                <w:color w:val="000000" w:themeColor="text1"/>
              </w:rPr>
            </w:pPr>
            <w:r>
              <w:rPr>
                <w:color w:val="000000" w:themeColor="text1"/>
              </w:rPr>
              <w:t>Ⅳ</w:t>
            </w:r>
          </w:p>
        </w:tc>
        <w:tc>
          <w:tcPr>
            <w:tcW w:w="1439" w:type="pct"/>
            <w:tcBorders>
              <w:tl2br w:val="nil"/>
              <w:tr2bl w:val="nil"/>
            </w:tcBorders>
            <w:vAlign w:val="center"/>
          </w:tcPr>
          <w:p w14:paraId="2D7D3C5B" w14:textId="77777777" w:rsidR="002E0859" w:rsidRDefault="00000000">
            <w:pPr>
              <w:pStyle w:val="af0"/>
              <w:jc w:val="both"/>
              <w:rPr>
                <w:color w:val="000000" w:themeColor="text1"/>
              </w:rPr>
            </w:pPr>
            <w:r>
              <w:rPr>
                <w:color w:val="000000" w:themeColor="text1"/>
              </w:rPr>
              <w:t>必须装井控装置并保持其有效状态；设计适当的压井液密度；保持测量仪表的有效状态；及时边起边灌。</w:t>
            </w:r>
          </w:p>
        </w:tc>
      </w:tr>
      <w:tr w:rsidR="002E0859" w14:paraId="5A1581FD" w14:textId="77777777">
        <w:trPr>
          <w:trHeight w:val="90"/>
        </w:trPr>
        <w:tc>
          <w:tcPr>
            <w:tcW w:w="392" w:type="pct"/>
            <w:tcBorders>
              <w:tl2br w:val="nil"/>
              <w:tr2bl w:val="nil"/>
            </w:tcBorders>
            <w:vAlign w:val="center"/>
          </w:tcPr>
          <w:p w14:paraId="530FEEA4" w14:textId="77777777" w:rsidR="002E0859" w:rsidRDefault="00000000">
            <w:pPr>
              <w:pStyle w:val="af0"/>
              <w:rPr>
                <w:color w:val="000000" w:themeColor="text1"/>
              </w:rPr>
            </w:pPr>
            <w:r>
              <w:rPr>
                <w:color w:val="000000" w:themeColor="text1"/>
              </w:rPr>
              <w:t>3</w:t>
            </w:r>
          </w:p>
        </w:tc>
        <w:tc>
          <w:tcPr>
            <w:tcW w:w="553" w:type="pct"/>
            <w:tcBorders>
              <w:tl2br w:val="nil"/>
              <w:tr2bl w:val="nil"/>
            </w:tcBorders>
            <w:vAlign w:val="center"/>
          </w:tcPr>
          <w:p w14:paraId="2542DD46" w14:textId="77777777" w:rsidR="002E0859" w:rsidRDefault="00000000">
            <w:pPr>
              <w:pStyle w:val="af0"/>
              <w:rPr>
                <w:color w:val="000000" w:themeColor="text1"/>
              </w:rPr>
            </w:pPr>
            <w:r>
              <w:rPr>
                <w:color w:val="000000" w:themeColor="text1"/>
              </w:rPr>
              <w:t>阀门丝杠飞出伤人</w:t>
            </w:r>
          </w:p>
        </w:tc>
        <w:tc>
          <w:tcPr>
            <w:tcW w:w="554" w:type="pct"/>
            <w:tcBorders>
              <w:tl2br w:val="nil"/>
              <w:tr2bl w:val="nil"/>
            </w:tcBorders>
            <w:vAlign w:val="center"/>
          </w:tcPr>
          <w:p w14:paraId="112F9C27" w14:textId="77777777" w:rsidR="002E0859" w:rsidRDefault="00000000">
            <w:pPr>
              <w:pStyle w:val="af0"/>
              <w:rPr>
                <w:color w:val="000000" w:themeColor="text1"/>
              </w:rPr>
            </w:pPr>
            <w:r>
              <w:rPr>
                <w:color w:val="000000" w:themeColor="text1"/>
              </w:rPr>
              <w:t>开关阀门时</w:t>
            </w:r>
          </w:p>
        </w:tc>
        <w:tc>
          <w:tcPr>
            <w:tcW w:w="983" w:type="pct"/>
            <w:tcBorders>
              <w:tl2br w:val="nil"/>
              <w:tr2bl w:val="nil"/>
            </w:tcBorders>
            <w:vAlign w:val="center"/>
          </w:tcPr>
          <w:p w14:paraId="6A862FD9" w14:textId="77777777" w:rsidR="002E0859" w:rsidRDefault="00000000">
            <w:pPr>
              <w:pStyle w:val="af0"/>
              <w:jc w:val="both"/>
              <w:rPr>
                <w:color w:val="000000" w:themeColor="text1"/>
              </w:rPr>
            </w:pPr>
            <w:r>
              <w:rPr>
                <w:rFonts w:hint="eastAsia"/>
                <w:color w:val="000000" w:themeColor="text1"/>
              </w:rPr>
              <w:t>井口阀门</w:t>
            </w:r>
            <w:r>
              <w:rPr>
                <w:color w:val="000000" w:themeColor="text1"/>
              </w:rPr>
              <w:t>型号不对；</w:t>
            </w:r>
          </w:p>
          <w:p w14:paraId="38E69410" w14:textId="77777777" w:rsidR="002E0859" w:rsidRDefault="00000000">
            <w:pPr>
              <w:pStyle w:val="af0"/>
              <w:jc w:val="both"/>
              <w:rPr>
                <w:color w:val="000000" w:themeColor="text1"/>
              </w:rPr>
            </w:pPr>
            <w:r>
              <w:rPr>
                <w:rFonts w:hint="eastAsia"/>
                <w:color w:val="000000" w:themeColor="text1"/>
              </w:rPr>
              <w:t>井口阀门</w:t>
            </w:r>
            <w:r>
              <w:rPr>
                <w:color w:val="000000" w:themeColor="text1"/>
              </w:rPr>
              <w:t>各部位未</w:t>
            </w:r>
            <w:r>
              <w:rPr>
                <w:color w:val="000000" w:themeColor="text1"/>
              </w:rPr>
              <w:lastRenderedPageBreak/>
              <w:t>试压合格。</w:t>
            </w:r>
          </w:p>
        </w:tc>
        <w:tc>
          <w:tcPr>
            <w:tcW w:w="682" w:type="pct"/>
            <w:tcBorders>
              <w:tl2br w:val="nil"/>
              <w:tr2bl w:val="nil"/>
            </w:tcBorders>
            <w:vAlign w:val="center"/>
          </w:tcPr>
          <w:p w14:paraId="00CB09CD" w14:textId="77777777" w:rsidR="002E0859" w:rsidRDefault="00000000">
            <w:pPr>
              <w:pStyle w:val="af0"/>
              <w:rPr>
                <w:color w:val="000000" w:themeColor="text1"/>
              </w:rPr>
            </w:pPr>
            <w:r>
              <w:rPr>
                <w:color w:val="000000" w:themeColor="text1"/>
              </w:rPr>
              <w:lastRenderedPageBreak/>
              <w:t>损坏设备、伤人、井喷</w:t>
            </w:r>
          </w:p>
        </w:tc>
        <w:tc>
          <w:tcPr>
            <w:tcW w:w="394" w:type="pct"/>
            <w:tcBorders>
              <w:tl2br w:val="nil"/>
              <w:tr2bl w:val="nil"/>
            </w:tcBorders>
            <w:vAlign w:val="center"/>
          </w:tcPr>
          <w:p w14:paraId="0843A4BD"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2613A108" w14:textId="77777777" w:rsidR="002E0859" w:rsidRDefault="00000000">
            <w:pPr>
              <w:pStyle w:val="af0"/>
              <w:jc w:val="both"/>
              <w:rPr>
                <w:color w:val="000000" w:themeColor="text1"/>
              </w:rPr>
            </w:pPr>
            <w:r>
              <w:rPr>
                <w:color w:val="000000" w:themeColor="text1"/>
              </w:rPr>
              <w:t>根据井筒压力选择合适的采油树并试压合格；开关阀门时</w:t>
            </w:r>
            <w:r>
              <w:rPr>
                <w:color w:val="000000" w:themeColor="text1"/>
              </w:rPr>
              <w:lastRenderedPageBreak/>
              <w:t>应侧身操作。</w:t>
            </w:r>
          </w:p>
        </w:tc>
      </w:tr>
      <w:tr w:rsidR="002E0859" w14:paraId="5C0E8A10" w14:textId="77777777">
        <w:trPr>
          <w:trHeight w:val="706"/>
        </w:trPr>
        <w:tc>
          <w:tcPr>
            <w:tcW w:w="392" w:type="pct"/>
            <w:tcBorders>
              <w:tl2br w:val="nil"/>
              <w:tr2bl w:val="nil"/>
            </w:tcBorders>
            <w:vAlign w:val="center"/>
          </w:tcPr>
          <w:p w14:paraId="0628B373" w14:textId="77777777" w:rsidR="002E0859" w:rsidRDefault="00000000">
            <w:pPr>
              <w:pStyle w:val="af0"/>
              <w:rPr>
                <w:color w:val="000000" w:themeColor="text1"/>
              </w:rPr>
            </w:pPr>
            <w:r>
              <w:rPr>
                <w:color w:val="000000" w:themeColor="text1"/>
              </w:rPr>
              <w:t>4</w:t>
            </w:r>
          </w:p>
        </w:tc>
        <w:tc>
          <w:tcPr>
            <w:tcW w:w="553" w:type="pct"/>
            <w:tcBorders>
              <w:tl2br w:val="nil"/>
              <w:tr2bl w:val="nil"/>
            </w:tcBorders>
            <w:vAlign w:val="center"/>
          </w:tcPr>
          <w:p w14:paraId="6278E731" w14:textId="77777777" w:rsidR="002E0859" w:rsidRDefault="00000000">
            <w:pPr>
              <w:pStyle w:val="af0"/>
              <w:rPr>
                <w:color w:val="000000" w:themeColor="text1"/>
              </w:rPr>
            </w:pPr>
            <w:r>
              <w:rPr>
                <w:color w:val="000000" w:themeColor="text1"/>
              </w:rPr>
              <w:t>油嘴飞出伤人</w:t>
            </w:r>
          </w:p>
        </w:tc>
        <w:tc>
          <w:tcPr>
            <w:tcW w:w="554" w:type="pct"/>
            <w:tcBorders>
              <w:tl2br w:val="nil"/>
              <w:tr2bl w:val="nil"/>
            </w:tcBorders>
            <w:vAlign w:val="center"/>
          </w:tcPr>
          <w:p w14:paraId="534A2747" w14:textId="77777777" w:rsidR="002E0859" w:rsidRDefault="00000000">
            <w:pPr>
              <w:pStyle w:val="af0"/>
              <w:rPr>
                <w:color w:val="000000" w:themeColor="text1"/>
              </w:rPr>
            </w:pPr>
            <w:r>
              <w:rPr>
                <w:color w:val="000000" w:themeColor="text1"/>
              </w:rPr>
              <w:t>卸油嘴时</w:t>
            </w:r>
          </w:p>
        </w:tc>
        <w:tc>
          <w:tcPr>
            <w:tcW w:w="983" w:type="pct"/>
            <w:tcBorders>
              <w:tl2br w:val="nil"/>
              <w:tr2bl w:val="nil"/>
            </w:tcBorders>
            <w:vAlign w:val="center"/>
          </w:tcPr>
          <w:p w14:paraId="5ED1BEE2" w14:textId="77777777" w:rsidR="002E0859" w:rsidRDefault="00000000">
            <w:pPr>
              <w:pStyle w:val="af0"/>
              <w:jc w:val="both"/>
              <w:rPr>
                <w:color w:val="000000" w:themeColor="text1"/>
              </w:rPr>
            </w:pPr>
            <w:r>
              <w:rPr>
                <w:color w:val="000000" w:themeColor="text1"/>
              </w:rPr>
              <w:t>卸油嘴前未卸压；油嘴冻死；操作不当。</w:t>
            </w:r>
          </w:p>
        </w:tc>
        <w:tc>
          <w:tcPr>
            <w:tcW w:w="682" w:type="pct"/>
            <w:tcBorders>
              <w:tl2br w:val="nil"/>
              <w:tr2bl w:val="nil"/>
            </w:tcBorders>
            <w:vAlign w:val="center"/>
          </w:tcPr>
          <w:p w14:paraId="2F94DA1D" w14:textId="77777777" w:rsidR="002E0859" w:rsidRDefault="00000000">
            <w:pPr>
              <w:pStyle w:val="af0"/>
              <w:rPr>
                <w:color w:val="000000" w:themeColor="text1"/>
              </w:rPr>
            </w:pPr>
            <w:r>
              <w:rPr>
                <w:color w:val="000000" w:themeColor="text1"/>
              </w:rPr>
              <w:t>伤人</w:t>
            </w:r>
          </w:p>
        </w:tc>
        <w:tc>
          <w:tcPr>
            <w:tcW w:w="394" w:type="pct"/>
            <w:tcBorders>
              <w:tl2br w:val="nil"/>
              <w:tr2bl w:val="nil"/>
            </w:tcBorders>
            <w:vAlign w:val="center"/>
          </w:tcPr>
          <w:p w14:paraId="7C806798"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651322FC" w14:textId="77777777" w:rsidR="002E0859" w:rsidRDefault="00000000">
            <w:pPr>
              <w:pStyle w:val="af0"/>
              <w:jc w:val="both"/>
              <w:rPr>
                <w:color w:val="000000" w:themeColor="text1"/>
              </w:rPr>
            </w:pPr>
            <w:r>
              <w:rPr>
                <w:color w:val="000000" w:themeColor="text1"/>
              </w:rPr>
              <w:t>卸油嘴前必须先放压；正确操</w:t>
            </w:r>
          </w:p>
          <w:p w14:paraId="2A3205A0" w14:textId="77777777" w:rsidR="002E0859" w:rsidRDefault="00000000">
            <w:pPr>
              <w:pStyle w:val="af0"/>
              <w:jc w:val="both"/>
              <w:rPr>
                <w:color w:val="000000" w:themeColor="text1"/>
              </w:rPr>
            </w:pPr>
            <w:r>
              <w:rPr>
                <w:color w:val="000000" w:themeColor="text1"/>
              </w:rPr>
              <w:t>作；若有冻死的现象，必须先加温放压，再卸油嘴。</w:t>
            </w:r>
          </w:p>
        </w:tc>
      </w:tr>
      <w:tr w:rsidR="002E0859" w14:paraId="7E2801D4" w14:textId="77777777">
        <w:trPr>
          <w:trHeight w:val="1170"/>
        </w:trPr>
        <w:tc>
          <w:tcPr>
            <w:tcW w:w="392" w:type="pct"/>
            <w:tcBorders>
              <w:tl2br w:val="nil"/>
              <w:tr2bl w:val="nil"/>
            </w:tcBorders>
            <w:vAlign w:val="center"/>
          </w:tcPr>
          <w:p w14:paraId="34D377D5" w14:textId="77777777" w:rsidR="002E0859" w:rsidRDefault="00000000">
            <w:pPr>
              <w:pStyle w:val="af0"/>
              <w:rPr>
                <w:color w:val="000000" w:themeColor="text1"/>
              </w:rPr>
            </w:pPr>
            <w:r>
              <w:rPr>
                <w:color w:val="000000" w:themeColor="text1"/>
              </w:rPr>
              <w:t>5</w:t>
            </w:r>
          </w:p>
        </w:tc>
        <w:tc>
          <w:tcPr>
            <w:tcW w:w="553" w:type="pct"/>
            <w:tcBorders>
              <w:tl2br w:val="nil"/>
              <w:tr2bl w:val="nil"/>
            </w:tcBorders>
            <w:vAlign w:val="center"/>
          </w:tcPr>
          <w:p w14:paraId="2FA8EF10" w14:textId="77777777" w:rsidR="002E0859" w:rsidRDefault="00000000">
            <w:pPr>
              <w:pStyle w:val="af0"/>
              <w:rPr>
                <w:color w:val="000000" w:themeColor="text1"/>
              </w:rPr>
            </w:pPr>
            <w:r>
              <w:rPr>
                <w:color w:val="000000" w:themeColor="text1"/>
              </w:rPr>
              <w:t>流程管线泄漏</w:t>
            </w:r>
          </w:p>
        </w:tc>
        <w:tc>
          <w:tcPr>
            <w:tcW w:w="554" w:type="pct"/>
            <w:tcBorders>
              <w:tl2br w:val="nil"/>
              <w:tr2bl w:val="nil"/>
            </w:tcBorders>
            <w:vAlign w:val="center"/>
          </w:tcPr>
          <w:p w14:paraId="7EE7F3A1" w14:textId="77777777" w:rsidR="002E0859" w:rsidRDefault="00000000">
            <w:pPr>
              <w:pStyle w:val="af0"/>
              <w:rPr>
                <w:color w:val="000000" w:themeColor="text1"/>
              </w:rPr>
            </w:pPr>
            <w:r>
              <w:rPr>
                <w:color w:val="000000" w:themeColor="text1"/>
              </w:rPr>
              <w:t>测试过程中</w:t>
            </w:r>
          </w:p>
        </w:tc>
        <w:tc>
          <w:tcPr>
            <w:tcW w:w="983" w:type="pct"/>
            <w:tcBorders>
              <w:tl2br w:val="nil"/>
              <w:tr2bl w:val="nil"/>
            </w:tcBorders>
            <w:vAlign w:val="center"/>
          </w:tcPr>
          <w:p w14:paraId="237A57E2" w14:textId="77777777" w:rsidR="002E0859" w:rsidRDefault="00000000">
            <w:pPr>
              <w:pStyle w:val="af0"/>
              <w:jc w:val="both"/>
              <w:rPr>
                <w:color w:val="000000" w:themeColor="text1"/>
              </w:rPr>
            </w:pPr>
            <w:r>
              <w:rPr>
                <w:color w:val="000000" w:themeColor="text1"/>
              </w:rPr>
              <w:t>流程管线损坏；节箍未上紧；丝扣损坏；未缠密封带；由壬未砸紧或垫子损坏</w:t>
            </w:r>
          </w:p>
        </w:tc>
        <w:tc>
          <w:tcPr>
            <w:tcW w:w="682" w:type="pct"/>
            <w:tcBorders>
              <w:tl2br w:val="nil"/>
              <w:tr2bl w:val="nil"/>
            </w:tcBorders>
            <w:vAlign w:val="center"/>
          </w:tcPr>
          <w:p w14:paraId="278A3E43" w14:textId="77777777" w:rsidR="002E0859" w:rsidRDefault="00000000">
            <w:pPr>
              <w:pStyle w:val="af0"/>
              <w:rPr>
                <w:color w:val="000000" w:themeColor="text1"/>
              </w:rPr>
            </w:pPr>
            <w:r>
              <w:rPr>
                <w:color w:val="000000" w:themeColor="text1"/>
              </w:rPr>
              <w:t>污染、伤人、着火、爆炸</w:t>
            </w:r>
          </w:p>
        </w:tc>
        <w:tc>
          <w:tcPr>
            <w:tcW w:w="394" w:type="pct"/>
            <w:tcBorders>
              <w:tl2br w:val="nil"/>
              <w:tr2bl w:val="nil"/>
            </w:tcBorders>
            <w:vAlign w:val="center"/>
          </w:tcPr>
          <w:p w14:paraId="7D835CEA"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33906F46" w14:textId="77777777" w:rsidR="002E0859" w:rsidRDefault="00000000">
            <w:pPr>
              <w:pStyle w:val="af0"/>
              <w:jc w:val="both"/>
              <w:rPr>
                <w:color w:val="000000" w:themeColor="text1"/>
              </w:rPr>
            </w:pPr>
            <w:r>
              <w:rPr>
                <w:color w:val="000000" w:themeColor="text1"/>
              </w:rPr>
              <w:t>施工前，各种流程管线试压合</w:t>
            </w:r>
          </w:p>
          <w:p w14:paraId="4709AA6B" w14:textId="77777777" w:rsidR="002E0859" w:rsidRDefault="00000000">
            <w:pPr>
              <w:pStyle w:val="af0"/>
              <w:jc w:val="both"/>
              <w:rPr>
                <w:color w:val="000000" w:themeColor="text1"/>
              </w:rPr>
            </w:pPr>
            <w:r>
              <w:rPr>
                <w:color w:val="000000" w:themeColor="text1"/>
              </w:rPr>
              <w:t>格；丝扣连接处缠密封脂并上</w:t>
            </w:r>
          </w:p>
          <w:p w14:paraId="58DBAA7A" w14:textId="77777777" w:rsidR="002E0859" w:rsidRDefault="00000000">
            <w:pPr>
              <w:pStyle w:val="af0"/>
              <w:jc w:val="both"/>
              <w:rPr>
                <w:color w:val="000000" w:themeColor="text1"/>
              </w:rPr>
            </w:pPr>
            <w:r>
              <w:rPr>
                <w:color w:val="000000" w:themeColor="text1"/>
              </w:rPr>
              <w:t>紧；由壬连接处装好垫子并砸紧。</w:t>
            </w:r>
          </w:p>
        </w:tc>
      </w:tr>
      <w:tr w:rsidR="002E0859" w14:paraId="11C6AA83" w14:textId="77777777">
        <w:trPr>
          <w:trHeight w:val="472"/>
        </w:trPr>
        <w:tc>
          <w:tcPr>
            <w:tcW w:w="392" w:type="pct"/>
            <w:tcBorders>
              <w:tl2br w:val="nil"/>
              <w:tr2bl w:val="nil"/>
            </w:tcBorders>
            <w:vAlign w:val="center"/>
          </w:tcPr>
          <w:p w14:paraId="5FDB175A" w14:textId="77777777" w:rsidR="002E0859" w:rsidRDefault="00000000">
            <w:pPr>
              <w:pStyle w:val="af0"/>
              <w:rPr>
                <w:color w:val="000000" w:themeColor="text1"/>
              </w:rPr>
            </w:pPr>
            <w:r>
              <w:rPr>
                <w:color w:val="000000" w:themeColor="text1"/>
              </w:rPr>
              <w:t>6</w:t>
            </w:r>
          </w:p>
        </w:tc>
        <w:tc>
          <w:tcPr>
            <w:tcW w:w="553" w:type="pct"/>
            <w:tcBorders>
              <w:tl2br w:val="nil"/>
              <w:tr2bl w:val="nil"/>
            </w:tcBorders>
            <w:vAlign w:val="center"/>
          </w:tcPr>
          <w:p w14:paraId="731BC2EA" w14:textId="77777777" w:rsidR="002E0859" w:rsidRDefault="00000000">
            <w:pPr>
              <w:pStyle w:val="af0"/>
              <w:rPr>
                <w:color w:val="000000" w:themeColor="text1"/>
              </w:rPr>
            </w:pPr>
            <w:r>
              <w:rPr>
                <w:color w:val="000000" w:themeColor="text1"/>
              </w:rPr>
              <w:t>管线飞起</w:t>
            </w:r>
          </w:p>
        </w:tc>
        <w:tc>
          <w:tcPr>
            <w:tcW w:w="554" w:type="pct"/>
            <w:tcBorders>
              <w:tl2br w:val="nil"/>
              <w:tr2bl w:val="nil"/>
            </w:tcBorders>
            <w:vAlign w:val="center"/>
          </w:tcPr>
          <w:p w14:paraId="0B118871" w14:textId="77777777" w:rsidR="002E0859" w:rsidRDefault="00000000">
            <w:pPr>
              <w:pStyle w:val="af0"/>
              <w:rPr>
                <w:color w:val="000000" w:themeColor="text1"/>
              </w:rPr>
            </w:pPr>
            <w:r>
              <w:rPr>
                <w:color w:val="000000" w:themeColor="text1"/>
              </w:rPr>
              <w:t>测试施工</w:t>
            </w:r>
          </w:p>
          <w:p w14:paraId="3AAC0D39" w14:textId="77777777" w:rsidR="002E0859" w:rsidRDefault="00000000">
            <w:pPr>
              <w:pStyle w:val="af0"/>
              <w:rPr>
                <w:color w:val="000000" w:themeColor="text1"/>
              </w:rPr>
            </w:pPr>
            <w:r>
              <w:rPr>
                <w:color w:val="000000" w:themeColor="text1"/>
              </w:rPr>
              <w:t>过程中</w:t>
            </w:r>
          </w:p>
        </w:tc>
        <w:tc>
          <w:tcPr>
            <w:tcW w:w="983" w:type="pct"/>
            <w:tcBorders>
              <w:tl2br w:val="nil"/>
              <w:tr2bl w:val="nil"/>
            </w:tcBorders>
            <w:vAlign w:val="center"/>
          </w:tcPr>
          <w:p w14:paraId="75842A0E" w14:textId="77777777" w:rsidR="002E0859" w:rsidRDefault="00000000">
            <w:pPr>
              <w:pStyle w:val="af0"/>
              <w:jc w:val="both"/>
              <w:rPr>
                <w:color w:val="000000" w:themeColor="text1"/>
              </w:rPr>
            </w:pPr>
            <w:r>
              <w:rPr>
                <w:color w:val="000000" w:themeColor="text1"/>
              </w:rPr>
              <w:t>管线未固定或使用软管线施工</w:t>
            </w:r>
          </w:p>
        </w:tc>
        <w:tc>
          <w:tcPr>
            <w:tcW w:w="682" w:type="pct"/>
            <w:tcBorders>
              <w:tl2br w:val="nil"/>
              <w:tr2bl w:val="nil"/>
            </w:tcBorders>
            <w:vAlign w:val="center"/>
          </w:tcPr>
          <w:p w14:paraId="6A4E5FEE" w14:textId="77777777" w:rsidR="002E0859" w:rsidRDefault="00000000">
            <w:pPr>
              <w:pStyle w:val="af0"/>
              <w:rPr>
                <w:color w:val="000000" w:themeColor="text1"/>
              </w:rPr>
            </w:pPr>
            <w:r>
              <w:rPr>
                <w:color w:val="000000" w:themeColor="text1"/>
              </w:rPr>
              <w:t>伤人</w:t>
            </w:r>
          </w:p>
        </w:tc>
        <w:tc>
          <w:tcPr>
            <w:tcW w:w="394" w:type="pct"/>
            <w:tcBorders>
              <w:tl2br w:val="nil"/>
              <w:tr2bl w:val="nil"/>
            </w:tcBorders>
            <w:vAlign w:val="center"/>
          </w:tcPr>
          <w:p w14:paraId="5BC32F9C"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6A066111" w14:textId="77777777" w:rsidR="002E0859" w:rsidRDefault="00000000">
            <w:pPr>
              <w:pStyle w:val="af0"/>
              <w:jc w:val="both"/>
              <w:rPr>
                <w:color w:val="000000" w:themeColor="text1"/>
              </w:rPr>
            </w:pPr>
            <w:r>
              <w:rPr>
                <w:color w:val="000000" w:themeColor="text1"/>
              </w:rPr>
              <w:t>地面管线每</w:t>
            </w:r>
            <w:r>
              <w:rPr>
                <w:color w:val="000000" w:themeColor="text1"/>
              </w:rPr>
              <w:t>10-15m</w:t>
            </w:r>
            <w:r>
              <w:rPr>
                <w:color w:val="000000" w:themeColor="text1"/>
              </w:rPr>
              <w:t>用地锚固定，严禁用软管线高压作业。</w:t>
            </w:r>
          </w:p>
        </w:tc>
      </w:tr>
      <w:tr w:rsidR="002E0859" w14:paraId="2A47B818" w14:textId="77777777">
        <w:trPr>
          <w:trHeight w:val="1173"/>
        </w:trPr>
        <w:tc>
          <w:tcPr>
            <w:tcW w:w="392" w:type="pct"/>
            <w:tcBorders>
              <w:tl2br w:val="nil"/>
              <w:tr2bl w:val="nil"/>
            </w:tcBorders>
            <w:vAlign w:val="center"/>
          </w:tcPr>
          <w:p w14:paraId="0D881532" w14:textId="77777777" w:rsidR="002E0859" w:rsidRDefault="00000000">
            <w:pPr>
              <w:pStyle w:val="af0"/>
              <w:rPr>
                <w:color w:val="000000" w:themeColor="text1"/>
              </w:rPr>
            </w:pPr>
            <w:r>
              <w:rPr>
                <w:color w:val="000000" w:themeColor="text1"/>
              </w:rPr>
              <w:t>7</w:t>
            </w:r>
          </w:p>
        </w:tc>
        <w:tc>
          <w:tcPr>
            <w:tcW w:w="553" w:type="pct"/>
            <w:tcBorders>
              <w:tl2br w:val="nil"/>
              <w:tr2bl w:val="nil"/>
            </w:tcBorders>
            <w:vAlign w:val="center"/>
          </w:tcPr>
          <w:p w14:paraId="38A1DC15" w14:textId="77777777" w:rsidR="002E0859" w:rsidRDefault="00000000">
            <w:pPr>
              <w:pStyle w:val="af0"/>
              <w:rPr>
                <w:color w:val="000000" w:themeColor="text1"/>
              </w:rPr>
            </w:pPr>
            <w:r>
              <w:rPr>
                <w:color w:val="000000" w:themeColor="text1"/>
              </w:rPr>
              <w:t>分离器爆炸</w:t>
            </w:r>
          </w:p>
        </w:tc>
        <w:tc>
          <w:tcPr>
            <w:tcW w:w="554" w:type="pct"/>
            <w:tcBorders>
              <w:tl2br w:val="nil"/>
              <w:tr2bl w:val="nil"/>
            </w:tcBorders>
            <w:vAlign w:val="center"/>
          </w:tcPr>
          <w:p w14:paraId="3484DEF5" w14:textId="77777777" w:rsidR="002E0859" w:rsidRDefault="00000000">
            <w:pPr>
              <w:pStyle w:val="af0"/>
              <w:rPr>
                <w:color w:val="000000" w:themeColor="text1"/>
              </w:rPr>
            </w:pPr>
            <w:r>
              <w:rPr>
                <w:color w:val="000000" w:themeColor="text1"/>
              </w:rPr>
              <w:t>测试过程中</w:t>
            </w:r>
          </w:p>
        </w:tc>
        <w:tc>
          <w:tcPr>
            <w:tcW w:w="983" w:type="pct"/>
            <w:tcBorders>
              <w:tl2br w:val="nil"/>
              <w:tr2bl w:val="nil"/>
            </w:tcBorders>
            <w:vAlign w:val="center"/>
          </w:tcPr>
          <w:p w14:paraId="686A21DC" w14:textId="77777777" w:rsidR="002E0859" w:rsidRDefault="00000000">
            <w:pPr>
              <w:pStyle w:val="af0"/>
              <w:jc w:val="both"/>
              <w:rPr>
                <w:color w:val="000000" w:themeColor="text1"/>
              </w:rPr>
            </w:pPr>
            <w:r>
              <w:rPr>
                <w:color w:val="000000" w:themeColor="text1"/>
              </w:rPr>
              <w:t>分离器、安全阀不在有效期内；结砂或冻结；出口管线堵；分离器不合格；误操作。</w:t>
            </w:r>
          </w:p>
        </w:tc>
        <w:tc>
          <w:tcPr>
            <w:tcW w:w="682" w:type="pct"/>
            <w:tcBorders>
              <w:tl2br w:val="nil"/>
              <w:tr2bl w:val="nil"/>
            </w:tcBorders>
            <w:vAlign w:val="center"/>
          </w:tcPr>
          <w:p w14:paraId="4AA1F25A" w14:textId="77777777" w:rsidR="002E0859" w:rsidRDefault="00000000">
            <w:pPr>
              <w:pStyle w:val="af0"/>
              <w:rPr>
                <w:color w:val="000000" w:themeColor="text1"/>
              </w:rPr>
            </w:pPr>
            <w:r>
              <w:rPr>
                <w:color w:val="000000" w:themeColor="text1"/>
              </w:rPr>
              <w:t>危机生命及财产</w:t>
            </w:r>
          </w:p>
        </w:tc>
        <w:tc>
          <w:tcPr>
            <w:tcW w:w="394" w:type="pct"/>
            <w:tcBorders>
              <w:tl2br w:val="nil"/>
              <w:tr2bl w:val="nil"/>
            </w:tcBorders>
            <w:vAlign w:val="center"/>
          </w:tcPr>
          <w:p w14:paraId="41DB4315"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13A9550C" w14:textId="77777777" w:rsidR="002E0859" w:rsidRDefault="00000000">
            <w:pPr>
              <w:pStyle w:val="af0"/>
              <w:jc w:val="both"/>
              <w:rPr>
                <w:color w:val="000000" w:themeColor="text1"/>
              </w:rPr>
            </w:pPr>
            <w:r>
              <w:rPr>
                <w:color w:val="000000" w:themeColor="text1"/>
              </w:rPr>
              <w:t>安全阀、分离器必须在有效期</w:t>
            </w:r>
          </w:p>
          <w:p w14:paraId="62306DB9" w14:textId="77777777" w:rsidR="002E0859" w:rsidRDefault="00000000">
            <w:pPr>
              <w:pStyle w:val="af0"/>
              <w:jc w:val="both"/>
              <w:rPr>
                <w:color w:val="000000" w:themeColor="text1"/>
              </w:rPr>
            </w:pPr>
            <w:r>
              <w:rPr>
                <w:color w:val="000000" w:themeColor="text1"/>
              </w:rPr>
              <w:t>内使用；使用前认真检查安全</w:t>
            </w:r>
          </w:p>
          <w:p w14:paraId="76EE2D2B" w14:textId="77777777" w:rsidR="002E0859" w:rsidRDefault="00000000">
            <w:pPr>
              <w:pStyle w:val="af0"/>
              <w:jc w:val="both"/>
              <w:rPr>
                <w:color w:val="000000" w:themeColor="text1"/>
              </w:rPr>
            </w:pPr>
            <w:r>
              <w:rPr>
                <w:color w:val="000000" w:themeColor="text1"/>
              </w:rPr>
              <w:t>阀；清除结砂或冻结；保持管线畅通。</w:t>
            </w:r>
          </w:p>
        </w:tc>
      </w:tr>
      <w:tr w:rsidR="002E0859" w14:paraId="57A1DCA6" w14:textId="77777777">
        <w:trPr>
          <w:trHeight w:val="705"/>
        </w:trPr>
        <w:tc>
          <w:tcPr>
            <w:tcW w:w="392" w:type="pct"/>
            <w:tcBorders>
              <w:tl2br w:val="nil"/>
              <w:tr2bl w:val="nil"/>
            </w:tcBorders>
            <w:vAlign w:val="center"/>
          </w:tcPr>
          <w:p w14:paraId="1C6E32BC" w14:textId="77777777" w:rsidR="002E0859" w:rsidRDefault="00000000">
            <w:pPr>
              <w:pStyle w:val="af0"/>
              <w:rPr>
                <w:color w:val="000000" w:themeColor="text1"/>
              </w:rPr>
            </w:pPr>
            <w:r>
              <w:rPr>
                <w:rFonts w:hint="eastAsia"/>
                <w:color w:val="000000" w:themeColor="text1"/>
              </w:rPr>
              <w:t>8</w:t>
            </w:r>
          </w:p>
        </w:tc>
        <w:tc>
          <w:tcPr>
            <w:tcW w:w="553" w:type="pct"/>
            <w:tcBorders>
              <w:tl2br w:val="nil"/>
              <w:tr2bl w:val="nil"/>
            </w:tcBorders>
            <w:vAlign w:val="center"/>
          </w:tcPr>
          <w:p w14:paraId="4A9D0ABF" w14:textId="77777777" w:rsidR="002E0859" w:rsidRDefault="00000000">
            <w:pPr>
              <w:pStyle w:val="af0"/>
              <w:rPr>
                <w:color w:val="000000" w:themeColor="text1"/>
              </w:rPr>
            </w:pPr>
            <w:r>
              <w:rPr>
                <w:color w:val="000000" w:themeColor="text1"/>
              </w:rPr>
              <w:t>设备管线腐蚀、超压、泄漏</w:t>
            </w:r>
          </w:p>
        </w:tc>
        <w:tc>
          <w:tcPr>
            <w:tcW w:w="554" w:type="pct"/>
            <w:tcBorders>
              <w:tl2br w:val="nil"/>
              <w:tr2bl w:val="nil"/>
            </w:tcBorders>
            <w:vAlign w:val="center"/>
          </w:tcPr>
          <w:p w14:paraId="05B220ED" w14:textId="77777777" w:rsidR="002E0859" w:rsidRDefault="00000000">
            <w:pPr>
              <w:pStyle w:val="af0"/>
              <w:rPr>
                <w:color w:val="000000" w:themeColor="text1"/>
              </w:rPr>
            </w:pPr>
            <w:r>
              <w:rPr>
                <w:color w:val="000000" w:themeColor="text1"/>
              </w:rPr>
              <w:t>测试过程中</w:t>
            </w:r>
          </w:p>
        </w:tc>
        <w:tc>
          <w:tcPr>
            <w:tcW w:w="983" w:type="pct"/>
            <w:tcBorders>
              <w:tl2br w:val="nil"/>
              <w:tr2bl w:val="nil"/>
            </w:tcBorders>
            <w:vAlign w:val="center"/>
          </w:tcPr>
          <w:p w14:paraId="1DA5C7EA" w14:textId="77777777" w:rsidR="002E0859" w:rsidRDefault="00000000">
            <w:pPr>
              <w:pStyle w:val="af0"/>
              <w:jc w:val="both"/>
              <w:rPr>
                <w:color w:val="000000" w:themeColor="text1"/>
              </w:rPr>
            </w:pPr>
            <w:r>
              <w:rPr>
                <w:color w:val="000000" w:themeColor="text1"/>
              </w:rPr>
              <w:t>完井测试设计不合理</w:t>
            </w:r>
          </w:p>
        </w:tc>
        <w:tc>
          <w:tcPr>
            <w:tcW w:w="682" w:type="pct"/>
            <w:tcBorders>
              <w:tl2br w:val="nil"/>
              <w:tr2bl w:val="nil"/>
            </w:tcBorders>
            <w:vAlign w:val="center"/>
          </w:tcPr>
          <w:p w14:paraId="7BF32F1A" w14:textId="77777777" w:rsidR="002E0859" w:rsidRDefault="00000000">
            <w:pPr>
              <w:pStyle w:val="af0"/>
              <w:rPr>
                <w:color w:val="000000" w:themeColor="text1"/>
              </w:rPr>
            </w:pPr>
            <w:r>
              <w:rPr>
                <w:color w:val="000000" w:themeColor="text1"/>
              </w:rPr>
              <w:t>伤人、着火、爆炸</w:t>
            </w:r>
          </w:p>
        </w:tc>
        <w:tc>
          <w:tcPr>
            <w:tcW w:w="394" w:type="pct"/>
            <w:tcBorders>
              <w:tl2br w:val="nil"/>
              <w:tr2bl w:val="nil"/>
            </w:tcBorders>
            <w:vAlign w:val="center"/>
          </w:tcPr>
          <w:p w14:paraId="3B62E325"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5BB0CF17" w14:textId="77777777" w:rsidR="002E0859" w:rsidRDefault="00000000">
            <w:pPr>
              <w:pStyle w:val="af0"/>
              <w:jc w:val="both"/>
              <w:rPr>
                <w:color w:val="000000" w:themeColor="text1"/>
              </w:rPr>
            </w:pPr>
            <w:r>
              <w:rPr>
                <w:color w:val="000000" w:themeColor="text1"/>
              </w:rPr>
              <w:t>针对气井的压力、温度、流量</w:t>
            </w:r>
          </w:p>
          <w:p w14:paraId="29059E97" w14:textId="77777777" w:rsidR="002E0859" w:rsidRDefault="00000000">
            <w:pPr>
              <w:pStyle w:val="af0"/>
              <w:jc w:val="both"/>
              <w:rPr>
                <w:color w:val="000000" w:themeColor="text1"/>
              </w:rPr>
            </w:pPr>
            <w:r>
              <w:rPr>
                <w:color w:val="000000" w:themeColor="text1"/>
              </w:rPr>
              <w:t>和气质特点有针对性的进行设计，并对设计进行审查。</w:t>
            </w:r>
          </w:p>
        </w:tc>
      </w:tr>
      <w:tr w:rsidR="002E0859" w14:paraId="65A61C50" w14:textId="77777777">
        <w:trPr>
          <w:trHeight w:val="477"/>
        </w:trPr>
        <w:tc>
          <w:tcPr>
            <w:tcW w:w="392" w:type="pct"/>
            <w:tcBorders>
              <w:tl2br w:val="nil"/>
              <w:tr2bl w:val="nil"/>
            </w:tcBorders>
            <w:vAlign w:val="center"/>
          </w:tcPr>
          <w:p w14:paraId="779AA551" w14:textId="77777777" w:rsidR="002E0859" w:rsidRDefault="00000000">
            <w:pPr>
              <w:pStyle w:val="af0"/>
              <w:rPr>
                <w:color w:val="000000" w:themeColor="text1"/>
              </w:rPr>
            </w:pPr>
            <w:r>
              <w:rPr>
                <w:rFonts w:hint="eastAsia"/>
                <w:color w:val="000000" w:themeColor="text1"/>
              </w:rPr>
              <w:t>9</w:t>
            </w:r>
          </w:p>
        </w:tc>
        <w:tc>
          <w:tcPr>
            <w:tcW w:w="553" w:type="pct"/>
            <w:tcBorders>
              <w:tl2br w:val="nil"/>
              <w:tr2bl w:val="nil"/>
            </w:tcBorders>
            <w:vAlign w:val="center"/>
          </w:tcPr>
          <w:p w14:paraId="02C50C8A" w14:textId="77777777" w:rsidR="002E0859" w:rsidRDefault="00000000">
            <w:pPr>
              <w:pStyle w:val="af0"/>
              <w:rPr>
                <w:color w:val="000000" w:themeColor="text1"/>
              </w:rPr>
            </w:pPr>
            <w:r>
              <w:rPr>
                <w:color w:val="000000" w:themeColor="text1"/>
              </w:rPr>
              <w:t>设备管线腐蚀泄漏</w:t>
            </w:r>
          </w:p>
        </w:tc>
        <w:tc>
          <w:tcPr>
            <w:tcW w:w="554" w:type="pct"/>
            <w:tcBorders>
              <w:tl2br w:val="nil"/>
              <w:tr2bl w:val="nil"/>
            </w:tcBorders>
            <w:vAlign w:val="center"/>
          </w:tcPr>
          <w:p w14:paraId="5C7EC433" w14:textId="77777777" w:rsidR="002E0859" w:rsidRDefault="00000000">
            <w:pPr>
              <w:pStyle w:val="af0"/>
              <w:rPr>
                <w:color w:val="000000" w:themeColor="text1"/>
              </w:rPr>
            </w:pPr>
            <w:r>
              <w:rPr>
                <w:color w:val="000000" w:themeColor="text1"/>
              </w:rPr>
              <w:t>测试中油气泄漏</w:t>
            </w:r>
          </w:p>
        </w:tc>
        <w:tc>
          <w:tcPr>
            <w:tcW w:w="983" w:type="pct"/>
            <w:tcBorders>
              <w:tl2br w:val="nil"/>
              <w:tr2bl w:val="nil"/>
            </w:tcBorders>
            <w:vAlign w:val="center"/>
          </w:tcPr>
          <w:p w14:paraId="0639CFF8" w14:textId="77777777" w:rsidR="002E0859" w:rsidRDefault="00000000">
            <w:pPr>
              <w:pStyle w:val="af0"/>
              <w:jc w:val="both"/>
              <w:rPr>
                <w:color w:val="000000" w:themeColor="text1"/>
              </w:rPr>
            </w:pPr>
            <w:r>
              <w:rPr>
                <w:color w:val="000000" w:themeColor="text1"/>
              </w:rPr>
              <w:t>设备材质不满足要求、制造质量缺陷</w:t>
            </w:r>
          </w:p>
        </w:tc>
        <w:tc>
          <w:tcPr>
            <w:tcW w:w="682" w:type="pct"/>
            <w:tcBorders>
              <w:tl2br w:val="nil"/>
              <w:tr2bl w:val="nil"/>
            </w:tcBorders>
            <w:vAlign w:val="center"/>
          </w:tcPr>
          <w:p w14:paraId="72EC15BD" w14:textId="77777777" w:rsidR="002E0859" w:rsidRDefault="00000000">
            <w:pPr>
              <w:pStyle w:val="af0"/>
              <w:rPr>
                <w:color w:val="000000" w:themeColor="text1"/>
              </w:rPr>
            </w:pPr>
            <w:r>
              <w:rPr>
                <w:color w:val="000000" w:themeColor="text1"/>
              </w:rPr>
              <w:t>伤人、着火、爆炸</w:t>
            </w:r>
          </w:p>
        </w:tc>
        <w:tc>
          <w:tcPr>
            <w:tcW w:w="394" w:type="pct"/>
            <w:tcBorders>
              <w:tl2br w:val="nil"/>
              <w:tr2bl w:val="nil"/>
            </w:tcBorders>
            <w:vAlign w:val="center"/>
          </w:tcPr>
          <w:p w14:paraId="660AD9C9" w14:textId="77777777" w:rsidR="002E0859" w:rsidRDefault="00000000">
            <w:pPr>
              <w:pStyle w:val="af0"/>
              <w:rPr>
                <w:color w:val="000000" w:themeColor="text1"/>
              </w:rPr>
            </w:pPr>
            <w:r>
              <w:rPr>
                <w:color w:val="000000" w:themeColor="text1"/>
              </w:rPr>
              <w:t>Ⅲ</w:t>
            </w:r>
          </w:p>
        </w:tc>
        <w:tc>
          <w:tcPr>
            <w:tcW w:w="1439" w:type="pct"/>
            <w:tcBorders>
              <w:tl2br w:val="nil"/>
              <w:tr2bl w:val="nil"/>
            </w:tcBorders>
            <w:vAlign w:val="center"/>
          </w:tcPr>
          <w:p w14:paraId="4951E409" w14:textId="77777777" w:rsidR="002E0859" w:rsidRDefault="00000000">
            <w:pPr>
              <w:pStyle w:val="af0"/>
              <w:jc w:val="both"/>
              <w:rPr>
                <w:color w:val="000000" w:themeColor="text1"/>
              </w:rPr>
            </w:pPr>
            <w:r>
              <w:rPr>
                <w:color w:val="000000" w:themeColor="text1"/>
              </w:rPr>
              <w:t>加强设备制造阶段的质量监管、严格按要求进行设备试压</w:t>
            </w:r>
          </w:p>
        </w:tc>
      </w:tr>
    </w:tbl>
    <w:p w14:paraId="30990A3F" w14:textId="77777777" w:rsidR="002E0859" w:rsidRDefault="00000000">
      <w:pPr>
        <w:topLinePunct w:val="0"/>
        <w:spacing w:beforeLines="50" w:before="120" w:line="360" w:lineRule="auto"/>
        <w:ind w:firstLine="480"/>
        <w:rPr>
          <w:color w:val="000000" w:themeColor="text1"/>
          <w:sz w:val="24"/>
          <w:szCs w:val="24"/>
        </w:rPr>
      </w:pPr>
      <w:r>
        <w:rPr>
          <w:color w:val="000000" w:themeColor="text1"/>
          <w:sz w:val="24"/>
          <w:szCs w:val="24"/>
        </w:rPr>
        <w:t>预先危险性分析小结</w:t>
      </w:r>
      <w:r>
        <w:rPr>
          <w:rFonts w:hint="eastAsia"/>
          <w:color w:val="000000" w:themeColor="text1"/>
          <w:sz w:val="24"/>
          <w:szCs w:val="24"/>
        </w:rPr>
        <w:t>：</w:t>
      </w:r>
    </w:p>
    <w:p w14:paraId="7A2ADCEA"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通过预先危险性分析气井测试作业主要危险有害因素为火灾爆炸、井喷、阀门丝杠飞出伤人、油嘴飞出伤人、流程管线泄漏、管线飞起、分离器爆炸、设备管线腐蚀、超压、泄漏、设备管线腐蚀泄漏等，其中井喷的危险性为</w:t>
      </w:r>
      <w:r>
        <w:rPr>
          <w:color w:val="000000" w:themeColor="text1"/>
          <w:sz w:val="24"/>
          <w:szCs w:val="24"/>
        </w:rPr>
        <w:t>Ⅳ</w:t>
      </w:r>
      <w:r>
        <w:rPr>
          <w:color w:val="000000" w:themeColor="text1"/>
          <w:sz w:val="24"/>
          <w:szCs w:val="24"/>
        </w:rPr>
        <w:t>级（灾难性的），其余危险等级为</w:t>
      </w:r>
      <w:r>
        <w:rPr>
          <w:color w:val="000000" w:themeColor="text1"/>
          <w:sz w:val="24"/>
          <w:szCs w:val="24"/>
        </w:rPr>
        <w:t>Ⅲ</w:t>
      </w:r>
      <w:r>
        <w:rPr>
          <w:color w:val="000000" w:themeColor="text1"/>
          <w:sz w:val="24"/>
          <w:szCs w:val="24"/>
        </w:rPr>
        <w:t>（危险级）。在上述预先危险性分析中提出对策措施。</w:t>
      </w:r>
    </w:p>
    <w:p w14:paraId="5969E887"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1</w:t>
      </w:r>
      <w:r>
        <w:rPr>
          <w:color w:val="000000" w:themeColor="text1"/>
          <w:sz w:val="24"/>
          <w:szCs w:val="24"/>
        </w:rPr>
        <w:t>、施工前流程管线试压合格；丝扣上到位，并缠密封纸；游壬连接处装垫子并砸紧；现场严格控制火源；巡检，有泄漏当即处理。</w:t>
      </w:r>
    </w:p>
    <w:p w14:paraId="4F0A760F"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2</w:t>
      </w:r>
      <w:r>
        <w:rPr>
          <w:color w:val="000000" w:themeColor="text1"/>
          <w:sz w:val="24"/>
          <w:szCs w:val="24"/>
        </w:rPr>
        <w:t>、必须装井控装置并保持其有效状态；设计适当的压井液密度；保持测量仪表的有效状态；及时边起边灌。</w:t>
      </w:r>
    </w:p>
    <w:p w14:paraId="5F5FF051"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3</w:t>
      </w:r>
      <w:r>
        <w:rPr>
          <w:color w:val="000000" w:themeColor="text1"/>
          <w:sz w:val="24"/>
          <w:szCs w:val="24"/>
        </w:rPr>
        <w:t>、根据井筒压力选择合适的</w:t>
      </w:r>
      <w:r>
        <w:rPr>
          <w:rFonts w:hint="eastAsia"/>
          <w:color w:val="000000" w:themeColor="text1"/>
          <w:sz w:val="24"/>
          <w:szCs w:val="24"/>
        </w:rPr>
        <w:t>井口阀门</w:t>
      </w:r>
      <w:r>
        <w:rPr>
          <w:color w:val="000000" w:themeColor="text1"/>
          <w:sz w:val="24"/>
          <w:szCs w:val="24"/>
        </w:rPr>
        <w:t>并试压合格；开关阀门时应侧身操作。</w:t>
      </w:r>
    </w:p>
    <w:p w14:paraId="7E934F94"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4</w:t>
      </w:r>
      <w:r>
        <w:rPr>
          <w:color w:val="000000" w:themeColor="text1"/>
          <w:sz w:val="24"/>
          <w:szCs w:val="24"/>
        </w:rPr>
        <w:t>、卸油嘴前必须先放压；正确操作；若有冻死的现象，必须先加温放压，再卸油嘴。</w:t>
      </w:r>
    </w:p>
    <w:p w14:paraId="7460E024"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5</w:t>
      </w:r>
      <w:r>
        <w:rPr>
          <w:color w:val="000000" w:themeColor="text1"/>
          <w:sz w:val="24"/>
          <w:szCs w:val="24"/>
        </w:rPr>
        <w:t>、施工前，各种流程管线试压合格；丝扣连接处缠密封脂并上紧；由壬连接处装好垫子并砸紧。</w:t>
      </w:r>
    </w:p>
    <w:p w14:paraId="4383BD30"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6</w:t>
      </w:r>
      <w:r>
        <w:rPr>
          <w:color w:val="000000" w:themeColor="text1"/>
          <w:sz w:val="24"/>
          <w:szCs w:val="24"/>
        </w:rPr>
        <w:t>、地面管线每</w:t>
      </w:r>
      <w:r>
        <w:rPr>
          <w:color w:val="000000" w:themeColor="text1"/>
          <w:sz w:val="24"/>
          <w:szCs w:val="24"/>
        </w:rPr>
        <w:t>10-15m</w:t>
      </w:r>
      <w:r>
        <w:rPr>
          <w:color w:val="000000" w:themeColor="text1"/>
          <w:sz w:val="24"/>
          <w:szCs w:val="24"/>
        </w:rPr>
        <w:t>用地锚固定，严禁用软管线高压作业。</w:t>
      </w:r>
    </w:p>
    <w:p w14:paraId="2FFDBADF"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7</w:t>
      </w:r>
      <w:r>
        <w:rPr>
          <w:color w:val="000000" w:themeColor="text1"/>
          <w:sz w:val="24"/>
          <w:szCs w:val="24"/>
        </w:rPr>
        <w:t>、安全阀、分离器必须在有效期内使用；使用前认真检查安全阀；清除结砂或冻结；保持管线畅通。</w:t>
      </w:r>
    </w:p>
    <w:p w14:paraId="33F6CE16" w14:textId="77777777" w:rsidR="002E0859" w:rsidRDefault="00000000">
      <w:pPr>
        <w:topLinePunct w:val="0"/>
        <w:spacing w:line="360" w:lineRule="auto"/>
        <w:ind w:firstLine="480"/>
        <w:rPr>
          <w:color w:val="000000" w:themeColor="text1"/>
          <w:sz w:val="24"/>
          <w:szCs w:val="24"/>
        </w:rPr>
      </w:pPr>
      <w:r>
        <w:rPr>
          <w:color w:val="000000" w:themeColor="text1"/>
          <w:sz w:val="24"/>
          <w:szCs w:val="24"/>
        </w:rPr>
        <w:lastRenderedPageBreak/>
        <w:t>8</w:t>
      </w:r>
      <w:r>
        <w:rPr>
          <w:color w:val="000000" w:themeColor="text1"/>
          <w:sz w:val="24"/>
          <w:szCs w:val="24"/>
        </w:rPr>
        <w:t>、严禁明火；禁止吸烟；严禁敲击储罐。</w:t>
      </w:r>
    </w:p>
    <w:p w14:paraId="1E4CEA00" w14:textId="77777777" w:rsidR="002E0859" w:rsidRDefault="00000000">
      <w:pPr>
        <w:topLinePunct w:val="0"/>
        <w:spacing w:line="360" w:lineRule="auto"/>
        <w:ind w:firstLine="480"/>
        <w:rPr>
          <w:color w:val="000000" w:themeColor="text1"/>
          <w:sz w:val="24"/>
          <w:szCs w:val="24"/>
        </w:rPr>
      </w:pPr>
      <w:r>
        <w:rPr>
          <w:rFonts w:hint="eastAsia"/>
          <w:color w:val="000000" w:themeColor="text1"/>
          <w:sz w:val="24"/>
          <w:szCs w:val="24"/>
        </w:rPr>
        <w:t>9</w:t>
      </w:r>
      <w:r>
        <w:rPr>
          <w:color w:val="000000" w:themeColor="text1"/>
          <w:sz w:val="24"/>
          <w:szCs w:val="24"/>
        </w:rPr>
        <w:t>、针对气井的压力、温度、流量和气质特点有针对性的进行设计，并对设计进行审查。</w:t>
      </w:r>
    </w:p>
    <w:p w14:paraId="07B9CAD6"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0</w:t>
      </w:r>
      <w:r>
        <w:rPr>
          <w:color w:val="000000" w:themeColor="text1"/>
          <w:sz w:val="24"/>
          <w:szCs w:val="24"/>
        </w:rPr>
        <w:t>、加强设备制造阶段的质量监管、严格按要求进行设备试压。</w:t>
      </w:r>
    </w:p>
    <w:p w14:paraId="7DA71621"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技术、工艺安全可靠性评价</w:t>
      </w:r>
    </w:p>
    <w:p w14:paraId="0E08FE8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0A1860E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新技术、新工艺安全可靠性评价</w:t>
      </w:r>
    </w:p>
    <w:p w14:paraId="644B1134" w14:textId="77777777" w:rsidR="002E0859" w:rsidRDefault="00000000">
      <w:pPr>
        <w:spacing w:line="360" w:lineRule="auto"/>
        <w:ind w:firstLine="480"/>
        <w:rPr>
          <w:color w:val="000000" w:themeColor="text1"/>
        </w:rPr>
      </w:pPr>
      <w:r>
        <w:rPr>
          <w:color w:val="000000" w:themeColor="text1"/>
          <w:kern w:val="0"/>
          <w:sz w:val="24"/>
          <w:szCs w:val="24"/>
          <w:lang w:bidi="ar"/>
        </w:rPr>
        <w:t>本工程未采用新工艺、新技术，未采用淘汰的工艺、技术，采用的集输工艺、技术为成熟工艺，安全可靠性好。</w:t>
      </w:r>
    </w:p>
    <w:p w14:paraId="2EDFDF11" w14:textId="77777777" w:rsidR="002E0859" w:rsidRDefault="00000000">
      <w:pPr>
        <w:pStyle w:val="2"/>
        <w:keepNext w:val="0"/>
        <w:keepLines w:val="0"/>
        <w:spacing w:before="120" w:after="120" w:line="360" w:lineRule="auto"/>
        <w:jc w:val="center"/>
        <w:rPr>
          <w:color w:val="000000" w:themeColor="text1"/>
        </w:rPr>
      </w:pPr>
      <w:bookmarkStart w:id="48" w:name="_Toc24960"/>
      <w:r>
        <w:rPr>
          <w:rFonts w:hint="eastAsia"/>
          <w:color w:val="000000" w:themeColor="text1"/>
        </w:rPr>
        <w:t>设备、装置、设施配套及可靠性评价</w:t>
      </w:r>
      <w:bookmarkEnd w:id="48"/>
    </w:p>
    <w:p w14:paraId="5D7D6D95"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设备、装置、设施布局合理性评价</w:t>
      </w:r>
    </w:p>
    <w:p w14:paraId="2FE1E83D"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平面布置</w:t>
      </w:r>
    </w:p>
    <w:p w14:paraId="0897305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B26850C" w14:textId="77777777" w:rsidR="002E0859" w:rsidRDefault="00000000">
      <w:pPr>
        <w:pStyle w:val="4"/>
        <w:keepNext w:val="0"/>
        <w:keepLines w:val="0"/>
        <w:spacing w:line="360" w:lineRule="auto"/>
        <w:rPr>
          <w:color w:val="000000" w:themeColor="text1"/>
          <w:sz w:val="24"/>
          <w:szCs w:val="24"/>
        </w:rPr>
      </w:pPr>
      <w:r>
        <w:rPr>
          <w:rFonts w:hint="eastAsia"/>
          <w:color w:val="000000" w:themeColor="text1"/>
          <w:sz w:val="24"/>
          <w:szCs w:val="24"/>
        </w:rPr>
        <w:t>安全检查表评价</w:t>
      </w:r>
    </w:p>
    <w:p w14:paraId="7FCAF87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8AB0F01"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设备、装置、设施的安全可靠性评价</w:t>
      </w:r>
    </w:p>
    <w:p w14:paraId="456B532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41611AE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设备、装置、设施与生产过程的匹配性评价</w:t>
      </w:r>
    </w:p>
    <w:p w14:paraId="45525B80" w14:textId="77777777" w:rsidR="002E0859" w:rsidRDefault="00000000">
      <w:pPr>
        <w:pStyle w:val="a8"/>
        <w:spacing w:line="360" w:lineRule="auto"/>
        <w:ind w:firstLine="476"/>
        <w:rPr>
          <w:color w:val="000000" w:themeColor="text1"/>
          <w:spacing w:val="-1"/>
          <w:sz w:val="24"/>
          <w:szCs w:val="24"/>
        </w:rPr>
      </w:pPr>
      <w:r>
        <w:rPr>
          <w:color w:val="000000" w:themeColor="text1"/>
          <w:spacing w:val="-1"/>
          <w:sz w:val="24"/>
          <w:szCs w:val="24"/>
        </w:rPr>
        <w:t>本工程设施设备按照设计规模进行选型，设备设施规模与生产过程</w:t>
      </w:r>
      <w:r>
        <w:rPr>
          <w:rFonts w:hint="eastAsia"/>
          <w:color w:val="000000" w:themeColor="text1"/>
          <w:spacing w:val="-1"/>
          <w:sz w:val="24"/>
          <w:szCs w:val="24"/>
          <w:lang w:eastAsia="zh-CN"/>
        </w:rPr>
        <w:t>相</w:t>
      </w:r>
      <w:r>
        <w:rPr>
          <w:color w:val="000000" w:themeColor="text1"/>
          <w:spacing w:val="-1"/>
          <w:sz w:val="24"/>
          <w:szCs w:val="24"/>
        </w:rPr>
        <w:t>匹配。</w:t>
      </w:r>
    </w:p>
    <w:p w14:paraId="038D04D6" w14:textId="77777777" w:rsidR="002E0859" w:rsidRDefault="00000000">
      <w:pPr>
        <w:pStyle w:val="a8"/>
        <w:spacing w:line="360" w:lineRule="auto"/>
        <w:ind w:firstLine="476"/>
        <w:rPr>
          <w:color w:val="000000" w:themeColor="text1"/>
          <w:spacing w:val="-1"/>
          <w:sz w:val="24"/>
          <w:szCs w:val="24"/>
        </w:rPr>
      </w:pPr>
      <w:r>
        <w:rPr>
          <w:rFonts w:ascii="Times New Roman" w:hAnsi="Times New Roman" w:cs="Times New Roman"/>
          <w:color w:val="000000" w:themeColor="text1"/>
          <w:spacing w:val="-1"/>
          <w:sz w:val="24"/>
          <w:szCs w:val="24"/>
          <w:lang w:eastAsia="zh-CN"/>
        </w:rPr>
        <w:t>90</w:t>
      </w:r>
      <w:r>
        <w:rPr>
          <w:rFonts w:ascii="Arial" w:hAnsi="Arial" w:cs="Arial" w:hint="eastAsia"/>
          <w:color w:val="000000" w:themeColor="text1"/>
          <w:spacing w:val="-1"/>
          <w:sz w:val="24"/>
          <w:szCs w:val="24"/>
          <w:lang w:eastAsia="zh-CN"/>
        </w:rPr>
        <w:t>号平台新</w:t>
      </w:r>
      <w:r>
        <w:rPr>
          <w:color w:val="000000" w:themeColor="text1"/>
          <w:spacing w:val="-1"/>
          <w:sz w:val="24"/>
          <w:szCs w:val="24"/>
        </w:rPr>
        <w:t>井所产天然气经采气管道后</w:t>
      </w:r>
      <w:r>
        <w:rPr>
          <w:rFonts w:hint="eastAsia"/>
          <w:color w:val="000000" w:themeColor="text1"/>
          <w:spacing w:val="-1"/>
          <w:sz w:val="24"/>
          <w:szCs w:val="24"/>
          <w:lang w:eastAsia="zh-CN"/>
        </w:rPr>
        <w:t>进入</w:t>
      </w:r>
      <w:r>
        <w:rPr>
          <w:rFonts w:ascii="Times New Roman" w:hAnsi="Times New Roman" w:cs="Times New Roman"/>
          <w:color w:val="000000" w:themeColor="text1"/>
          <w:spacing w:val="-1"/>
          <w:sz w:val="24"/>
          <w:szCs w:val="24"/>
          <w:lang w:eastAsia="zh-CN"/>
        </w:rPr>
        <w:t>89</w:t>
      </w:r>
      <w:r>
        <w:rPr>
          <w:rFonts w:hint="eastAsia"/>
          <w:color w:val="000000" w:themeColor="text1"/>
          <w:spacing w:val="-1"/>
          <w:sz w:val="24"/>
          <w:szCs w:val="24"/>
          <w:lang w:eastAsia="zh-CN"/>
        </w:rPr>
        <w:t>号集气站</w:t>
      </w:r>
      <w:r>
        <w:rPr>
          <w:color w:val="000000" w:themeColor="text1"/>
          <w:spacing w:val="-1"/>
          <w:sz w:val="24"/>
          <w:szCs w:val="24"/>
        </w:rPr>
        <w:t>分离器进行气液分离，分离出的天然气利用</w:t>
      </w:r>
      <w:r>
        <w:rPr>
          <w:rFonts w:hint="eastAsia"/>
          <w:color w:val="000000" w:themeColor="text1"/>
          <w:spacing w:val="-1"/>
          <w:sz w:val="24"/>
          <w:szCs w:val="24"/>
          <w:lang w:eastAsia="zh-CN"/>
        </w:rPr>
        <w:t>原有</w:t>
      </w:r>
      <w:r>
        <w:rPr>
          <w:color w:val="000000" w:themeColor="text1"/>
          <w:spacing w:val="-1"/>
          <w:sz w:val="24"/>
          <w:szCs w:val="24"/>
        </w:rPr>
        <w:t>的集气管线外输。</w:t>
      </w:r>
    </w:p>
    <w:p w14:paraId="53FF3638"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改扩建的设备、装置、设施与已建设施影响评价</w:t>
      </w:r>
    </w:p>
    <w:p w14:paraId="00CFF031" w14:textId="77777777" w:rsidR="002E0859" w:rsidRDefault="00000000">
      <w:pPr>
        <w:pStyle w:val="a8"/>
        <w:spacing w:line="360" w:lineRule="auto"/>
        <w:ind w:firstLine="476"/>
        <w:rPr>
          <w:color w:val="000000" w:themeColor="text1"/>
          <w:spacing w:val="-1"/>
          <w:sz w:val="24"/>
          <w:szCs w:val="24"/>
        </w:rPr>
      </w:pPr>
      <w:r>
        <w:rPr>
          <w:color w:val="000000" w:themeColor="text1"/>
          <w:spacing w:val="-1"/>
          <w:sz w:val="24"/>
          <w:szCs w:val="24"/>
        </w:rPr>
        <w:t>本工程扩建部分主要是在</w:t>
      </w:r>
      <w:r>
        <w:rPr>
          <w:rFonts w:ascii="Times New Roman" w:hAnsi="Times New Roman" w:cs="Times New Roman"/>
          <w:color w:val="000000" w:themeColor="text1"/>
          <w:spacing w:val="-1"/>
          <w:sz w:val="24"/>
          <w:szCs w:val="24"/>
          <w:lang w:eastAsia="zh-CN"/>
        </w:rPr>
        <w:t>90</w:t>
      </w:r>
      <w:r>
        <w:rPr>
          <w:rFonts w:ascii="Arial" w:hAnsi="Arial" w:cs="Arial" w:hint="eastAsia"/>
          <w:color w:val="000000" w:themeColor="text1"/>
          <w:spacing w:val="-1"/>
          <w:sz w:val="24"/>
          <w:szCs w:val="24"/>
          <w:lang w:eastAsia="zh-CN"/>
        </w:rPr>
        <w:t>号平台、</w:t>
      </w:r>
      <w:r>
        <w:rPr>
          <w:rFonts w:ascii="Times New Roman" w:hAnsi="Times New Roman" w:cs="Times New Roman"/>
          <w:color w:val="000000" w:themeColor="text1"/>
          <w:spacing w:val="-1"/>
          <w:sz w:val="24"/>
          <w:szCs w:val="24"/>
          <w:lang w:eastAsia="zh-CN"/>
        </w:rPr>
        <w:t>89</w:t>
      </w:r>
      <w:r>
        <w:rPr>
          <w:rFonts w:ascii="Arial" w:hAnsi="Arial" w:cs="Arial" w:hint="eastAsia"/>
          <w:color w:val="000000" w:themeColor="text1"/>
          <w:spacing w:val="-1"/>
          <w:sz w:val="24"/>
          <w:szCs w:val="24"/>
          <w:lang w:eastAsia="zh-CN"/>
        </w:rPr>
        <w:t>号集气站</w:t>
      </w:r>
      <w:r>
        <w:rPr>
          <w:color w:val="000000" w:themeColor="text1"/>
          <w:spacing w:val="-1"/>
          <w:sz w:val="24"/>
          <w:szCs w:val="24"/>
        </w:rPr>
        <w:t>内。在站内施工期埋设管道应注意是否与站内原有管道平行或交叉，需探明站内其他管道情况后进行施工，防止对已建设施造成影响。</w:t>
      </w:r>
    </w:p>
    <w:p w14:paraId="443E4637"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新材料、新产品安全可靠性评价</w:t>
      </w:r>
    </w:p>
    <w:p w14:paraId="24189196" w14:textId="77777777" w:rsidR="002E0859" w:rsidRDefault="00000000">
      <w:pPr>
        <w:pStyle w:val="a8"/>
        <w:spacing w:line="360" w:lineRule="auto"/>
        <w:ind w:firstLine="476"/>
        <w:rPr>
          <w:color w:val="000000" w:themeColor="text1"/>
          <w:sz w:val="24"/>
          <w:szCs w:val="24"/>
        </w:rPr>
      </w:pPr>
      <w:r>
        <w:rPr>
          <w:color w:val="000000" w:themeColor="text1"/>
          <w:spacing w:val="-1"/>
          <w:sz w:val="24"/>
          <w:szCs w:val="24"/>
        </w:rPr>
        <w:lastRenderedPageBreak/>
        <w:t>本项目未采用新材料、新产品。</w:t>
      </w:r>
    </w:p>
    <w:p w14:paraId="5D95F21F" w14:textId="77777777" w:rsidR="002E0859" w:rsidRDefault="00000000">
      <w:pPr>
        <w:pStyle w:val="2"/>
        <w:keepNext w:val="0"/>
        <w:keepLines w:val="0"/>
        <w:spacing w:before="120" w:after="120" w:line="360" w:lineRule="auto"/>
        <w:jc w:val="center"/>
        <w:rPr>
          <w:color w:val="000000" w:themeColor="text1"/>
        </w:rPr>
      </w:pPr>
      <w:bookmarkStart w:id="49" w:name="_Toc12646"/>
      <w:r>
        <w:rPr>
          <w:rFonts w:hint="eastAsia"/>
          <w:color w:val="000000" w:themeColor="text1"/>
        </w:rPr>
        <w:t>公用工程及辅助生产设施单元</w:t>
      </w:r>
      <w:bookmarkEnd w:id="49"/>
    </w:p>
    <w:p w14:paraId="5C7665CD"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安全检查表（</w:t>
      </w:r>
      <w:r>
        <w:rPr>
          <w:rFonts w:hint="eastAsia"/>
          <w:color w:val="000000" w:themeColor="text1"/>
          <w:sz w:val="24"/>
          <w:szCs w:val="24"/>
        </w:rPr>
        <w:t>SCL</w:t>
      </w:r>
      <w:r>
        <w:rPr>
          <w:rFonts w:hint="eastAsia"/>
          <w:color w:val="000000" w:themeColor="text1"/>
          <w:sz w:val="24"/>
          <w:szCs w:val="24"/>
        </w:rPr>
        <w:t>）</w:t>
      </w:r>
    </w:p>
    <w:p w14:paraId="452C61C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52B11119"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公用工程及辅助生产设施单元评价小结</w:t>
      </w:r>
    </w:p>
    <w:p w14:paraId="6DE9D02F" w14:textId="77777777" w:rsidR="002E0859" w:rsidRDefault="00000000">
      <w:pPr>
        <w:pStyle w:val="a8"/>
        <w:spacing w:line="360" w:lineRule="auto"/>
        <w:ind w:firstLine="476"/>
        <w:rPr>
          <w:color w:val="000000" w:themeColor="text1"/>
          <w:spacing w:val="-1"/>
          <w:sz w:val="24"/>
          <w:szCs w:val="24"/>
        </w:rPr>
      </w:pPr>
      <w:r>
        <w:rPr>
          <w:color w:val="000000" w:themeColor="text1"/>
          <w:spacing w:val="-1"/>
          <w:sz w:val="24"/>
          <w:szCs w:val="24"/>
        </w:rPr>
        <w:t>小结：根据检查表检查结果，公用工程及辅助生产设施基本符合相关规范要求，设计合理。下一步：</w:t>
      </w:r>
    </w:p>
    <w:p w14:paraId="3DE48EB0" w14:textId="77777777" w:rsidR="002E0859" w:rsidRDefault="00000000">
      <w:pPr>
        <w:pStyle w:val="a8"/>
        <w:spacing w:line="360" w:lineRule="auto"/>
        <w:ind w:firstLine="476"/>
        <w:rPr>
          <w:rFonts w:ascii="Times New Roman" w:hAnsi="Times New Roman" w:cs="Times New Roman"/>
          <w:color w:val="000000" w:themeColor="text1"/>
          <w:spacing w:val="-1"/>
          <w:sz w:val="24"/>
          <w:szCs w:val="24"/>
        </w:rPr>
      </w:pPr>
      <w:r>
        <w:rPr>
          <w:rFonts w:ascii="Times New Roman" w:hAnsi="Times New Roman" w:cs="Times New Roman"/>
          <w:color w:val="000000" w:themeColor="text1"/>
          <w:spacing w:val="-1"/>
          <w:sz w:val="24"/>
          <w:szCs w:val="24"/>
        </w:rPr>
        <w:t>1</w:t>
      </w:r>
      <w:r>
        <w:rPr>
          <w:rFonts w:ascii="Times New Roman" w:hAnsi="Times New Roman" w:cs="Times New Roman"/>
          <w:color w:val="000000" w:themeColor="text1"/>
          <w:spacing w:val="-1"/>
          <w:sz w:val="24"/>
          <w:szCs w:val="24"/>
        </w:rPr>
        <w:t>）</w:t>
      </w:r>
      <w:r>
        <w:rPr>
          <w:rFonts w:ascii="Times New Roman" w:hAnsi="Times New Roman" w:cs="Times New Roman" w:hint="eastAsia"/>
          <w:color w:val="000000" w:themeColor="text1"/>
          <w:spacing w:val="-1"/>
          <w:sz w:val="24"/>
          <w:szCs w:val="24"/>
          <w:lang w:eastAsia="zh-CN"/>
        </w:rPr>
        <w:t>未明确</w:t>
      </w:r>
      <w:r>
        <w:rPr>
          <w:rFonts w:ascii="Times New Roman" w:hAnsi="Times New Roman" w:cs="Times New Roman"/>
          <w:color w:val="000000" w:themeColor="text1"/>
          <w:spacing w:val="-1"/>
          <w:sz w:val="24"/>
          <w:szCs w:val="24"/>
        </w:rPr>
        <w:t>阴极保护参数检测装置</w:t>
      </w:r>
      <w:r>
        <w:rPr>
          <w:rFonts w:ascii="Times New Roman" w:hAnsi="Times New Roman" w:cs="Times New Roman" w:hint="eastAsia"/>
          <w:color w:val="000000" w:themeColor="text1"/>
          <w:spacing w:val="-1"/>
          <w:sz w:val="24"/>
          <w:szCs w:val="24"/>
          <w:lang w:eastAsia="zh-CN"/>
        </w:rPr>
        <w:t>设置情况</w:t>
      </w:r>
      <w:r>
        <w:rPr>
          <w:rFonts w:ascii="Times New Roman" w:hAnsi="Times New Roman" w:cs="Times New Roman"/>
          <w:color w:val="000000" w:themeColor="text1"/>
          <w:spacing w:val="-1"/>
          <w:sz w:val="24"/>
          <w:szCs w:val="24"/>
        </w:rPr>
        <w:t>。</w:t>
      </w:r>
    </w:p>
    <w:p w14:paraId="0442DA45" w14:textId="77777777" w:rsidR="002E0859" w:rsidRDefault="00000000">
      <w:pPr>
        <w:pStyle w:val="a8"/>
        <w:spacing w:line="360" w:lineRule="auto"/>
        <w:ind w:firstLine="476"/>
        <w:rPr>
          <w:rFonts w:ascii="Times New Roman" w:hAnsi="Times New Roman" w:cs="Times New Roman"/>
          <w:color w:val="000000" w:themeColor="text1"/>
          <w:spacing w:val="-1"/>
          <w:sz w:val="24"/>
          <w:szCs w:val="24"/>
        </w:rPr>
      </w:pPr>
      <w:r>
        <w:rPr>
          <w:rFonts w:ascii="Times New Roman" w:hAnsi="Times New Roman" w:cs="Times New Roman" w:hint="eastAsia"/>
          <w:color w:val="000000" w:themeColor="text1"/>
          <w:spacing w:val="-1"/>
          <w:sz w:val="24"/>
          <w:szCs w:val="24"/>
          <w:lang w:eastAsia="zh-CN"/>
        </w:rPr>
        <w:t>2</w:t>
      </w:r>
      <w:r>
        <w:rPr>
          <w:rFonts w:ascii="Times New Roman" w:hAnsi="Times New Roman" w:cs="Times New Roman" w:hint="eastAsia"/>
          <w:color w:val="000000" w:themeColor="text1"/>
          <w:spacing w:val="-1"/>
          <w:sz w:val="24"/>
          <w:szCs w:val="24"/>
          <w:lang w:eastAsia="zh-CN"/>
        </w:rPr>
        <w:t>）未</w:t>
      </w:r>
      <w:r>
        <w:rPr>
          <w:rFonts w:ascii="Times New Roman" w:hAnsi="Times New Roman" w:cs="Times New Roman"/>
          <w:color w:val="000000" w:themeColor="text1"/>
          <w:spacing w:val="-1"/>
          <w:sz w:val="24"/>
          <w:szCs w:val="24"/>
        </w:rPr>
        <w:t>明确</w:t>
      </w:r>
      <w:r>
        <w:rPr>
          <w:rFonts w:ascii="Times New Roman" w:hAnsi="Times New Roman" w:cs="Times New Roman" w:hint="eastAsia"/>
          <w:color w:val="000000" w:themeColor="text1"/>
          <w:spacing w:val="-1"/>
          <w:sz w:val="24"/>
          <w:szCs w:val="24"/>
          <w:lang w:eastAsia="zh-CN"/>
        </w:rPr>
        <w:t>采气、集气等</w:t>
      </w:r>
      <w:r>
        <w:rPr>
          <w:rFonts w:ascii="Times New Roman" w:hAnsi="Times New Roman" w:cs="Times New Roman"/>
          <w:color w:val="000000" w:themeColor="text1"/>
          <w:spacing w:val="-1"/>
          <w:sz w:val="24"/>
          <w:szCs w:val="24"/>
        </w:rPr>
        <w:t>管道内防腐措施。</w:t>
      </w:r>
    </w:p>
    <w:p w14:paraId="13BC44DD" w14:textId="77777777" w:rsidR="002E0859" w:rsidRDefault="00000000">
      <w:pPr>
        <w:pStyle w:val="a8"/>
        <w:spacing w:line="360" w:lineRule="auto"/>
        <w:ind w:firstLine="476"/>
        <w:rPr>
          <w:rFonts w:ascii="Times New Roman" w:hAnsi="Times New Roman" w:cs="Times New Roman"/>
          <w:color w:val="000000" w:themeColor="text1"/>
          <w:spacing w:val="-1"/>
          <w:sz w:val="24"/>
          <w:szCs w:val="24"/>
        </w:rPr>
      </w:pPr>
      <w:r>
        <w:rPr>
          <w:rFonts w:ascii="Times New Roman" w:hAnsi="Times New Roman" w:cs="Times New Roman"/>
          <w:color w:val="000000" w:themeColor="text1"/>
          <w:spacing w:val="-1"/>
          <w:sz w:val="24"/>
          <w:szCs w:val="24"/>
        </w:rPr>
        <w:t>2</w:t>
      </w:r>
      <w:r>
        <w:rPr>
          <w:rFonts w:ascii="Times New Roman" w:hAnsi="Times New Roman" w:cs="Times New Roman"/>
          <w:color w:val="000000" w:themeColor="text1"/>
          <w:spacing w:val="-1"/>
          <w:sz w:val="24"/>
          <w:szCs w:val="24"/>
        </w:rPr>
        <w:t>）</w:t>
      </w:r>
      <w:r>
        <w:rPr>
          <w:rFonts w:ascii="Times New Roman" w:hAnsi="Times New Roman" w:cs="Times New Roman"/>
          <w:snapToGrid w:val="0"/>
          <w:color w:val="000000" w:themeColor="text1"/>
          <w:spacing w:val="3"/>
          <w:kern w:val="0"/>
          <w:sz w:val="24"/>
          <w:szCs w:val="24"/>
        </w:rPr>
        <w:t>未明确</w:t>
      </w:r>
      <w:r>
        <w:rPr>
          <w:rFonts w:cs="Times New Roman" w:hint="eastAsia"/>
          <w:snapToGrid w:val="0"/>
          <w:color w:val="000000" w:themeColor="text1"/>
          <w:spacing w:val="3"/>
          <w:kern w:val="0"/>
          <w:sz w:val="24"/>
          <w:szCs w:val="24"/>
          <w:lang w:eastAsia="zh-CN"/>
        </w:rPr>
        <w:t>设置有毒气体检测报警仪及可燃有毒气体报警仪</w:t>
      </w:r>
      <w:r>
        <w:rPr>
          <w:rFonts w:ascii="Times New Roman" w:hAnsi="Times New Roman" w:cs="Times New Roman"/>
          <w:snapToGrid w:val="0"/>
          <w:color w:val="000000" w:themeColor="text1"/>
          <w:spacing w:val="3"/>
          <w:kern w:val="0"/>
          <w:sz w:val="24"/>
          <w:szCs w:val="24"/>
        </w:rPr>
        <w:t>具体设置位置</w:t>
      </w:r>
      <w:r>
        <w:rPr>
          <w:rFonts w:cs="Times New Roman" w:hint="eastAsia"/>
          <w:snapToGrid w:val="0"/>
          <w:color w:val="000000" w:themeColor="text1"/>
          <w:spacing w:val="3"/>
          <w:kern w:val="0"/>
          <w:sz w:val="24"/>
          <w:szCs w:val="24"/>
          <w:lang w:eastAsia="zh-CN"/>
        </w:rPr>
        <w:t>及高度</w:t>
      </w:r>
      <w:r>
        <w:rPr>
          <w:rFonts w:ascii="Times New Roman" w:hAnsi="Times New Roman" w:cs="Times New Roman"/>
          <w:snapToGrid w:val="0"/>
          <w:color w:val="000000" w:themeColor="text1"/>
          <w:spacing w:val="3"/>
          <w:kern w:val="0"/>
          <w:sz w:val="24"/>
          <w:szCs w:val="24"/>
        </w:rPr>
        <w:t>。</w:t>
      </w:r>
    </w:p>
    <w:p w14:paraId="38AA83D0" w14:textId="77777777" w:rsidR="002E0859" w:rsidRDefault="00000000">
      <w:pPr>
        <w:pStyle w:val="a8"/>
        <w:spacing w:line="360" w:lineRule="auto"/>
        <w:ind w:firstLine="476"/>
        <w:rPr>
          <w:rFonts w:ascii="Times New Roman" w:hAnsi="Times New Roman" w:cs="Times New Roman"/>
          <w:color w:val="000000" w:themeColor="text1"/>
          <w:spacing w:val="-1"/>
          <w:sz w:val="24"/>
          <w:szCs w:val="24"/>
        </w:rPr>
      </w:pPr>
      <w:r>
        <w:rPr>
          <w:rFonts w:ascii="Times New Roman" w:hAnsi="Times New Roman" w:cs="Times New Roman"/>
          <w:color w:val="000000" w:themeColor="text1"/>
          <w:spacing w:val="-1"/>
          <w:sz w:val="24"/>
          <w:szCs w:val="24"/>
        </w:rPr>
        <w:t>3</w:t>
      </w:r>
      <w:r>
        <w:rPr>
          <w:rFonts w:ascii="Times New Roman" w:hAnsi="Times New Roman" w:cs="Times New Roman"/>
          <w:color w:val="000000" w:themeColor="text1"/>
          <w:spacing w:val="-1"/>
          <w:sz w:val="24"/>
          <w:szCs w:val="24"/>
        </w:rPr>
        <w:t>）</w:t>
      </w:r>
      <w:r>
        <w:rPr>
          <w:rFonts w:ascii="Times New Roman" w:hAnsi="Times New Roman" w:cs="Times New Roman"/>
          <w:snapToGrid w:val="0"/>
          <w:color w:val="000000" w:themeColor="text1"/>
          <w:spacing w:val="3"/>
          <w:kern w:val="0"/>
          <w:sz w:val="24"/>
          <w:szCs w:val="24"/>
        </w:rPr>
        <w:t>视频图像信息应实时记录，保存期限不应小于</w:t>
      </w:r>
      <w:r>
        <w:rPr>
          <w:rFonts w:ascii="Times New Roman" w:hAnsi="Times New Roman" w:cs="Times New Roman"/>
          <w:snapToGrid w:val="0"/>
          <w:color w:val="000000" w:themeColor="text1"/>
          <w:spacing w:val="3"/>
          <w:kern w:val="0"/>
          <w:sz w:val="24"/>
          <w:szCs w:val="24"/>
        </w:rPr>
        <w:t>90</w:t>
      </w:r>
      <w:r>
        <w:rPr>
          <w:rFonts w:ascii="Times New Roman" w:hAnsi="Times New Roman" w:cs="Times New Roman"/>
          <w:snapToGrid w:val="0"/>
          <w:color w:val="000000" w:themeColor="text1"/>
          <w:spacing w:val="3"/>
          <w:kern w:val="0"/>
          <w:sz w:val="24"/>
          <w:szCs w:val="24"/>
        </w:rPr>
        <w:t>天。</w:t>
      </w:r>
      <w:r>
        <w:rPr>
          <w:rFonts w:cs="Times New Roman" w:hint="eastAsia"/>
          <w:snapToGrid w:val="0"/>
          <w:color w:val="000000" w:themeColor="text1"/>
          <w:spacing w:val="3"/>
          <w:kern w:val="0"/>
          <w:sz w:val="24"/>
          <w:szCs w:val="24"/>
          <w:lang w:eastAsia="zh-CN"/>
        </w:rPr>
        <w:t>可研未提及</w:t>
      </w:r>
      <w:r>
        <w:rPr>
          <w:rFonts w:ascii="Times New Roman" w:hAnsi="Times New Roman" w:cs="Times New Roman"/>
          <w:snapToGrid w:val="0"/>
          <w:color w:val="000000" w:themeColor="text1"/>
          <w:spacing w:val="3"/>
          <w:kern w:val="0"/>
          <w:sz w:val="24"/>
          <w:szCs w:val="24"/>
        </w:rPr>
        <w:t>视频保存</w:t>
      </w:r>
      <w:r>
        <w:rPr>
          <w:rFonts w:cs="Times New Roman" w:hint="eastAsia"/>
          <w:snapToGrid w:val="0"/>
          <w:color w:val="000000" w:themeColor="text1"/>
          <w:spacing w:val="3"/>
          <w:kern w:val="0"/>
          <w:sz w:val="24"/>
          <w:szCs w:val="24"/>
          <w:lang w:eastAsia="zh-CN"/>
        </w:rPr>
        <w:t>期限</w:t>
      </w:r>
      <w:r>
        <w:rPr>
          <w:rFonts w:ascii="Times New Roman" w:hAnsi="Times New Roman" w:cs="Times New Roman"/>
          <w:color w:val="000000" w:themeColor="text1"/>
          <w:spacing w:val="-1"/>
          <w:sz w:val="24"/>
          <w:szCs w:val="24"/>
        </w:rPr>
        <w:t>。</w:t>
      </w:r>
    </w:p>
    <w:p w14:paraId="008F9EE1" w14:textId="77777777" w:rsidR="002E0859" w:rsidRDefault="00000000">
      <w:pPr>
        <w:pStyle w:val="a8"/>
        <w:spacing w:line="360" w:lineRule="auto"/>
        <w:ind w:firstLine="476"/>
        <w:rPr>
          <w:rFonts w:ascii="Times New Roman" w:hAnsi="Times New Roman" w:cs="Times New Roman"/>
          <w:color w:val="000000" w:themeColor="text1"/>
          <w:spacing w:val="-1"/>
          <w:sz w:val="24"/>
          <w:szCs w:val="24"/>
          <w:lang w:eastAsia="zh-CN"/>
        </w:rPr>
      </w:pPr>
      <w:r>
        <w:rPr>
          <w:rFonts w:ascii="Times New Roman" w:hAnsi="Times New Roman" w:cs="Times New Roman" w:hint="eastAsia"/>
          <w:color w:val="000000" w:themeColor="text1"/>
          <w:spacing w:val="-1"/>
          <w:sz w:val="24"/>
          <w:szCs w:val="24"/>
          <w:lang w:eastAsia="zh-CN"/>
        </w:rPr>
        <w:t>4</w:t>
      </w:r>
      <w:r>
        <w:rPr>
          <w:rFonts w:ascii="Times New Roman" w:hAnsi="Times New Roman" w:cs="Times New Roman" w:hint="eastAsia"/>
          <w:color w:val="000000" w:themeColor="text1"/>
          <w:spacing w:val="-1"/>
          <w:sz w:val="24"/>
          <w:szCs w:val="24"/>
          <w:lang w:eastAsia="zh-CN"/>
        </w:rPr>
        <w:t>）未明确不间断电源设置情况。</w:t>
      </w:r>
    </w:p>
    <w:p w14:paraId="20CEC8D3" w14:textId="77777777" w:rsidR="002E0859" w:rsidRDefault="00000000">
      <w:pPr>
        <w:pStyle w:val="2"/>
        <w:spacing w:before="120" w:after="120" w:line="360" w:lineRule="auto"/>
        <w:jc w:val="center"/>
        <w:rPr>
          <w:color w:val="000000" w:themeColor="text1"/>
        </w:rPr>
      </w:pPr>
      <w:bookmarkStart w:id="50" w:name="_Toc6400"/>
      <w:r>
        <w:rPr>
          <w:rFonts w:hint="eastAsia"/>
          <w:color w:val="000000" w:themeColor="text1"/>
        </w:rPr>
        <w:t>风险程度评价</w:t>
      </w:r>
      <w:bookmarkEnd w:id="50"/>
    </w:p>
    <w:p w14:paraId="37FB0B2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34E723CE" w14:textId="77777777" w:rsidR="002E0859" w:rsidRDefault="00000000">
      <w:pPr>
        <w:ind w:firstLine="480"/>
        <w:rPr>
          <w:color w:val="000000" w:themeColor="text1"/>
          <w:sz w:val="24"/>
          <w:szCs w:val="24"/>
        </w:rPr>
      </w:pPr>
      <w:r>
        <w:rPr>
          <w:color w:val="000000" w:themeColor="text1"/>
          <w:sz w:val="24"/>
          <w:szCs w:val="24"/>
        </w:rPr>
        <w:br w:type="page"/>
      </w:r>
    </w:p>
    <w:p w14:paraId="22556F27" w14:textId="77777777" w:rsidR="002E0859" w:rsidRDefault="00000000">
      <w:pPr>
        <w:pStyle w:val="1"/>
        <w:keepNext w:val="0"/>
        <w:keepLines w:val="0"/>
        <w:spacing w:before="240" w:after="240" w:line="360" w:lineRule="auto"/>
        <w:rPr>
          <w:color w:val="000000" w:themeColor="text1"/>
        </w:rPr>
      </w:pPr>
      <w:bookmarkStart w:id="51" w:name="_Toc1793"/>
      <w:bookmarkStart w:id="52" w:name="_Toc30585"/>
      <w:r>
        <w:rPr>
          <w:rFonts w:hint="eastAsia"/>
          <w:color w:val="000000" w:themeColor="text1"/>
        </w:rPr>
        <w:lastRenderedPageBreak/>
        <w:t>安全管理和应急管理评价</w:t>
      </w:r>
      <w:bookmarkEnd w:id="51"/>
      <w:bookmarkEnd w:id="52"/>
    </w:p>
    <w:p w14:paraId="4295F26D" w14:textId="77777777" w:rsidR="002E0859" w:rsidRDefault="00000000">
      <w:pPr>
        <w:pStyle w:val="2"/>
        <w:keepNext w:val="0"/>
        <w:keepLines w:val="0"/>
        <w:spacing w:before="120" w:after="120" w:line="360" w:lineRule="auto"/>
        <w:jc w:val="center"/>
        <w:rPr>
          <w:color w:val="000000" w:themeColor="text1"/>
        </w:rPr>
      </w:pPr>
      <w:bookmarkStart w:id="53" w:name="_Toc2405"/>
      <w:bookmarkStart w:id="54" w:name="_Toc3712"/>
      <w:r>
        <w:rPr>
          <w:rFonts w:hint="eastAsia"/>
          <w:color w:val="000000" w:themeColor="text1"/>
        </w:rPr>
        <w:t>安全管理</w:t>
      </w:r>
      <w:bookmarkEnd w:id="53"/>
      <w:bookmarkEnd w:id="54"/>
    </w:p>
    <w:p w14:paraId="0D820F7A" w14:textId="77777777" w:rsidR="002E0859" w:rsidRDefault="00000000">
      <w:pPr>
        <w:pStyle w:val="a0"/>
        <w:spacing w:line="360" w:lineRule="auto"/>
        <w:ind w:firstLine="480"/>
        <w:rPr>
          <w:color w:val="000000" w:themeColor="text1"/>
          <w:sz w:val="24"/>
          <w:szCs w:val="24"/>
        </w:rPr>
      </w:pPr>
      <w:bookmarkStart w:id="55" w:name="_Toc9398"/>
      <w:bookmarkStart w:id="56" w:name="_Toc940"/>
      <w:r>
        <w:rPr>
          <w:rFonts w:hint="eastAsia"/>
          <w:color w:val="000000" w:themeColor="text1"/>
          <w:sz w:val="24"/>
          <w:szCs w:val="24"/>
        </w:rPr>
        <w:t>涉及企业机密，不予公开。</w:t>
      </w:r>
    </w:p>
    <w:p w14:paraId="5198608F" w14:textId="77777777" w:rsidR="002E0859" w:rsidRDefault="00000000">
      <w:pPr>
        <w:pStyle w:val="2"/>
        <w:keepNext w:val="0"/>
        <w:keepLines w:val="0"/>
        <w:spacing w:before="120" w:after="120" w:line="360" w:lineRule="auto"/>
        <w:jc w:val="center"/>
        <w:rPr>
          <w:color w:val="000000" w:themeColor="text1"/>
        </w:rPr>
      </w:pPr>
      <w:r>
        <w:rPr>
          <w:rFonts w:hint="eastAsia"/>
          <w:color w:val="000000" w:themeColor="text1"/>
        </w:rPr>
        <w:t>应急管理</w:t>
      </w:r>
      <w:bookmarkEnd w:id="55"/>
      <w:bookmarkEnd w:id="56"/>
    </w:p>
    <w:p w14:paraId="5DBD325A"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3E418FD2" w14:textId="77777777" w:rsidR="002E0859" w:rsidRDefault="00000000">
      <w:pPr>
        <w:ind w:firstLine="480"/>
        <w:rPr>
          <w:color w:val="000000" w:themeColor="text1"/>
          <w:sz w:val="24"/>
          <w:szCs w:val="24"/>
        </w:rPr>
      </w:pPr>
      <w:r>
        <w:rPr>
          <w:color w:val="000000" w:themeColor="text1"/>
          <w:sz w:val="24"/>
          <w:szCs w:val="24"/>
        </w:rPr>
        <w:br w:type="page"/>
      </w:r>
    </w:p>
    <w:p w14:paraId="74373F0E" w14:textId="77777777" w:rsidR="002E0859" w:rsidRDefault="00000000">
      <w:pPr>
        <w:pStyle w:val="1"/>
        <w:keepNext w:val="0"/>
        <w:keepLines w:val="0"/>
        <w:spacing w:before="240" w:after="240" w:line="360" w:lineRule="auto"/>
        <w:rPr>
          <w:color w:val="000000" w:themeColor="text1"/>
        </w:rPr>
      </w:pPr>
      <w:bookmarkStart w:id="57" w:name="_Toc16542"/>
      <w:r>
        <w:rPr>
          <w:rFonts w:hint="eastAsia"/>
          <w:color w:val="000000" w:themeColor="text1"/>
        </w:rPr>
        <w:lastRenderedPageBreak/>
        <w:t>安全对策措施及建议</w:t>
      </w:r>
      <w:bookmarkEnd w:id="57"/>
    </w:p>
    <w:p w14:paraId="067AFF24" w14:textId="77777777" w:rsidR="002E0859" w:rsidRDefault="00000000">
      <w:pPr>
        <w:pStyle w:val="2"/>
        <w:keepNext w:val="0"/>
        <w:keepLines w:val="0"/>
        <w:spacing w:before="120" w:after="120" w:line="360" w:lineRule="auto"/>
        <w:jc w:val="center"/>
        <w:rPr>
          <w:color w:val="000000" w:themeColor="text1"/>
        </w:rPr>
      </w:pPr>
      <w:bookmarkStart w:id="58" w:name="_Toc13849"/>
      <w:r>
        <w:rPr>
          <w:rFonts w:hint="eastAsia"/>
          <w:color w:val="000000" w:themeColor="text1"/>
        </w:rPr>
        <w:t>可研报告中提出的主要安全对策措施</w:t>
      </w:r>
      <w:bookmarkEnd w:id="58"/>
    </w:p>
    <w:p w14:paraId="379AAFB7" w14:textId="77777777" w:rsidR="002E0859" w:rsidRDefault="00000000">
      <w:pPr>
        <w:pStyle w:val="a0"/>
        <w:numPr>
          <w:ilvl w:val="0"/>
          <w:numId w:val="25"/>
        </w:numPr>
        <w:spacing w:line="360" w:lineRule="auto"/>
        <w:ind w:firstLine="480"/>
        <w:rPr>
          <w:color w:val="000000" w:themeColor="text1"/>
          <w:sz w:val="24"/>
          <w:szCs w:val="24"/>
        </w:rPr>
      </w:pPr>
      <w:r>
        <w:rPr>
          <w:rFonts w:hint="eastAsia"/>
          <w:color w:val="000000" w:themeColor="text1"/>
          <w:sz w:val="24"/>
          <w:szCs w:val="24"/>
        </w:rPr>
        <w:t>钻井工程安全措施方案</w:t>
      </w:r>
    </w:p>
    <w:p w14:paraId="4453DCB1"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安全距离</w:t>
      </w:r>
    </w:p>
    <w:p w14:paraId="60464AA4"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本区块页岩气不含硫化氢，井场选址满足与周边建</w:t>
      </w:r>
      <w:r>
        <w:rPr>
          <w:rFonts w:hint="eastAsia"/>
          <w:color w:val="000000" w:themeColor="text1"/>
          <w:sz w:val="24"/>
          <w:szCs w:val="24"/>
        </w:rPr>
        <w:t>（</w:t>
      </w:r>
      <w:r>
        <w:rPr>
          <w:color w:val="000000" w:themeColor="text1"/>
          <w:sz w:val="24"/>
          <w:szCs w:val="24"/>
        </w:rPr>
        <w:t>构</w:t>
      </w:r>
      <w:r>
        <w:rPr>
          <w:rFonts w:hint="eastAsia"/>
          <w:color w:val="000000" w:themeColor="text1"/>
          <w:sz w:val="24"/>
          <w:szCs w:val="24"/>
        </w:rPr>
        <w:t>）</w:t>
      </w:r>
      <w:r>
        <w:rPr>
          <w:color w:val="000000" w:themeColor="text1"/>
          <w:sz w:val="24"/>
          <w:szCs w:val="24"/>
        </w:rPr>
        <w:t>筑物的安全间距均满足《石油天然气工程设计防火规范》</w:t>
      </w:r>
      <w:r>
        <w:rPr>
          <w:rFonts w:hint="eastAsia"/>
          <w:color w:val="000000" w:themeColor="text1"/>
          <w:sz w:val="24"/>
          <w:szCs w:val="24"/>
        </w:rPr>
        <w:t>（</w:t>
      </w:r>
      <w:r>
        <w:rPr>
          <w:color w:val="000000" w:themeColor="text1"/>
          <w:sz w:val="24"/>
          <w:szCs w:val="24"/>
        </w:rPr>
        <w:t>GB50183-2004</w:t>
      </w:r>
      <w:r>
        <w:rPr>
          <w:rFonts w:hint="eastAsia"/>
          <w:color w:val="000000" w:themeColor="text1"/>
          <w:sz w:val="24"/>
          <w:szCs w:val="24"/>
        </w:rPr>
        <w:t>）</w:t>
      </w:r>
      <w:r>
        <w:rPr>
          <w:color w:val="000000" w:themeColor="text1"/>
          <w:sz w:val="24"/>
          <w:szCs w:val="24"/>
        </w:rPr>
        <w:t>第</w:t>
      </w:r>
      <w:r>
        <w:rPr>
          <w:color w:val="000000" w:themeColor="text1"/>
          <w:sz w:val="24"/>
          <w:szCs w:val="24"/>
        </w:rPr>
        <w:t>4.0.4</w:t>
      </w:r>
      <w:r>
        <w:rPr>
          <w:color w:val="000000" w:themeColor="text1"/>
          <w:sz w:val="24"/>
          <w:szCs w:val="24"/>
        </w:rPr>
        <w:t>条和第</w:t>
      </w:r>
      <w:r>
        <w:rPr>
          <w:color w:val="000000" w:themeColor="text1"/>
          <w:sz w:val="24"/>
          <w:szCs w:val="24"/>
        </w:rPr>
        <w:t>4.0.7</w:t>
      </w:r>
      <w:r>
        <w:rPr>
          <w:color w:val="000000" w:themeColor="text1"/>
          <w:sz w:val="24"/>
          <w:szCs w:val="24"/>
        </w:rPr>
        <w:t>条的规定。同时气井与公众安全防护距离要求：井口距高压线及其他永久性设施不少于</w:t>
      </w:r>
      <w:r>
        <w:rPr>
          <w:color w:val="000000" w:themeColor="text1"/>
          <w:sz w:val="24"/>
          <w:szCs w:val="24"/>
        </w:rPr>
        <w:t>75m</w:t>
      </w:r>
      <w:r>
        <w:rPr>
          <w:color w:val="000000" w:themeColor="text1"/>
          <w:sz w:val="24"/>
          <w:szCs w:val="24"/>
        </w:rPr>
        <w:t>；距民宅不少于</w:t>
      </w:r>
      <w:r>
        <w:rPr>
          <w:color w:val="000000" w:themeColor="text1"/>
          <w:sz w:val="24"/>
          <w:szCs w:val="24"/>
        </w:rPr>
        <w:t>100m</w:t>
      </w:r>
      <w:r>
        <w:rPr>
          <w:color w:val="000000" w:themeColor="text1"/>
          <w:sz w:val="24"/>
          <w:szCs w:val="24"/>
        </w:rPr>
        <w:t>；距铁路、高速公路不少于</w:t>
      </w:r>
      <w:r>
        <w:rPr>
          <w:color w:val="000000" w:themeColor="text1"/>
          <w:sz w:val="24"/>
          <w:szCs w:val="24"/>
        </w:rPr>
        <w:t>200m</w:t>
      </w:r>
      <w:r>
        <w:rPr>
          <w:color w:val="000000" w:themeColor="text1"/>
          <w:sz w:val="24"/>
          <w:szCs w:val="24"/>
        </w:rPr>
        <w:t>；距学校、医院和大型油库等人口密集性、高危性场所不少于</w:t>
      </w:r>
      <w:r>
        <w:rPr>
          <w:color w:val="000000" w:themeColor="text1"/>
          <w:sz w:val="24"/>
          <w:szCs w:val="24"/>
        </w:rPr>
        <w:t>500m</w:t>
      </w:r>
      <w:r>
        <w:rPr>
          <w:color w:val="000000" w:themeColor="text1"/>
          <w:sz w:val="24"/>
          <w:szCs w:val="24"/>
        </w:rPr>
        <w:t>。</w:t>
      </w:r>
    </w:p>
    <w:p w14:paraId="03AA555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放喷管线出口、火炬或燃烧筒出口等的安全距离为井口</w:t>
      </w:r>
      <w:r>
        <w:rPr>
          <w:color w:val="000000" w:themeColor="text1"/>
          <w:sz w:val="24"/>
          <w:szCs w:val="24"/>
        </w:rPr>
        <w:t>100m</w:t>
      </w:r>
      <w:r>
        <w:rPr>
          <w:color w:val="000000" w:themeColor="text1"/>
          <w:sz w:val="24"/>
          <w:szCs w:val="24"/>
        </w:rPr>
        <w:t>以远。</w:t>
      </w:r>
    </w:p>
    <w:p w14:paraId="3898A35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远程控制台距井口不小于</w:t>
      </w:r>
      <w:r>
        <w:rPr>
          <w:color w:val="000000" w:themeColor="text1"/>
          <w:sz w:val="24"/>
          <w:szCs w:val="24"/>
        </w:rPr>
        <w:t>25m</w:t>
      </w:r>
      <w:r>
        <w:rPr>
          <w:color w:val="000000" w:themeColor="text1"/>
          <w:sz w:val="24"/>
          <w:szCs w:val="24"/>
        </w:rPr>
        <w:t>，并在周围保持</w:t>
      </w:r>
      <w:r>
        <w:rPr>
          <w:color w:val="000000" w:themeColor="text1"/>
          <w:sz w:val="24"/>
          <w:szCs w:val="24"/>
        </w:rPr>
        <w:t>2m</w:t>
      </w:r>
      <w:r>
        <w:rPr>
          <w:color w:val="000000" w:themeColor="text1"/>
          <w:sz w:val="24"/>
          <w:szCs w:val="24"/>
        </w:rPr>
        <w:t>以上的人行通道；</w:t>
      </w:r>
    </w:p>
    <w:p w14:paraId="52BE943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rPr>
        <w:t>放喷排污池、距离井口大于</w:t>
      </w:r>
      <w:r>
        <w:rPr>
          <w:color w:val="000000" w:themeColor="text1"/>
          <w:sz w:val="24"/>
          <w:szCs w:val="24"/>
        </w:rPr>
        <w:t>100m</w:t>
      </w:r>
      <w:r>
        <w:rPr>
          <w:color w:val="000000" w:themeColor="text1"/>
          <w:sz w:val="24"/>
          <w:szCs w:val="24"/>
        </w:rPr>
        <w:t>；</w:t>
      </w:r>
    </w:p>
    <w:p w14:paraId="744A20B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井场值班房与锅炉房、储油罐、高压节流管汇、排污池的距离不小于</w:t>
      </w:r>
      <w:r>
        <w:rPr>
          <w:color w:val="000000" w:themeColor="text1"/>
          <w:sz w:val="24"/>
          <w:szCs w:val="24"/>
        </w:rPr>
        <w:t>25m</w:t>
      </w:r>
      <w:r>
        <w:rPr>
          <w:color w:val="000000" w:themeColor="text1"/>
          <w:sz w:val="24"/>
          <w:szCs w:val="24"/>
        </w:rPr>
        <w:t>。</w:t>
      </w:r>
    </w:p>
    <w:p w14:paraId="5AD5A83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rPr>
        <w:t>井场边缘设施与主、副放喷池安全距离大于</w:t>
      </w:r>
      <w:r>
        <w:rPr>
          <w:color w:val="000000" w:themeColor="text1"/>
          <w:sz w:val="24"/>
          <w:szCs w:val="24"/>
        </w:rPr>
        <w:t>50m</w:t>
      </w:r>
      <w:r>
        <w:rPr>
          <w:color w:val="000000" w:themeColor="text1"/>
          <w:sz w:val="24"/>
          <w:szCs w:val="24"/>
        </w:rPr>
        <w:t>。</w:t>
      </w:r>
    </w:p>
    <w:p w14:paraId="51A2B4D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7</w:t>
      </w:r>
      <w:r>
        <w:rPr>
          <w:rFonts w:hint="eastAsia"/>
          <w:color w:val="000000" w:themeColor="text1"/>
          <w:sz w:val="24"/>
          <w:szCs w:val="24"/>
        </w:rPr>
        <w:t>）</w:t>
      </w:r>
      <w:r>
        <w:rPr>
          <w:color w:val="000000" w:themeColor="text1"/>
          <w:sz w:val="24"/>
          <w:szCs w:val="24"/>
        </w:rPr>
        <w:t>火炬或燃烧筒出口距离高压电线、民舍等固定设施的距离大于</w:t>
      </w:r>
      <w:r>
        <w:rPr>
          <w:color w:val="000000" w:themeColor="text1"/>
          <w:sz w:val="24"/>
          <w:szCs w:val="24"/>
        </w:rPr>
        <w:t>100m</w:t>
      </w:r>
      <w:r>
        <w:rPr>
          <w:color w:val="000000" w:themeColor="text1"/>
          <w:sz w:val="24"/>
          <w:szCs w:val="24"/>
        </w:rPr>
        <w:t>，井场周围有防火隔离墙或隔离带，隔离带宽度不小于</w:t>
      </w:r>
      <w:r>
        <w:rPr>
          <w:color w:val="000000" w:themeColor="text1"/>
          <w:sz w:val="24"/>
          <w:szCs w:val="24"/>
        </w:rPr>
        <w:t>50m</w:t>
      </w:r>
      <w:r>
        <w:rPr>
          <w:color w:val="000000" w:themeColor="text1"/>
          <w:sz w:val="24"/>
          <w:szCs w:val="24"/>
        </w:rPr>
        <w:t>。</w:t>
      </w:r>
    </w:p>
    <w:p w14:paraId="69FFC5A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8</w:t>
      </w:r>
      <w:r>
        <w:rPr>
          <w:rFonts w:hint="eastAsia"/>
          <w:color w:val="000000" w:themeColor="text1"/>
          <w:sz w:val="24"/>
          <w:szCs w:val="24"/>
        </w:rPr>
        <w:t>）</w:t>
      </w:r>
      <w:r>
        <w:rPr>
          <w:color w:val="000000" w:themeColor="text1"/>
          <w:sz w:val="24"/>
          <w:szCs w:val="24"/>
        </w:rPr>
        <w:t>确保相邻两井不发生窜漏、井眼相碰等井下复杂情况，丛式井地面井口安全距离要求为：单钻机单排布井方式井间距</w:t>
      </w:r>
      <w:r>
        <w:rPr>
          <w:color w:val="000000" w:themeColor="text1"/>
          <w:sz w:val="24"/>
          <w:szCs w:val="24"/>
        </w:rPr>
        <w:t>8m</w:t>
      </w:r>
      <w:r>
        <w:rPr>
          <w:color w:val="000000" w:themeColor="text1"/>
          <w:sz w:val="24"/>
          <w:szCs w:val="24"/>
        </w:rPr>
        <w:t>；单钻机双排布井方式井间距</w:t>
      </w:r>
      <w:r>
        <w:rPr>
          <w:color w:val="000000" w:themeColor="text1"/>
          <w:sz w:val="24"/>
          <w:szCs w:val="24"/>
        </w:rPr>
        <w:t>8m</w:t>
      </w:r>
      <w:r>
        <w:rPr>
          <w:color w:val="000000" w:themeColor="text1"/>
          <w:sz w:val="24"/>
          <w:szCs w:val="24"/>
        </w:rPr>
        <w:t>、排间距</w:t>
      </w:r>
      <w:r>
        <w:rPr>
          <w:color w:val="000000" w:themeColor="text1"/>
          <w:sz w:val="24"/>
          <w:szCs w:val="24"/>
        </w:rPr>
        <w:t>13m</w:t>
      </w:r>
      <w:r>
        <w:rPr>
          <w:color w:val="000000" w:themeColor="text1"/>
          <w:sz w:val="24"/>
          <w:szCs w:val="24"/>
        </w:rPr>
        <w:t>；用双钻机双排布井方式井间距</w:t>
      </w:r>
      <w:r>
        <w:rPr>
          <w:color w:val="000000" w:themeColor="text1"/>
          <w:sz w:val="24"/>
          <w:szCs w:val="24"/>
        </w:rPr>
        <w:t>8m</w:t>
      </w:r>
      <w:r>
        <w:rPr>
          <w:color w:val="000000" w:themeColor="text1"/>
          <w:sz w:val="24"/>
          <w:szCs w:val="24"/>
        </w:rPr>
        <w:t>、排间距</w:t>
      </w:r>
      <w:r>
        <w:rPr>
          <w:color w:val="000000" w:themeColor="text1"/>
          <w:sz w:val="24"/>
          <w:szCs w:val="24"/>
        </w:rPr>
        <w:t>45</w:t>
      </w:r>
      <w:r>
        <w:rPr>
          <w:color w:val="000000" w:themeColor="text1"/>
          <w:sz w:val="24"/>
          <w:szCs w:val="24"/>
        </w:rPr>
        <w:t>～</w:t>
      </w:r>
      <w:r>
        <w:rPr>
          <w:color w:val="000000" w:themeColor="text1"/>
          <w:sz w:val="24"/>
          <w:szCs w:val="24"/>
        </w:rPr>
        <w:t>50m</w:t>
      </w:r>
      <w:r>
        <w:rPr>
          <w:color w:val="000000" w:themeColor="text1"/>
          <w:sz w:val="24"/>
          <w:szCs w:val="24"/>
        </w:rPr>
        <w:t>。</w:t>
      </w:r>
    </w:p>
    <w:p w14:paraId="144DE6E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9</w:t>
      </w:r>
      <w:r>
        <w:rPr>
          <w:rFonts w:hint="eastAsia"/>
          <w:color w:val="000000" w:themeColor="text1"/>
          <w:sz w:val="24"/>
          <w:szCs w:val="24"/>
        </w:rPr>
        <w:t>）</w:t>
      </w:r>
      <w:r>
        <w:rPr>
          <w:color w:val="000000" w:themeColor="text1"/>
          <w:sz w:val="24"/>
          <w:szCs w:val="24"/>
        </w:rPr>
        <w:t>在地下矿产采掘区钻井时，井筒与采掘坑道、矿井坑道的安全间距大于</w:t>
      </w:r>
      <w:r>
        <w:rPr>
          <w:color w:val="000000" w:themeColor="text1"/>
          <w:sz w:val="24"/>
          <w:szCs w:val="24"/>
        </w:rPr>
        <w:t>200m</w:t>
      </w:r>
      <w:r>
        <w:rPr>
          <w:color w:val="000000" w:themeColor="text1"/>
          <w:sz w:val="24"/>
          <w:szCs w:val="24"/>
        </w:rPr>
        <w:t>。</w:t>
      </w:r>
    </w:p>
    <w:p w14:paraId="0B9F892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10</w:t>
      </w:r>
      <w:r>
        <w:rPr>
          <w:rFonts w:hint="eastAsia"/>
          <w:color w:val="000000" w:themeColor="text1"/>
          <w:sz w:val="24"/>
          <w:szCs w:val="24"/>
        </w:rPr>
        <w:t>）</w:t>
      </w:r>
      <w:r>
        <w:rPr>
          <w:color w:val="000000" w:themeColor="text1"/>
          <w:sz w:val="24"/>
          <w:szCs w:val="24"/>
        </w:rPr>
        <w:t>井场设置两条逃生通道，其夹角不应小于</w:t>
      </w:r>
      <w:r>
        <w:rPr>
          <w:color w:val="000000" w:themeColor="text1"/>
          <w:sz w:val="24"/>
          <w:szCs w:val="24"/>
        </w:rPr>
        <w:t>90°</w:t>
      </w:r>
      <w:r>
        <w:rPr>
          <w:color w:val="000000" w:themeColor="text1"/>
          <w:sz w:val="24"/>
          <w:szCs w:val="24"/>
        </w:rPr>
        <w:t>。井场周围需要设置有明显的安全警示标识，并设置安全隔离带</w:t>
      </w:r>
      <w:r>
        <w:rPr>
          <w:rFonts w:hint="eastAsia"/>
          <w:color w:val="000000" w:themeColor="text1"/>
          <w:sz w:val="24"/>
          <w:szCs w:val="24"/>
        </w:rPr>
        <w:t>（</w:t>
      </w:r>
      <w:r>
        <w:rPr>
          <w:color w:val="000000" w:themeColor="text1"/>
          <w:sz w:val="24"/>
          <w:szCs w:val="24"/>
        </w:rPr>
        <w:t>沟</w:t>
      </w:r>
      <w:r>
        <w:rPr>
          <w:rFonts w:hint="eastAsia"/>
          <w:color w:val="000000" w:themeColor="text1"/>
          <w:sz w:val="24"/>
          <w:szCs w:val="24"/>
        </w:rPr>
        <w:t>）</w:t>
      </w:r>
      <w:r>
        <w:rPr>
          <w:color w:val="000000" w:themeColor="text1"/>
          <w:sz w:val="24"/>
          <w:szCs w:val="24"/>
        </w:rPr>
        <w:t>。</w:t>
      </w:r>
    </w:p>
    <w:p w14:paraId="025D6C39" w14:textId="77777777" w:rsidR="002E0859" w:rsidRDefault="00000000">
      <w:pPr>
        <w:widowControl/>
        <w:topLinePunct w:val="0"/>
        <w:autoSpaceDE w:val="0"/>
        <w:autoSpaceDN w:val="0"/>
        <w:spacing w:line="360" w:lineRule="auto"/>
        <w:ind w:firstLine="476"/>
        <w:jc w:val="left"/>
        <w:textAlignment w:val="baseline"/>
        <w:rPr>
          <w:snapToGrid w:val="0"/>
          <w:color w:val="000000" w:themeColor="text1"/>
          <w:kern w:val="0"/>
          <w:sz w:val="24"/>
          <w:szCs w:val="24"/>
          <w:lang w:eastAsia="en-US"/>
        </w:rPr>
      </w:pPr>
      <w:r>
        <w:rPr>
          <w:rFonts w:hint="eastAsia"/>
          <w:snapToGrid w:val="0"/>
          <w:color w:val="000000" w:themeColor="text1"/>
          <w:spacing w:val="-1"/>
          <w:kern w:val="0"/>
          <w:sz w:val="24"/>
          <w:szCs w:val="24"/>
        </w:rPr>
        <w:t>11</w:t>
      </w:r>
      <w:r>
        <w:rPr>
          <w:rFonts w:hint="eastAsia"/>
          <w:snapToGrid w:val="0"/>
          <w:color w:val="000000" w:themeColor="text1"/>
          <w:spacing w:val="-1"/>
          <w:kern w:val="0"/>
          <w:sz w:val="24"/>
          <w:szCs w:val="24"/>
        </w:rPr>
        <w:t>）</w:t>
      </w:r>
      <w:r>
        <w:rPr>
          <w:snapToGrid w:val="0"/>
          <w:color w:val="000000" w:themeColor="text1"/>
          <w:spacing w:val="-1"/>
          <w:kern w:val="0"/>
          <w:sz w:val="24"/>
          <w:szCs w:val="24"/>
          <w:lang w:eastAsia="en-US"/>
        </w:rPr>
        <w:t>在钻井作业过程中依据《石油天然气钻井、</w:t>
      </w:r>
      <w:r>
        <w:rPr>
          <w:snapToGrid w:val="0"/>
          <w:color w:val="000000" w:themeColor="text1"/>
          <w:spacing w:val="-2"/>
          <w:kern w:val="0"/>
          <w:sz w:val="24"/>
          <w:szCs w:val="24"/>
          <w:lang w:eastAsia="en-US"/>
        </w:rPr>
        <w:t>开发、储运防火防爆安全生产技术规程》（</w:t>
      </w:r>
      <w:r>
        <w:rPr>
          <w:snapToGrid w:val="0"/>
          <w:color w:val="000000" w:themeColor="text1"/>
          <w:spacing w:val="-2"/>
          <w:kern w:val="0"/>
          <w:sz w:val="24"/>
          <w:szCs w:val="24"/>
          <w:lang w:eastAsia="en-US"/>
        </w:rPr>
        <w:t>SY/T5225-2019</w:t>
      </w:r>
      <w:r>
        <w:rPr>
          <w:snapToGrid w:val="0"/>
          <w:color w:val="000000" w:themeColor="text1"/>
          <w:spacing w:val="-1"/>
          <w:kern w:val="0"/>
          <w:sz w:val="24"/>
          <w:szCs w:val="24"/>
          <w:lang w:eastAsia="en-US"/>
        </w:rPr>
        <w:t>），</w:t>
      </w:r>
      <w:r>
        <w:rPr>
          <w:snapToGrid w:val="0"/>
          <w:color w:val="000000" w:themeColor="text1"/>
          <w:spacing w:val="-2"/>
          <w:kern w:val="0"/>
          <w:sz w:val="24"/>
          <w:szCs w:val="24"/>
          <w:lang w:eastAsia="en-US"/>
        </w:rPr>
        <w:t>钻井现场生活区与井口的距离应</w:t>
      </w:r>
      <w:r>
        <w:rPr>
          <w:snapToGrid w:val="0"/>
          <w:color w:val="000000" w:themeColor="text1"/>
          <w:spacing w:val="-3"/>
          <w:kern w:val="0"/>
          <w:sz w:val="24"/>
          <w:szCs w:val="24"/>
          <w:lang w:eastAsia="en-US"/>
        </w:rPr>
        <w:t>不小于</w:t>
      </w:r>
      <w:r>
        <w:rPr>
          <w:snapToGrid w:val="0"/>
          <w:color w:val="000000" w:themeColor="text1"/>
          <w:spacing w:val="-3"/>
          <w:kern w:val="0"/>
          <w:sz w:val="24"/>
          <w:szCs w:val="24"/>
          <w:lang w:eastAsia="en-US"/>
        </w:rPr>
        <w:t>100m</w:t>
      </w:r>
      <w:r>
        <w:rPr>
          <w:snapToGrid w:val="0"/>
          <w:color w:val="000000" w:themeColor="text1"/>
          <w:spacing w:val="-3"/>
          <w:kern w:val="0"/>
          <w:sz w:val="24"/>
          <w:szCs w:val="24"/>
          <w:lang w:eastAsia="en-US"/>
        </w:rPr>
        <w:t>；发电房、</w:t>
      </w:r>
      <w:r>
        <w:rPr>
          <w:snapToGrid w:val="0"/>
          <w:color w:val="000000" w:themeColor="text1"/>
          <w:spacing w:val="-2"/>
          <w:kern w:val="0"/>
          <w:sz w:val="24"/>
          <w:szCs w:val="24"/>
          <w:lang w:eastAsia="en-US"/>
        </w:rPr>
        <w:t>值班房、储油罐距离井口应不小于</w:t>
      </w:r>
      <w:r>
        <w:rPr>
          <w:snapToGrid w:val="0"/>
          <w:color w:val="000000" w:themeColor="text1"/>
          <w:spacing w:val="-2"/>
          <w:kern w:val="0"/>
          <w:sz w:val="24"/>
          <w:szCs w:val="24"/>
          <w:lang w:eastAsia="en-US"/>
        </w:rPr>
        <w:t>30m</w:t>
      </w:r>
      <w:r>
        <w:rPr>
          <w:snapToGrid w:val="0"/>
          <w:color w:val="000000" w:themeColor="text1"/>
          <w:spacing w:val="-2"/>
          <w:kern w:val="0"/>
          <w:sz w:val="24"/>
          <w:szCs w:val="24"/>
          <w:lang w:eastAsia="en-US"/>
        </w:rPr>
        <w:t>；锅炉房距井口应不小于</w:t>
      </w:r>
      <w:r>
        <w:rPr>
          <w:snapToGrid w:val="0"/>
          <w:color w:val="000000" w:themeColor="text1"/>
          <w:spacing w:val="-2"/>
          <w:kern w:val="0"/>
          <w:sz w:val="24"/>
          <w:szCs w:val="24"/>
          <w:lang w:eastAsia="en-US"/>
        </w:rPr>
        <w:t>50m</w:t>
      </w:r>
      <w:r>
        <w:rPr>
          <w:snapToGrid w:val="0"/>
          <w:color w:val="000000" w:themeColor="text1"/>
          <w:spacing w:val="-2"/>
          <w:kern w:val="0"/>
          <w:sz w:val="24"/>
          <w:szCs w:val="24"/>
          <w:lang w:eastAsia="en-US"/>
        </w:rPr>
        <w:t>。</w:t>
      </w:r>
    </w:p>
    <w:p w14:paraId="550D6C05" w14:textId="77777777" w:rsidR="002E0859" w:rsidRDefault="00000000">
      <w:pPr>
        <w:widowControl/>
        <w:kinsoku w:val="0"/>
        <w:topLinePunct w:val="0"/>
        <w:autoSpaceDE w:val="0"/>
        <w:autoSpaceDN w:val="0"/>
        <w:spacing w:line="360" w:lineRule="auto"/>
        <w:ind w:firstLine="444"/>
        <w:jc w:val="left"/>
        <w:textAlignment w:val="baseline"/>
        <w:rPr>
          <w:snapToGrid w:val="0"/>
          <w:color w:val="000000" w:themeColor="text1"/>
          <w:kern w:val="0"/>
          <w:sz w:val="24"/>
          <w:szCs w:val="24"/>
          <w:lang w:eastAsia="en-US"/>
        </w:rPr>
      </w:pPr>
      <w:r>
        <w:rPr>
          <w:rFonts w:hint="eastAsia"/>
          <w:snapToGrid w:val="0"/>
          <w:color w:val="000000" w:themeColor="text1"/>
          <w:spacing w:val="-9"/>
          <w:kern w:val="0"/>
          <w:sz w:val="24"/>
          <w:szCs w:val="24"/>
        </w:rPr>
        <w:t>（</w:t>
      </w:r>
      <w:r>
        <w:rPr>
          <w:rFonts w:hint="eastAsia"/>
          <w:snapToGrid w:val="0"/>
          <w:color w:val="000000" w:themeColor="text1"/>
          <w:spacing w:val="-9"/>
          <w:kern w:val="0"/>
          <w:sz w:val="24"/>
          <w:szCs w:val="24"/>
        </w:rPr>
        <w:t>2</w:t>
      </w:r>
      <w:r>
        <w:rPr>
          <w:rFonts w:hint="eastAsia"/>
          <w:snapToGrid w:val="0"/>
          <w:color w:val="000000" w:themeColor="text1"/>
          <w:spacing w:val="-9"/>
          <w:kern w:val="0"/>
          <w:sz w:val="24"/>
          <w:szCs w:val="24"/>
        </w:rPr>
        <w:t>）</w:t>
      </w:r>
      <w:r>
        <w:rPr>
          <w:snapToGrid w:val="0"/>
          <w:color w:val="000000" w:themeColor="text1"/>
          <w:spacing w:val="-9"/>
          <w:kern w:val="0"/>
          <w:sz w:val="24"/>
          <w:szCs w:val="24"/>
          <w:lang w:eastAsia="en-US"/>
        </w:rPr>
        <w:t>井控措施</w:t>
      </w:r>
    </w:p>
    <w:p w14:paraId="7EF5E730"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lang w:eastAsia="en-US"/>
        </w:rPr>
        <w:t>根据所钻地层最高地层压力选用合适等级的液压防喷器和管汇。井控装置试压符合标准规定，并同时进行低、高压密封试验。</w:t>
      </w:r>
    </w:p>
    <w:p w14:paraId="3AB31872"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lastRenderedPageBreak/>
        <w:t>2</w:t>
      </w:r>
      <w:r>
        <w:rPr>
          <w:rFonts w:hint="eastAsia"/>
          <w:color w:val="000000" w:themeColor="text1"/>
          <w:sz w:val="24"/>
          <w:szCs w:val="24"/>
        </w:rPr>
        <w:t>）</w:t>
      </w:r>
      <w:r>
        <w:rPr>
          <w:color w:val="000000" w:themeColor="text1"/>
          <w:sz w:val="24"/>
          <w:szCs w:val="24"/>
          <w:lang w:eastAsia="en-US"/>
        </w:rPr>
        <w:t>重视浅层气井控和</w:t>
      </w:r>
      <w:r>
        <w:rPr>
          <w:color w:val="000000" w:themeColor="text1"/>
          <w:sz w:val="24"/>
          <w:szCs w:val="24"/>
          <w:lang w:eastAsia="en-US"/>
        </w:rPr>
        <w:t>H</w:t>
      </w:r>
      <w:r>
        <w:rPr>
          <w:color w:val="000000" w:themeColor="text1"/>
          <w:sz w:val="24"/>
          <w:szCs w:val="24"/>
          <w:vertAlign w:val="subscript"/>
          <w:lang w:eastAsia="en-US"/>
        </w:rPr>
        <w:t>2</w:t>
      </w:r>
      <w:r>
        <w:rPr>
          <w:color w:val="000000" w:themeColor="text1"/>
          <w:sz w:val="24"/>
          <w:szCs w:val="24"/>
          <w:lang w:eastAsia="en-US"/>
        </w:rPr>
        <w:t>S</w:t>
      </w:r>
      <w:r>
        <w:rPr>
          <w:color w:val="000000" w:themeColor="text1"/>
          <w:sz w:val="24"/>
          <w:szCs w:val="24"/>
          <w:lang w:eastAsia="en-US"/>
        </w:rPr>
        <w:t>防护工作。地质录井队在进入含</w:t>
      </w:r>
      <w:r>
        <w:rPr>
          <w:color w:val="000000" w:themeColor="text1"/>
          <w:sz w:val="24"/>
          <w:szCs w:val="24"/>
          <w:lang w:eastAsia="en-US"/>
        </w:rPr>
        <w:t>H</w:t>
      </w:r>
      <w:r>
        <w:rPr>
          <w:color w:val="000000" w:themeColor="text1"/>
          <w:sz w:val="24"/>
          <w:szCs w:val="24"/>
          <w:vertAlign w:val="subscript"/>
          <w:lang w:eastAsia="en-US"/>
        </w:rPr>
        <w:t>2</w:t>
      </w:r>
      <w:r>
        <w:rPr>
          <w:color w:val="000000" w:themeColor="text1"/>
          <w:sz w:val="24"/>
          <w:szCs w:val="24"/>
          <w:lang w:eastAsia="en-US"/>
        </w:rPr>
        <w:t>S</w:t>
      </w:r>
      <w:r>
        <w:rPr>
          <w:color w:val="000000" w:themeColor="text1"/>
          <w:sz w:val="24"/>
          <w:szCs w:val="24"/>
          <w:lang w:eastAsia="en-US"/>
        </w:rPr>
        <w:t>地层前</w:t>
      </w:r>
      <w:r>
        <w:rPr>
          <w:color w:val="000000" w:themeColor="text1"/>
          <w:sz w:val="24"/>
          <w:szCs w:val="24"/>
          <w:lang w:eastAsia="en-US"/>
        </w:rPr>
        <w:t>100m</w:t>
      </w:r>
      <w:r>
        <w:rPr>
          <w:color w:val="000000" w:themeColor="text1"/>
          <w:sz w:val="24"/>
          <w:szCs w:val="24"/>
          <w:lang w:eastAsia="en-US"/>
        </w:rPr>
        <w:t>，通知钻井队做好防范措施，穿越含</w:t>
      </w:r>
      <w:r>
        <w:rPr>
          <w:color w:val="000000" w:themeColor="text1"/>
          <w:sz w:val="24"/>
          <w:szCs w:val="24"/>
          <w:lang w:eastAsia="en-US"/>
        </w:rPr>
        <w:t>H</w:t>
      </w:r>
      <w:r>
        <w:rPr>
          <w:color w:val="000000" w:themeColor="text1"/>
          <w:sz w:val="24"/>
          <w:szCs w:val="24"/>
          <w:vertAlign w:val="subscript"/>
          <w:lang w:eastAsia="en-US"/>
        </w:rPr>
        <w:t>2</w:t>
      </w:r>
      <w:r>
        <w:rPr>
          <w:color w:val="000000" w:themeColor="text1"/>
          <w:sz w:val="24"/>
          <w:szCs w:val="24"/>
          <w:lang w:eastAsia="en-US"/>
        </w:rPr>
        <w:t>S</w:t>
      </w:r>
      <w:r>
        <w:rPr>
          <w:color w:val="000000" w:themeColor="text1"/>
          <w:sz w:val="24"/>
          <w:szCs w:val="24"/>
          <w:lang w:eastAsia="en-US"/>
        </w:rPr>
        <w:t>地层时，及时预报</w:t>
      </w:r>
      <w:r>
        <w:rPr>
          <w:color w:val="000000" w:themeColor="text1"/>
          <w:sz w:val="24"/>
          <w:szCs w:val="24"/>
          <w:lang w:eastAsia="en-US"/>
        </w:rPr>
        <w:t>H</w:t>
      </w:r>
      <w:r>
        <w:rPr>
          <w:color w:val="000000" w:themeColor="text1"/>
          <w:sz w:val="24"/>
          <w:szCs w:val="24"/>
          <w:vertAlign w:val="subscript"/>
          <w:lang w:eastAsia="en-US"/>
        </w:rPr>
        <w:t>2</w:t>
      </w:r>
      <w:r>
        <w:rPr>
          <w:color w:val="000000" w:themeColor="text1"/>
          <w:sz w:val="24"/>
          <w:szCs w:val="24"/>
          <w:lang w:eastAsia="en-US"/>
        </w:rPr>
        <w:t>S</w:t>
      </w:r>
      <w:r>
        <w:rPr>
          <w:color w:val="000000" w:themeColor="text1"/>
          <w:sz w:val="24"/>
          <w:szCs w:val="24"/>
          <w:lang w:eastAsia="en-US"/>
        </w:rPr>
        <w:t>含量；钻井队钻至长兴组之前，由泡沫钻转换成泥浆钻进，防止</w:t>
      </w:r>
      <w:r>
        <w:rPr>
          <w:color w:val="000000" w:themeColor="text1"/>
          <w:sz w:val="24"/>
          <w:szCs w:val="24"/>
          <w:lang w:eastAsia="en-US"/>
        </w:rPr>
        <w:t>H</w:t>
      </w:r>
      <w:r>
        <w:rPr>
          <w:color w:val="000000" w:themeColor="text1"/>
          <w:sz w:val="24"/>
          <w:szCs w:val="24"/>
          <w:vertAlign w:val="subscript"/>
          <w:lang w:eastAsia="en-US"/>
        </w:rPr>
        <w:t>2</w:t>
      </w:r>
      <w:r>
        <w:rPr>
          <w:color w:val="000000" w:themeColor="text1"/>
          <w:sz w:val="24"/>
          <w:szCs w:val="24"/>
          <w:lang w:eastAsia="en-US"/>
        </w:rPr>
        <w:t>S</w:t>
      </w:r>
      <w:r>
        <w:rPr>
          <w:color w:val="000000" w:themeColor="text1"/>
          <w:sz w:val="24"/>
          <w:szCs w:val="24"/>
          <w:lang w:eastAsia="en-US"/>
        </w:rPr>
        <w:t>溢出，并加强钻井液</w:t>
      </w:r>
      <w:r>
        <w:rPr>
          <w:color w:val="000000" w:themeColor="text1"/>
          <w:sz w:val="24"/>
          <w:szCs w:val="24"/>
          <w:lang w:eastAsia="en-US"/>
        </w:rPr>
        <w:t>PH</w:t>
      </w:r>
      <w:r>
        <w:rPr>
          <w:color w:val="000000" w:themeColor="text1"/>
          <w:sz w:val="24"/>
          <w:szCs w:val="24"/>
          <w:lang w:eastAsia="en-US"/>
        </w:rPr>
        <w:t>值的监测，及时补充除硫剂；空气钻穿越茅口组，井筒天然气含量超过规定值时，及时转换泥浆钻井。</w:t>
      </w:r>
    </w:p>
    <w:p w14:paraId="03BD9892"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lang w:eastAsia="en-US"/>
        </w:rPr>
        <w:t>为防止浅层气井喷，在浅层气区域要按照作业要求进行作业：</w:t>
      </w:r>
    </w:p>
    <w:p w14:paraId="1B92D3A3"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a.</w:t>
      </w:r>
      <w:r>
        <w:rPr>
          <w:color w:val="000000" w:themeColor="text1"/>
          <w:sz w:val="24"/>
          <w:szCs w:val="24"/>
          <w:lang w:eastAsia="en-US"/>
        </w:rPr>
        <w:t>在开钻前进行地层剖面测量；</w:t>
      </w:r>
    </w:p>
    <w:p w14:paraId="6ACDC956"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b.</w:t>
      </w:r>
      <w:r>
        <w:rPr>
          <w:color w:val="000000" w:themeColor="text1"/>
          <w:sz w:val="24"/>
          <w:szCs w:val="24"/>
          <w:lang w:eastAsia="en-US"/>
        </w:rPr>
        <w:t>设计合理的井身结构，安装可靠的井控设备；</w:t>
      </w:r>
    </w:p>
    <w:p w14:paraId="73B1E020"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c.</w:t>
      </w:r>
      <w:r>
        <w:rPr>
          <w:color w:val="000000" w:themeColor="text1"/>
          <w:sz w:val="24"/>
          <w:szCs w:val="24"/>
          <w:lang w:eastAsia="en-US"/>
        </w:rPr>
        <w:t>准确预测地层压力；</w:t>
      </w:r>
    </w:p>
    <w:p w14:paraId="09F01D72"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d.</w:t>
      </w:r>
      <w:r>
        <w:rPr>
          <w:color w:val="000000" w:themeColor="text1"/>
          <w:sz w:val="24"/>
          <w:szCs w:val="24"/>
          <w:lang w:eastAsia="en-US"/>
        </w:rPr>
        <w:t>使用密度合理的钻井液，并储备足够的加重泥浆；</w:t>
      </w:r>
    </w:p>
    <w:p w14:paraId="5BA64E97"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e.</w:t>
      </w:r>
      <w:r>
        <w:rPr>
          <w:color w:val="000000" w:themeColor="text1"/>
          <w:sz w:val="24"/>
          <w:szCs w:val="24"/>
          <w:lang w:eastAsia="en-US"/>
        </w:rPr>
        <w:t>在钻进过程中要将钻速控制在</w:t>
      </w:r>
      <w:r>
        <w:rPr>
          <w:color w:val="000000" w:themeColor="text1"/>
          <w:sz w:val="24"/>
          <w:szCs w:val="24"/>
          <w:lang w:eastAsia="en-US"/>
        </w:rPr>
        <w:t>20m/h</w:t>
      </w:r>
      <w:r>
        <w:rPr>
          <w:color w:val="000000" w:themeColor="text1"/>
          <w:sz w:val="24"/>
          <w:szCs w:val="24"/>
          <w:lang w:eastAsia="en-US"/>
        </w:rPr>
        <w:t>～</w:t>
      </w:r>
      <w:r>
        <w:rPr>
          <w:color w:val="000000" w:themeColor="text1"/>
          <w:sz w:val="24"/>
          <w:szCs w:val="24"/>
          <w:lang w:eastAsia="en-US"/>
        </w:rPr>
        <w:t>30m/h</w:t>
      </w:r>
      <w:r>
        <w:rPr>
          <w:color w:val="000000" w:themeColor="text1"/>
          <w:sz w:val="24"/>
          <w:szCs w:val="24"/>
          <w:lang w:eastAsia="en-US"/>
        </w:rPr>
        <w:t>，保证井眼的清洁，防止因钻井液中岩屑过多在造成井漏导致井喷；</w:t>
      </w:r>
    </w:p>
    <w:p w14:paraId="1621EF31"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f.</w:t>
      </w:r>
      <w:r>
        <w:rPr>
          <w:color w:val="000000" w:themeColor="text1"/>
          <w:sz w:val="24"/>
          <w:szCs w:val="24"/>
          <w:lang w:eastAsia="en-US"/>
        </w:rPr>
        <w:t>防止在起钻过程发生井喷；</w:t>
      </w:r>
    </w:p>
    <w:p w14:paraId="2EE1F9B4"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g.</w:t>
      </w:r>
      <w:r>
        <w:rPr>
          <w:color w:val="000000" w:themeColor="text1"/>
          <w:sz w:val="24"/>
          <w:szCs w:val="24"/>
          <w:lang w:eastAsia="en-US"/>
        </w:rPr>
        <w:t>避免</w:t>
      </w:r>
      <w:r>
        <w:rPr>
          <w:color w:val="000000" w:themeColor="text1"/>
          <w:sz w:val="24"/>
          <w:szCs w:val="24"/>
          <w:lang w:eastAsia="en-US"/>
        </w:rPr>
        <w:t>“</w:t>
      </w:r>
      <w:r>
        <w:rPr>
          <w:color w:val="000000" w:themeColor="text1"/>
          <w:sz w:val="24"/>
          <w:szCs w:val="24"/>
          <w:lang w:eastAsia="en-US"/>
        </w:rPr>
        <w:t>拔活塞</w:t>
      </w:r>
      <w:r>
        <w:rPr>
          <w:color w:val="000000" w:themeColor="text1"/>
          <w:sz w:val="24"/>
          <w:szCs w:val="24"/>
          <w:lang w:eastAsia="en-US"/>
        </w:rPr>
        <w:t>”</w:t>
      </w:r>
      <w:r>
        <w:rPr>
          <w:color w:val="000000" w:themeColor="text1"/>
          <w:sz w:val="24"/>
          <w:szCs w:val="24"/>
          <w:lang w:eastAsia="en-US"/>
        </w:rPr>
        <w:t>起钻；</w:t>
      </w:r>
    </w:p>
    <w:p w14:paraId="2E352C22"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h.</w:t>
      </w:r>
      <w:r>
        <w:rPr>
          <w:color w:val="000000" w:themeColor="text1"/>
          <w:sz w:val="24"/>
          <w:szCs w:val="24"/>
          <w:lang w:eastAsia="en-US"/>
        </w:rPr>
        <w:t>防止在下钻过程中发生井喷；</w:t>
      </w:r>
    </w:p>
    <w:p w14:paraId="48EAE19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i.</w:t>
      </w:r>
      <w:r>
        <w:rPr>
          <w:color w:val="000000" w:themeColor="text1"/>
          <w:sz w:val="24"/>
          <w:szCs w:val="24"/>
          <w:lang w:eastAsia="en-US"/>
        </w:rPr>
        <w:t>停泵时间不能过长；</w:t>
      </w:r>
    </w:p>
    <w:p w14:paraId="75DDB532"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j.</w:t>
      </w:r>
      <w:r>
        <w:rPr>
          <w:color w:val="000000" w:themeColor="text1"/>
          <w:sz w:val="24"/>
          <w:szCs w:val="24"/>
          <w:lang w:eastAsia="en-US"/>
        </w:rPr>
        <w:t>防漏、防异常高压层；</w:t>
      </w:r>
    </w:p>
    <w:p w14:paraId="557D40B7"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k.</w:t>
      </w:r>
      <w:r>
        <w:rPr>
          <w:color w:val="000000" w:themeColor="text1"/>
          <w:sz w:val="24"/>
          <w:szCs w:val="24"/>
          <w:lang w:eastAsia="en-US"/>
        </w:rPr>
        <w:t>测定套管鞋处的地层破裂压力；</w:t>
      </w:r>
    </w:p>
    <w:p w14:paraId="41288891"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lang w:eastAsia="en-US"/>
        </w:rPr>
        <w:t>为防止钻井过程中遇到硫化氢发生溢流，出现硫化氢随空气流体返出至地面造成人员中毒事故，应有如下措施：</w:t>
      </w:r>
    </w:p>
    <w:p w14:paraId="4B0C0595"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a.</w:t>
      </w:r>
      <w:r>
        <w:rPr>
          <w:color w:val="000000" w:themeColor="text1"/>
          <w:sz w:val="24"/>
          <w:szCs w:val="24"/>
          <w:lang w:eastAsia="en-US"/>
        </w:rPr>
        <w:t>凡在可能含有硫化氢场所工作的人员，均接受</w:t>
      </w:r>
      <w:r>
        <w:rPr>
          <w:snapToGrid w:val="0"/>
          <w:color w:val="000000" w:themeColor="text1"/>
          <w:kern w:val="0"/>
          <w:sz w:val="24"/>
          <w:szCs w:val="24"/>
          <w:lang w:eastAsia="en-US"/>
        </w:rPr>
        <w:t>硫化氢防护培训，并取得</w:t>
      </w:r>
      <w:r>
        <w:rPr>
          <w:snapToGrid w:val="0"/>
          <w:color w:val="000000" w:themeColor="text1"/>
          <w:kern w:val="0"/>
          <w:sz w:val="24"/>
          <w:szCs w:val="24"/>
          <w:lang w:eastAsia="en-US"/>
        </w:rPr>
        <w:t>“</w:t>
      </w:r>
      <w:r>
        <w:rPr>
          <w:snapToGrid w:val="0"/>
          <w:color w:val="000000" w:themeColor="text1"/>
          <w:kern w:val="0"/>
          <w:sz w:val="24"/>
          <w:szCs w:val="24"/>
          <w:lang w:eastAsia="en-US"/>
        </w:rPr>
        <w:t>硫化氢</w:t>
      </w:r>
      <w:r>
        <w:rPr>
          <w:color w:val="000000" w:themeColor="text1"/>
          <w:sz w:val="24"/>
          <w:szCs w:val="24"/>
          <w:lang w:eastAsia="en-US"/>
        </w:rPr>
        <w:t>防护技术培训证书</w:t>
      </w:r>
      <w:r>
        <w:rPr>
          <w:color w:val="000000" w:themeColor="text1"/>
          <w:sz w:val="24"/>
          <w:szCs w:val="24"/>
          <w:lang w:eastAsia="en-US"/>
        </w:rPr>
        <w:t>”</w:t>
      </w:r>
      <w:r>
        <w:rPr>
          <w:color w:val="000000" w:themeColor="text1"/>
          <w:sz w:val="24"/>
          <w:szCs w:val="24"/>
          <w:lang w:eastAsia="en-US"/>
        </w:rPr>
        <w:t>。</w:t>
      </w:r>
    </w:p>
    <w:p w14:paraId="273EF5F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b.</w:t>
      </w:r>
      <w:r>
        <w:rPr>
          <w:color w:val="000000" w:themeColor="text1"/>
          <w:sz w:val="24"/>
          <w:szCs w:val="24"/>
          <w:lang w:eastAsia="en-US"/>
        </w:rPr>
        <w:t>每人配备</w:t>
      </w:r>
      <w:r>
        <w:rPr>
          <w:color w:val="000000" w:themeColor="text1"/>
          <w:sz w:val="24"/>
          <w:szCs w:val="24"/>
          <w:lang w:eastAsia="en-US"/>
        </w:rPr>
        <w:t>1</w:t>
      </w:r>
      <w:r>
        <w:rPr>
          <w:color w:val="000000" w:themeColor="text1"/>
          <w:sz w:val="24"/>
          <w:szCs w:val="24"/>
          <w:lang w:eastAsia="en-US"/>
        </w:rPr>
        <w:t>套正压式空气呼吸器</w:t>
      </w:r>
      <w:r>
        <w:rPr>
          <w:rFonts w:hint="eastAsia"/>
          <w:color w:val="000000" w:themeColor="text1"/>
          <w:sz w:val="24"/>
          <w:szCs w:val="24"/>
        </w:rPr>
        <w:t>（</w:t>
      </w:r>
      <w:r>
        <w:rPr>
          <w:color w:val="000000" w:themeColor="text1"/>
          <w:sz w:val="24"/>
          <w:szCs w:val="24"/>
          <w:lang w:eastAsia="en-US"/>
        </w:rPr>
        <w:t>且留有备用</w:t>
      </w:r>
      <w:r>
        <w:rPr>
          <w:rFonts w:hint="eastAsia"/>
          <w:color w:val="000000" w:themeColor="text1"/>
          <w:sz w:val="24"/>
          <w:szCs w:val="24"/>
        </w:rPr>
        <w:t>）</w:t>
      </w:r>
      <w:r>
        <w:rPr>
          <w:color w:val="000000" w:themeColor="text1"/>
          <w:sz w:val="24"/>
          <w:szCs w:val="24"/>
          <w:lang w:eastAsia="en-US"/>
        </w:rPr>
        <w:t>和便携式硫化氢检测仪，井场安装固定式硫化氢检测仪传感器，可燃气体检测仪、正压式空气呼吸器、便携式应急照明灯具、防火服、半封闭式防毒口罩等。</w:t>
      </w:r>
    </w:p>
    <w:p w14:paraId="356F5149" w14:textId="77777777" w:rsidR="002E0859" w:rsidRDefault="00000000">
      <w:pPr>
        <w:pStyle w:val="a0"/>
        <w:spacing w:line="360" w:lineRule="auto"/>
        <w:ind w:firstLine="480"/>
        <w:rPr>
          <w:color w:val="000000" w:themeColor="text1"/>
          <w:sz w:val="24"/>
          <w:szCs w:val="24"/>
        </w:rPr>
      </w:pPr>
      <w:r>
        <w:rPr>
          <w:color w:val="000000" w:themeColor="text1"/>
          <w:sz w:val="24"/>
          <w:szCs w:val="24"/>
        </w:rPr>
        <w:t>c.</w:t>
      </w:r>
      <w:r>
        <w:rPr>
          <w:color w:val="000000" w:themeColor="text1"/>
          <w:sz w:val="24"/>
          <w:szCs w:val="24"/>
        </w:rPr>
        <w:t>在钻入气层时，依据现场情况加密对钻井液中硫化氢的测定，采取相应的硫化氢监测和预防措施。</w:t>
      </w:r>
    </w:p>
    <w:p w14:paraId="0A8E32B7" w14:textId="77777777" w:rsidR="002E0859" w:rsidRDefault="00000000">
      <w:pPr>
        <w:pStyle w:val="a0"/>
        <w:spacing w:line="360" w:lineRule="auto"/>
        <w:ind w:firstLine="480"/>
        <w:rPr>
          <w:color w:val="000000" w:themeColor="text1"/>
          <w:sz w:val="24"/>
          <w:szCs w:val="24"/>
        </w:rPr>
      </w:pPr>
      <w:r>
        <w:rPr>
          <w:color w:val="000000" w:themeColor="text1"/>
          <w:sz w:val="24"/>
          <w:szCs w:val="24"/>
        </w:rPr>
        <w:t>d.</w:t>
      </w:r>
      <w:r>
        <w:rPr>
          <w:color w:val="000000" w:themeColor="text1"/>
          <w:sz w:val="24"/>
          <w:szCs w:val="24"/>
        </w:rPr>
        <w:t>应对</w:t>
      </w:r>
      <w:r>
        <w:rPr>
          <w:color w:val="000000" w:themeColor="text1"/>
          <w:sz w:val="24"/>
          <w:szCs w:val="24"/>
        </w:rPr>
        <w:t>5km</w:t>
      </w:r>
      <w:r>
        <w:rPr>
          <w:color w:val="000000" w:themeColor="text1"/>
          <w:sz w:val="24"/>
          <w:szCs w:val="24"/>
        </w:rPr>
        <w:t>范围内的居民住宅、学校、厂矿等进行勘测，并在地质设计书上标明位置，绘制线路示意图。并标注</w:t>
      </w:r>
      <w:r>
        <w:rPr>
          <w:color w:val="000000" w:themeColor="text1"/>
          <w:sz w:val="24"/>
          <w:szCs w:val="24"/>
        </w:rPr>
        <w:t>500m</w:t>
      </w:r>
      <w:r>
        <w:rPr>
          <w:color w:val="000000" w:themeColor="text1"/>
          <w:sz w:val="24"/>
          <w:szCs w:val="24"/>
        </w:rPr>
        <w:t>内的人口分布图，以便在有硫化氢溢出井口的危险情况下，及时通知上述人员迅速撤离。</w:t>
      </w:r>
    </w:p>
    <w:p w14:paraId="0C3C5E1E" w14:textId="77777777" w:rsidR="002E0859" w:rsidRDefault="00000000">
      <w:pPr>
        <w:pStyle w:val="a0"/>
        <w:spacing w:line="360" w:lineRule="auto"/>
        <w:ind w:firstLine="480"/>
        <w:rPr>
          <w:color w:val="000000" w:themeColor="text1"/>
          <w:sz w:val="24"/>
          <w:szCs w:val="24"/>
        </w:rPr>
      </w:pPr>
      <w:r>
        <w:rPr>
          <w:color w:val="000000" w:themeColor="text1"/>
          <w:sz w:val="24"/>
          <w:szCs w:val="24"/>
        </w:rPr>
        <w:t>e.</w:t>
      </w:r>
      <w:r>
        <w:rPr>
          <w:color w:val="000000" w:themeColor="text1"/>
          <w:sz w:val="24"/>
          <w:szCs w:val="24"/>
        </w:rPr>
        <w:t>作业班除进行常规防喷演习外，还应佩戴硫化氢防护器具进行防喷演习；防护器具</w:t>
      </w:r>
      <w:r>
        <w:rPr>
          <w:color w:val="000000" w:themeColor="text1"/>
          <w:sz w:val="24"/>
          <w:szCs w:val="24"/>
        </w:rPr>
        <w:lastRenderedPageBreak/>
        <w:t>每次使用后应对其所有部件的完好性和安全性进行检查；在硫化氢环境中使用过的防护器具还应进行全面的清洁和消毒工作。</w:t>
      </w:r>
    </w:p>
    <w:p w14:paraId="02F34AE4" w14:textId="77777777" w:rsidR="002E0859" w:rsidRDefault="00000000">
      <w:pPr>
        <w:pStyle w:val="a0"/>
        <w:spacing w:line="360" w:lineRule="auto"/>
        <w:ind w:firstLine="480"/>
        <w:rPr>
          <w:color w:val="000000" w:themeColor="text1"/>
          <w:sz w:val="24"/>
          <w:szCs w:val="24"/>
        </w:rPr>
      </w:pPr>
      <w:r>
        <w:rPr>
          <w:color w:val="000000" w:themeColor="text1"/>
          <w:sz w:val="24"/>
          <w:szCs w:val="24"/>
        </w:rPr>
        <w:t>f.</w:t>
      </w:r>
      <w:r>
        <w:rPr>
          <w:color w:val="000000" w:themeColor="text1"/>
          <w:sz w:val="24"/>
          <w:szCs w:val="24"/>
        </w:rPr>
        <w:t>钻井队应按产品说明书检查和保养硫化氢监测仪器、防护器具，保证其处于良好的备用状态；建立使用台帐，按时送往具有资质的检验单位检验。</w:t>
      </w:r>
    </w:p>
    <w:p w14:paraId="4A8CC3D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钻井过程井眼防碰防护措施</w:t>
      </w:r>
    </w:p>
    <w:p w14:paraId="15415BEF" w14:textId="77777777" w:rsidR="002E0859" w:rsidRDefault="00000000">
      <w:pPr>
        <w:pStyle w:val="a0"/>
        <w:spacing w:line="360" w:lineRule="auto"/>
        <w:ind w:firstLine="480"/>
        <w:rPr>
          <w:color w:val="000000" w:themeColor="text1"/>
          <w:sz w:val="24"/>
          <w:szCs w:val="24"/>
        </w:rPr>
      </w:pPr>
      <w:r>
        <w:rPr>
          <w:color w:val="000000" w:themeColor="text1"/>
          <w:sz w:val="24"/>
          <w:szCs w:val="24"/>
        </w:rPr>
        <w:t>加强井网优化设计，设计时在开发井网的基础上，相邻两组井的水平段分别向西和向东统一偏移</w:t>
      </w:r>
      <w:r>
        <w:rPr>
          <w:color w:val="000000" w:themeColor="text1"/>
          <w:sz w:val="24"/>
          <w:szCs w:val="24"/>
        </w:rPr>
        <w:t>25m</w:t>
      </w:r>
      <w:r>
        <w:rPr>
          <w:color w:val="000000" w:themeColor="text1"/>
          <w:sz w:val="24"/>
          <w:szCs w:val="24"/>
        </w:rPr>
        <w:t>，这样在着陆前相对应的水平段就有</w:t>
      </w:r>
      <w:r>
        <w:rPr>
          <w:color w:val="000000" w:themeColor="text1"/>
          <w:sz w:val="24"/>
          <w:szCs w:val="24"/>
        </w:rPr>
        <w:t>50m</w:t>
      </w:r>
      <w:r>
        <w:rPr>
          <w:color w:val="000000" w:themeColor="text1"/>
          <w:sz w:val="24"/>
          <w:szCs w:val="24"/>
        </w:rPr>
        <w:t>的理论间距，可以有效避免相邻水平段着陆前相碰；制定井筒的重点防碰措施，采用预绕障和及时纠偏的措施，根据邻井实钻井眼轨迹数据进行防碰扫描，提前在上部井段进行预绕障设计，让轨迹朝着偏离邻井的方向；实钻过程中及时进行随钻井眼轨迹数据的测量与防碰距离分析，一旦出现与邻井距离变小的趋势，立即采用定向工具</w:t>
      </w:r>
      <w:r>
        <w:rPr>
          <w:color w:val="000000" w:themeColor="text1"/>
          <w:kern w:val="0"/>
          <w:sz w:val="24"/>
          <w:szCs w:val="24"/>
        </w:rPr>
        <w:t>进行纠偏，使井眼轨迹朝</w:t>
      </w:r>
      <w:r>
        <w:rPr>
          <w:color w:val="000000" w:themeColor="text1"/>
          <w:sz w:val="24"/>
          <w:szCs w:val="24"/>
        </w:rPr>
        <w:t>着偏离邻井的方向发展。</w:t>
      </w:r>
    </w:p>
    <w:p w14:paraId="0770A7FC" w14:textId="77777777" w:rsidR="002E0859" w:rsidRDefault="00000000">
      <w:pPr>
        <w:pStyle w:val="a0"/>
        <w:spacing w:line="360" w:lineRule="auto"/>
        <w:ind w:firstLine="480"/>
        <w:rPr>
          <w:color w:val="000000" w:themeColor="text1"/>
          <w:sz w:val="24"/>
          <w:szCs w:val="24"/>
        </w:rPr>
      </w:pPr>
      <w:r>
        <w:rPr>
          <w:color w:val="000000" w:themeColor="text1"/>
          <w:sz w:val="24"/>
          <w:szCs w:val="24"/>
        </w:rPr>
        <w:t>同时根据老区加密井部署情况，对同台钻井防碰进行风险评估，多方识别防碰风险隐患，建立开钻、二开验收、三开验收、完钻</w:t>
      </w:r>
      <w:r>
        <w:rPr>
          <w:color w:val="000000" w:themeColor="text1"/>
          <w:sz w:val="24"/>
          <w:szCs w:val="24"/>
        </w:rPr>
        <w:t>4</w:t>
      </w:r>
      <w:r>
        <w:rPr>
          <w:color w:val="000000" w:themeColor="text1"/>
          <w:sz w:val="24"/>
          <w:szCs w:val="24"/>
        </w:rPr>
        <w:t>节点防碰控制管理机制，针对防碰风险分别制定直径段及定向井段防碰管控措施。开钻前需进行防碰技术交底，重点提示防碰点；合理选择钻具及钻进参数；加强电子单多点测斜仪的管理和维护工作，合理跟踪测斜，及时掌握下部井段轨迹变化情况。建立正钻井防碰统计表，每日跟踪各井钻井进度。绘制工区正钻井防碰图，对存在防碰风险的井，使用防碰软件进行计算，确定防碰风险等级，及时向施工方做出防碰预警，协助完成轨迹调整方案。</w:t>
      </w:r>
    </w:p>
    <w:p w14:paraId="07E91EF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rPr>
        <w:t>钻井过程中的重点井控措施</w:t>
      </w:r>
    </w:p>
    <w:p w14:paraId="15553728" w14:textId="77777777" w:rsidR="002E0859" w:rsidRDefault="00000000">
      <w:pPr>
        <w:pStyle w:val="a0"/>
        <w:spacing w:line="360" w:lineRule="auto"/>
        <w:ind w:firstLine="480"/>
        <w:rPr>
          <w:color w:val="000000" w:themeColor="text1"/>
          <w:sz w:val="24"/>
          <w:szCs w:val="24"/>
        </w:rPr>
      </w:pPr>
      <w:r>
        <w:rPr>
          <w:color w:val="000000" w:themeColor="text1"/>
          <w:sz w:val="24"/>
          <w:szCs w:val="24"/>
        </w:rPr>
        <w:t>A.</w:t>
      </w:r>
      <w:r>
        <w:rPr>
          <w:color w:val="000000" w:themeColor="text1"/>
          <w:sz w:val="24"/>
          <w:szCs w:val="24"/>
        </w:rPr>
        <w:t>气层钻井过程中的井控作业</w:t>
      </w:r>
    </w:p>
    <w:p w14:paraId="0131BC12" w14:textId="77777777" w:rsidR="002E0859" w:rsidRDefault="00000000">
      <w:pPr>
        <w:pStyle w:val="a0"/>
        <w:spacing w:line="360" w:lineRule="auto"/>
        <w:ind w:firstLine="480"/>
        <w:rPr>
          <w:color w:val="000000" w:themeColor="text1"/>
          <w:sz w:val="24"/>
          <w:szCs w:val="24"/>
        </w:rPr>
      </w:pPr>
      <w:r>
        <w:rPr>
          <w:color w:val="000000" w:themeColor="text1"/>
          <w:sz w:val="24"/>
          <w:szCs w:val="24"/>
        </w:rPr>
        <w:t>B.</w:t>
      </w:r>
      <w:r>
        <w:rPr>
          <w:color w:val="000000" w:themeColor="text1"/>
          <w:sz w:val="24"/>
          <w:szCs w:val="24"/>
        </w:rPr>
        <w:t>溢流的处理和压井作业</w:t>
      </w:r>
    </w:p>
    <w:p w14:paraId="6C08BD67"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w:t>
      </w:r>
      <w:r>
        <w:rPr>
          <w:rFonts w:hint="eastAsia"/>
          <w:color w:val="000000" w:themeColor="text1"/>
          <w:sz w:val="24"/>
          <w:szCs w:val="24"/>
        </w:rPr>
        <w:t>3</w:t>
      </w:r>
      <w:r>
        <w:rPr>
          <w:rFonts w:hint="eastAsia"/>
          <w:color w:val="000000" w:themeColor="text1"/>
          <w:sz w:val="24"/>
          <w:szCs w:val="24"/>
        </w:rPr>
        <w:t>）</w:t>
      </w:r>
      <w:r>
        <w:rPr>
          <w:color w:val="000000" w:themeColor="text1"/>
          <w:sz w:val="24"/>
          <w:szCs w:val="24"/>
          <w:lang w:eastAsia="en-US"/>
        </w:rPr>
        <w:t>防范其他危险有害因素的措施</w:t>
      </w:r>
    </w:p>
    <w:p w14:paraId="26570178"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lang w:eastAsia="en-US"/>
        </w:rPr>
        <w:t>高空坠落防范措施：施工人员在高处作业时，必须要佩戴标准的安全防护工具，例如安全带、安全帽等，在危险的施工地带，要合理设置护网、护栏、工作台，上岗之前要认真了解施工人员的身心状况，对于不适合高处施工的人员，坚决不允许登高作业，跳板以及其他蹬踏物的强度必须要符合标准，如果天气较差，上岗前要仔细叮嘱施工人员注意安全，小心天气影响，防止相互碰撞，如果天气非常恶劣，要立即取消施工作业。</w:t>
      </w:r>
    </w:p>
    <w:p w14:paraId="72E030EE"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lang w:eastAsia="en-US"/>
        </w:rPr>
        <w:t>起重伤害防范措施：在吊装作业之前，一定要认真检查吊具、索具以及安全装置是否可靠，机械操作人员、指挥人员、司索人员要加强交流沟通，协调配合。如果遇到</w:t>
      </w:r>
      <w:r>
        <w:rPr>
          <w:color w:val="000000" w:themeColor="text1"/>
          <w:sz w:val="24"/>
          <w:szCs w:val="24"/>
          <w:lang w:eastAsia="en-US"/>
        </w:rPr>
        <w:lastRenderedPageBreak/>
        <w:t>暴雨、大雪、浓雾、大风</w:t>
      </w:r>
      <w:r>
        <w:rPr>
          <w:rFonts w:hint="eastAsia"/>
          <w:color w:val="000000" w:themeColor="text1"/>
          <w:sz w:val="24"/>
          <w:szCs w:val="24"/>
        </w:rPr>
        <w:t>（</w:t>
      </w:r>
      <w:r>
        <w:rPr>
          <w:color w:val="000000" w:themeColor="text1"/>
          <w:sz w:val="24"/>
          <w:szCs w:val="24"/>
          <w:lang w:eastAsia="en-US"/>
        </w:rPr>
        <w:t>6</w:t>
      </w:r>
      <w:r>
        <w:rPr>
          <w:color w:val="000000" w:themeColor="text1"/>
          <w:sz w:val="24"/>
          <w:szCs w:val="24"/>
          <w:lang w:eastAsia="en-US"/>
        </w:rPr>
        <w:t>级以上风力</w:t>
      </w:r>
      <w:r>
        <w:rPr>
          <w:rFonts w:hint="eastAsia"/>
          <w:color w:val="000000" w:themeColor="text1"/>
          <w:sz w:val="24"/>
          <w:szCs w:val="24"/>
        </w:rPr>
        <w:t>）</w:t>
      </w:r>
      <w:r>
        <w:rPr>
          <w:color w:val="000000" w:themeColor="text1"/>
          <w:sz w:val="24"/>
          <w:szCs w:val="24"/>
          <w:lang w:eastAsia="en-US"/>
        </w:rPr>
        <w:t>等恶劣天气，坚决不能进行吊装作业。在夜间进行吊装施工时，必须要具有良好的照明条件，起重机械的操作人员必须是专业人员，并且要具有丰富的操作经验，熟识起重设备的使用规程，吊臂一定要拥有充足的安全运行通道，吊机与输电线路之间要保持足够的安全距离。</w:t>
      </w:r>
    </w:p>
    <w:p w14:paraId="1DC22096"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lang w:eastAsia="en-US"/>
        </w:rPr>
        <w:t>机械伤害事故防治措施：操作机械设备时，必须严格按照使用规程来进行操作，尤其是机械设备中的电气部分，必须要满足电气安全标准。在施工过程中，要制定专门人员操作机械，其他人坚决不允许擅自操作，操作人员上岗前要进行安全教育，叮嘱使用设备过程中应该注意的事项，让操作人员了解到机械设备的使用规程，提醒他们注意防范静电、短路、过载、电击等事故。明齿轮、传送带、皮带轮、转轴、飞轮等危险部位，一定要合理安装防护装置。</w:t>
      </w:r>
    </w:p>
    <w:p w14:paraId="3B68D35D"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lang w:eastAsia="en-US"/>
        </w:rPr>
        <w:t>触电事故防治措施：在施工规程中，必须要包括安全用电制度，对各项用电事宜进行规范，坚决不允许使用质量不合格的电器工具，此外对于场地中的导电材料，要合理设置隔离措施，在检修电气设备之前，一定要切断电源，如果电缆发生破损，要</w:t>
      </w:r>
    </w:p>
    <w:p w14:paraId="3F816B74"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立即进行更换，坚决不允许冒险作业，如果地面存有积水或者到了雨季，要保证用电设备、电缆远离水源。在使用钢铁构件时，要防止损伤电缆，要保证各种用电设备接地良好，在使用电焊机、焊条烤箱、电加热设备、手动砂轮等小型移动机具时，要合理布置电缆和电线，避免施工场地中的用电系统过度混乱。</w:t>
      </w:r>
    </w:p>
    <w:p w14:paraId="630424B8"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lang w:eastAsia="en-US"/>
        </w:rPr>
        <w:t>火灾事故防治措施：首先必须要制定健全的防火方针；其次在教育培训中要加强防火知识的普及，让施工人员懂得灭火器等设备器材的使用方法；再次要严格控制火源，坚决禁止在易燃易爆物品附近使用液化气焊或者电热板，不允许在施工场地内吸烟。此外要科学的设计照明系统，合理使用照明设备，对于木料、油料、竹木质跳板、油漆、乙炔气等可燃性物质，要存放在安全地带，并设置防火标识。</w:t>
      </w:r>
    </w:p>
    <w:p w14:paraId="3101900B"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lang w:eastAsia="en-US"/>
        </w:rPr>
        <w:t>车辆伤害事故防治措施：运输车辆的驾驶员必须要具有驾驶证件，并且要有丰富的驾驶经验，坚决不允许醉酒驾车，不允许疲劳驾驶，如果驾驶人员的精神状态或者身体状况不佳，要禁止其驾车出行。运输之前要仔细检查车辆的使用性能，并且对天气和路况进行分析，预测运输途中可能遇到的状况，提前准备好应对措施，驾驶员一定要保持车速，遵循安全第一的原则。</w:t>
      </w:r>
    </w:p>
    <w:p w14:paraId="23FFD0BC"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7</w:t>
      </w:r>
      <w:r>
        <w:rPr>
          <w:rFonts w:hint="eastAsia"/>
          <w:color w:val="000000" w:themeColor="text1"/>
          <w:sz w:val="24"/>
          <w:szCs w:val="24"/>
        </w:rPr>
        <w:t>）</w:t>
      </w:r>
      <w:r>
        <w:rPr>
          <w:color w:val="000000" w:themeColor="text1"/>
          <w:sz w:val="24"/>
          <w:szCs w:val="24"/>
          <w:lang w:eastAsia="en-US"/>
        </w:rPr>
        <w:t>其他安全措施：井架地基的安装和选择必须符合标准，必须保证地基的平整、牢固、夯实，此外在塔脚下坚决不允许填方，井场与生活区、高压输电线等永久性设施之间，必须要保持充足的安全距离。井架中所使用的构件，必须符合质量标准，井架连接</w:t>
      </w:r>
      <w:r>
        <w:rPr>
          <w:color w:val="000000" w:themeColor="text1"/>
          <w:sz w:val="24"/>
          <w:szCs w:val="24"/>
          <w:lang w:eastAsia="en-US"/>
        </w:rPr>
        <w:lastRenderedPageBreak/>
        <w:t>处的垫圈、螺栓、插销等设备必须要保证完好、齐全，平拉筋以及斜拉筋一定要连接良好，地锚和绷绳的质量一定要满足要求。</w:t>
      </w:r>
    </w:p>
    <w:p w14:paraId="27F794DD"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w:t>
      </w:r>
      <w:r>
        <w:rPr>
          <w:rFonts w:hint="eastAsia"/>
          <w:color w:val="000000" w:themeColor="text1"/>
          <w:sz w:val="24"/>
          <w:szCs w:val="24"/>
        </w:rPr>
        <w:t>4</w:t>
      </w:r>
      <w:r>
        <w:rPr>
          <w:rFonts w:hint="eastAsia"/>
          <w:color w:val="000000" w:themeColor="text1"/>
          <w:sz w:val="24"/>
          <w:szCs w:val="24"/>
        </w:rPr>
        <w:t>）</w:t>
      </w:r>
      <w:r>
        <w:rPr>
          <w:color w:val="000000" w:themeColor="text1"/>
          <w:sz w:val="24"/>
          <w:szCs w:val="24"/>
          <w:lang w:eastAsia="en-US"/>
        </w:rPr>
        <w:t>弃井要求</w:t>
      </w:r>
    </w:p>
    <w:p w14:paraId="6016B095"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lang w:eastAsia="en-US"/>
        </w:rPr>
        <w:t>封堵报废井施工作业应有施工设计，并按程序进行审批。作业前应进行压井，待井内液柱压力平稳后方可进行其他作业。</w:t>
      </w:r>
    </w:p>
    <w:p w14:paraId="61813D36"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lang w:eastAsia="en-US"/>
        </w:rPr>
        <w:t>已封堵的井口套管接头应露出地面，并用厚度不低于</w:t>
      </w:r>
      <w:r>
        <w:rPr>
          <w:color w:val="000000" w:themeColor="text1"/>
          <w:sz w:val="24"/>
          <w:szCs w:val="24"/>
          <w:lang w:eastAsia="en-US"/>
        </w:rPr>
        <w:t>5mm</w:t>
      </w:r>
      <w:r>
        <w:rPr>
          <w:color w:val="000000" w:themeColor="text1"/>
          <w:sz w:val="24"/>
          <w:szCs w:val="24"/>
          <w:lang w:eastAsia="en-US"/>
        </w:rPr>
        <w:t>的圆形钢板焊牢，钢板面上应用焊痕标注井号和封堵日期。</w:t>
      </w:r>
    </w:p>
    <w:p w14:paraId="36162ED6"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lang w:eastAsia="en-US"/>
        </w:rPr>
        <w:t>对已完成封堵的报废井，每年至少应巡检一次，并记录相关巡井资料。</w:t>
      </w:r>
    </w:p>
    <w:p w14:paraId="0C0FA901" w14:textId="77777777" w:rsidR="002E0859" w:rsidRDefault="00000000">
      <w:pPr>
        <w:pStyle w:val="a0"/>
        <w:spacing w:line="360" w:lineRule="auto"/>
        <w:ind w:firstLine="482"/>
        <w:rPr>
          <w:b/>
          <w:bCs/>
          <w:color w:val="000000" w:themeColor="text1"/>
          <w:sz w:val="24"/>
          <w:szCs w:val="24"/>
        </w:rPr>
      </w:pPr>
      <w:r>
        <w:rPr>
          <w:rFonts w:hint="eastAsia"/>
          <w:b/>
          <w:bCs/>
          <w:color w:val="000000" w:themeColor="text1"/>
          <w:sz w:val="24"/>
          <w:szCs w:val="24"/>
        </w:rPr>
        <w:t>2</w:t>
      </w:r>
      <w:r>
        <w:rPr>
          <w:rFonts w:hint="eastAsia"/>
          <w:b/>
          <w:bCs/>
          <w:color w:val="000000" w:themeColor="text1"/>
          <w:sz w:val="24"/>
          <w:szCs w:val="24"/>
        </w:rPr>
        <w:t>、</w:t>
      </w:r>
      <w:r>
        <w:rPr>
          <w:b/>
          <w:bCs/>
          <w:color w:val="000000" w:themeColor="text1"/>
          <w:sz w:val="24"/>
          <w:szCs w:val="24"/>
          <w:lang w:eastAsia="en-US"/>
        </w:rPr>
        <w:t>压裂试</w:t>
      </w:r>
      <w:r>
        <w:rPr>
          <w:rFonts w:hint="eastAsia"/>
          <w:b/>
          <w:bCs/>
          <w:color w:val="000000" w:themeColor="text1"/>
          <w:sz w:val="24"/>
          <w:szCs w:val="24"/>
        </w:rPr>
        <w:t>气</w:t>
      </w:r>
      <w:r>
        <w:rPr>
          <w:b/>
          <w:bCs/>
          <w:color w:val="000000" w:themeColor="text1"/>
          <w:sz w:val="24"/>
          <w:szCs w:val="24"/>
          <w:lang w:eastAsia="en-US"/>
        </w:rPr>
        <w:t>安全措施方案</w:t>
      </w:r>
    </w:p>
    <w:p w14:paraId="4FD335FF"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w:t>
      </w:r>
      <w:r>
        <w:rPr>
          <w:rFonts w:hint="eastAsia"/>
          <w:color w:val="000000" w:themeColor="text1"/>
          <w:sz w:val="24"/>
          <w:szCs w:val="24"/>
        </w:rPr>
        <w:t>1</w:t>
      </w:r>
      <w:r>
        <w:rPr>
          <w:rFonts w:hint="eastAsia"/>
          <w:color w:val="000000" w:themeColor="text1"/>
          <w:sz w:val="24"/>
          <w:szCs w:val="24"/>
        </w:rPr>
        <w:t>）</w:t>
      </w:r>
      <w:r>
        <w:rPr>
          <w:color w:val="000000" w:themeColor="text1"/>
          <w:sz w:val="24"/>
          <w:szCs w:val="24"/>
          <w:lang w:eastAsia="en-US"/>
        </w:rPr>
        <w:t>安全距离</w:t>
      </w:r>
    </w:p>
    <w:p w14:paraId="74CB5F09"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lang w:eastAsia="en-US"/>
        </w:rPr>
        <w:t>气井所在区域附近</w:t>
      </w:r>
      <w:r>
        <w:rPr>
          <w:color w:val="000000" w:themeColor="text1"/>
          <w:sz w:val="24"/>
          <w:szCs w:val="24"/>
          <w:lang w:eastAsia="en-US"/>
        </w:rPr>
        <w:t>2km</w:t>
      </w:r>
      <w:r>
        <w:rPr>
          <w:color w:val="000000" w:themeColor="text1"/>
          <w:sz w:val="24"/>
          <w:szCs w:val="24"/>
          <w:lang w:eastAsia="en-US"/>
        </w:rPr>
        <w:t>内没有学校，医院、油库等设施。</w:t>
      </w:r>
    </w:p>
    <w:p w14:paraId="3909CF96"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lang w:eastAsia="en-US"/>
        </w:rPr>
        <w:t>气井距离</w:t>
      </w:r>
      <w:r>
        <w:rPr>
          <w:color w:val="000000" w:themeColor="text1"/>
          <w:sz w:val="24"/>
          <w:szCs w:val="24"/>
          <w:lang w:eastAsia="en-US"/>
        </w:rPr>
        <w:t>100</w:t>
      </w:r>
      <w:r>
        <w:rPr>
          <w:color w:val="000000" w:themeColor="text1"/>
          <w:sz w:val="24"/>
          <w:szCs w:val="24"/>
          <w:lang w:eastAsia="en-US"/>
        </w:rPr>
        <w:t>人以上的村镇、居民区不小于</w:t>
      </w:r>
      <w:r>
        <w:rPr>
          <w:color w:val="000000" w:themeColor="text1"/>
          <w:sz w:val="24"/>
          <w:szCs w:val="24"/>
          <w:lang w:eastAsia="en-US"/>
        </w:rPr>
        <w:t>45m</w:t>
      </w:r>
      <w:r>
        <w:rPr>
          <w:color w:val="000000" w:themeColor="text1"/>
          <w:sz w:val="24"/>
          <w:szCs w:val="24"/>
          <w:lang w:eastAsia="en-US"/>
        </w:rPr>
        <w:t>，相邻厂矿企业不小于</w:t>
      </w:r>
      <w:r>
        <w:rPr>
          <w:color w:val="000000" w:themeColor="text1"/>
          <w:sz w:val="24"/>
          <w:szCs w:val="24"/>
          <w:lang w:eastAsia="en-US"/>
        </w:rPr>
        <w:t>40m</w:t>
      </w:r>
      <w:r>
        <w:rPr>
          <w:color w:val="000000" w:themeColor="text1"/>
          <w:sz w:val="24"/>
          <w:szCs w:val="24"/>
          <w:lang w:eastAsia="en-US"/>
        </w:rPr>
        <w:t>，公路、其他通讯线不小于</w:t>
      </w:r>
      <w:r>
        <w:rPr>
          <w:color w:val="000000" w:themeColor="text1"/>
          <w:sz w:val="24"/>
          <w:szCs w:val="24"/>
          <w:lang w:eastAsia="en-US"/>
        </w:rPr>
        <w:t>15m</w:t>
      </w:r>
      <w:r>
        <w:rPr>
          <w:color w:val="000000" w:themeColor="text1"/>
          <w:sz w:val="24"/>
          <w:szCs w:val="24"/>
          <w:lang w:eastAsia="en-US"/>
        </w:rPr>
        <w:t>，</w:t>
      </w:r>
      <w:r>
        <w:rPr>
          <w:color w:val="000000" w:themeColor="text1"/>
          <w:sz w:val="24"/>
          <w:szCs w:val="24"/>
          <w:lang w:eastAsia="en-US"/>
        </w:rPr>
        <w:t>35kV</w:t>
      </w:r>
      <w:r>
        <w:rPr>
          <w:color w:val="000000" w:themeColor="text1"/>
          <w:sz w:val="24"/>
          <w:szCs w:val="24"/>
          <w:lang w:eastAsia="en-US"/>
        </w:rPr>
        <w:t>及以上独立变电站不小于</w:t>
      </w:r>
      <w:r>
        <w:rPr>
          <w:color w:val="000000" w:themeColor="text1"/>
          <w:sz w:val="24"/>
          <w:szCs w:val="24"/>
          <w:lang w:eastAsia="en-US"/>
        </w:rPr>
        <w:t>40m</w:t>
      </w:r>
      <w:r>
        <w:rPr>
          <w:color w:val="000000" w:themeColor="text1"/>
          <w:sz w:val="24"/>
          <w:szCs w:val="24"/>
          <w:lang w:eastAsia="en-US"/>
        </w:rPr>
        <w:t>，架空电力线路不小于</w:t>
      </w:r>
      <w:r>
        <w:rPr>
          <w:color w:val="000000" w:themeColor="text1"/>
          <w:sz w:val="24"/>
          <w:szCs w:val="24"/>
          <w:lang w:eastAsia="en-US"/>
        </w:rPr>
        <w:t>1.5</w:t>
      </w:r>
      <w:r>
        <w:rPr>
          <w:color w:val="000000" w:themeColor="text1"/>
          <w:sz w:val="24"/>
          <w:szCs w:val="24"/>
          <w:lang w:eastAsia="en-US"/>
        </w:rPr>
        <w:t>倍杆高。</w:t>
      </w:r>
    </w:p>
    <w:p w14:paraId="486D75F3"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lang w:eastAsia="en-US"/>
        </w:rPr>
        <w:t>立、放井架及吊装作业与高压电等架空线路保持安全距离，并采取措施防止损害架空线路。</w:t>
      </w:r>
    </w:p>
    <w:p w14:paraId="2A52B78E"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lang w:eastAsia="en-US"/>
        </w:rPr>
        <w:t>放喷管线出口接至距离井口</w:t>
      </w:r>
      <w:r>
        <w:rPr>
          <w:color w:val="000000" w:themeColor="text1"/>
          <w:sz w:val="24"/>
          <w:szCs w:val="24"/>
          <w:lang w:eastAsia="en-US"/>
        </w:rPr>
        <w:t>75m</w:t>
      </w:r>
      <w:r>
        <w:rPr>
          <w:color w:val="000000" w:themeColor="text1"/>
          <w:sz w:val="24"/>
          <w:szCs w:val="24"/>
          <w:lang w:eastAsia="en-US"/>
        </w:rPr>
        <w:t>以上的安全地带。</w:t>
      </w:r>
    </w:p>
    <w:p w14:paraId="425898FA"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lang w:eastAsia="en-US"/>
        </w:rPr>
        <w:t>经过分离器分离出的天然气和气井放喷的天然气应点火烧掉，火炬出口距离井口、建筑物及其他易燃物场所大于</w:t>
      </w:r>
      <w:r>
        <w:rPr>
          <w:color w:val="000000" w:themeColor="text1"/>
          <w:sz w:val="24"/>
          <w:szCs w:val="24"/>
          <w:lang w:eastAsia="en-US"/>
        </w:rPr>
        <w:t>100m</w:t>
      </w:r>
      <w:r>
        <w:rPr>
          <w:color w:val="000000" w:themeColor="text1"/>
          <w:sz w:val="24"/>
          <w:szCs w:val="24"/>
          <w:lang w:eastAsia="en-US"/>
        </w:rPr>
        <w:t>，且位于井口油罐区主导风向的上风侧，火炬出口应固定牢固。</w:t>
      </w:r>
    </w:p>
    <w:p w14:paraId="5BF19938"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lang w:eastAsia="en-US"/>
        </w:rPr>
        <w:t>在草地等植被茂盛区域、油气站场等地试气作业时，设置隔离带或隔离墙。</w:t>
      </w:r>
    </w:p>
    <w:p w14:paraId="5E8FD07C"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w:t>
      </w:r>
      <w:r>
        <w:rPr>
          <w:rFonts w:hint="eastAsia"/>
          <w:color w:val="000000" w:themeColor="text1"/>
          <w:sz w:val="24"/>
          <w:szCs w:val="24"/>
        </w:rPr>
        <w:t>2</w:t>
      </w:r>
      <w:r>
        <w:rPr>
          <w:rFonts w:hint="eastAsia"/>
          <w:color w:val="000000" w:themeColor="text1"/>
          <w:sz w:val="24"/>
          <w:szCs w:val="24"/>
        </w:rPr>
        <w:t>）</w:t>
      </w:r>
      <w:r>
        <w:rPr>
          <w:color w:val="000000" w:themeColor="text1"/>
          <w:sz w:val="24"/>
          <w:szCs w:val="24"/>
          <w:lang w:eastAsia="en-US"/>
        </w:rPr>
        <w:t>井控措施</w:t>
      </w:r>
    </w:p>
    <w:p w14:paraId="4E3E0867"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1</w:t>
      </w:r>
      <w:r>
        <w:rPr>
          <w:rFonts w:hint="eastAsia"/>
          <w:color w:val="000000" w:themeColor="text1"/>
          <w:sz w:val="24"/>
          <w:szCs w:val="24"/>
        </w:rPr>
        <w:t>）</w:t>
      </w:r>
      <w:r>
        <w:rPr>
          <w:color w:val="000000" w:themeColor="text1"/>
          <w:sz w:val="24"/>
          <w:szCs w:val="24"/>
          <w:lang w:eastAsia="en-US"/>
        </w:rPr>
        <w:t>射孔安全技术措施</w:t>
      </w:r>
    </w:p>
    <w:p w14:paraId="3CD52BB6"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按指令准时将射孔器材运到井场，并按危险品安全规定在井场存放，人员按甲方要求按时到井场。人员必需有危险品操作证资质。</w:t>
      </w:r>
    </w:p>
    <w:p w14:paraId="58FACC38"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在接到射孔通知单后，射孔工程师排出枪柱图并组织装枪，射孔人员严格按射孔操作规程和安全规定进行操作，确保装枪质量合格。</w:t>
      </w:r>
    </w:p>
    <w:p w14:paraId="287957C9"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现场操作人员必须戴手套、戴安全帽、穿工衣、工鞋及其他劳动保护用品。</w:t>
      </w:r>
    </w:p>
    <w:p w14:paraId="522992E2"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装枪作业范围</w:t>
      </w:r>
      <w:r>
        <w:rPr>
          <w:color w:val="000000" w:themeColor="text1"/>
          <w:sz w:val="24"/>
          <w:szCs w:val="24"/>
          <w:lang w:eastAsia="en-US"/>
        </w:rPr>
        <w:t>30m</w:t>
      </w:r>
      <w:r>
        <w:rPr>
          <w:color w:val="000000" w:themeColor="text1"/>
          <w:sz w:val="24"/>
          <w:szCs w:val="24"/>
          <w:lang w:eastAsia="en-US"/>
        </w:rPr>
        <w:t>内划为安全区，严禁吸烟、明火、电气焊和敲击作业。</w:t>
      </w:r>
    </w:p>
    <w:p w14:paraId="1FF4D247"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穿导爆索时要特别小心，如果导爆索有接头、弯曲、打折或外壳损坏的地方，</w:t>
      </w:r>
      <w:r>
        <w:rPr>
          <w:color w:val="000000" w:themeColor="text1"/>
          <w:sz w:val="24"/>
          <w:szCs w:val="24"/>
          <w:lang w:eastAsia="en-US"/>
        </w:rPr>
        <w:lastRenderedPageBreak/>
        <w:t>必须及时通知射孔工程师。</w:t>
      </w:r>
    </w:p>
    <w:p w14:paraId="0E33B008" w14:textId="77777777" w:rsidR="002E0859" w:rsidRDefault="00000000">
      <w:pPr>
        <w:pStyle w:val="a0"/>
        <w:numPr>
          <w:ilvl w:val="0"/>
          <w:numId w:val="26"/>
        </w:numPr>
        <w:spacing w:line="360" w:lineRule="auto"/>
        <w:ind w:firstLine="480"/>
        <w:rPr>
          <w:color w:val="000000" w:themeColor="text1"/>
          <w:sz w:val="24"/>
          <w:szCs w:val="24"/>
        </w:rPr>
      </w:pPr>
      <w:r>
        <w:rPr>
          <w:color w:val="000000" w:themeColor="text1"/>
          <w:sz w:val="24"/>
          <w:szCs w:val="24"/>
        </w:rPr>
        <w:t>切导爆索、锁传爆管、丈量长度时，必须由射孔工程师操作或监督</w:t>
      </w:r>
      <w:r>
        <w:rPr>
          <w:rFonts w:hint="eastAsia"/>
          <w:color w:val="000000" w:themeColor="text1"/>
          <w:sz w:val="24"/>
          <w:szCs w:val="24"/>
        </w:rPr>
        <w:t>。</w:t>
      </w:r>
    </w:p>
    <w:p w14:paraId="6FF4EC42"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上接头时一定注意不要损坏导爆索及传爆管，发现问题时必须及时提出。</w:t>
      </w:r>
    </w:p>
    <w:p w14:paraId="22189983"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所有装枪过程都要由射孔工程师亲自指挥。点火头和玻璃盘接头的组装要由射孔工程师亲自完成，装好的点火头要放在安全位置。</w:t>
      </w:r>
    </w:p>
    <w:p w14:paraId="24C6020B"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下射孔枪前，套管要试压。</w:t>
      </w:r>
    </w:p>
    <w:p w14:paraId="5B493676"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下射孔枪时要听从射孔工程师指挥。</w:t>
      </w:r>
    </w:p>
    <w:p w14:paraId="22BB3E3C"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防止任何物体落入管柱或井内，如果发现必须及时报告监督，防止造成更大损失。</w:t>
      </w:r>
    </w:p>
    <w:p w14:paraId="044F56D2"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下管柱时注意灌液垫，灌满后再继续下管柱。</w:t>
      </w:r>
    </w:p>
    <w:p w14:paraId="72C273A7"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操作</w:t>
      </w:r>
      <w:r>
        <w:rPr>
          <w:color w:val="000000" w:themeColor="text1"/>
          <w:sz w:val="24"/>
          <w:szCs w:val="24"/>
          <w:lang w:eastAsia="en-US"/>
        </w:rPr>
        <w:t>TCP</w:t>
      </w:r>
      <w:r>
        <w:rPr>
          <w:color w:val="000000" w:themeColor="text1"/>
          <w:sz w:val="24"/>
          <w:szCs w:val="24"/>
          <w:lang w:eastAsia="en-US"/>
        </w:rPr>
        <w:t>器材时注意防震、防砸。</w:t>
      </w:r>
    </w:p>
    <w:p w14:paraId="28DBC4CE"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正确指挥吊卸测井设备及</w:t>
      </w:r>
      <w:r>
        <w:rPr>
          <w:color w:val="000000" w:themeColor="text1"/>
          <w:sz w:val="24"/>
          <w:szCs w:val="24"/>
          <w:lang w:eastAsia="en-US"/>
        </w:rPr>
        <w:t>TCP</w:t>
      </w:r>
      <w:r>
        <w:rPr>
          <w:color w:val="000000" w:themeColor="text1"/>
          <w:sz w:val="24"/>
          <w:szCs w:val="24"/>
          <w:lang w:eastAsia="en-US"/>
        </w:rPr>
        <w:t>器材，防碰、防撞、防砸、防顿，巡回检查所有测井设备，使其处于安全可靠状态。</w:t>
      </w:r>
    </w:p>
    <w:p w14:paraId="1219E57C"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所有电器设备插头防水、防潮、防短路，人离断电，注意其他公司的设备安全。</w:t>
      </w:r>
    </w:p>
    <w:p w14:paraId="068586F0"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电缆射孔或下桥塞时，作业区</w:t>
      </w:r>
      <w:r>
        <w:rPr>
          <w:color w:val="000000" w:themeColor="text1"/>
          <w:sz w:val="24"/>
          <w:szCs w:val="24"/>
          <w:lang w:eastAsia="en-US"/>
        </w:rPr>
        <w:t>500m</w:t>
      </w:r>
      <w:r>
        <w:rPr>
          <w:color w:val="000000" w:themeColor="text1"/>
          <w:sz w:val="24"/>
          <w:szCs w:val="24"/>
          <w:lang w:eastAsia="en-US"/>
        </w:rPr>
        <w:t>范围内无线电通讯设备必须保持静默，高频设备一定要停止发射。</w:t>
      </w:r>
    </w:p>
    <w:p w14:paraId="4B966434"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危险品防爆箱要按甲方监督指定地点存放、锁好。</w:t>
      </w:r>
    </w:p>
    <w:p w14:paraId="638EEF83"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危险品每次使用后必须清点数量，送回防爆箱存放，严禁乱扔乱放。</w:t>
      </w:r>
    </w:p>
    <w:p w14:paraId="7D875F82"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组装好的射孔枪在吊运时一定要小心，防止猛烈撞击。</w:t>
      </w:r>
    </w:p>
    <w:p w14:paraId="4D680625"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井的安全</w:t>
      </w:r>
      <w:r>
        <w:rPr>
          <w:rFonts w:hint="eastAsia"/>
          <w:color w:val="000000" w:themeColor="text1"/>
          <w:sz w:val="24"/>
          <w:szCs w:val="24"/>
        </w:rPr>
        <w:t>包括：</w:t>
      </w:r>
      <w:r>
        <w:rPr>
          <w:color w:val="000000" w:themeColor="text1"/>
          <w:sz w:val="24"/>
          <w:szCs w:val="24"/>
          <w:lang w:eastAsia="en-US"/>
        </w:rPr>
        <w:t>三慢：仪器或</w:t>
      </w:r>
      <w:r>
        <w:rPr>
          <w:color w:val="000000" w:themeColor="text1"/>
          <w:sz w:val="24"/>
          <w:szCs w:val="24"/>
          <w:lang w:eastAsia="en-US"/>
        </w:rPr>
        <w:t>TCP</w:t>
      </w:r>
      <w:r>
        <w:rPr>
          <w:color w:val="000000" w:themeColor="text1"/>
          <w:sz w:val="24"/>
          <w:szCs w:val="24"/>
          <w:lang w:eastAsia="en-US"/>
        </w:rPr>
        <w:t>枪进出井口慢、到达井底慢、遇阻遇卡慢。三防：防断、防卡、防掉。</w:t>
      </w:r>
    </w:p>
    <w:p w14:paraId="2AC0A677"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测井时如遇异常井况</w:t>
      </w:r>
      <w:r>
        <w:rPr>
          <w:rFonts w:hint="eastAsia"/>
          <w:color w:val="000000" w:themeColor="text1"/>
          <w:sz w:val="24"/>
          <w:szCs w:val="24"/>
        </w:rPr>
        <w:t>（</w:t>
      </w:r>
      <w:r>
        <w:rPr>
          <w:color w:val="000000" w:themeColor="text1"/>
          <w:sz w:val="24"/>
          <w:szCs w:val="24"/>
          <w:lang w:eastAsia="en-US"/>
        </w:rPr>
        <w:t>遇阻、遇卡等</w:t>
      </w:r>
      <w:r>
        <w:rPr>
          <w:rFonts w:hint="eastAsia"/>
          <w:color w:val="000000" w:themeColor="text1"/>
          <w:sz w:val="24"/>
          <w:szCs w:val="24"/>
        </w:rPr>
        <w:t>）</w:t>
      </w:r>
      <w:r>
        <w:rPr>
          <w:color w:val="000000" w:themeColor="text1"/>
          <w:sz w:val="24"/>
          <w:szCs w:val="24"/>
          <w:lang w:eastAsia="en-US"/>
        </w:rPr>
        <w:t>立即向甲方监督报告。</w:t>
      </w:r>
    </w:p>
    <w:p w14:paraId="3BBEE1B9"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在井口操作时，严防井下落物。</w:t>
      </w:r>
    </w:p>
    <w:p w14:paraId="24E63C6B"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仪器进出井口时必须有专人扶仪器使其居中，专人用井口喇叭通知绞车起下。</w:t>
      </w:r>
    </w:p>
    <w:p w14:paraId="2FA88FEA" w14:textId="77777777" w:rsidR="002E0859" w:rsidRDefault="00000000">
      <w:pPr>
        <w:pStyle w:val="a0"/>
        <w:numPr>
          <w:ilvl w:val="0"/>
          <w:numId w:val="26"/>
        </w:numPr>
        <w:spacing w:line="360" w:lineRule="auto"/>
        <w:ind w:firstLine="480"/>
        <w:rPr>
          <w:color w:val="000000" w:themeColor="text1"/>
          <w:sz w:val="24"/>
          <w:szCs w:val="24"/>
          <w:lang w:eastAsia="en-US"/>
        </w:rPr>
      </w:pPr>
      <w:r>
        <w:rPr>
          <w:color w:val="000000" w:themeColor="text1"/>
          <w:sz w:val="24"/>
          <w:szCs w:val="24"/>
          <w:lang w:eastAsia="en-US"/>
        </w:rPr>
        <w:t>空井时必须盖好井盖。</w:t>
      </w:r>
    </w:p>
    <w:p w14:paraId="70A5E2F0"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2</w:t>
      </w:r>
      <w:r>
        <w:rPr>
          <w:rFonts w:hint="eastAsia"/>
          <w:color w:val="000000" w:themeColor="text1"/>
          <w:sz w:val="24"/>
          <w:szCs w:val="24"/>
        </w:rPr>
        <w:t>）</w:t>
      </w:r>
      <w:r>
        <w:rPr>
          <w:color w:val="000000" w:themeColor="text1"/>
          <w:sz w:val="24"/>
          <w:szCs w:val="24"/>
          <w:lang w:eastAsia="en-US"/>
        </w:rPr>
        <w:t>压裂安全技术井控措施</w:t>
      </w:r>
    </w:p>
    <w:p w14:paraId="270016B6" w14:textId="77777777" w:rsidR="002E0859" w:rsidRDefault="00000000">
      <w:pPr>
        <w:pStyle w:val="a0"/>
        <w:numPr>
          <w:ilvl w:val="0"/>
          <w:numId w:val="27"/>
        </w:numPr>
        <w:spacing w:line="360" w:lineRule="auto"/>
        <w:ind w:firstLine="480"/>
        <w:rPr>
          <w:color w:val="000000" w:themeColor="text1"/>
          <w:sz w:val="24"/>
          <w:szCs w:val="24"/>
          <w:lang w:eastAsia="en-US"/>
        </w:rPr>
      </w:pPr>
      <w:r>
        <w:rPr>
          <w:color w:val="000000" w:themeColor="text1"/>
          <w:sz w:val="24"/>
          <w:szCs w:val="24"/>
          <w:lang w:eastAsia="en-US"/>
        </w:rPr>
        <w:t>压裂施工作业前的安全要求：</w:t>
      </w:r>
    </w:p>
    <w:p w14:paraId="497411F8"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a.</w:t>
      </w:r>
      <w:r>
        <w:rPr>
          <w:color w:val="000000" w:themeColor="text1"/>
          <w:sz w:val="24"/>
          <w:szCs w:val="24"/>
          <w:lang w:eastAsia="en-US"/>
        </w:rPr>
        <w:t>压裂施工队应制定施工组织方案和应急预案以及人员的救护和撤离措施。施工前，现场由甲方或甲方代表召开所有施工作业人员参加的安全会，进行安全教育；各参加施工单位要对具体施工人员进行技术交底，严格完善交接手续，保证施工顺利进行。</w:t>
      </w:r>
    </w:p>
    <w:p w14:paraId="04E2265F"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lastRenderedPageBreak/>
        <w:t>b.</w:t>
      </w:r>
      <w:r>
        <w:rPr>
          <w:color w:val="000000" w:themeColor="text1"/>
          <w:sz w:val="24"/>
          <w:szCs w:val="24"/>
          <w:lang w:eastAsia="en-US"/>
        </w:rPr>
        <w:t>压裂高压管汇无裂纹、无变形、无腐蚀，壁厚符合要求；高压管汇中对应的压裂车出口管线都应配有单流</w:t>
      </w:r>
      <w:r>
        <w:rPr>
          <w:rFonts w:hint="eastAsia"/>
          <w:color w:val="000000" w:themeColor="text1"/>
          <w:sz w:val="24"/>
          <w:szCs w:val="24"/>
        </w:rPr>
        <w:t>（</w:t>
      </w:r>
      <w:r>
        <w:rPr>
          <w:color w:val="000000" w:themeColor="text1"/>
          <w:sz w:val="24"/>
          <w:szCs w:val="24"/>
          <w:lang w:eastAsia="en-US"/>
        </w:rPr>
        <w:t>向</w:t>
      </w:r>
      <w:r>
        <w:rPr>
          <w:rFonts w:hint="eastAsia"/>
          <w:color w:val="000000" w:themeColor="text1"/>
          <w:sz w:val="24"/>
          <w:szCs w:val="24"/>
        </w:rPr>
        <w:t>）</w:t>
      </w:r>
      <w:r>
        <w:rPr>
          <w:color w:val="000000" w:themeColor="text1"/>
          <w:sz w:val="24"/>
          <w:szCs w:val="24"/>
          <w:lang w:eastAsia="en-US"/>
        </w:rPr>
        <w:t>阀。</w:t>
      </w:r>
    </w:p>
    <w:p w14:paraId="72E6C4B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c.</w:t>
      </w:r>
      <w:r>
        <w:rPr>
          <w:color w:val="000000" w:themeColor="text1"/>
          <w:sz w:val="24"/>
          <w:szCs w:val="24"/>
          <w:lang w:eastAsia="en-US"/>
        </w:rPr>
        <w:t>压裂泵头，泵头内腔外表不应有裂纹；阀、阀座不应有沟、槽、点蚀、坑蚀及变形缺陷，若有应及时更换。</w:t>
      </w:r>
    </w:p>
    <w:p w14:paraId="1A1618F2"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d.</w:t>
      </w:r>
      <w:r>
        <w:rPr>
          <w:color w:val="000000" w:themeColor="text1"/>
          <w:sz w:val="24"/>
          <w:szCs w:val="24"/>
          <w:lang w:eastAsia="en-US"/>
        </w:rPr>
        <w:t>压裂机组的压力仪表应每年标定一次，以保证其灵敏、准确。</w:t>
      </w:r>
    </w:p>
    <w:p w14:paraId="5CC7BBAD"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e.</w:t>
      </w:r>
      <w:r>
        <w:rPr>
          <w:color w:val="000000" w:themeColor="text1"/>
          <w:sz w:val="24"/>
          <w:szCs w:val="24"/>
          <w:lang w:eastAsia="en-US"/>
        </w:rPr>
        <w:t>压裂车发动机和其他进入施工现场车辆、排气管均应装有阻火器。</w:t>
      </w:r>
    </w:p>
    <w:p w14:paraId="7577CBC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f.</w:t>
      </w:r>
      <w:r>
        <w:rPr>
          <w:color w:val="000000" w:themeColor="text1"/>
          <w:sz w:val="24"/>
          <w:szCs w:val="24"/>
          <w:lang w:eastAsia="en-US"/>
        </w:rPr>
        <w:t>施工作业车辆、液罐应摆放在井口上风方向，各种车辆设备摆放合理、整齐，保持间距，并留出安全撤离通道；其他车辆应停放在上风方向距井口</w:t>
      </w:r>
      <w:r>
        <w:rPr>
          <w:color w:val="000000" w:themeColor="text1"/>
          <w:sz w:val="24"/>
          <w:szCs w:val="24"/>
          <w:lang w:eastAsia="en-US"/>
        </w:rPr>
        <w:t>20m</w:t>
      </w:r>
      <w:r>
        <w:rPr>
          <w:color w:val="000000" w:themeColor="text1"/>
          <w:sz w:val="24"/>
          <w:szCs w:val="24"/>
          <w:lang w:eastAsia="en-US"/>
        </w:rPr>
        <w:t>以外。</w:t>
      </w:r>
    </w:p>
    <w:p w14:paraId="0FD1EC76"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g.</w:t>
      </w:r>
      <w:r>
        <w:rPr>
          <w:color w:val="000000" w:themeColor="text1"/>
          <w:sz w:val="24"/>
          <w:szCs w:val="24"/>
          <w:lang w:eastAsia="en-US"/>
        </w:rPr>
        <w:t>井口放喷管线用硬管线连接，分段用地锚固定牢固，两固定点间距不大于</w:t>
      </w:r>
      <w:r>
        <w:rPr>
          <w:color w:val="000000" w:themeColor="text1"/>
          <w:sz w:val="24"/>
          <w:szCs w:val="24"/>
          <w:lang w:eastAsia="en-US"/>
        </w:rPr>
        <w:t>10m</w:t>
      </w:r>
      <w:r>
        <w:rPr>
          <w:color w:val="000000" w:themeColor="text1"/>
          <w:sz w:val="24"/>
          <w:szCs w:val="24"/>
          <w:lang w:eastAsia="en-US"/>
        </w:rPr>
        <w:t>，管线末端处弯头角度应不小于</w:t>
      </w:r>
      <w:r>
        <w:rPr>
          <w:color w:val="000000" w:themeColor="text1"/>
          <w:sz w:val="24"/>
          <w:szCs w:val="24"/>
          <w:lang w:eastAsia="en-US"/>
        </w:rPr>
        <w:t>120°,</w:t>
      </w:r>
      <w:r>
        <w:rPr>
          <w:color w:val="000000" w:themeColor="text1"/>
          <w:sz w:val="24"/>
          <w:szCs w:val="24"/>
          <w:lang w:eastAsia="en-US"/>
        </w:rPr>
        <w:t>且不得有变形。</w:t>
      </w:r>
    </w:p>
    <w:p w14:paraId="036929E3"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h.</w:t>
      </w:r>
      <w:r>
        <w:rPr>
          <w:color w:val="000000" w:themeColor="text1"/>
          <w:sz w:val="24"/>
          <w:szCs w:val="24"/>
          <w:lang w:eastAsia="en-US"/>
        </w:rPr>
        <w:t>放喷管线与井口出气流程管线应分开，避开车辆设备摆放位置和通过区域。</w:t>
      </w:r>
    </w:p>
    <w:p w14:paraId="747893B9"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i.</w:t>
      </w:r>
      <w:r>
        <w:rPr>
          <w:color w:val="000000" w:themeColor="text1"/>
          <w:sz w:val="24"/>
          <w:szCs w:val="24"/>
          <w:lang w:eastAsia="en-US"/>
        </w:rPr>
        <w:t>天然气出口点火位置应在下风方向。</w:t>
      </w:r>
    </w:p>
    <w:p w14:paraId="50C80B21"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j.</w:t>
      </w:r>
      <w:r>
        <w:rPr>
          <w:color w:val="000000" w:themeColor="text1"/>
          <w:sz w:val="24"/>
          <w:szCs w:val="24"/>
          <w:lang w:eastAsia="en-US"/>
        </w:rPr>
        <w:t>井口必须硬支撑固定牢靠。</w:t>
      </w:r>
    </w:p>
    <w:p w14:paraId="255FD29F"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k.</w:t>
      </w:r>
      <w:r>
        <w:rPr>
          <w:color w:val="000000" w:themeColor="text1"/>
          <w:sz w:val="24"/>
          <w:szCs w:val="24"/>
          <w:lang w:eastAsia="en-US"/>
        </w:rPr>
        <w:t>井场区内严禁烟火，备齐各种消防器材，及时清除易燃、易爆品。</w:t>
      </w:r>
    </w:p>
    <w:p w14:paraId="681FEB3C"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l.</w:t>
      </w:r>
      <w:r>
        <w:rPr>
          <w:color w:val="000000" w:themeColor="text1"/>
          <w:sz w:val="24"/>
          <w:szCs w:val="24"/>
          <w:lang w:eastAsia="en-US"/>
        </w:rPr>
        <w:t>以施工井井口</w:t>
      </w:r>
      <w:r>
        <w:rPr>
          <w:color w:val="000000" w:themeColor="text1"/>
          <w:sz w:val="24"/>
          <w:szCs w:val="24"/>
          <w:lang w:eastAsia="en-US"/>
        </w:rPr>
        <w:t>10m</w:t>
      </w:r>
      <w:r>
        <w:rPr>
          <w:color w:val="000000" w:themeColor="text1"/>
          <w:sz w:val="24"/>
          <w:szCs w:val="24"/>
          <w:lang w:eastAsia="en-US"/>
        </w:rPr>
        <w:t>为半径，沿泵车出口至施工井井口地面流程两侧</w:t>
      </w:r>
      <w:r>
        <w:rPr>
          <w:color w:val="000000" w:themeColor="text1"/>
          <w:sz w:val="24"/>
          <w:szCs w:val="24"/>
          <w:lang w:eastAsia="en-US"/>
        </w:rPr>
        <w:t>10m</w:t>
      </w:r>
      <w:r>
        <w:rPr>
          <w:color w:val="000000" w:themeColor="text1"/>
          <w:sz w:val="24"/>
          <w:szCs w:val="24"/>
          <w:lang w:eastAsia="en-US"/>
        </w:rPr>
        <w:t>为界，设定为高压危险区。高压危险区使用专用安全警示线</w:t>
      </w:r>
      <w:r>
        <w:rPr>
          <w:rFonts w:hint="eastAsia"/>
          <w:color w:val="000000" w:themeColor="text1"/>
          <w:sz w:val="24"/>
          <w:szCs w:val="24"/>
        </w:rPr>
        <w:t>（</w:t>
      </w:r>
      <w:r>
        <w:rPr>
          <w:color w:val="000000" w:themeColor="text1"/>
          <w:sz w:val="24"/>
          <w:szCs w:val="24"/>
          <w:lang w:eastAsia="en-US"/>
        </w:rPr>
        <w:t>带</w:t>
      </w:r>
      <w:r>
        <w:rPr>
          <w:rFonts w:hint="eastAsia"/>
          <w:color w:val="000000" w:themeColor="text1"/>
          <w:sz w:val="24"/>
          <w:szCs w:val="24"/>
        </w:rPr>
        <w:t>）</w:t>
      </w:r>
      <w:r>
        <w:rPr>
          <w:color w:val="000000" w:themeColor="text1"/>
          <w:sz w:val="24"/>
          <w:szCs w:val="24"/>
          <w:lang w:eastAsia="en-US"/>
        </w:rPr>
        <w:t>围栏，高度为</w:t>
      </w:r>
      <w:r>
        <w:rPr>
          <w:color w:val="000000" w:themeColor="text1"/>
          <w:sz w:val="24"/>
          <w:szCs w:val="24"/>
          <w:lang w:eastAsia="en-US"/>
        </w:rPr>
        <w:t>0.8m</w:t>
      </w:r>
      <w:r>
        <w:rPr>
          <w:color w:val="000000" w:themeColor="text1"/>
          <w:sz w:val="24"/>
          <w:szCs w:val="24"/>
          <w:lang w:eastAsia="en-US"/>
        </w:rPr>
        <w:t>～</w:t>
      </w:r>
      <w:r>
        <w:rPr>
          <w:color w:val="000000" w:themeColor="text1"/>
          <w:sz w:val="24"/>
          <w:szCs w:val="24"/>
          <w:lang w:eastAsia="en-US"/>
        </w:rPr>
        <w:t>1.2m</w:t>
      </w:r>
      <w:r>
        <w:rPr>
          <w:color w:val="000000" w:themeColor="text1"/>
          <w:sz w:val="24"/>
          <w:szCs w:val="24"/>
          <w:lang w:eastAsia="en-US"/>
        </w:rPr>
        <w:t>。高压危险区应设立醒目的安全标志和警句。</w:t>
      </w:r>
    </w:p>
    <w:p w14:paraId="2B9055F5"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m.</w:t>
      </w:r>
      <w:r>
        <w:rPr>
          <w:color w:val="000000" w:themeColor="text1"/>
          <w:sz w:val="24"/>
          <w:szCs w:val="24"/>
          <w:lang w:eastAsia="en-US"/>
        </w:rPr>
        <w:t>正式施工前对压裂车超压装置进行检测，若有失灵须整改后方能进行作业。</w:t>
      </w:r>
    </w:p>
    <w:p w14:paraId="5B3E66D4"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n.</w:t>
      </w:r>
      <w:r>
        <w:rPr>
          <w:color w:val="000000" w:themeColor="text1"/>
          <w:sz w:val="24"/>
          <w:szCs w:val="24"/>
          <w:lang w:eastAsia="en-US"/>
        </w:rPr>
        <w:t>加强安全检查，施工前对地面流程、受压容器、消防设备、提升设备和电力系统应严格进行全方位检查，发现问题及时整改。</w:t>
      </w:r>
    </w:p>
    <w:p w14:paraId="03FBB028" w14:textId="77777777" w:rsidR="002E0859" w:rsidRDefault="00000000">
      <w:pPr>
        <w:pStyle w:val="a0"/>
        <w:numPr>
          <w:ilvl w:val="0"/>
          <w:numId w:val="27"/>
        </w:numPr>
        <w:spacing w:line="360" w:lineRule="auto"/>
        <w:ind w:firstLine="480"/>
        <w:rPr>
          <w:color w:val="000000" w:themeColor="text1"/>
          <w:sz w:val="24"/>
          <w:szCs w:val="24"/>
          <w:lang w:eastAsia="en-US"/>
        </w:rPr>
      </w:pPr>
      <w:r>
        <w:rPr>
          <w:color w:val="000000" w:themeColor="text1"/>
          <w:sz w:val="24"/>
          <w:szCs w:val="24"/>
          <w:lang w:eastAsia="en-US"/>
        </w:rPr>
        <w:t>压裂施工作业中的安全要求：</w:t>
      </w:r>
    </w:p>
    <w:p w14:paraId="69A1998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a.</w:t>
      </w:r>
      <w:r>
        <w:rPr>
          <w:color w:val="000000" w:themeColor="text1"/>
          <w:sz w:val="24"/>
          <w:szCs w:val="24"/>
          <w:lang w:eastAsia="en-US"/>
        </w:rPr>
        <w:t>压裂施工期间由压裂队统一指挥。</w:t>
      </w:r>
    </w:p>
    <w:p w14:paraId="778C2702"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b.</w:t>
      </w:r>
      <w:r>
        <w:rPr>
          <w:color w:val="000000" w:themeColor="text1"/>
          <w:sz w:val="24"/>
          <w:szCs w:val="24"/>
          <w:lang w:eastAsia="en-US"/>
        </w:rPr>
        <w:t>施工中，不许无关人员进入井场，非工作需要施工作业人员严禁进入高压区。</w:t>
      </w:r>
    </w:p>
    <w:p w14:paraId="56C17CCC"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c.</w:t>
      </w:r>
      <w:r>
        <w:rPr>
          <w:color w:val="000000" w:themeColor="text1"/>
          <w:sz w:val="24"/>
          <w:szCs w:val="24"/>
          <w:lang w:eastAsia="en-US"/>
        </w:rPr>
        <w:t>施工现场设立安全警戒区，并有专人负责施工区外安全警戒。</w:t>
      </w:r>
    </w:p>
    <w:p w14:paraId="57DD8EBA"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d.</w:t>
      </w:r>
      <w:r>
        <w:rPr>
          <w:color w:val="000000" w:themeColor="text1"/>
          <w:sz w:val="24"/>
          <w:szCs w:val="24"/>
          <w:lang w:eastAsia="en-US"/>
        </w:rPr>
        <w:t>施工严格按照设计进行，若现场出现意外和变化需更改设计时，必须经现场施工领导小组同意后，方能更改执行。</w:t>
      </w:r>
    </w:p>
    <w:p w14:paraId="69B94FA2"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e.</w:t>
      </w:r>
      <w:r>
        <w:rPr>
          <w:color w:val="000000" w:themeColor="text1"/>
          <w:sz w:val="24"/>
          <w:szCs w:val="24"/>
          <w:lang w:eastAsia="en-US"/>
        </w:rPr>
        <w:t>各工序严格按其操作规程，技术标准及设计要求进行施工。关键工序及岗位有专人负责，确保施工质量，严禁违章作业。各岗人员必须严守岗位，注意力集中，服从统一指挥。</w:t>
      </w:r>
    </w:p>
    <w:p w14:paraId="0530E06F"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f.</w:t>
      </w:r>
      <w:r>
        <w:rPr>
          <w:color w:val="000000" w:themeColor="text1"/>
          <w:sz w:val="24"/>
          <w:szCs w:val="24"/>
          <w:lang w:eastAsia="en-US"/>
        </w:rPr>
        <w:t>现场有关人员应配戴无绳耳机、送话器，及时传递信息，保证现场施工指令顺畅</w:t>
      </w:r>
      <w:r>
        <w:rPr>
          <w:color w:val="000000" w:themeColor="text1"/>
          <w:sz w:val="24"/>
          <w:szCs w:val="24"/>
          <w:lang w:eastAsia="en-US"/>
        </w:rPr>
        <w:lastRenderedPageBreak/>
        <w:t>下达。</w:t>
      </w:r>
    </w:p>
    <w:p w14:paraId="3F1EA8FD"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g.</w:t>
      </w:r>
      <w:r>
        <w:rPr>
          <w:color w:val="000000" w:themeColor="text1"/>
          <w:sz w:val="24"/>
          <w:szCs w:val="24"/>
          <w:lang w:eastAsia="en-US"/>
        </w:rPr>
        <w:t>操作人员应密切注意设备运行情况，发现问题及时向现场施工负责人汇报。</w:t>
      </w:r>
    </w:p>
    <w:p w14:paraId="1645C143" w14:textId="77777777" w:rsidR="002E0859" w:rsidRDefault="00000000">
      <w:pPr>
        <w:pStyle w:val="a0"/>
        <w:spacing w:line="360" w:lineRule="auto"/>
        <w:ind w:firstLine="480"/>
        <w:rPr>
          <w:color w:val="000000" w:themeColor="text1"/>
          <w:sz w:val="24"/>
          <w:szCs w:val="24"/>
          <w:lang w:eastAsia="en-US"/>
        </w:rPr>
      </w:pPr>
      <w:r>
        <w:rPr>
          <w:color w:val="000000" w:themeColor="text1"/>
          <w:sz w:val="24"/>
          <w:szCs w:val="24"/>
          <w:lang w:eastAsia="en-US"/>
        </w:rPr>
        <w:t>h.</w:t>
      </w:r>
      <w:r>
        <w:rPr>
          <w:color w:val="000000" w:themeColor="text1"/>
          <w:sz w:val="24"/>
          <w:szCs w:val="24"/>
          <w:lang w:eastAsia="en-US"/>
        </w:rPr>
        <w:t>进行循环试运转，检查管线是否畅通，仪表是否正常；对井口、管汇、活动接头等部位按设计进行试压。</w:t>
      </w:r>
    </w:p>
    <w:p w14:paraId="0D13E888" w14:textId="77777777" w:rsidR="002E0859" w:rsidRDefault="00000000">
      <w:pPr>
        <w:pStyle w:val="a0"/>
        <w:spacing w:line="360" w:lineRule="auto"/>
        <w:ind w:firstLine="480"/>
        <w:rPr>
          <w:color w:val="000000" w:themeColor="text1"/>
          <w:sz w:val="24"/>
          <w:szCs w:val="24"/>
        </w:rPr>
      </w:pPr>
      <w:r>
        <w:rPr>
          <w:color w:val="000000" w:themeColor="text1"/>
          <w:sz w:val="24"/>
          <w:szCs w:val="24"/>
        </w:rPr>
        <w:t>i.</w:t>
      </w:r>
      <w:r>
        <w:rPr>
          <w:color w:val="000000" w:themeColor="text1"/>
          <w:sz w:val="24"/>
          <w:szCs w:val="24"/>
        </w:rPr>
        <w:t>低压管汇应连接可靠，不刺、不漏。</w:t>
      </w:r>
    </w:p>
    <w:p w14:paraId="4FCC5DEE" w14:textId="77777777" w:rsidR="002E0859" w:rsidRDefault="00000000">
      <w:pPr>
        <w:pStyle w:val="a0"/>
        <w:spacing w:line="360" w:lineRule="auto"/>
        <w:ind w:firstLine="480"/>
        <w:rPr>
          <w:color w:val="000000" w:themeColor="text1"/>
          <w:sz w:val="24"/>
          <w:szCs w:val="24"/>
        </w:rPr>
      </w:pPr>
      <w:r>
        <w:rPr>
          <w:color w:val="000000" w:themeColor="text1"/>
          <w:sz w:val="24"/>
          <w:szCs w:val="24"/>
        </w:rPr>
        <w:t>j.</w:t>
      </w:r>
      <w:r>
        <w:rPr>
          <w:color w:val="000000" w:themeColor="text1"/>
          <w:sz w:val="24"/>
          <w:szCs w:val="24"/>
        </w:rPr>
        <w:t>起泵应平稳操作，逐台起动，排量逐步达到设计要求。</w:t>
      </w:r>
    </w:p>
    <w:p w14:paraId="6E3C59F6" w14:textId="77777777" w:rsidR="002E0859" w:rsidRDefault="00000000">
      <w:pPr>
        <w:pStyle w:val="a0"/>
        <w:spacing w:line="360" w:lineRule="auto"/>
        <w:ind w:firstLine="480"/>
        <w:rPr>
          <w:color w:val="000000" w:themeColor="text1"/>
          <w:sz w:val="24"/>
          <w:szCs w:val="24"/>
        </w:rPr>
      </w:pPr>
      <w:r>
        <w:rPr>
          <w:color w:val="000000" w:themeColor="text1"/>
          <w:sz w:val="24"/>
          <w:szCs w:val="24"/>
        </w:rPr>
        <w:t>k.</w:t>
      </w:r>
      <w:r>
        <w:rPr>
          <w:color w:val="000000" w:themeColor="text1"/>
          <w:sz w:val="24"/>
          <w:szCs w:val="24"/>
        </w:rPr>
        <w:t>若泵不上水，应采取措施。若措施无效，应立即停泵。</w:t>
      </w:r>
    </w:p>
    <w:p w14:paraId="1C541ECA" w14:textId="77777777" w:rsidR="002E0859" w:rsidRDefault="00000000">
      <w:pPr>
        <w:pStyle w:val="a0"/>
        <w:spacing w:line="360" w:lineRule="auto"/>
        <w:ind w:firstLine="480"/>
        <w:rPr>
          <w:color w:val="000000" w:themeColor="text1"/>
          <w:sz w:val="24"/>
          <w:szCs w:val="24"/>
        </w:rPr>
      </w:pPr>
      <w:r>
        <w:rPr>
          <w:color w:val="000000" w:themeColor="text1"/>
          <w:sz w:val="24"/>
          <w:szCs w:val="24"/>
        </w:rPr>
        <w:t>l.</w:t>
      </w:r>
      <w:r>
        <w:rPr>
          <w:color w:val="000000" w:themeColor="text1"/>
          <w:sz w:val="24"/>
          <w:szCs w:val="24"/>
        </w:rPr>
        <w:t>高压管汇、管线、井口装置等部位发生刺漏，应在停泵、关井、泄压后处理，严禁带压作业。</w:t>
      </w:r>
    </w:p>
    <w:p w14:paraId="622DFEED" w14:textId="77777777" w:rsidR="002E0859" w:rsidRDefault="00000000">
      <w:pPr>
        <w:pStyle w:val="a0"/>
        <w:spacing w:line="360" w:lineRule="auto"/>
        <w:ind w:firstLine="480"/>
        <w:rPr>
          <w:color w:val="000000" w:themeColor="text1"/>
          <w:sz w:val="24"/>
          <w:szCs w:val="24"/>
        </w:rPr>
      </w:pPr>
      <w:r>
        <w:rPr>
          <w:color w:val="000000" w:themeColor="text1"/>
          <w:sz w:val="24"/>
          <w:szCs w:val="24"/>
        </w:rPr>
        <w:t>m.</w:t>
      </w:r>
      <w:r>
        <w:rPr>
          <w:color w:val="000000" w:themeColor="text1"/>
          <w:sz w:val="24"/>
          <w:szCs w:val="24"/>
        </w:rPr>
        <w:t>混砂车、液罐供液低压管线发生刺漏，应采取措施，并做好安全防护。</w:t>
      </w:r>
    </w:p>
    <w:p w14:paraId="1999B83F" w14:textId="77777777" w:rsidR="002E0859" w:rsidRDefault="00000000">
      <w:pPr>
        <w:pStyle w:val="a0"/>
        <w:spacing w:line="360" w:lineRule="auto"/>
        <w:ind w:firstLine="480"/>
        <w:rPr>
          <w:color w:val="000000" w:themeColor="text1"/>
          <w:sz w:val="24"/>
          <w:szCs w:val="24"/>
        </w:rPr>
      </w:pPr>
      <w:r>
        <w:rPr>
          <w:color w:val="000000" w:themeColor="text1"/>
          <w:sz w:val="24"/>
          <w:szCs w:val="24"/>
        </w:rPr>
        <w:t>n.</w:t>
      </w:r>
      <w:r>
        <w:rPr>
          <w:color w:val="000000" w:themeColor="text1"/>
          <w:sz w:val="24"/>
          <w:szCs w:val="24"/>
        </w:rPr>
        <w:t>施工作业人员进入施工作业现场应穿戴相应的劳动安全防护用品，严禁违章作业。</w:t>
      </w:r>
    </w:p>
    <w:p w14:paraId="393DFCD0" w14:textId="77777777" w:rsidR="002E0859" w:rsidRDefault="00000000">
      <w:pPr>
        <w:pStyle w:val="a0"/>
        <w:spacing w:line="360" w:lineRule="auto"/>
        <w:ind w:firstLine="480"/>
        <w:rPr>
          <w:color w:val="000000" w:themeColor="text1"/>
          <w:sz w:val="24"/>
          <w:szCs w:val="24"/>
        </w:rPr>
      </w:pPr>
      <w:r>
        <w:rPr>
          <w:color w:val="000000" w:themeColor="text1"/>
          <w:sz w:val="24"/>
          <w:szCs w:val="24"/>
        </w:rPr>
        <w:t>o.</w:t>
      </w:r>
      <w:r>
        <w:rPr>
          <w:color w:val="000000" w:themeColor="text1"/>
          <w:sz w:val="24"/>
          <w:szCs w:val="24"/>
        </w:rPr>
        <w:t>现场施工人员身体出现异常者不得带病坚持施工，施工期间现场配备值班医生，并配备相应的药品及医疗器具。</w:t>
      </w:r>
    </w:p>
    <w:p w14:paraId="1A188CAF" w14:textId="77777777" w:rsidR="002E0859" w:rsidRDefault="00000000">
      <w:pPr>
        <w:pStyle w:val="a0"/>
        <w:numPr>
          <w:ilvl w:val="0"/>
          <w:numId w:val="27"/>
        </w:numPr>
        <w:spacing w:line="360" w:lineRule="auto"/>
        <w:ind w:firstLine="480"/>
        <w:rPr>
          <w:color w:val="000000" w:themeColor="text1"/>
          <w:sz w:val="24"/>
          <w:szCs w:val="24"/>
        </w:rPr>
      </w:pPr>
      <w:r>
        <w:rPr>
          <w:color w:val="000000" w:themeColor="text1"/>
          <w:sz w:val="24"/>
          <w:szCs w:val="24"/>
        </w:rPr>
        <w:t>压裂施工作业后的安全要求：</w:t>
      </w:r>
    </w:p>
    <w:p w14:paraId="3AD9D63D" w14:textId="77777777" w:rsidR="002E0859" w:rsidRDefault="00000000">
      <w:pPr>
        <w:pStyle w:val="a0"/>
        <w:spacing w:line="360" w:lineRule="auto"/>
        <w:ind w:firstLine="480"/>
        <w:rPr>
          <w:color w:val="000000" w:themeColor="text1"/>
          <w:sz w:val="24"/>
          <w:szCs w:val="24"/>
        </w:rPr>
      </w:pPr>
      <w:r>
        <w:rPr>
          <w:color w:val="000000" w:themeColor="text1"/>
          <w:sz w:val="24"/>
          <w:szCs w:val="24"/>
        </w:rPr>
        <w:t>a.</w:t>
      </w:r>
      <w:r>
        <w:rPr>
          <w:color w:val="000000" w:themeColor="text1"/>
          <w:sz w:val="24"/>
          <w:szCs w:val="24"/>
        </w:rPr>
        <w:t>按设计要求装好油嘴，观察油管、套管压力，控制放喷。</w:t>
      </w:r>
    </w:p>
    <w:p w14:paraId="51FCB2A2" w14:textId="77777777" w:rsidR="002E0859" w:rsidRDefault="00000000">
      <w:pPr>
        <w:pStyle w:val="a0"/>
        <w:spacing w:line="360" w:lineRule="auto"/>
        <w:ind w:firstLine="480"/>
        <w:rPr>
          <w:color w:val="000000" w:themeColor="text1"/>
          <w:sz w:val="24"/>
          <w:szCs w:val="24"/>
        </w:rPr>
      </w:pPr>
      <w:r>
        <w:rPr>
          <w:color w:val="000000" w:themeColor="text1"/>
          <w:sz w:val="24"/>
          <w:szCs w:val="24"/>
        </w:rPr>
        <w:t>b.</w:t>
      </w:r>
      <w:r>
        <w:rPr>
          <w:color w:val="000000" w:themeColor="text1"/>
          <w:sz w:val="24"/>
          <w:szCs w:val="24"/>
        </w:rPr>
        <w:t>查看出口喷势和喷出物时，施工人员应位于上风处；通风条件较差或无风时，应选择地势较高的位置。</w:t>
      </w:r>
    </w:p>
    <w:p w14:paraId="665DCDD6" w14:textId="77777777" w:rsidR="002E0859" w:rsidRDefault="00000000">
      <w:pPr>
        <w:pStyle w:val="a0"/>
        <w:spacing w:line="360" w:lineRule="auto"/>
        <w:ind w:firstLine="480"/>
        <w:rPr>
          <w:color w:val="000000" w:themeColor="text1"/>
          <w:sz w:val="24"/>
          <w:szCs w:val="24"/>
        </w:rPr>
      </w:pPr>
      <w:r>
        <w:rPr>
          <w:color w:val="000000" w:themeColor="text1"/>
          <w:sz w:val="24"/>
          <w:szCs w:val="24"/>
        </w:rPr>
        <w:t>c.</w:t>
      </w:r>
      <w:r>
        <w:rPr>
          <w:color w:val="000000" w:themeColor="text1"/>
          <w:sz w:val="24"/>
          <w:szCs w:val="24"/>
        </w:rPr>
        <w:t>排液时，采取预先在放喷管线出口放置火种的方式进行点火。</w:t>
      </w:r>
    </w:p>
    <w:p w14:paraId="37AE748B" w14:textId="77777777" w:rsidR="002E0859" w:rsidRDefault="00000000">
      <w:pPr>
        <w:pStyle w:val="a0"/>
        <w:spacing w:line="360" w:lineRule="auto"/>
        <w:ind w:firstLine="480"/>
        <w:rPr>
          <w:color w:val="000000" w:themeColor="text1"/>
          <w:sz w:val="24"/>
          <w:szCs w:val="24"/>
        </w:rPr>
      </w:pPr>
      <w:r>
        <w:rPr>
          <w:color w:val="000000" w:themeColor="text1"/>
          <w:sz w:val="24"/>
          <w:szCs w:val="24"/>
        </w:rPr>
        <w:t>d.</w:t>
      </w:r>
      <w:r>
        <w:rPr>
          <w:color w:val="000000" w:themeColor="text1"/>
          <w:sz w:val="24"/>
          <w:szCs w:val="24"/>
        </w:rPr>
        <w:t>液体处理要求</w:t>
      </w:r>
    </w:p>
    <w:p w14:paraId="3AB9BE41" w14:textId="77777777" w:rsidR="002E0859" w:rsidRDefault="00000000">
      <w:pPr>
        <w:pStyle w:val="a0"/>
        <w:spacing w:line="360" w:lineRule="auto"/>
        <w:ind w:firstLine="480"/>
        <w:rPr>
          <w:color w:val="000000" w:themeColor="text1"/>
          <w:sz w:val="24"/>
          <w:szCs w:val="24"/>
        </w:rPr>
      </w:pPr>
      <w:r>
        <w:rPr>
          <w:color w:val="000000" w:themeColor="text1"/>
          <w:sz w:val="24"/>
          <w:szCs w:val="24"/>
        </w:rPr>
        <w:t>施工单位密切观察污水池内污水量，根据放喷口出液量，提前做好污水处理准备，及时将废液装入废液罐进行处理，严禁污水溢出，污染农田及附近河流。</w:t>
      </w:r>
    </w:p>
    <w:p w14:paraId="02C4A194" w14:textId="77777777" w:rsidR="002E0859" w:rsidRDefault="00000000">
      <w:pPr>
        <w:pStyle w:val="a0"/>
        <w:spacing w:line="360" w:lineRule="auto"/>
        <w:ind w:firstLine="480"/>
        <w:rPr>
          <w:color w:val="000000" w:themeColor="text1"/>
          <w:sz w:val="24"/>
          <w:szCs w:val="24"/>
        </w:rPr>
      </w:pPr>
      <w:r>
        <w:rPr>
          <w:color w:val="000000" w:themeColor="text1"/>
          <w:sz w:val="24"/>
          <w:szCs w:val="24"/>
        </w:rPr>
        <w:t>施工中工作液不能在井场任意排放，应将返出井筒的废液排至放喷池和污水池，及时用罐车清运至处理站或对污水进行无害化净化处理，废液须经处理达到国家工业废水排放标准后，方可排放。</w:t>
      </w:r>
    </w:p>
    <w:p w14:paraId="4C7755B3"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试气安全技术井控措施</w:t>
      </w:r>
    </w:p>
    <w:p w14:paraId="191F90F2"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在地质设计中应标注、说明试气井场周围</w:t>
      </w:r>
      <w:r>
        <w:rPr>
          <w:color w:val="000000" w:themeColor="text1"/>
          <w:sz w:val="24"/>
          <w:szCs w:val="24"/>
        </w:rPr>
        <w:t>2km</w:t>
      </w:r>
      <w:r>
        <w:rPr>
          <w:color w:val="000000" w:themeColor="text1"/>
          <w:sz w:val="24"/>
          <w:szCs w:val="24"/>
        </w:rPr>
        <w:t>范围内的居民、学校、厂矿、电力设备等情况，由试气机组现场安全负责人进行施工风险提示和应急措施告知。</w:t>
      </w:r>
    </w:p>
    <w:p w14:paraId="6B084105"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试气井控设备。井口安装压力级别为</w:t>
      </w:r>
      <w:r>
        <w:rPr>
          <w:color w:val="000000" w:themeColor="text1"/>
          <w:sz w:val="24"/>
          <w:szCs w:val="24"/>
        </w:rPr>
        <w:t>35MPa</w:t>
      </w:r>
      <w:r>
        <w:rPr>
          <w:color w:val="000000" w:themeColor="text1"/>
          <w:sz w:val="24"/>
          <w:szCs w:val="24"/>
        </w:rPr>
        <w:t>的防喷器、井控装置及配套设备</w:t>
      </w:r>
      <w:r>
        <w:rPr>
          <w:color w:val="000000" w:themeColor="text1"/>
          <w:sz w:val="24"/>
          <w:szCs w:val="24"/>
        </w:rPr>
        <w:t>(</w:t>
      </w:r>
      <w:r>
        <w:rPr>
          <w:color w:val="000000" w:themeColor="text1"/>
          <w:sz w:val="24"/>
          <w:szCs w:val="24"/>
        </w:rPr>
        <w:t>压井管线、放喷管线、油管旋塞等</w:t>
      </w:r>
      <w:r>
        <w:rPr>
          <w:color w:val="000000" w:themeColor="text1"/>
          <w:sz w:val="24"/>
          <w:szCs w:val="24"/>
        </w:rPr>
        <w:t>)</w:t>
      </w:r>
      <w:r>
        <w:rPr>
          <w:color w:val="000000" w:themeColor="text1"/>
          <w:sz w:val="24"/>
          <w:szCs w:val="24"/>
        </w:rPr>
        <w:t>试压合格。</w:t>
      </w:r>
    </w:p>
    <w:p w14:paraId="36B343FE"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氮气气举前应安装防喷器。</w:t>
      </w:r>
    </w:p>
    <w:p w14:paraId="164445C3"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lastRenderedPageBreak/>
        <w:t>放喷前应检查好采气井口的各部分连接紧固情况，放喷点火时，点火人员</w:t>
      </w:r>
      <w:r>
        <w:rPr>
          <w:color w:val="000000" w:themeColor="text1"/>
          <w:sz w:val="24"/>
          <w:szCs w:val="24"/>
        </w:rPr>
        <w:t>(</w:t>
      </w:r>
      <w:r>
        <w:rPr>
          <w:color w:val="000000" w:themeColor="text1"/>
          <w:sz w:val="24"/>
          <w:szCs w:val="24"/>
        </w:rPr>
        <w:t>应</w:t>
      </w:r>
      <w:r>
        <w:rPr>
          <w:color w:val="000000" w:themeColor="text1"/>
          <w:sz w:val="24"/>
          <w:szCs w:val="24"/>
        </w:rPr>
        <w:t>2</w:t>
      </w:r>
      <w:r>
        <w:rPr>
          <w:color w:val="000000" w:themeColor="text1"/>
          <w:sz w:val="24"/>
          <w:szCs w:val="24"/>
        </w:rPr>
        <w:t>人前去点火</w:t>
      </w:r>
      <w:r>
        <w:rPr>
          <w:color w:val="000000" w:themeColor="text1"/>
          <w:sz w:val="24"/>
          <w:szCs w:val="24"/>
        </w:rPr>
        <w:t>)</w:t>
      </w:r>
      <w:r>
        <w:rPr>
          <w:color w:val="000000" w:themeColor="text1"/>
          <w:sz w:val="24"/>
          <w:szCs w:val="24"/>
        </w:rPr>
        <w:t>应配戴防护器具，并在上风方向</w:t>
      </w:r>
      <w:r>
        <w:rPr>
          <w:color w:val="000000" w:themeColor="text1"/>
          <w:sz w:val="24"/>
          <w:szCs w:val="24"/>
        </w:rPr>
        <w:t>30m</w:t>
      </w:r>
      <w:r>
        <w:rPr>
          <w:color w:val="000000" w:themeColor="text1"/>
          <w:sz w:val="24"/>
          <w:szCs w:val="24"/>
        </w:rPr>
        <w:t>以外点火。测试期间应提前在两个放喷口点好长明火并保持到作业结束。</w:t>
      </w:r>
    </w:p>
    <w:p w14:paraId="5434FF30"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起下钻作业前必须安装防喷器，防喷器闸板组合要与井内作业管柱外径相配套，在井口附近应准备好简易防喷工具。</w:t>
      </w:r>
    </w:p>
    <w:p w14:paraId="102EBADE"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气井溢流压井后起管柱前，应进行短程起下作业，发现异常情况及时采取措施。</w:t>
      </w:r>
    </w:p>
    <w:p w14:paraId="6BC395BC"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起带封隔器的管柱时，要注意观察悬重及井口液面的变化，如果有异常情况，不得强行起管柱。</w:t>
      </w:r>
    </w:p>
    <w:p w14:paraId="49544B40" w14:textId="77777777" w:rsidR="002E0859" w:rsidRDefault="00000000">
      <w:pPr>
        <w:pStyle w:val="a0"/>
        <w:numPr>
          <w:ilvl w:val="0"/>
          <w:numId w:val="28"/>
        </w:numPr>
        <w:spacing w:line="360" w:lineRule="auto"/>
        <w:ind w:firstLine="480"/>
        <w:rPr>
          <w:color w:val="000000" w:themeColor="text1"/>
          <w:sz w:val="24"/>
          <w:szCs w:val="24"/>
        </w:rPr>
      </w:pPr>
      <w:r>
        <w:rPr>
          <w:color w:val="000000" w:themeColor="text1"/>
          <w:sz w:val="24"/>
          <w:szCs w:val="24"/>
        </w:rPr>
        <w:t>起下管柱应加强坐岗观察与记录，下管柱的排出量或起管柱的灌入量，应与设计值相符合，否则应采取措施。</w:t>
      </w:r>
    </w:p>
    <w:p w14:paraId="41D7BD20" w14:textId="77777777" w:rsidR="002E0859" w:rsidRDefault="00000000">
      <w:pPr>
        <w:pStyle w:val="a0"/>
        <w:spacing w:line="360" w:lineRule="auto"/>
        <w:ind w:firstLine="480"/>
        <w:rPr>
          <w:color w:val="000000" w:themeColor="text1"/>
          <w:sz w:val="24"/>
          <w:szCs w:val="24"/>
          <w:lang w:eastAsia="en-US"/>
        </w:rPr>
      </w:pPr>
      <w:r>
        <w:rPr>
          <w:rFonts w:hint="eastAsia"/>
          <w:color w:val="000000" w:themeColor="text1"/>
          <w:sz w:val="24"/>
          <w:szCs w:val="24"/>
        </w:rPr>
        <w:t>4</w:t>
      </w:r>
      <w:r>
        <w:rPr>
          <w:rFonts w:hint="eastAsia"/>
          <w:color w:val="000000" w:themeColor="text1"/>
          <w:sz w:val="24"/>
          <w:szCs w:val="24"/>
        </w:rPr>
        <w:t>）</w:t>
      </w:r>
      <w:r>
        <w:rPr>
          <w:color w:val="000000" w:themeColor="text1"/>
          <w:sz w:val="24"/>
          <w:szCs w:val="24"/>
          <w:lang w:eastAsia="en-US"/>
        </w:rPr>
        <w:t>采气安全技术措施</w:t>
      </w:r>
    </w:p>
    <w:p w14:paraId="0C7F5D87" w14:textId="77777777" w:rsidR="002E0859" w:rsidRDefault="00000000">
      <w:pPr>
        <w:pStyle w:val="a0"/>
        <w:numPr>
          <w:ilvl w:val="0"/>
          <w:numId w:val="29"/>
        </w:numPr>
        <w:spacing w:line="360" w:lineRule="auto"/>
        <w:ind w:firstLineChars="0"/>
        <w:rPr>
          <w:color w:val="000000" w:themeColor="text1"/>
          <w:sz w:val="24"/>
          <w:szCs w:val="24"/>
        </w:rPr>
      </w:pPr>
      <w:r>
        <w:rPr>
          <w:color w:val="000000" w:themeColor="text1"/>
          <w:sz w:val="24"/>
          <w:szCs w:val="24"/>
        </w:rPr>
        <w:t>针对井口方池内存在表层气体溢出的问题，在井口旁边装上集气罩，并由管线导入放喷池内进行放喷燃烧。</w:t>
      </w:r>
    </w:p>
    <w:p w14:paraId="0D33C2E9" w14:textId="77777777" w:rsidR="002E0859" w:rsidRDefault="00000000">
      <w:pPr>
        <w:pStyle w:val="a0"/>
        <w:numPr>
          <w:ilvl w:val="0"/>
          <w:numId w:val="29"/>
        </w:numPr>
        <w:spacing w:line="360" w:lineRule="auto"/>
        <w:ind w:firstLineChars="0"/>
        <w:rPr>
          <w:color w:val="000000" w:themeColor="text1"/>
          <w:sz w:val="24"/>
          <w:szCs w:val="24"/>
        </w:rPr>
      </w:pPr>
      <w:r>
        <w:rPr>
          <w:color w:val="000000" w:themeColor="text1"/>
          <w:sz w:val="24"/>
          <w:szCs w:val="24"/>
        </w:rPr>
        <w:t>针对气井在生产过程中表套环空和技套环空压力逐渐升高的问题，采取定期放喷降压的方法</w:t>
      </w:r>
      <w:r>
        <w:rPr>
          <w:rFonts w:hint="eastAsia"/>
          <w:color w:val="000000" w:themeColor="text1"/>
          <w:sz w:val="24"/>
          <w:szCs w:val="24"/>
        </w:rPr>
        <w:t>（</w:t>
      </w:r>
      <w:r>
        <w:rPr>
          <w:color w:val="000000" w:themeColor="text1"/>
          <w:sz w:val="24"/>
          <w:szCs w:val="24"/>
        </w:rPr>
        <w:t>表套环空压力＞</w:t>
      </w:r>
      <w:r>
        <w:rPr>
          <w:color w:val="000000" w:themeColor="text1"/>
          <w:sz w:val="24"/>
          <w:szCs w:val="24"/>
        </w:rPr>
        <w:t>10MPa</w:t>
      </w:r>
      <w:r>
        <w:rPr>
          <w:color w:val="000000" w:themeColor="text1"/>
          <w:sz w:val="24"/>
          <w:szCs w:val="24"/>
        </w:rPr>
        <w:t>时放喷，技套环空压力＞</w:t>
      </w:r>
      <w:r>
        <w:rPr>
          <w:color w:val="000000" w:themeColor="text1"/>
          <w:sz w:val="24"/>
          <w:szCs w:val="24"/>
        </w:rPr>
        <w:t>15MPa</w:t>
      </w:r>
      <w:r>
        <w:rPr>
          <w:color w:val="000000" w:themeColor="text1"/>
          <w:sz w:val="24"/>
          <w:szCs w:val="24"/>
        </w:rPr>
        <w:t>时放喷</w:t>
      </w:r>
      <w:r>
        <w:rPr>
          <w:rFonts w:hint="eastAsia"/>
          <w:color w:val="000000" w:themeColor="text1"/>
          <w:sz w:val="24"/>
          <w:szCs w:val="24"/>
        </w:rPr>
        <w:t>）</w:t>
      </w:r>
      <w:r>
        <w:rPr>
          <w:color w:val="000000" w:themeColor="text1"/>
          <w:sz w:val="24"/>
          <w:szCs w:val="24"/>
        </w:rPr>
        <w:t>。</w:t>
      </w:r>
    </w:p>
    <w:p w14:paraId="15C9275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完井安全技术措施</w:t>
      </w:r>
    </w:p>
    <w:p w14:paraId="60F6B4AE" w14:textId="77777777" w:rsidR="002E0859" w:rsidRDefault="00000000">
      <w:pPr>
        <w:pStyle w:val="a0"/>
        <w:spacing w:line="360" w:lineRule="auto"/>
        <w:ind w:firstLine="480"/>
        <w:rPr>
          <w:color w:val="000000" w:themeColor="text1"/>
          <w:sz w:val="24"/>
          <w:szCs w:val="24"/>
        </w:rPr>
      </w:pPr>
      <w:r>
        <w:rPr>
          <w:color w:val="000000" w:themeColor="text1"/>
          <w:sz w:val="24"/>
          <w:szCs w:val="24"/>
        </w:rPr>
        <w:t>通过对各种完井方式的对比分析，从完井、储层压裂改造及从气井寿命和安全生产方面考虑，结合焦石坝页岩气藏主体的实际特点，综合考虑，推荐采用套管射孔完井方式。</w:t>
      </w:r>
    </w:p>
    <w:p w14:paraId="737E5804" w14:textId="77777777" w:rsidR="002E0859" w:rsidRDefault="00000000">
      <w:pPr>
        <w:pStyle w:val="a0"/>
        <w:spacing w:line="360" w:lineRule="auto"/>
        <w:ind w:firstLine="480"/>
        <w:rPr>
          <w:color w:val="000000" w:themeColor="text1"/>
          <w:sz w:val="24"/>
          <w:szCs w:val="24"/>
        </w:rPr>
      </w:pPr>
      <w:r>
        <w:rPr>
          <w:color w:val="000000" w:themeColor="text1"/>
          <w:sz w:val="24"/>
          <w:szCs w:val="24"/>
        </w:rPr>
        <w:t>页岩气井施工排量大</w:t>
      </w:r>
      <w:r>
        <w:rPr>
          <w:rFonts w:hint="eastAsia"/>
          <w:color w:val="000000" w:themeColor="text1"/>
          <w:sz w:val="24"/>
          <w:szCs w:val="24"/>
        </w:rPr>
        <w:t>（</w:t>
      </w:r>
      <w:r>
        <w:rPr>
          <w:color w:val="000000" w:themeColor="text1"/>
          <w:sz w:val="24"/>
          <w:szCs w:val="24"/>
        </w:rPr>
        <w:t>12m</w:t>
      </w:r>
      <w:r>
        <w:rPr>
          <w:color w:val="000000" w:themeColor="text1"/>
          <w:sz w:val="24"/>
          <w:szCs w:val="24"/>
          <w:vertAlign w:val="superscript"/>
        </w:rPr>
        <w:t>3</w:t>
      </w:r>
      <w:r>
        <w:rPr>
          <w:color w:val="000000" w:themeColor="text1"/>
          <w:sz w:val="24"/>
          <w:szCs w:val="24"/>
        </w:rPr>
        <w:t>/min</w:t>
      </w:r>
      <w:r>
        <w:rPr>
          <w:color w:val="000000" w:themeColor="text1"/>
          <w:sz w:val="24"/>
          <w:szCs w:val="24"/>
        </w:rPr>
        <w:t>～</w:t>
      </w:r>
      <w:r>
        <w:rPr>
          <w:color w:val="000000" w:themeColor="text1"/>
          <w:sz w:val="24"/>
          <w:szCs w:val="24"/>
        </w:rPr>
        <w:t>16m</w:t>
      </w:r>
      <w:r>
        <w:rPr>
          <w:color w:val="000000" w:themeColor="text1"/>
          <w:sz w:val="24"/>
          <w:szCs w:val="24"/>
          <w:vertAlign w:val="superscript"/>
        </w:rPr>
        <w:t>3</w:t>
      </w:r>
      <w:r>
        <w:rPr>
          <w:color w:val="000000" w:themeColor="text1"/>
          <w:sz w:val="24"/>
          <w:szCs w:val="24"/>
        </w:rPr>
        <w:t>/min</w:t>
      </w:r>
      <w:r>
        <w:rPr>
          <w:rFonts w:hint="eastAsia"/>
          <w:color w:val="000000" w:themeColor="text1"/>
          <w:sz w:val="24"/>
          <w:szCs w:val="24"/>
        </w:rPr>
        <w:t>）</w:t>
      </w:r>
      <w:r>
        <w:rPr>
          <w:color w:val="000000" w:themeColor="text1"/>
          <w:sz w:val="24"/>
          <w:szCs w:val="24"/>
        </w:rPr>
        <w:t>，水平井井段长，分段级数多</w:t>
      </w:r>
      <w:r>
        <w:rPr>
          <w:rFonts w:hint="eastAsia"/>
          <w:color w:val="000000" w:themeColor="text1"/>
          <w:sz w:val="24"/>
          <w:szCs w:val="24"/>
        </w:rPr>
        <w:t>（</w:t>
      </w:r>
      <w:r>
        <w:rPr>
          <w:color w:val="000000" w:themeColor="text1"/>
          <w:sz w:val="24"/>
          <w:szCs w:val="24"/>
        </w:rPr>
        <w:t>15</w:t>
      </w:r>
      <w:r>
        <w:rPr>
          <w:color w:val="000000" w:themeColor="text1"/>
          <w:sz w:val="24"/>
          <w:szCs w:val="24"/>
        </w:rPr>
        <w:t>段～</w:t>
      </w:r>
      <w:r>
        <w:rPr>
          <w:color w:val="000000" w:themeColor="text1"/>
          <w:sz w:val="24"/>
          <w:szCs w:val="24"/>
        </w:rPr>
        <w:t>22</w:t>
      </w:r>
      <w:r>
        <w:rPr>
          <w:color w:val="000000" w:themeColor="text1"/>
          <w:sz w:val="24"/>
          <w:szCs w:val="24"/>
        </w:rPr>
        <w:t>段</w:t>
      </w:r>
      <w:r>
        <w:rPr>
          <w:rFonts w:hint="eastAsia"/>
          <w:color w:val="000000" w:themeColor="text1"/>
          <w:sz w:val="24"/>
          <w:szCs w:val="24"/>
        </w:rPr>
        <w:t>）</w:t>
      </w:r>
      <w:r>
        <w:rPr>
          <w:color w:val="000000" w:themeColor="text1"/>
          <w:sz w:val="24"/>
          <w:szCs w:val="24"/>
        </w:rPr>
        <w:t>，施工摩阻高。对比套管滑套封隔器和桥塞封隔，套管滑套封隔器分段数量有限、完井管柱下入难度大、承压能力受限，排量受管柱内径限制；桥塞封隔具有无级数限制，排量不受管柱内径限制。因此选择泵送桥塞分段压裂完井。</w:t>
      </w:r>
    </w:p>
    <w:p w14:paraId="5103855E" w14:textId="77777777" w:rsidR="002E0859" w:rsidRDefault="00000000">
      <w:pPr>
        <w:pStyle w:val="a0"/>
        <w:spacing w:line="360" w:lineRule="auto"/>
        <w:ind w:firstLine="480"/>
        <w:rPr>
          <w:color w:val="000000" w:themeColor="text1"/>
          <w:sz w:val="24"/>
          <w:szCs w:val="24"/>
        </w:rPr>
      </w:pPr>
      <w:r>
        <w:rPr>
          <w:color w:val="000000" w:themeColor="text1"/>
          <w:sz w:val="24"/>
          <w:szCs w:val="24"/>
        </w:rPr>
        <w:t>当施工排量</w:t>
      </w:r>
      <w:r>
        <w:rPr>
          <w:color w:val="000000" w:themeColor="text1"/>
          <w:sz w:val="24"/>
          <w:szCs w:val="24"/>
        </w:rPr>
        <w:t>12-16m</w:t>
      </w:r>
      <w:r>
        <w:rPr>
          <w:color w:val="000000" w:themeColor="text1"/>
          <w:sz w:val="24"/>
          <w:szCs w:val="24"/>
          <w:vertAlign w:val="superscript"/>
        </w:rPr>
        <w:t>3</w:t>
      </w:r>
      <w:r>
        <w:rPr>
          <w:color w:val="000000" w:themeColor="text1"/>
          <w:sz w:val="24"/>
          <w:szCs w:val="24"/>
        </w:rPr>
        <w:t>/min</w:t>
      </w:r>
      <w:r>
        <w:rPr>
          <w:color w:val="000000" w:themeColor="text1"/>
          <w:sz w:val="24"/>
          <w:szCs w:val="24"/>
        </w:rPr>
        <w:t>时，气井储层垂深</w:t>
      </w:r>
      <w:r>
        <w:rPr>
          <w:color w:val="000000" w:themeColor="text1"/>
          <w:sz w:val="24"/>
          <w:szCs w:val="24"/>
        </w:rPr>
        <w:t>3700m</w:t>
      </w:r>
      <w:r>
        <w:rPr>
          <w:color w:val="000000" w:themeColor="text1"/>
          <w:sz w:val="24"/>
          <w:szCs w:val="24"/>
        </w:rPr>
        <w:t>，施工井口压力</w:t>
      </w:r>
      <w:r>
        <w:rPr>
          <w:color w:val="000000" w:themeColor="text1"/>
          <w:sz w:val="24"/>
          <w:szCs w:val="24"/>
        </w:rPr>
        <w:t>78.9-97.7MPa</w:t>
      </w:r>
      <w:r>
        <w:rPr>
          <w:color w:val="000000" w:themeColor="text1"/>
          <w:sz w:val="24"/>
          <w:szCs w:val="24"/>
        </w:rPr>
        <w:t>，推算井底最大压力</w:t>
      </w:r>
      <w:r>
        <w:rPr>
          <w:color w:val="000000" w:themeColor="text1"/>
          <w:sz w:val="24"/>
          <w:szCs w:val="24"/>
        </w:rPr>
        <w:t>95.9-104.6MPa</w:t>
      </w:r>
      <w:r>
        <w:rPr>
          <w:color w:val="000000" w:themeColor="text1"/>
          <w:sz w:val="24"/>
          <w:szCs w:val="24"/>
        </w:rPr>
        <w:t>；垂深</w:t>
      </w:r>
      <w:r>
        <w:rPr>
          <w:color w:val="000000" w:themeColor="text1"/>
          <w:sz w:val="24"/>
          <w:szCs w:val="24"/>
        </w:rPr>
        <w:t>3800m</w:t>
      </w:r>
      <w:r>
        <w:rPr>
          <w:color w:val="000000" w:themeColor="text1"/>
          <w:sz w:val="24"/>
          <w:szCs w:val="24"/>
        </w:rPr>
        <w:t>，施工井口压力</w:t>
      </w:r>
      <w:r>
        <w:rPr>
          <w:color w:val="000000" w:themeColor="text1"/>
          <w:sz w:val="24"/>
          <w:szCs w:val="24"/>
        </w:rPr>
        <w:t>85.9-106.7MPa</w:t>
      </w:r>
      <w:r>
        <w:rPr>
          <w:color w:val="000000" w:themeColor="text1"/>
          <w:sz w:val="24"/>
          <w:szCs w:val="24"/>
        </w:rPr>
        <w:t>，推算井</w:t>
      </w:r>
    </w:p>
    <w:p w14:paraId="0F2040FE" w14:textId="77777777" w:rsidR="002E0859" w:rsidRDefault="00000000">
      <w:pPr>
        <w:pStyle w:val="a0"/>
        <w:spacing w:line="360" w:lineRule="auto"/>
        <w:ind w:firstLineChars="0" w:firstLine="0"/>
        <w:rPr>
          <w:color w:val="000000" w:themeColor="text1"/>
          <w:sz w:val="24"/>
          <w:szCs w:val="24"/>
        </w:rPr>
      </w:pPr>
      <w:r>
        <w:rPr>
          <w:color w:val="000000" w:themeColor="text1"/>
          <w:sz w:val="24"/>
          <w:szCs w:val="24"/>
        </w:rPr>
        <w:t>底最大压力</w:t>
      </w:r>
      <w:r>
        <w:rPr>
          <w:color w:val="000000" w:themeColor="text1"/>
          <w:sz w:val="24"/>
          <w:szCs w:val="24"/>
        </w:rPr>
        <w:t>104.5-114.2MPa</w:t>
      </w:r>
      <w:r>
        <w:rPr>
          <w:color w:val="000000" w:themeColor="text1"/>
          <w:sz w:val="24"/>
          <w:szCs w:val="24"/>
        </w:rPr>
        <w:t>。采用套管射孔完井，生产套管抗内压强度：埋深小于</w:t>
      </w:r>
      <w:r>
        <w:rPr>
          <w:color w:val="000000" w:themeColor="text1"/>
          <w:sz w:val="24"/>
          <w:szCs w:val="24"/>
        </w:rPr>
        <w:t>3700</w:t>
      </w:r>
      <w:r>
        <w:rPr>
          <w:color w:val="000000" w:themeColor="text1"/>
          <w:sz w:val="24"/>
          <w:szCs w:val="24"/>
        </w:rPr>
        <w:t>米的井用</w:t>
      </w:r>
      <w:r>
        <w:rPr>
          <w:color w:val="000000" w:themeColor="text1"/>
          <w:sz w:val="24"/>
          <w:szCs w:val="24"/>
        </w:rPr>
        <w:t>P110T</w:t>
      </w:r>
      <w:r>
        <w:rPr>
          <w:color w:val="000000" w:themeColor="text1"/>
          <w:sz w:val="24"/>
          <w:szCs w:val="24"/>
        </w:rPr>
        <w:t>（</w:t>
      </w:r>
      <w:r>
        <w:rPr>
          <w:color w:val="000000" w:themeColor="text1"/>
          <w:sz w:val="24"/>
          <w:szCs w:val="24"/>
        </w:rPr>
        <w:t>P110</w:t>
      </w:r>
      <w:r>
        <w:rPr>
          <w:color w:val="000000" w:themeColor="text1"/>
          <w:sz w:val="24"/>
          <w:szCs w:val="24"/>
        </w:rPr>
        <w:t>）钢级、壁厚</w:t>
      </w:r>
      <w:r>
        <w:rPr>
          <w:color w:val="000000" w:themeColor="text1"/>
          <w:sz w:val="24"/>
          <w:szCs w:val="24"/>
        </w:rPr>
        <w:t>12.34</w:t>
      </w:r>
      <w:r>
        <w:rPr>
          <w:color w:val="000000" w:themeColor="text1"/>
          <w:sz w:val="24"/>
          <w:szCs w:val="24"/>
        </w:rPr>
        <w:t>毫米；埋深</w:t>
      </w:r>
      <w:r>
        <w:rPr>
          <w:color w:val="000000" w:themeColor="text1"/>
          <w:sz w:val="24"/>
          <w:szCs w:val="24"/>
        </w:rPr>
        <w:t>3700-4200</w:t>
      </w:r>
      <w:r>
        <w:rPr>
          <w:color w:val="000000" w:themeColor="text1"/>
          <w:sz w:val="24"/>
          <w:szCs w:val="24"/>
        </w:rPr>
        <w:t>米的井用</w:t>
      </w:r>
      <w:r>
        <w:rPr>
          <w:color w:val="000000" w:themeColor="text1"/>
          <w:sz w:val="24"/>
          <w:szCs w:val="24"/>
        </w:rPr>
        <w:t>125V</w:t>
      </w:r>
      <w:r>
        <w:rPr>
          <w:color w:val="000000" w:themeColor="text1"/>
          <w:sz w:val="24"/>
          <w:szCs w:val="24"/>
        </w:rPr>
        <w:t>钢级、壁厚</w:t>
      </w:r>
      <w:r>
        <w:rPr>
          <w:color w:val="000000" w:themeColor="text1"/>
          <w:sz w:val="24"/>
          <w:szCs w:val="24"/>
        </w:rPr>
        <w:t>12.34</w:t>
      </w:r>
      <w:r>
        <w:rPr>
          <w:color w:val="000000" w:themeColor="text1"/>
          <w:sz w:val="24"/>
          <w:szCs w:val="24"/>
        </w:rPr>
        <w:t>毫米；埋深大于</w:t>
      </w:r>
      <w:r>
        <w:rPr>
          <w:color w:val="000000" w:themeColor="text1"/>
          <w:sz w:val="24"/>
          <w:szCs w:val="24"/>
        </w:rPr>
        <w:t>4200</w:t>
      </w:r>
      <w:r>
        <w:rPr>
          <w:color w:val="000000" w:themeColor="text1"/>
          <w:sz w:val="24"/>
          <w:szCs w:val="24"/>
        </w:rPr>
        <w:t>米的井用</w:t>
      </w:r>
      <w:r>
        <w:rPr>
          <w:color w:val="000000" w:themeColor="text1"/>
          <w:sz w:val="24"/>
          <w:szCs w:val="24"/>
        </w:rPr>
        <w:t>140V</w:t>
      </w:r>
      <w:r>
        <w:rPr>
          <w:color w:val="000000" w:themeColor="text1"/>
          <w:sz w:val="24"/>
          <w:szCs w:val="24"/>
        </w:rPr>
        <w:t>钢级、壁厚</w:t>
      </w:r>
      <w:r>
        <w:rPr>
          <w:color w:val="000000" w:themeColor="text1"/>
          <w:sz w:val="24"/>
          <w:szCs w:val="24"/>
        </w:rPr>
        <w:t>12.34</w:t>
      </w:r>
      <w:r>
        <w:rPr>
          <w:color w:val="000000" w:themeColor="text1"/>
          <w:sz w:val="24"/>
          <w:szCs w:val="24"/>
        </w:rPr>
        <w:t>毫米。</w:t>
      </w:r>
    </w:p>
    <w:p w14:paraId="6369FB9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6</w:t>
      </w:r>
      <w:r>
        <w:rPr>
          <w:rFonts w:hint="eastAsia"/>
          <w:color w:val="000000" w:themeColor="text1"/>
          <w:sz w:val="24"/>
          <w:szCs w:val="24"/>
        </w:rPr>
        <w:t>）</w:t>
      </w:r>
      <w:r>
        <w:rPr>
          <w:color w:val="000000" w:themeColor="text1"/>
          <w:sz w:val="24"/>
          <w:szCs w:val="24"/>
        </w:rPr>
        <w:t>预防套管带压技术措施</w:t>
      </w:r>
    </w:p>
    <w:p w14:paraId="73E55C84" w14:textId="77777777" w:rsidR="002E0859" w:rsidRDefault="00000000">
      <w:pPr>
        <w:pStyle w:val="a0"/>
        <w:spacing w:line="360" w:lineRule="auto"/>
        <w:ind w:left="400" w:firstLineChars="0" w:firstLine="0"/>
        <w:rPr>
          <w:color w:val="000000" w:themeColor="text1"/>
          <w:sz w:val="24"/>
          <w:szCs w:val="24"/>
        </w:rPr>
      </w:pPr>
      <w:r>
        <w:rPr>
          <w:color w:val="000000" w:themeColor="text1"/>
          <w:sz w:val="24"/>
          <w:szCs w:val="24"/>
        </w:rPr>
        <w:t>预防套管带压技术措施包括以下三个方面：</w:t>
      </w:r>
    </w:p>
    <w:p w14:paraId="411B288B" w14:textId="77777777" w:rsidR="002E0859" w:rsidRDefault="00000000">
      <w:pPr>
        <w:pStyle w:val="a0"/>
        <w:numPr>
          <w:ilvl w:val="0"/>
          <w:numId w:val="30"/>
        </w:numPr>
        <w:spacing w:line="360" w:lineRule="auto"/>
        <w:ind w:firstLineChars="0"/>
        <w:rPr>
          <w:color w:val="000000" w:themeColor="text1"/>
          <w:sz w:val="24"/>
          <w:szCs w:val="24"/>
        </w:rPr>
      </w:pPr>
      <w:r>
        <w:rPr>
          <w:color w:val="000000" w:themeColor="text1"/>
          <w:sz w:val="24"/>
          <w:szCs w:val="24"/>
        </w:rPr>
        <w:lastRenderedPageBreak/>
        <w:t>制定合理的井控管理措施，严格执行工区《异常采气井口管理规定》文件，强化井控风险管理，落实巡检制度、汇报制度、放压制度。</w:t>
      </w:r>
    </w:p>
    <w:p w14:paraId="49EF2840" w14:textId="77777777" w:rsidR="002E0859" w:rsidRDefault="00000000">
      <w:pPr>
        <w:pStyle w:val="a0"/>
        <w:numPr>
          <w:ilvl w:val="0"/>
          <w:numId w:val="30"/>
        </w:numPr>
        <w:spacing w:line="360" w:lineRule="auto"/>
        <w:ind w:firstLineChars="0"/>
        <w:rPr>
          <w:color w:val="000000" w:themeColor="text1"/>
          <w:sz w:val="24"/>
          <w:szCs w:val="24"/>
        </w:rPr>
      </w:pPr>
      <w:r>
        <w:rPr>
          <w:color w:val="000000" w:themeColor="text1"/>
          <w:sz w:val="24"/>
          <w:szCs w:val="24"/>
        </w:rPr>
        <w:t>安装各级套压表泄压放空管线，制作方井导管密封罩，将导管气引流到井场外。</w:t>
      </w:r>
    </w:p>
    <w:p w14:paraId="76E7EB39" w14:textId="77777777" w:rsidR="002E0859" w:rsidRDefault="00000000">
      <w:pPr>
        <w:pStyle w:val="a0"/>
        <w:numPr>
          <w:ilvl w:val="0"/>
          <w:numId w:val="30"/>
        </w:numPr>
        <w:spacing w:line="360" w:lineRule="auto"/>
        <w:ind w:firstLineChars="0"/>
        <w:rPr>
          <w:color w:val="000000" w:themeColor="text1"/>
          <w:sz w:val="24"/>
          <w:szCs w:val="24"/>
        </w:rPr>
      </w:pPr>
      <w:r>
        <w:rPr>
          <w:color w:val="000000" w:themeColor="text1"/>
          <w:sz w:val="24"/>
          <w:szCs w:val="24"/>
        </w:rPr>
        <w:t>严格按照采气规范执行，进一步细化环空带压管理，在井口安装电子传感器，便于在气田、气井中控室实时监测各环空压力，对较高风险的井实施精细环空压力诊断和专门的漏点测井，有效管控环空压力风险。</w:t>
      </w:r>
    </w:p>
    <w:p w14:paraId="3A37F0F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3</w:t>
      </w:r>
      <w:r>
        <w:rPr>
          <w:rFonts w:hint="eastAsia"/>
          <w:color w:val="000000" w:themeColor="text1"/>
          <w:sz w:val="24"/>
          <w:szCs w:val="24"/>
        </w:rPr>
        <w:t>、地面工程安全对策措施</w:t>
      </w:r>
    </w:p>
    <w:p w14:paraId="0F23953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1</w:t>
      </w:r>
      <w:r>
        <w:rPr>
          <w:rFonts w:hint="eastAsia"/>
          <w:color w:val="000000" w:themeColor="text1"/>
          <w:sz w:val="24"/>
          <w:szCs w:val="24"/>
        </w:rPr>
        <w:t>）</w:t>
      </w:r>
      <w:r>
        <w:rPr>
          <w:color w:val="000000" w:themeColor="text1"/>
          <w:sz w:val="24"/>
          <w:szCs w:val="24"/>
        </w:rPr>
        <w:t>自动控制和紧急停车</w:t>
      </w:r>
      <w:r>
        <w:rPr>
          <w:rFonts w:hint="eastAsia"/>
          <w:color w:val="000000" w:themeColor="text1"/>
          <w:sz w:val="24"/>
          <w:szCs w:val="24"/>
        </w:rPr>
        <w:t>（</w:t>
      </w:r>
      <w:r>
        <w:rPr>
          <w:color w:val="000000" w:themeColor="text1"/>
          <w:sz w:val="24"/>
          <w:szCs w:val="24"/>
        </w:rPr>
        <w:t>截断</w:t>
      </w:r>
      <w:r>
        <w:rPr>
          <w:rFonts w:hint="eastAsia"/>
          <w:color w:val="000000" w:themeColor="text1"/>
          <w:sz w:val="24"/>
          <w:szCs w:val="24"/>
        </w:rPr>
        <w:t>）</w:t>
      </w:r>
      <w:r>
        <w:rPr>
          <w:color w:val="000000" w:themeColor="text1"/>
          <w:sz w:val="24"/>
          <w:szCs w:val="24"/>
        </w:rPr>
        <w:t>系统</w:t>
      </w:r>
    </w:p>
    <w:p w14:paraId="6320FB68"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项目在每个独立井口采气平台设置</w:t>
      </w:r>
      <w:r>
        <w:rPr>
          <w:color w:val="000000" w:themeColor="text1"/>
          <w:sz w:val="24"/>
          <w:szCs w:val="24"/>
        </w:rPr>
        <w:t>RTU</w:t>
      </w:r>
      <w:r>
        <w:rPr>
          <w:color w:val="000000" w:themeColor="text1"/>
          <w:sz w:val="24"/>
          <w:szCs w:val="24"/>
        </w:rPr>
        <w:t>系统</w:t>
      </w:r>
      <w:r>
        <w:rPr>
          <w:color w:val="000000" w:themeColor="text1"/>
          <w:sz w:val="24"/>
          <w:szCs w:val="24"/>
        </w:rPr>
        <w:t>1</w:t>
      </w:r>
      <w:r>
        <w:rPr>
          <w:color w:val="000000" w:themeColor="text1"/>
          <w:sz w:val="24"/>
          <w:szCs w:val="24"/>
        </w:rPr>
        <w:t>套；在每个井口采气平台和集气站合建站设置</w:t>
      </w:r>
      <w:r>
        <w:rPr>
          <w:color w:val="000000" w:themeColor="text1"/>
          <w:sz w:val="24"/>
          <w:szCs w:val="24"/>
        </w:rPr>
        <w:t>PLC</w:t>
      </w:r>
      <w:r>
        <w:rPr>
          <w:color w:val="000000" w:themeColor="text1"/>
          <w:sz w:val="24"/>
          <w:szCs w:val="24"/>
        </w:rPr>
        <w:t>系统</w:t>
      </w:r>
      <w:r>
        <w:rPr>
          <w:color w:val="000000" w:themeColor="text1"/>
          <w:sz w:val="24"/>
          <w:szCs w:val="24"/>
        </w:rPr>
        <w:t>1</w:t>
      </w:r>
      <w:r>
        <w:rPr>
          <w:color w:val="000000" w:themeColor="text1"/>
          <w:sz w:val="24"/>
          <w:szCs w:val="24"/>
        </w:rPr>
        <w:t>套。</w:t>
      </w:r>
    </w:p>
    <w:p w14:paraId="0359B21B"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设置井口安全截断系统，当检测点压力超高或超低以及火灾情况下，该系统自动关闭井口，同时也能人工紧急关闭井口。</w:t>
      </w:r>
    </w:p>
    <w:p w14:paraId="231269D0"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在集气站进出站管线设置压力检测和压力高、低报警，压力超低时对出站管线进行安全联锁截断。</w:t>
      </w:r>
    </w:p>
    <w:p w14:paraId="1472064A"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在集气站设置固定式可燃气体检测报警系统，固定式气体检测报警系统由现场探测器、控制器及配套报警喇叭等设备组成。井口装置区设置可燃气体</w:t>
      </w:r>
      <w:r>
        <w:rPr>
          <w:color w:val="000000" w:themeColor="text1"/>
          <w:sz w:val="24"/>
          <w:szCs w:val="24"/>
        </w:rPr>
        <w:t>(</w:t>
      </w:r>
      <w:r>
        <w:rPr>
          <w:color w:val="000000" w:themeColor="text1"/>
          <w:sz w:val="24"/>
          <w:szCs w:val="24"/>
        </w:rPr>
        <w:t>甲烷</w:t>
      </w:r>
      <w:r>
        <w:rPr>
          <w:color w:val="000000" w:themeColor="text1"/>
          <w:sz w:val="24"/>
          <w:szCs w:val="24"/>
        </w:rPr>
        <w:t>)</w:t>
      </w:r>
      <w:r>
        <w:rPr>
          <w:color w:val="000000" w:themeColor="text1"/>
          <w:sz w:val="24"/>
          <w:szCs w:val="24"/>
        </w:rPr>
        <w:t>探测器，现场探测器的检测信号采用铠装控制电缆敷设至控制器，信号传入控制器进行显示、上传至</w:t>
      </w:r>
      <w:r>
        <w:rPr>
          <w:color w:val="000000" w:themeColor="text1"/>
          <w:sz w:val="24"/>
          <w:szCs w:val="24"/>
        </w:rPr>
        <w:t>RTU</w:t>
      </w:r>
      <w:r>
        <w:rPr>
          <w:color w:val="000000" w:themeColor="text1"/>
          <w:sz w:val="24"/>
          <w:szCs w:val="24"/>
        </w:rPr>
        <w:t>，当控制器接收到超标信号，传送至喇叭进行报警。</w:t>
      </w:r>
    </w:p>
    <w:p w14:paraId="7568016C" w14:textId="77777777" w:rsidR="002E0859" w:rsidRDefault="00000000">
      <w:pPr>
        <w:pStyle w:val="a0"/>
        <w:spacing w:line="360" w:lineRule="auto"/>
        <w:ind w:firstLine="480"/>
        <w:rPr>
          <w:color w:val="000000" w:themeColor="text1"/>
          <w:sz w:val="24"/>
          <w:szCs w:val="24"/>
        </w:rPr>
      </w:pPr>
      <w:r>
        <w:rPr>
          <w:color w:val="000000" w:themeColor="text1"/>
          <w:sz w:val="24"/>
          <w:szCs w:val="24"/>
        </w:rPr>
        <w:t>5</w:t>
      </w:r>
      <w:r>
        <w:rPr>
          <w:rFonts w:hint="eastAsia"/>
          <w:color w:val="000000" w:themeColor="text1"/>
          <w:sz w:val="24"/>
          <w:szCs w:val="24"/>
        </w:rPr>
        <w:t>）</w:t>
      </w:r>
      <w:r>
        <w:rPr>
          <w:color w:val="000000" w:themeColor="text1"/>
          <w:sz w:val="24"/>
          <w:szCs w:val="24"/>
        </w:rPr>
        <w:t>为保证场站现场仪表的正常运行，本站场所有现场仪表都有防浪涌功能，同时在仪表信号进入电缆截图</w:t>
      </w:r>
      <w:r>
        <w:rPr>
          <w:color w:val="000000" w:themeColor="text1"/>
          <w:sz w:val="24"/>
          <w:szCs w:val="24"/>
        </w:rPr>
        <w:t>RTU</w:t>
      </w:r>
      <w:r>
        <w:rPr>
          <w:color w:val="000000" w:themeColor="text1"/>
          <w:sz w:val="24"/>
          <w:szCs w:val="24"/>
        </w:rPr>
        <w:t>前设置了浪涌保护器。</w:t>
      </w:r>
    </w:p>
    <w:p w14:paraId="320B837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2</w:t>
      </w:r>
      <w:r>
        <w:rPr>
          <w:rFonts w:hint="eastAsia"/>
          <w:color w:val="000000" w:themeColor="text1"/>
          <w:sz w:val="24"/>
          <w:szCs w:val="24"/>
        </w:rPr>
        <w:t>）</w:t>
      </w:r>
      <w:r>
        <w:rPr>
          <w:color w:val="000000" w:themeColor="text1"/>
          <w:sz w:val="24"/>
          <w:szCs w:val="24"/>
        </w:rPr>
        <w:t>火气探测系统</w:t>
      </w:r>
    </w:p>
    <w:p w14:paraId="7EBE85F3"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可燃气体检测报警</w:t>
      </w:r>
      <w:r>
        <w:rPr>
          <w:color w:val="000000" w:themeColor="text1"/>
          <w:sz w:val="24"/>
          <w:szCs w:val="24"/>
        </w:rPr>
        <w:t>1</w:t>
      </w:r>
      <w:r>
        <w:rPr>
          <w:color w:val="000000" w:themeColor="text1"/>
          <w:sz w:val="24"/>
          <w:szCs w:val="24"/>
        </w:rPr>
        <w:t>级报警值</w:t>
      </w:r>
      <w:r>
        <w:rPr>
          <w:color w:val="000000" w:themeColor="text1"/>
          <w:sz w:val="24"/>
          <w:szCs w:val="24"/>
        </w:rPr>
        <w:t>25</w:t>
      </w:r>
      <w:r>
        <w:rPr>
          <w:color w:val="000000" w:themeColor="text1"/>
          <w:sz w:val="24"/>
          <w:szCs w:val="24"/>
        </w:rPr>
        <w:t>％</w:t>
      </w:r>
      <w:r>
        <w:rPr>
          <w:color w:val="000000" w:themeColor="text1"/>
          <w:sz w:val="24"/>
          <w:szCs w:val="24"/>
        </w:rPr>
        <w:t>LEL</w:t>
      </w:r>
      <w:r>
        <w:rPr>
          <w:color w:val="000000" w:themeColor="text1"/>
          <w:sz w:val="24"/>
          <w:szCs w:val="24"/>
        </w:rPr>
        <w:t>，</w:t>
      </w:r>
      <w:r>
        <w:rPr>
          <w:color w:val="000000" w:themeColor="text1"/>
          <w:sz w:val="24"/>
          <w:szCs w:val="24"/>
        </w:rPr>
        <w:t>2</w:t>
      </w:r>
      <w:r>
        <w:rPr>
          <w:color w:val="000000" w:themeColor="text1"/>
          <w:sz w:val="24"/>
          <w:szCs w:val="24"/>
        </w:rPr>
        <w:t>级报警值</w:t>
      </w:r>
      <w:r>
        <w:rPr>
          <w:color w:val="000000" w:themeColor="text1"/>
          <w:sz w:val="24"/>
          <w:szCs w:val="24"/>
        </w:rPr>
        <w:t>50</w:t>
      </w:r>
      <w:r>
        <w:rPr>
          <w:color w:val="000000" w:themeColor="text1"/>
          <w:sz w:val="24"/>
          <w:szCs w:val="24"/>
        </w:rPr>
        <w:t>％</w:t>
      </w:r>
      <w:r>
        <w:rPr>
          <w:color w:val="000000" w:themeColor="text1"/>
          <w:sz w:val="24"/>
          <w:szCs w:val="24"/>
        </w:rPr>
        <w:t>LEL</w:t>
      </w:r>
      <w:r>
        <w:rPr>
          <w:color w:val="000000" w:themeColor="text1"/>
          <w:sz w:val="24"/>
          <w:szCs w:val="24"/>
        </w:rPr>
        <w:t>，站内工作人员根据报警值采取相处理措施。站内设置便携式可燃气体检测报警仪。</w:t>
      </w:r>
    </w:p>
    <w:p w14:paraId="6E25BDCD"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在场站的主出入口和逃生门外分别设置有火灾手动报警按钮和声光报警器，当现场操作人员发现有火灾等紧急情况发生时，迅速逃离装置区并按下手动报警按钮触发井场安全联锁，同时触发声光报警器启动提醒其余操作人员迅速撤离，保证人身安全。</w:t>
      </w:r>
    </w:p>
    <w:p w14:paraId="38EF4B7F"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3</w:t>
      </w:r>
      <w:r>
        <w:rPr>
          <w:rFonts w:hint="eastAsia"/>
          <w:color w:val="000000" w:themeColor="text1"/>
          <w:sz w:val="24"/>
          <w:szCs w:val="24"/>
        </w:rPr>
        <w:t>）</w:t>
      </w:r>
      <w:r>
        <w:rPr>
          <w:color w:val="000000" w:themeColor="text1"/>
          <w:sz w:val="24"/>
          <w:szCs w:val="24"/>
        </w:rPr>
        <w:t>设备和管道的防腐</w:t>
      </w:r>
    </w:p>
    <w:p w14:paraId="4F3021E0"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根据《钢质管道外腐蚀控制规范》</w:t>
      </w:r>
      <w:r>
        <w:rPr>
          <w:rFonts w:hint="eastAsia"/>
          <w:color w:val="000000" w:themeColor="text1"/>
          <w:sz w:val="24"/>
          <w:szCs w:val="24"/>
        </w:rPr>
        <w:t>（</w:t>
      </w:r>
      <w:r>
        <w:rPr>
          <w:color w:val="000000" w:themeColor="text1"/>
          <w:sz w:val="24"/>
          <w:szCs w:val="24"/>
        </w:rPr>
        <w:t>GB/T21447-2018</w:t>
      </w:r>
      <w:r>
        <w:rPr>
          <w:rFonts w:hint="eastAsia"/>
          <w:color w:val="000000" w:themeColor="text1"/>
          <w:sz w:val="24"/>
          <w:szCs w:val="24"/>
        </w:rPr>
        <w:t>）</w:t>
      </w:r>
      <w:r>
        <w:rPr>
          <w:color w:val="000000" w:themeColor="text1"/>
          <w:sz w:val="24"/>
          <w:szCs w:val="24"/>
        </w:rPr>
        <w:t>，《埋地钢质管道阴极保护技术规范》</w:t>
      </w:r>
      <w:r>
        <w:rPr>
          <w:rFonts w:hint="eastAsia"/>
          <w:color w:val="000000" w:themeColor="text1"/>
          <w:sz w:val="24"/>
          <w:szCs w:val="24"/>
        </w:rPr>
        <w:t>（</w:t>
      </w:r>
      <w:r>
        <w:rPr>
          <w:color w:val="000000" w:themeColor="text1"/>
          <w:sz w:val="24"/>
          <w:szCs w:val="24"/>
        </w:rPr>
        <w:t>GB/T21448-2017</w:t>
      </w:r>
      <w:r>
        <w:rPr>
          <w:rFonts w:hint="eastAsia"/>
          <w:color w:val="000000" w:themeColor="text1"/>
          <w:sz w:val="24"/>
          <w:szCs w:val="24"/>
        </w:rPr>
        <w:t>）</w:t>
      </w:r>
      <w:r>
        <w:rPr>
          <w:color w:val="000000" w:themeColor="text1"/>
          <w:sz w:val="24"/>
          <w:szCs w:val="24"/>
        </w:rPr>
        <w:t>的有关规定，本工程采用外防腐层加强制电流阴极保护联合防腐措施，站内、外埋地管道采用抗菌管材，外壁均采取防腐涂层保护方案，管道内壁</w:t>
      </w:r>
      <w:r>
        <w:rPr>
          <w:color w:val="000000" w:themeColor="text1"/>
          <w:sz w:val="24"/>
          <w:szCs w:val="24"/>
        </w:rPr>
        <w:lastRenderedPageBreak/>
        <w:t>未采取特殊腐蚀控制措施；为了防止雷击，避免强电流对阴极保护设备造成损坏，采用锌接地电池对绝缘接头进行保护；集气支线防腐层均为普通级</w:t>
      </w:r>
      <w:r>
        <w:rPr>
          <w:color w:val="000000" w:themeColor="text1"/>
          <w:sz w:val="24"/>
          <w:szCs w:val="24"/>
        </w:rPr>
        <w:t>3PE</w:t>
      </w:r>
      <w:r>
        <w:rPr>
          <w:color w:val="000000" w:themeColor="text1"/>
          <w:sz w:val="24"/>
          <w:szCs w:val="24"/>
        </w:rPr>
        <w:t>防腐，热煨弯头外防腐层采用无溶剂环氧涂料＋聚丙烯胶粘带，采气管线采用普通级</w:t>
      </w:r>
      <w:r>
        <w:rPr>
          <w:color w:val="000000" w:themeColor="text1"/>
          <w:sz w:val="24"/>
          <w:szCs w:val="24"/>
        </w:rPr>
        <w:t>3PE</w:t>
      </w:r>
      <w:r>
        <w:rPr>
          <w:color w:val="000000" w:themeColor="text1"/>
          <w:sz w:val="24"/>
          <w:szCs w:val="24"/>
        </w:rPr>
        <w:t>防腐。</w:t>
      </w:r>
    </w:p>
    <w:p w14:paraId="049066F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4</w:t>
      </w:r>
      <w:r>
        <w:rPr>
          <w:rFonts w:hint="eastAsia"/>
          <w:color w:val="000000" w:themeColor="text1"/>
          <w:sz w:val="24"/>
          <w:szCs w:val="24"/>
        </w:rPr>
        <w:t>）</w:t>
      </w:r>
      <w:r>
        <w:rPr>
          <w:color w:val="000000" w:themeColor="text1"/>
          <w:sz w:val="24"/>
          <w:szCs w:val="24"/>
        </w:rPr>
        <w:t>建</w:t>
      </w:r>
      <w:r>
        <w:rPr>
          <w:rFonts w:hint="eastAsia"/>
          <w:color w:val="000000" w:themeColor="text1"/>
          <w:sz w:val="24"/>
          <w:szCs w:val="24"/>
        </w:rPr>
        <w:t>（</w:t>
      </w:r>
      <w:r>
        <w:rPr>
          <w:color w:val="000000" w:themeColor="text1"/>
          <w:sz w:val="24"/>
          <w:szCs w:val="24"/>
        </w:rPr>
        <w:t>构</w:t>
      </w:r>
      <w:r>
        <w:rPr>
          <w:rFonts w:hint="eastAsia"/>
          <w:color w:val="000000" w:themeColor="text1"/>
          <w:sz w:val="24"/>
          <w:szCs w:val="24"/>
        </w:rPr>
        <w:t>）</w:t>
      </w:r>
      <w:r>
        <w:rPr>
          <w:color w:val="000000" w:themeColor="text1"/>
          <w:sz w:val="24"/>
          <w:szCs w:val="24"/>
        </w:rPr>
        <w:t>筑物</w:t>
      </w:r>
    </w:p>
    <w:p w14:paraId="32C9F9DA"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结构安全等级：建筑结构安全等级为二级</w:t>
      </w:r>
    </w:p>
    <w:p w14:paraId="0982F2EB"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使用年限：结构设计合理使用年限</w:t>
      </w:r>
      <w:r>
        <w:rPr>
          <w:color w:val="000000" w:themeColor="text1"/>
          <w:sz w:val="24"/>
          <w:szCs w:val="24"/>
        </w:rPr>
        <w:t>50</w:t>
      </w:r>
      <w:r>
        <w:rPr>
          <w:color w:val="000000" w:themeColor="text1"/>
          <w:sz w:val="24"/>
          <w:szCs w:val="24"/>
        </w:rPr>
        <w:t>年</w:t>
      </w:r>
    </w:p>
    <w:p w14:paraId="7FADE939"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耐火等级</w:t>
      </w:r>
      <w:r>
        <w:rPr>
          <w:color w:val="000000" w:themeColor="text1"/>
          <w:sz w:val="24"/>
          <w:szCs w:val="24"/>
        </w:rPr>
        <w:t>:</w:t>
      </w:r>
      <w:r>
        <w:rPr>
          <w:color w:val="000000" w:themeColor="text1"/>
          <w:sz w:val="24"/>
          <w:szCs w:val="24"/>
        </w:rPr>
        <w:t>建筑物的耐火等级为二级</w:t>
      </w:r>
    </w:p>
    <w:p w14:paraId="4DD93754"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防水等级</w:t>
      </w:r>
      <w:r>
        <w:rPr>
          <w:color w:val="000000" w:themeColor="text1"/>
          <w:sz w:val="24"/>
          <w:szCs w:val="24"/>
        </w:rPr>
        <w:t>:</w:t>
      </w:r>
      <w:r>
        <w:rPr>
          <w:color w:val="000000" w:themeColor="text1"/>
          <w:sz w:val="24"/>
          <w:szCs w:val="24"/>
        </w:rPr>
        <w:t>屋面防水等级为</w:t>
      </w:r>
      <w:r>
        <w:rPr>
          <w:color w:val="000000" w:themeColor="text1"/>
          <w:sz w:val="24"/>
          <w:szCs w:val="24"/>
        </w:rPr>
        <w:t>Ⅱ</w:t>
      </w:r>
      <w:r>
        <w:rPr>
          <w:color w:val="000000" w:themeColor="text1"/>
          <w:sz w:val="24"/>
          <w:szCs w:val="24"/>
        </w:rPr>
        <w:t>级</w:t>
      </w:r>
    </w:p>
    <w:p w14:paraId="212C62AA" w14:textId="77777777" w:rsidR="002E0859" w:rsidRDefault="00000000">
      <w:pPr>
        <w:pStyle w:val="a0"/>
        <w:spacing w:line="360" w:lineRule="auto"/>
        <w:ind w:firstLine="480"/>
        <w:rPr>
          <w:color w:val="000000" w:themeColor="text1"/>
          <w:sz w:val="24"/>
          <w:szCs w:val="24"/>
        </w:rPr>
      </w:pPr>
      <w:r>
        <w:rPr>
          <w:color w:val="000000" w:themeColor="text1"/>
          <w:sz w:val="24"/>
          <w:szCs w:val="24"/>
        </w:rPr>
        <w:t>5</w:t>
      </w:r>
      <w:r>
        <w:rPr>
          <w:rFonts w:hint="eastAsia"/>
          <w:color w:val="000000" w:themeColor="text1"/>
          <w:sz w:val="24"/>
          <w:szCs w:val="24"/>
        </w:rPr>
        <w:t>）</w:t>
      </w:r>
      <w:r>
        <w:rPr>
          <w:color w:val="000000" w:themeColor="text1"/>
          <w:sz w:val="24"/>
          <w:szCs w:val="24"/>
        </w:rPr>
        <w:t>抗震烈度等级</w:t>
      </w:r>
      <w:r>
        <w:rPr>
          <w:color w:val="000000" w:themeColor="text1"/>
          <w:sz w:val="24"/>
          <w:szCs w:val="24"/>
        </w:rPr>
        <w:t>:</w:t>
      </w:r>
      <w:r>
        <w:rPr>
          <w:color w:val="000000" w:themeColor="text1"/>
          <w:sz w:val="24"/>
          <w:szCs w:val="24"/>
        </w:rPr>
        <w:t>建筑物抗震设防烈度为</w:t>
      </w:r>
      <w:r>
        <w:rPr>
          <w:color w:val="000000" w:themeColor="text1"/>
          <w:sz w:val="24"/>
          <w:szCs w:val="24"/>
        </w:rPr>
        <w:t>6</w:t>
      </w:r>
      <w:r>
        <w:rPr>
          <w:color w:val="000000" w:themeColor="text1"/>
          <w:sz w:val="24"/>
          <w:szCs w:val="24"/>
        </w:rPr>
        <w:t>度</w:t>
      </w:r>
    </w:p>
    <w:p w14:paraId="3ED1E2BC" w14:textId="77777777" w:rsidR="002E0859" w:rsidRDefault="00000000">
      <w:pPr>
        <w:pStyle w:val="a0"/>
        <w:spacing w:line="360" w:lineRule="auto"/>
        <w:ind w:firstLine="480"/>
        <w:rPr>
          <w:color w:val="000000" w:themeColor="text1"/>
          <w:sz w:val="24"/>
          <w:szCs w:val="24"/>
        </w:rPr>
      </w:pPr>
      <w:r>
        <w:rPr>
          <w:color w:val="000000" w:themeColor="text1"/>
          <w:sz w:val="24"/>
          <w:szCs w:val="24"/>
        </w:rPr>
        <w:t>6</w:t>
      </w:r>
      <w:r>
        <w:rPr>
          <w:rFonts w:hint="eastAsia"/>
          <w:color w:val="000000" w:themeColor="text1"/>
          <w:sz w:val="24"/>
          <w:szCs w:val="24"/>
        </w:rPr>
        <w:t>）</w:t>
      </w:r>
      <w:r>
        <w:rPr>
          <w:color w:val="000000" w:themeColor="text1"/>
          <w:sz w:val="24"/>
          <w:szCs w:val="24"/>
        </w:rPr>
        <w:t>建筑抗震设防类别：本工程建筑抗震设防类别为乙类</w:t>
      </w:r>
    </w:p>
    <w:p w14:paraId="14F40B02" w14:textId="77777777" w:rsidR="002E0859" w:rsidRDefault="00000000">
      <w:pPr>
        <w:pStyle w:val="a0"/>
        <w:spacing w:line="360" w:lineRule="auto"/>
        <w:ind w:firstLine="480"/>
        <w:rPr>
          <w:color w:val="000000" w:themeColor="text1"/>
          <w:sz w:val="24"/>
          <w:szCs w:val="24"/>
        </w:rPr>
      </w:pPr>
      <w:r>
        <w:rPr>
          <w:color w:val="000000" w:themeColor="text1"/>
          <w:sz w:val="24"/>
          <w:szCs w:val="24"/>
        </w:rPr>
        <w:t>7</w:t>
      </w:r>
      <w:r>
        <w:rPr>
          <w:rFonts w:hint="eastAsia"/>
          <w:color w:val="000000" w:themeColor="text1"/>
          <w:sz w:val="24"/>
          <w:szCs w:val="24"/>
        </w:rPr>
        <w:t>）</w:t>
      </w:r>
      <w:r>
        <w:rPr>
          <w:color w:val="000000" w:themeColor="text1"/>
          <w:sz w:val="24"/>
          <w:szCs w:val="24"/>
        </w:rPr>
        <w:t>地基基础的设计等级：建筑物地基基础的设计等级为丙级</w:t>
      </w:r>
    </w:p>
    <w:p w14:paraId="715714DB"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5</w:t>
      </w:r>
      <w:r>
        <w:rPr>
          <w:rFonts w:hint="eastAsia"/>
          <w:color w:val="000000" w:themeColor="text1"/>
          <w:sz w:val="24"/>
          <w:szCs w:val="24"/>
        </w:rPr>
        <w:t>）</w:t>
      </w:r>
      <w:r>
        <w:rPr>
          <w:color w:val="000000" w:themeColor="text1"/>
          <w:sz w:val="24"/>
          <w:szCs w:val="24"/>
        </w:rPr>
        <w:t>电气设备</w:t>
      </w:r>
    </w:p>
    <w:p w14:paraId="34C7FA30" w14:textId="77777777" w:rsidR="002E0859" w:rsidRDefault="00000000">
      <w:pPr>
        <w:pStyle w:val="a0"/>
        <w:spacing w:line="360" w:lineRule="auto"/>
        <w:ind w:firstLine="480"/>
        <w:rPr>
          <w:color w:val="000000" w:themeColor="text1"/>
          <w:sz w:val="24"/>
          <w:szCs w:val="24"/>
        </w:rPr>
      </w:pPr>
      <w:r>
        <w:rPr>
          <w:color w:val="000000" w:themeColor="text1"/>
          <w:sz w:val="24"/>
          <w:szCs w:val="24"/>
        </w:rPr>
        <w:t>站内工艺装置区采用《石油设施电气设备场所</w:t>
      </w:r>
      <w:r>
        <w:rPr>
          <w:color w:val="000000" w:themeColor="text1"/>
          <w:sz w:val="24"/>
          <w:szCs w:val="24"/>
        </w:rPr>
        <w:t>Ⅰ</w:t>
      </w:r>
      <w:r>
        <w:rPr>
          <w:color w:val="000000" w:themeColor="text1"/>
          <w:sz w:val="24"/>
          <w:szCs w:val="24"/>
        </w:rPr>
        <w:t>级</w:t>
      </w:r>
      <w:r>
        <w:rPr>
          <w:color w:val="000000" w:themeColor="text1"/>
          <w:sz w:val="24"/>
          <w:szCs w:val="24"/>
        </w:rPr>
        <w:t>0</w:t>
      </w:r>
      <w:r>
        <w:rPr>
          <w:color w:val="000000" w:themeColor="text1"/>
          <w:sz w:val="24"/>
          <w:szCs w:val="24"/>
        </w:rPr>
        <w:t>区、</w:t>
      </w:r>
      <w:r>
        <w:rPr>
          <w:color w:val="000000" w:themeColor="text1"/>
          <w:sz w:val="24"/>
          <w:szCs w:val="24"/>
        </w:rPr>
        <w:t>1</w:t>
      </w:r>
      <w:r>
        <w:rPr>
          <w:color w:val="000000" w:themeColor="text1"/>
          <w:sz w:val="24"/>
          <w:szCs w:val="24"/>
        </w:rPr>
        <w:t>区和</w:t>
      </w:r>
      <w:r>
        <w:rPr>
          <w:color w:val="000000" w:themeColor="text1"/>
          <w:sz w:val="24"/>
          <w:szCs w:val="24"/>
        </w:rPr>
        <w:t>2</w:t>
      </w:r>
      <w:r>
        <w:rPr>
          <w:color w:val="000000" w:themeColor="text1"/>
          <w:sz w:val="24"/>
          <w:szCs w:val="24"/>
        </w:rPr>
        <w:t>区的分类推荐作法》</w:t>
      </w:r>
      <w:r>
        <w:rPr>
          <w:rFonts w:hint="eastAsia"/>
          <w:color w:val="000000" w:themeColor="text1"/>
          <w:sz w:val="24"/>
          <w:szCs w:val="24"/>
        </w:rPr>
        <w:t>（</w:t>
      </w:r>
      <w:r>
        <w:rPr>
          <w:color w:val="000000" w:themeColor="text1"/>
          <w:sz w:val="24"/>
          <w:szCs w:val="24"/>
        </w:rPr>
        <w:t>SY/T6671-2017</w:t>
      </w:r>
      <w:r>
        <w:rPr>
          <w:rFonts w:hint="eastAsia"/>
          <w:color w:val="000000" w:themeColor="text1"/>
          <w:sz w:val="24"/>
          <w:szCs w:val="24"/>
        </w:rPr>
        <w:t>）</w:t>
      </w:r>
      <w:r>
        <w:rPr>
          <w:color w:val="000000" w:themeColor="text1"/>
          <w:sz w:val="24"/>
          <w:szCs w:val="24"/>
        </w:rPr>
        <w:t>的相关条款进行划分。</w:t>
      </w:r>
    </w:p>
    <w:p w14:paraId="76D5DB2D" w14:textId="77777777" w:rsidR="002E0859" w:rsidRDefault="00000000">
      <w:pPr>
        <w:pStyle w:val="a0"/>
        <w:spacing w:line="360" w:lineRule="auto"/>
        <w:ind w:firstLine="480"/>
        <w:rPr>
          <w:color w:val="000000" w:themeColor="text1"/>
          <w:sz w:val="24"/>
          <w:szCs w:val="24"/>
        </w:rPr>
      </w:pPr>
      <w:r>
        <w:rPr>
          <w:color w:val="000000" w:themeColor="text1"/>
          <w:sz w:val="24"/>
          <w:szCs w:val="24"/>
        </w:rPr>
        <w:t>危险区域的电气设备的选择满足《爆炸危险环境电力装置设计规范》</w:t>
      </w:r>
      <w:r>
        <w:rPr>
          <w:rFonts w:hint="eastAsia"/>
          <w:color w:val="000000" w:themeColor="text1"/>
          <w:sz w:val="24"/>
          <w:szCs w:val="24"/>
        </w:rPr>
        <w:t>（</w:t>
      </w:r>
      <w:r>
        <w:rPr>
          <w:color w:val="000000" w:themeColor="text1"/>
          <w:sz w:val="24"/>
          <w:szCs w:val="24"/>
        </w:rPr>
        <w:t>GB50058-2014</w:t>
      </w:r>
      <w:r>
        <w:rPr>
          <w:rFonts w:hint="eastAsia"/>
          <w:color w:val="000000" w:themeColor="text1"/>
          <w:sz w:val="24"/>
          <w:szCs w:val="24"/>
        </w:rPr>
        <w:t>）</w:t>
      </w:r>
      <w:r>
        <w:rPr>
          <w:color w:val="000000" w:themeColor="text1"/>
          <w:sz w:val="24"/>
          <w:szCs w:val="24"/>
        </w:rPr>
        <w:t>的相关规定。站场区域防爆划分为二区，电气设备采用隔爆型防爆设备。</w:t>
      </w:r>
    </w:p>
    <w:p w14:paraId="05464217" w14:textId="77777777" w:rsidR="002E0859" w:rsidRDefault="00000000">
      <w:pPr>
        <w:pStyle w:val="a0"/>
        <w:spacing w:line="360" w:lineRule="auto"/>
        <w:ind w:firstLine="480"/>
        <w:rPr>
          <w:color w:val="000000" w:themeColor="text1"/>
          <w:sz w:val="24"/>
          <w:szCs w:val="24"/>
        </w:rPr>
      </w:pPr>
      <w:r>
        <w:rPr>
          <w:color w:val="000000" w:themeColor="text1"/>
          <w:sz w:val="24"/>
          <w:szCs w:val="24"/>
        </w:rPr>
        <w:t>动力线缆采用铜芯聚氯乙烯绝缘电缆，室内部分采用穿钢管埋地敷设，室外部分采用电缆沟内或铠装电缆直接埋地或桥架敷设。爆炸和火灾危险场所的电缆，采用电缆沟内敷设电缆沟内充砂。且绝缘电线和电缆的截面选择符合有关规定。爆炸和火灾危险场所的照明线路采用钢管明配。接地角钢与接地扁钢采用热镀锌防腐。</w:t>
      </w:r>
    </w:p>
    <w:p w14:paraId="73621FD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6</w:t>
      </w:r>
      <w:r>
        <w:rPr>
          <w:rFonts w:hint="eastAsia"/>
          <w:color w:val="000000" w:themeColor="text1"/>
          <w:sz w:val="24"/>
          <w:szCs w:val="24"/>
        </w:rPr>
        <w:t>）</w:t>
      </w:r>
      <w:r>
        <w:rPr>
          <w:color w:val="000000" w:themeColor="text1"/>
          <w:sz w:val="24"/>
          <w:szCs w:val="24"/>
        </w:rPr>
        <w:t>防雷、防静电</w:t>
      </w:r>
    </w:p>
    <w:p w14:paraId="166C000E" w14:textId="77777777" w:rsidR="002E0859" w:rsidRDefault="00000000">
      <w:pPr>
        <w:pStyle w:val="a0"/>
        <w:spacing w:line="360" w:lineRule="auto"/>
        <w:ind w:firstLine="48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低压配电系统的接地型式采用</w:t>
      </w:r>
      <w:r>
        <w:rPr>
          <w:color w:val="000000" w:themeColor="text1"/>
          <w:sz w:val="24"/>
          <w:szCs w:val="24"/>
        </w:rPr>
        <w:t>TN</w:t>
      </w:r>
      <w:r>
        <w:rPr>
          <w:color w:val="000000" w:themeColor="text1"/>
          <w:sz w:val="24"/>
          <w:szCs w:val="24"/>
        </w:rPr>
        <w:t>－</w:t>
      </w:r>
      <w:r>
        <w:rPr>
          <w:color w:val="000000" w:themeColor="text1"/>
          <w:sz w:val="24"/>
          <w:szCs w:val="24"/>
        </w:rPr>
        <w:t>S</w:t>
      </w:r>
      <w:r>
        <w:rPr>
          <w:color w:val="000000" w:themeColor="text1"/>
          <w:sz w:val="24"/>
          <w:szCs w:val="24"/>
        </w:rPr>
        <w:t>系统，配电箱处不得把</w:t>
      </w:r>
      <w:r>
        <w:rPr>
          <w:color w:val="000000" w:themeColor="text1"/>
          <w:sz w:val="24"/>
          <w:szCs w:val="24"/>
        </w:rPr>
        <w:t>N</w:t>
      </w:r>
      <w:r>
        <w:rPr>
          <w:color w:val="000000" w:themeColor="text1"/>
          <w:sz w:val="24"/>
          <w:szCs w:val="24"/>
        </w:rPr>
        <w:t>线和</w:t>
      </w:r>
      <w:r>
        <w:rPr>
          <w:color w:val="000000" w:themeColor="text1"/>
          <w:sz w:val="24"/>
          <w:szCs w:val="24"/>
        </w:rPr>
        <w:t>PE</w:t>
      </w:r>
      <w:r>
        <w:rPr>
          <w:color w:val="000000" w:themeColor="text1"/>
          <w:sz w:val="24"/>
          <w:szCs w:val="24"/>
        </w:rPr>
        <w:t>线相联，电缆在引入建筑物处，</w:t>
      </w:r>
      <w:r>
        <w:rPr>
          <w:color w:val="000000" w:themeColor="text1"/>
          <w:sz w:val="24"/>
          <w:szCs w:val="24"/>
        </w:rPr>
        <w:t>PE</w:t>
      </w:r>
      <w:r>
        <w:rPr>
          <w:color w:val="000000" w:themeColor="text1"/>
          <w:sz w:val="24"/>
          <w:szCs w:val="24"/>
        </w:rPr>
        <w:t>线做重复接地，电气装置外露可导电部分与</w:t>
      </w:r>
      <w:r>
        <w:rPr>
          <w:color w:val="000000" w:themeColor="text1"/>
          <w:sz w:val="24"/>
          <w:szCs w:val="24"/>
        </w:rPr>
        <w:t>PE</w:t>
      </w:r>
      <w:r>
        <w:rPr>
          <w:color w:val="000000" w:themeColor="text1"/>
          <w:sz w:val="24"/>
          <w:szCs w:val="24"/>
        </w:rPr>
        <w:t>线相连。</w:t>
      </w:r>
    </w:p>
    <w:p w14:paraId="484ACC43" w14:textId="77777777" w:rsidR="002E0859" w:rsidRDefault="00000000">
      <w:pPr>
        <w:pStyle w:val="a0"/>
        <w:spacing w:line="360" w:lineRule="auto"/>
        <w:ind w:firstLine="48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所有正常非带电电气设备金属外壳、电缆终端头的金属外壳、管道、构架、电缆金属外皮、配线钢管、钢窗等较大金属物和突出屋面的放散管等金属物均作可靠接地。</w:t>
      </w:r>
    </w:p>
    <w:p w14:paraId="788B0280" w14:textId="77777777" w:rsidR="002E0859" w:rsidRDefault="00000000">
      <w:pPr>
        <w:pStyle w:val="a0"/>
        <w:spacing w:line="360" w:lineRule="auto"/>
        <w:ind w:firstLine="48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平行敷设的管道、构架和电缆外皮等长金属物，其净距小于</w:t>
      </w:r>
      <w:r>
        <w:rPr>
          <w:color w:val="000000" w:themeColor="text1"/>
          <w:sz w:val="24"/>
          <w:szCs w:val="24"/>
        </w:rPr>
        <w:t>100mm</w:t>
      </w:r>
      <w:r>
        <w:rPr>
          <w:color w:val="000000" w:themeColor="text1"/>
          <w:sz w:val="24"/>
          <w:szCs w:val="24"/>
        </w:rPr>
        <w:t>时采用金属线跨接，跨接点间距不大于</w:t>
      </w:r>
      <w:r>
        <w:rPr>
          <w:color w:val="000000" w:themeColor="text1"/>
          <w:sz w:val="24"/>
          <w:szCs w:val="24"/>
        </w:rPr>
        <w:t>30m</w:t>
      </w:r>
      <w:r>
        <w:rPr>
          <w:color w:val="000000" w:themeColor="text1"/>
          <w:sz w:val="24"/>
          <w:szCs w:val="24"/>
        </w:rPr>
        <w:t>，交叉净距小于</w:t>
      </w:r>
      <w:r>
        <w:rPr>
          <w:color w:val="000000" w:themeColor="text1"/>
          <w:sz w:val="24"/>
          <w:szCs w:val="24"/>
        </w:rPr>
        <w:t>100mm</w:t>
      </w:r>
      <w:r>
        <w:rPr>
          <w:color w:val="000000" w:themeColor="text1"/>
          <w:sz w:val="24"/>
          <w:szCs w:val="24"/>
        </w:rPr>
        <w:t>时，其交叉处亦跨接。当长金属物的弯头、阀门、法兰盘等连接处的过渡电阻大于</w:t>
      </w:r>
      <w:r>
        <w:rPr>
          <w:color w:val="000000" w:themeColor="text1"/>
          <w:sz w:val="24"/>
          <w:szCs w:val="24"/>
        </w:rPr>
        <w:t>0.03</w:t>
      </w:r>
      <w:r>
        <w:rPr>
          <w:color w:val="000000" w:themeColor="text1"/>
          <w:sz w:val="24"/>
          <w:szCs w:val="24"/>
          <w:lang w:eastAsia="en-US"/>
        </w:rPr>
        <w:t>Ω</w:t>
      </w:r>
      <w:r>
        <w:rPr>
          <w:color w:val="000000" w:themeColor="text1"/>
          <w:sz w:val="24"/>
          <w:szCs w:val="24"/>
        </w:rPr>
        <w:t>时，连接处采用</w:t>
      </w:r>
      <w:r>
        <w:rPr>
          <w:color w:val="000000" w:themeColor="text1"/>
          <w:sz w:val="24"/>
          <w:szCs w:val="24"/>
        </w:rPr>
        <w:t>-25×4</w:t>
      </w:r>
      <w:r>
        <w:rPr>
          <w:color w:val="000000" w:themeColor="text1"/>
          <w:sz w:val="24"/>
          <w:szCs w:val="24"/>
        </w:rPr>
        <w:t>镀锌扁钢跨接。</w:t>
      </w:r>
    </w:p>
    <w:p w14:paraId="07EBD261" w14:textId="77777777" w:rsidR="002E0859" w:rsidRDefault="00000000">
      <w:pPr>
        <w:pStyle w:val="a0"/>
        <w:spacing w:line="360" w:lineRule="auto"/>
        <w:ind w:firstLine="48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架空、埋地或地沟内的金属管道，在进出建筑物处，就近与防雷接地装置相连。</w:t>
      </w:r>
      <w:r>
        <w:rPr>
          <w:color w:val="000000" w:themeColor="text1"/>
          <w:sz w:val="24"/>
          <w:szCs w:val="24"/>
        </w:rPr>
        <w:lastRenderedPageBreak/>
        <w:t>距离建构筑物</w:t>
      </w:r>
      <w:r>
        <w:rPr>
          <w:color w:val="000000" w:themeColor="text1"/>
          <w:sz w:val="24"/>
          <w:szCs w:val="24"/>
        </w:rPr>
        <w:t>100m</w:t>
      </w:r>
      <w:r>
        <w:rPr>
          <w:color w:val="000000" w:themeColor="text1"/>
          <w:sz w:val="24"/>
          <w:szCs w:val="24"/>
        </w:rPr>
        <w:t>内的管道，每隔</w:t>
      </w:r>
      <w:r>
        <w:rPr>
          <w:color w:val="000000" w:themeColor="text1"/>
          <w:sz w:val="24"/>
          <w:szCs w:val="24"/>
        </w:rPr>
        <w:t>25m</w:t>
      </w:r>
      <w:r>
        <w:rPr>
          <w:color w:val="000000" w:themeColor="text1"/>
          <w:sz w:val="24"/>
          <w:szCs w:val="24"/>
        </w:rPr>
        <w:t>左右接地一次，其冲击接地电阻不大于</w:t>
      </w:r>
      <w:r>
        <w:rPr>
          <w:color w:val="000000" w:themeColor="text1"/>
          <w:sz w:val="24"/>
          <w:szCs w:val="24"/>
        </w:rPr>
        <w:t>10</w:t>
      </w:r>
      <w:r>
        <w:rPr>
          <w:color w:val="000000" w:themeColor="text1"/>
          <w:sz w:val="24"/>
          <w:szCs w:val="24"/>
          <w:lang w:eastAsia="en-US"/>
        </w:rPr>
        <w:t>Ω</w:t>
      </w:r>
      <w:r>
        <w:rPr>
          <w:color w:val="000000" w:themeColor="text1"/>
          <w:sz w:val="24"/>
          <w:szCs w:val="24"/>
        </w:rPr>
        <w:t>。</w:t>
      </w:r>
    </w:p>
    <w:p w14:paraId="7CF279AC" w14:textId="77777777" w:rsidR="002E0859" w:rsidRDefault="00000000">
      <w:pPr>
        <w:pStyle w:val="a0"/>
        <w:spacing w:line="360" w:lineRule="auto"/>
        <w:ind w:firstLine="480"/>
        <w:rPr>
          <w:color w:val="000000" w:themeColor="text1"/>
          <w:sz w:val="24"/>
          <w:szCs w:val="24"/>
        </w:rPr>
      </w:pPr>
      <w:r>
        <w:rPr>
          <w:color w:val="000000" w:themeColor="text1"/>
          <w:sz w:val="24"/>
          <w:szCs w:val="24"/>
        </w:rPr>
        <w:t>5</w:t>
      </w:r>
      <w:r>
        <w:rPr>
          <w:rFonts w:hint="eastAsia"/>
          <w:color w:val="000000" w:themeColor="text1"/>
          <w:sz w:val="24"/>
          <w:szCs w:val="24"/>
        </w:rPr>
        <w:t>）</w:t>
      </w:r>
      <w:r>
        <w:rPr>
          <w:color w:val="000000" w:themeColor="text1"/>
          <w:sz w:val="24"/>
          <w:szCs w:val="24"/>
        </w:rPr>
        <w:t>可能产生静电危害的容器、储罐、装卸设施等做防静电接地；直径等于或大于</w:t>
      </w:r>
      <w:r>
        <w:rPr>
          <w:color w:val="000000" w:themeColor="text1"/>
          <w:sz w:val="24"/>
          <w:szCs w:val="24"/>
        </w:rPr>
        <w:t>2.5m</w:t>
      </w:r>
      <w:r>
        <w:rPr>
          <w:color w:val="000000" w:themeColor="text1"/>
          <w:sz w:val="24"/>
          <w:szCs w:val="24"/>
        </w:rPr>
        <w:t>或容积等于、大于</w:t>
      </w:r>
      <w:r>
        <w:rPr>
          <w:color w:val="000000" w:themeColor="text1"/>
          <w:sz w:val="24"/>
          <w:szCs w:val="24"/>
        </w:rPr>
        <w:t>50m</w:t>
      </w:r>
      <w:r>
        <w:rPr>
          <w:color w:val="000000" w:themeColor="text1"/>
          <w:sz w:val="24"/>
          <w:szCs w:val="24"/>
          <w:vertAlign w:val="superscript"/>
        </w:rPr>
        <w:t>3</w:t>
      </w:r>
      <w:r>
        <w:rPr>
          <w:color w:val="000000" w:themeColor="text1"/>
          <w:sz w:val="24"/>
          <w:szCs w:val="24"/>
        </w:rPr>
        <w:t>时，其接地点不少于两处；上述设备的金属浮体必须与罐体相接，与地绝缘的金属部件接地。</w:t>
      </w:r>
    </w:p>
    <w:p w14:paraId="7D32C2A7" w14:textId="77777777" w:rsidR="002E0859" w:rsidRDefault="00000000">
      <w:pPr>
        <w:pStyle w:val="a0"/>
        <w:spacing w:line="360" w:lineRule="auto"/>
        <w:ind w:firstLine="480"/>
        <w:rPr>
          <w:color w:val="000000" w:themeColor="text1"/>
          <w:sz w:val="24"/>
          <w:szCs w:val="24"/>
        </w:rPr>
      </w:pPr>
      <w:r>
        <w:rPr>
          <w:color w:val="000000" w:themeColor="text1"/>
          <w:sz w:val="24"/>
          <w:szCs w:val="24"/>
        </w:rPr>
        <w:t>6</w:t>
      </w:r>
      <w:r>
        <w:rPr>
          <w:rFonts w:hint="eastAsia"/>
          <w:color w:val="000000" w:themeColor="text1"/>
          <w:sz w:val="24"/>
          <w:szCs w:val="24"/>
        </w:rPr>
        <w:t>）</w:t>
      </w:r>
      <w:r>
        <w:rPr>
          <w:color w:val="000000" w:themeColor="text1"/>
          <w:sz w:val="24"/>
          <w:szCs w:val="24"/>
        </w:rPr>
        <w:t>每个橇装设备至少两点与主接地干线连接，并与露出地面的工艺管道相互做电气连接。</w:t>
      </w:r>
    </w:p>
    <w:p w14:paraId="1F627496" w14:textId="77777777" w:rsidR="002E0859" w:rsidRDefault="00000000">
      <w:pPr>
        <w:pStyle w:val="a0"/>
        <w:spacing w:line="360" w:lineRule="auto"/>
        <w:ind w:firstLine="480"/>
        <w:rPr>
          <w:color w:val="000000" w:themeColor="text1"/>
          <w:sz w:val="24"/>
          <w:szCs w:val="24"/>
        </w:rPr>
      </w:pPr>
      <w:r>
        <w:rPr>
          <w:color w:val="000000" w:themeColor="text1"/>
          <w:sz w:val="24"/>
          <w:szCs w:val="24"/>
        </w:rPr>
        <w:t>7</w:t>
      </w:r>
      <w:r>
        <w:rPr>
          <w:rFonts w:hint="eastAsia"/>
          <w:color w:val="000000" w:themeColor="text1"/>
          <w:sz w:val="24"/>
          <w:szCs w:val="24"/>
        </w:rPr>
        <w:t>）</w:t>
      </w:r>
      <w:r>
        <w:rPr>
          <w:color w:val="000000" w:themeColor="text1"/>
          <w:sz w:val="24"/>
          <w:szCs w:val="24"/>
        </w:rPr>
        <w:t>接地极采用</w:t>
      </w:r>
      <w:r>
        <w:rPr>
          <w:color w:val="000000" w:themeColor="text1"/>
          <w:sz w:val="24"/>
          <w:szCs w:val="24"/>
        </w:rPr>
        <w:t>L50×5×2500</w:t>
      </w:r>
      <w:r>
        <w:rPr>
          <w:color w:val="000000" w:themeColor="text1"/>
          <w:sz w:val="24"/>
          <w:szCs w:val="24"/>
        </w:rPr>
        <w:t>的镀锌角钢，间距不小于</w:t>
      </w:r>
      <w:r>
        <w:rPr>
          <w:color w:val="000000" w:themeColor="text1"/>
          <w:sz w:val="24"/>
          <w:szCs w:val="24"/>
        </w:rPr>
        <w:t>5m</w:t>
      </w:r>
      <w:r>
        <w:rPr>
          <w:color w:val="000000" w:themeColor="text1"/>
          <w:sz w:val="24"/>
          <w:szCs w:val="24"/>
        </w:rPr>
        <w:t>；接地线采用</w:t>
      </w:r>
      <w:r>
        <w:rPr>
          <w:color w:val="000000" w:themeColor="text1"/>
          <w:sz w:val="24"/>
          <w:szCs w:val="24"/>
        </w:rPr>
        <w:t>-40×4</w:t>
      </w:r>
      <w:r>
        <w:rPr>
          <w:color w:val="000000" w:themeColor="text1"/>
          <w:sz w:val="24"/>
          <w:szCs w:val="24"/>
        </w:rPr>
        <w:t>的镀锌扁钢；接地装置埋深</w:t>
      </w:r>
      <w:r>
        <w:rPr>
          <w:color w:val="000000" w:themeColor="text1"/>
          <w:sz w:val="24"/>
          <w:szCs w:val="24"/>
        </w:rPr>
        <w:t>0.7m</w:t>
      </w:r>
      <w:r>
        <w:rPr>
          <w:color w:val="000000" w:themeColor="text1"/>
          <w:sz w:val="24"/>
          <w:szCs w:val="24"/>
        </w:rPr>
        <w:t>。</w:t>
      </w:r>
    </w:p>
    <w:p w14:paraId="1F1F51F8" w14:textId="77777777" w:rsidR="002E0859" w:rsidRDefault="00000000">
      <w:pPr>
        <w:pStyle w:val="a0"/>
        <w:spacing w:line="360" w:lineRule="auto"/>
        <w:ind w:firstLine="480"/>
        <w:rPr>
          <w:color w:val="000000" w:themeColor="text1"/>
          <w:sz w:val="24"/>
          <w:szCs w:val="24"/>
        </w:rPr>
      </w:pPr>
      <w:r>
        <w:rPr>
          <w:color w:val="000000" w:themeColor="text1"/>
          <w:sz w:val="24"/>
          <w:szCs w:val="24"/>
        </w:rPr>
        <w:t>8</w:t>
      </w:r>
      <w:r>
        <w:rPr>
          <w:rFonts w:hint="eastAsia"/>
          <w:color w:val="000000" w:themeColor="text1"/>
          <w:sz w:val="24"/>
          <w:szCs w:val="24"/>
        </w:rPr>
        <w:t>）</w:t>
      </w:r>
      <w:r>
        <w:rPr>
          <w:color w:val="000000" w:themeColor="text1"/>
          <w:sz w:val="24"/>
          <w:szCs w:val="24"/>
        </w:rPr>
        <w:t>站内所有的电气设备接地、仪表接地、防雷、防静电接地相连构成统一的接地网，接地电阻</w:t>
      </w:r>
      <w:r>
        <w:rPr>
          <w:color w:val="000000" w:themeColor="text1"/>
          <w:sz w:val="24"/>
          <w:szCs w:val="24"/>
        </w:rPr>
        <w:t>R≤4</w:t>
      </w:r>
      <w:r>
        <w:rPr>
          <w:color w:val="000000" w:themeColor="text1"/>
          <w:sz w:val="24"/>
          <w:szCs w:val="24"/>
          <w:lang w:eastAsia="en-US"/>
        </w:rPr>
        <w:t>Ω</w:t>
      </w:r>
      <w:r>
        <w:rPr>
          <w:color w:val="000000" w:themeColor="text1"/>
          <w:sz w:val="24"/>
          <w:szCs w:val="24"/>
        </w:rPr>
        <w:t>。</w:t>
      </w:r>
    </w:p>
    <w:p w14:paraId="0F9868C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7</w:t>
      </w:r>
      <w:r>
        <w:rPr>
          <w:rFonts w:hint="eastAsia"/>
          <w:color w:val="000000" w:themeColor="text1"/>
          <w:sz w:val="24"/>
          <w:szCs w:val="24"/>
        </w:rPr>
        <w:t>）</w:t>
      </w:r>
      <w:r>
        <w:rPr>
          <w:color w:val="000000" w:themeColor="text1"/>
          <w:sz w:val="24"/>
          <w:szCs w:val="24"/>
        </w:rPr>
        <w:t>应急电源及应急照明</w:t>
      </w:r>
    </w:p>
    <w:p w14:paraId="64F80097" w14:textId="77777777" w:rsidR="002E0859" w:rsidRDefault="00000000">
      <w:pPr>
        <w:pStyle w:val="a0"/>
        <w:spacing w:line="360" w:lineRule="auto"/>
        <w:ind w:firstLine="480"/>
        <w:rPr>
          <w:color w:val="000000" w:themeColor="text1"/>
          <w:sz w:val="24"/>
          <w:szCs w:val="24"/>
        </w:rPr>
      </w:pPr>
      <w:r>
        <w:rPr>
          <w:color w:val="000000" w:themeColor="text1"/>
          <w:sz w:val="24"/>
          <w:szCs w:val="24"/>
        </w:rPr>
        <w:t>集气站设</w:t>
      </w:r>
      <w:r>
        <w:rPr>
          <w:color w:val="000000" w:themeColor="text1"/>
          <w:sz w:val="24"/>
          <w:szCs w:val="24"/>
        </w:rPr>
        <w:t>10/0.4kV</w:t>
      </w:r>
      <w:r>
        <w:rPr>
          <w:color w:val="000000" w:themeColor="text1"/>
          <w:sz w:val="24"/>
          <w:szCs w:val="24"/>
        </w:rPr>
        <w:t>杆上变电站作为各站配电中心，其</w:t>
      </w:r>
      <w:r>
        <w:rPr>
          <w:color w:val="000000" w:themeColor="text1"/>
          <w:sz w:val="24"/>
          <w:szCs w:val="24"/>
        </w:rPr>
        <w:t>10kV</w:t>
      </w:r>
      <w:r>
        <w:rPr>
          <w:color w:val="000000" w:themeColor="text1"/>
          <w:sz w:val="24"/>
          <w:szCs w:val="24"/>
        </w:rPr>
        <w:t>电源就近引自气田</w:t>
      </w:r>
      <w:r>
        <w:rPr>
          <w:color w:val="000000" w:themeColor="text1"/>
          <w:sz w:val="24"/>
          <w:szCs w:val="24"/>
        </w:rPr>
        <w:t>10kV</w:t>
      </w:r>
      <w:r>
        <w:rPr>
          <w:color w:val="000000" w:themeColor="text1"/>
          <w:sz w:val="24"/>
          <w:szCs w:val="24"/>
        </w:rPr>
        <w:t>架空线路，并设在线式</w:t>
      </w:r>
      <w:r>
        <w:rPr>
          <w:color w:val="000000" w:themeColor="text1"/>
          <w:sz w:val="24"/>
          <w:szCs w:val="24"/>
        </w:rPr>
        <w:t>UPS</w:t>
      </w:r>
      <w:r>
        <w:rPr>
          <w:color w:val="000000" w:themeColor="text1"/>
          <w:sz w:val="24"/>
          <w:szCs w:val="24"/>
        </w:rPr>
        <w:t>电源装置为自控仪表、通信供电，</w:t>
      </w:r>
      <w:r>
        <w:rPr>
          <w:color w:val="000000" w:themeColor="text1"/>
          <w:sz w:val="24"/>
          <w:szCs w:val="24"/>
        </w:rPr>
        <w:t>UPS</w:t>
      </w:r>
      <w:r>
        <w:rPr>
          <w:color w:val="000000" w:themeColor="text1"/>
          <w:sz w:val="24"/>
          <w:szCs w:val="24"/>
        </w:rPr>
        <w:t>容量为</w:t>
      </w:r>
      <w:r>
        <w:rPr>
          <w:color w:val="000000" w:themeColor="text1"/>
          <w:sz w:val="24"/>
          <w:szCs w:val="24"/>
        </w:rPr>
        <w:t>10kVA</w:t>
      </w:r>
      <w:r>
        <w:rPr>
          <w:color w:val="000000" w:themeColor="text1"/>
          <w:sz w:val="24"/>
          <w:szCs w:val="24"/>
        </w:rPr>
        <w:t>，备用时间</w:t>
      </w:r>
      <w:r>
        <w:rPr>
          <w:color w:val="000000" w:themeColor="text1"/>
          <w:sz w:val="24"/>
          <w:szCs w:val="24"/>
        </w:rPr>
        <w:t>4h</w:t>
      </w:r>
      <w:r>
        <w:rPr>
          <w:color w:val="000000" w:themeColor="text1"/>
          <w:sz w:val="24"/>
          <w:szCs w:val="24"/>
        </w:rPr>
        <w:t>。</w:t>
      </w:r>
    </w:p>
    <w:p w14:paraId="193B9572"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8</w:t>
      </w:r>
      <w:r>
        <w:rPr>
          <w:rFonts w:hint="eastAsia"/>
          <w:color w:val="000000" w:themeColor="text1"/>
          <w:sz w:val="24"/>
          <w:szCs w:val="24"/>
        </w:rPr>
        <w:t>）</w:t>
      </w:r>
      <w:r>
        <w:rPr>
          <w:color w:val="000000" w:themeColor="text1"/>
          <w:sz w:val="24"/>
          <w:szCs w:val="24"/>
        </w:rPr>
        <w:t>通风设施</w:t>
      </w:r>
    </w:p>
    <w:p w14:paraId="1DE1022B" w14:textId="77777777" w:rsidR="002E0859" w:rsidRDefault="00000000">
      <w:pPr>
        <w:pStyle w:val="a0"/>
        <w:spacing w:line="360" w:lineRule="auto"/>
        <w:ind w:firstLine="480"/>
        <w:rPr>
          <w:color w:val="000000" w:themeColor="text1"/>
          <w:sz w:val="24"/>
          <w:szCs w:val="24"/>
        </w:rPr>
      </w:pPr>
      <w:r>
        <w:rPr>
          <w:color w:val="000000" w:themeColor="text1"/>
          <w:sz w:val="24"/>
          <w:szCs w:val="24"/>
        </w:rPr>
        <w:t>集气站为无人值守站，站内房屋建筑为仪控室和配电室，采用自然通风。项目对脱水站、供水泵站配电室、化验间、卫生间采取了机械通风、自然通风的设计。</w:t>
      </w:r>
    </w:p>
    <w:p w14:paraId="5C1CF799"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9</w:t>
      </w:r>
      <w:r>
        <w:rPr>
          <w:rFonts w:hint="eastAsia"/>
          <w:color w:val="000000" w:themeColor="text1"/>
          <w:sz w:val="24"/>
          <w:szCs w:val="24"/>
        </w:rPr>
        <w:t>）</w:t>
      </w:r>
      <w:r>
        <w:rPr>
          <w:color w:val="000000" w:themeColor="text1"/>
          <w:sz w:val="24"/>
          <w:szCs w:val="24"/>
        </w:rPr>
        <w:t>安全泄放</w:t>
      </w:r>
    </w:p>
    <w:p w14:paraId="5E538976" w14:textId="77777777" w:rsidR="002E0859" w:rsidRDefault="00000000">
      <w:pPr>
        <w:pStyle w:val="a0"/>
        <w:spacing w:line="360" w:lineRule="auto"/>
        <w:ind w:firstLine="480"/>
        <w:rPr>
          <w:color w:val="000000" w:themeColor="text1"/>
          <w:sz w:val="24"/>
          <w:szCs w:val="24"/>
        </w:rPr>
      </w:pPr>
      <w:r>
        <w:rPr>
          <w:color w:val="000000" w:themeColor="text1"/>
          <w:sz w:val="24"/>
          <w:szCs w:val="24"/>
        </w:rPr>
        <w:t>严格执行压力容器设计规定和监察规程，所有可能超压的压力容器、压力管道按规</w:t>
      </w:r>
    </w:p>
    <w:p w14:paraId="45CD6EC0" w14:textId="77777777" w:rsidR="002E0859" w:rsidRDefault="00000000">
      <w:pPr>
        <w:pStyle w:val="a0"/>
        <w:spacing w:line="360" w:lineRule="auto"/>
        <w:ind w:firstLineChars="0" w:firstLine="0"/>
        <w:rPr>
          <w:color w:val="000000" w:themeColor="text1"/>
          <w:sz w:val="24"/>
          <w:szCs w:val="24"/>
        </w:rPr>
      </w:pPr>
      <w:r>
        <w:rPr>
          <w:color w:val="000000" w:themeColor="text1"/>
          <w:sz w:val="24"/>
          <w:szCs w:val="24"/>
        </w:rPr>
        <w:t>定装设安全泄放装置，安全阀泄放统一汇入安全泄放系统。</w:t>
      </w:r>
    </w:p>
    <w:p w14:paraId="751E9164" w14:textId="77777777" w:rsidR="002E0859" w:rsidRDefault="00000000">
      <w:pPr>
        <w:pStyle w:val="a0"/>
        <w:spacing w:line="360" w:lineRule="auto"/>
        <w:ind w:firstLine="480"/>
        <w:rPr>
          <w:color w:val="000000" w:themeColor="text1"/>
          <w:sz w:val="24"/>
          <w:szCs w:val="24"/>
        </w:rPr>
      </w:pPr>
      <w:r>
        <w:rPr>
          <w:color w:val="000000" w:themeColor="text1"/>
          <w:sz w:val="24"/>
          <w:szCs w:val="24"/>
        </w:rPr>
        <w:t>井场内设置有紧急切断、井口地面安全装置。</w:t>
      </w:r>
    </w:p>
    <w:p w14:paraId="30BC9AC5" w14:textId="77777777" w:rsidR="002E0859" w:rsidRDefault="00000000">
      <w:pPr>
        <w:pStyle w:val="a0"/>
        <w:spacing w:line="360" w:lineRule="auto"/>
        <w:ind w:firstLine="480"/>
        <w:rPr>
          <w:color w:val="000000" w:themeColor="text1"/>
          <w:sz w:val="24"/>
          <w:szCs w:val="24"/>
        </w:rPr>
      </w:pPr>
      <w:r>
        <w:rPr>
          <w:color w:val="000000" w:themeColor="text1"/>
          <w:sz w:val="24"/>
          <w:szCs w:val="24"/>
        </w:rPr>
        <w:t>根据《泄压和减压系统指南》</w:t>
      </w:r>
      <w:r>
        <w:rPr>
          <w:rFonts w:hint="eastAsia"/>
          <w:color w:val="000000" w:themeColor="text1"/>
          <w:sz w:val="24"/>
          <w:szCs w:val="24"/>
        </w:rPr>
        <w:t>（</w:t>
      </w:r>
      <w:r>
        <w:rPr>
          <w:color w:val="000000" w:themeColor="text1"/>
          <w:sz w:val="24"/>
          <w:szCs w:val="24"/>
        </w:rPr>
        <w:t>SY/T10043-2002</w:t>
      </w:r>
      <w:r>
        <w:rPr>
          <w:rFonts w:hint="eastAsia"/>
          <w:color w:val="000000" w:themeColor="text1"/>
          <w:sz w:val="24"/>
          <w:szCs w:val="24"/>
        </w:rPr>
        <w:t>）</w:t>
      </w:r>
      <w:r>
        <w:rPr>
          <w:color w:val="000000" w:themeColor="text1"/>
          <w:sz w:val="24"/>
          <w:szCs w:val="24"/>
        </w:rPr>
        <w:t>，在紧急泄放的情况下，对于压力容器应满足在</w:t>
      </w:r>
      <w:r>
        <w:rPr>
          <w:color w:val="000000" w:themeColor="text1"/>
          <w:sz w:val="24"/>
          <w:szCs w:val="24"/>
        </w:rPr>
        <w:t>15min</w:t>
      </w:r>
      <w:r>
        <w:rPr>
          <w:color w:val="000000" w:themeColor="text1"/>
          <w:sz w:val="24"/>
          <w:szCs w:val="24"/>
        </w:rPr>
        <w:t>内将压力降至</w:t>
      </w:r>
      <w:r>
        <w:rPr>
          <w:color w:val="000000" w:themeColor="text1"/>
          <w:sz w:val="24"/>
          <w:szCs w:val="24"/>
        </w:rPr>
        <w:t>0.69MPa</w:t>
      </w:r>
      <w:r>
        <w:rPr>
          <w:color w:val="000000" w:themeColor="text1"/>
          <w:sz w:val="24"/>
          <w:szCs w:val="24"/>
        </w:rPr>
        <w:t>或者压力容器设计压力的</w:t>
      </w:r>
      <w:r>
        <w:rPr>
          <w:color w:val="000000" w:themeColor="text1"/>
          <w:sz w:val="24"/>
          <w:szCs w:val="24"/>
        </w:rPr>
        <w:t>50%</w:t>
      </w:r>
      <w:r>
        <w:rPr>
          <w:color w:val="000000" w:themeColor="text1"/>
          <w:sz w:val="24"/>
          <w:szCs w:val="24"/>
        </w:rPr>
        <w:t>，取两者中较低的。</w:t>
      </w:r>
    </w:p>
    <w:p w14:paraId="4E8A51B4" w14:textId="77777777" w:rsidR="002E0859" w:rsidRDefault="00000000">
      <w:pPr>
        <w:pStyle w:val="a0"/>
        <w:spacing w:line="360" w:lineRule="auto"/>
        <w:ind w:firstLine="480"/>
        <w:rPr>
          <w:color w:val="000000" w:themeColor="text1"/>
          <w:sz w:val="24"/>
          <w:szCs w:val="24"/>
        </w:rPr>
      </w:pPr>
      <w:r>
        <w:rPr>
          <w:color w:val="000000" w:themeColor="text1"/>
          <w:sz w:val="24"/>
          <w:szCs w:val="24"/>
        </w:rPr>
        <w:t>在每个标准化集气站的井口和出站管道上设置了紧急切断阀，设置了一套</w:t>
      </w:r>
      <w:r>
        <w:rPr>
          <w:color w:val="000000" w:themeColor="text1"/>
          <w:sz w:val="24"/>
          <w:szCs w:val="24"/>
        </w:rPr>
        <w:t>BDV</w:t>
      </w:r>
      <w:r>
        <w:rPr>
          <w:color w:val="000000" w:themeColor="text1"/>
          <w:sz w:val="24"/>
          <w:szCs w:val="24"/>
        </w:rPr>
        <w:t>泄压系统，事故状态下</w:t>
      </w:r>
      <w:r>
        <w:rPr>
          <w:color w:val="000000" w:themeColor="text1"/>
          <w:sz w:val="24"/>
          <w:szCs w:val="24"/>
        </w:rPr>
        <w:t>BDV</w:t>
      </w:r>
      <w:r>
        <w:rPr>
          <w:color w:val="000000" w:themeColor="text1"/>
          <w:sz w:val="24"/>
          <w:szCs w:val="24"/>
        </w:rPr>
        <w:t>自动开启，保障站内工艺设备、管道安全，同时水套加热炉和分离器设置安全阀，安全阀泄放的气体引入同级压力的放空管线。</w:t>
      </w:r>
    </w:p>
    <w:p w14:paraId="2B6D53F0" w14:textId="77777777" w:rsidR="002E0859" w:rsidRDefault="00000000">
      <w:pPr>
        <w:pStyle w:val="a0"/>
        <w:spacing w:line="360" w:lineRule="auto"/>
        <w:ind w:firstLine="480"/>
        <w:rPr>
          <w:color w:val="000000" w:themeColor="text1"/>
          <w:sz w:val="24"/>
          <w:szCs w:val="24"/>
        </w:rPr>
      </w:pPr>
      <w:r>
        <w:rPr>
          <w:color w:val="000000" w:themeColor="text1"/>
          <w:sz w:val="24"/>
          <w:szCs w:val="24"/>
        </w:rPr>
        <w:t>每个集气站的放空管统一规格，采用标准化设计。由于</w:t>
      </w:r>
      <w:r>
        <w:rPr>
          <w:color w:val="000000" w:themeColor="text1"/>
          <w:sz w:val="24"/>
          <w:szCs w:val="24"/>
        </w:rPr>
        <w:t>6</w:t>
      </w:r>
      <w:r>
        <w:rPr>
          <w:color w:val="000000" w:themeColor="text1"/>
          <w:sz w:val="24"/>
          <w:szCs w:val="24"/>
        </w:rPr>
        <w:t>～</w:t>
      </w:r>
      <w:r>
        <w:rPr>
          <w:color w:val="000000" w:themeColor="text1"/>
          <w:sz w:val="24"/>
          <w:szCs w:val="24"/>
        </w:rPr>
        <w:t>8</w:t>
      </w:r>
      <w:r>
        <w:rPr>
          <w:color w:val="000000" w:themeColor="text1"/>
          <w:sz w:val="24"/>
          <w:szCs w:val="24"/>
        </w:rPr>
        <w:t>井式每个标准化集气站站内设备和配管的水容积相差不大，所以放空量统一按</w:t>
      </w:r>
      <w:r>
        <w:rPr>
          <w:color w:val="000000" w:themeColor="text1"/>
          <w:sz w:val="24"/>
          <w:szCs w:val="24"/>
        </w:rPr>
        <w:t>8</w:t>
      </w:r>
      <w:r>
        <w:rPr>
          <w:color w:val="000000" w:themeColor="text1"/>
          <w:sz w:val="24"/>
          <w:szCs w:val="24"/>
        </w:rPr>
        <w:t>井式计算。按规范要求，集气站压力在</w:t>
      </w:r>
      <w:r>
        <w:rPr>
          <w:color w:val="000000" w:themeColor="text1"/>
          <w:sz w:val="24"/>
          <w:szCs w:val="24"/>
        </w:rPr>
        <w:t>15</w:t>
      </w:r>
      <w:r>
        <w:rPr>
          <w:color w:val="000000" w:themeColor="text1"/>
          <w:sz w:val="24"/>
          <w:szCs w:val="24"/>
        </w:rPr>
        <w:t>分钟内将压力从</w:t>
      </w:r>
      <w:r>
        <w:rPr>
          <w:color w:val="000000" w:themeColor="text1"/>
          <w:sz w:val="24"/>
          <w:szCs w:val="24"/>
        </w:rPr>
        <w:t>6.3MPa</w:t>
      </w:r>
      <w:r>
        <w:rPr>
          <w:color w:val="000000" w:themeColor="text1"/>
          <w:sz w:val="24"/>
          <w:szCs w:val="24"/>
        </w:rPr>
        <w:t>泄放到</w:t>
      </w:r>
      <w:r>
        <w:rPr>
          <w:color w:val="000000" w:themeColor="text1"/>
          <w:sz w:val="24"/>
          <w:szCs w:val="24"/>
        </w:rPr>
        <w:t>0.69MPa</w:t>
      </w:r>
      <w:r>
        <w:rPr>
          <w:color w:val="000000" w:themeColor="text1"/>
          <w:sz w:val="24"/>
          <w:szCs w:val="24"/>
        </w:rPr>
        <w:t>，泄放量为</w:t>
      </w:r>
      <w:r>
        <w:rPr>
          <w:color w:val="000000" w:themeColor="text1"/>
          <w:sz w:val="24"/>
          <w:szCs w:val="24"/>
        </w:rPr>
        <w:t>2.5×10</w:t>
      </w:r>
      <w:r>
        <w:rPr>
          <w:color w:val="000000" w:themeColor="text1"/>
          <w:sz w:val="24"/>
          <w:szCs w:val="24"/>
          <w:vertAlign w:val="superscript"/>
        </w:rPr>
        <w:t>4</w:t>
      </w:r>
      <w:r>
        <w:rPr>
          <w:color w:val="000000" w:themeColor="text1"/>
          <w:sz w:val="24"/>
          <w:szCs w:val="24"/>
        </w:rPr>
        <w:t>m</w:t>
      </w:r>
      <w:r>
        <w:rPr>
          <w:color w:val="000000" w:themeColor="text1"/>
          <w:sz w:val="24"/>
          <w:szCs w:val="24"/>
          <w:vertAlign w:val="superscript"/>
        </w:rPr>
        <w:t>3</w:t>
      </w:r>
      <w:r>
        <w:rPr>
          <w:color w:val="000000" w:themeColor="text1"/>
          <w:sz w:val="24"/>
          <w:szCs w:val="24"/>
        </w:rPr>
        <w:t>/h</w:t>
      </w:r>
      <w:r>
        <w:rPr>
          <w:color w:val="000000" w:themeColor="text1"/>
          <w:sz w:val="24"/>
          <w:szCs w:val="24"/>
        </w:rPr>
        <w:t>，根据计算</w:t>
      </w:r>
      <w:r>
        <w:rPr>
          <w:color w:val="000000" w:themeColor="text1"/>
          <w:sz w:val="24"/>
          <w:szCs w:val="24"/>
        </w:rPr>
        <w:lastRenderedPageBreak/>
        <w:t>确定集气站的放空管规格采用</w:t>
      </w:r>
      <w:r>
        <w:rPr>
          <w:color w:val="000000" w:themeColor="text1"/>
          <w:sz w:val="24"/>
          <w:szCs w:val="24"/>
        </w:rPr>
        <w:t>DN150</w:t>
      </w:r>
      <w:r>
        <w:rPr>
          <w:color w:val="000000" w:themeColor="text1"/>
          <w:sz w:val="24"/>
          <w:szCs w:val="24"/>
        </w:rPr>
        <w:t>，高</w:t>
      </w:r>
      <w:r>
        <w:rPr>
          <w:color w:val="000000" w:themeColor="text1"/>
          <w:sz w:val="24"/>
          <w:szCs w:val="24"/>
        </w:rPr>
        <w:t>15m,3</w:t>
      </w:r>
      <w:r>
        <w:rPr>
          <w:color w:val="000000" w:themeColor="text1"/>
          <w:sz w:val="24"/>
          <w:szCs w:val="24"/>
        </w:rPr>
        <w:t>～</w:t>
      </w:r>
      <w:r>
        <w:rPr>
          <w:color w:val="000000" w:themeColor="text1"/>
          <w:sz w:val="24"/>
          <w:szCs w:val="24"/>
        </w:rPr>
        <w:t>4</w:t>
      </w:r>
      <w:r>
        <w:rPr>
          <w:color w:val="000000" w:themeColor="text1"/>
          <w:sz w:val="24"/>
          <w:szCs w:val="24"/>
        </w:rPr>
        <w:t>井式集气站选用</w:t>
      </w:r>
      <w:r>
        <w:rPr>
          <w:color w:val="000000" w:themeColor="text1"/>
          <w:sz w:val="24"/>
          <w:szCs w:val="24"/>
        </w:rPr>
        <w:t>DN100</w:t>
      </w:r>
      <w:r>
        <w:rPr>
          <w:color w:val="000000" w:themeColor="text1"/>
          <w:sz w:val="24"/>
          <w:szCs w:val="24"/>
        </w:rPr>
        <w:t>，高</w:t>
      </w:r>
      <w:r>
        <w:rPr>
          <w:color w:val="000000" w:themeColor="text1"/>
          <w:sz w:val="24"/>
          <w:szCs w:val="24"/>
        </w:rPr>
        <w:t>15m</w:t>
      </w:r>
      <w:r>
        <w:rPr>
          <w:color w:val="000000" w:themeColor="text1"/>
          <w:sz w:val="24"/>
          <w:szCs w:val="24"/>
        </w:rPr>
        <w:t>的放空管。</w:t>
      </w:r>
    </w:p>
    <w:p w14:paraId="1C39E71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10</w:t>
      </w:r>
      <w:r>
        <w:rPr>
          <w:rFonts w:hint="eastAsia"/>
          <w:color w:val="000000" w:themeColor="text1"/>
          <w:sz w:val="24"/>
          <w:szCs w:val="24"/>
        </w:rPr>
        <w:t>）</w:t>
      </w:r>
      <w:r>
        <w:rPr>
          <w:color w:val="000000" w:themeColor="text1"/>
          <w:sz w:val="24"/>
          <w:szCs w:val="24"/>
        </w:rPr>
        <w:t>消防设施</w:t>
      </w:r>
    </w:p>
    <w:p w14:paraId="74635371" w14:textId="77777777" w:rsidR="002E0859" w:rsidRDefault="00000000">
      <w:pPr>
        <w:pStyle w:val="a0"/>
        <w:spacing w:line="360" w:lineRule="auto"/>
        <w:ind w:firstLine="480"/>
        <w:rPr>
          <w:color w:val="000000" w:themeColor="text1"/>
          <w:sz w:val="24"/>
          <w:szCs w:val="24"/>
        </w:rPr>
      </w:pPr>
      <w:r>
        <w:rPr>
          <w:color w:val="000000" w:themeColor="text1"/>
          <w:sz w:val="24"/>
          <w:szCs w:val="24"/>
        </w:rPr>
        <w:t>消防设计遵照《石油天然气工程设计防火规范》</w:t>
      </w:r>
      <w:r>
        <w:rPr>
          <w:rFonts w:hint="eastAsia"/>
          <w:color w:val="000000" w:themeColor="text1"/>
          <w:sz w:val="24"/>
          <w:szCs w:val="24"/>
        </w:rPr>
        <w:t>（</w:t>
      </w:r>
      <w:r>
        <w:rPr>
          <w:color w:val="000000" w:themeColor="text1"/>
          <w:sz w:val="24"/>
          <w:szCs w:val="24"/>
        </w:rPr>
        <w:t>GB50183-2004</w:t>
      </w:r>
      <w:r>
        <w:rPr>
          <w:rFonts w:hint="eastAsia"/>
          <w:color w:val="000000" w:themeColor="text1"/>
          <w:sz w:val="24"/>
          <w:szCs w:val="24"/>
        </w:rPr>
        <w:t>）</w:t>
      </w:r>
      <w:r>
        <w:rPr>
          <w:color w:val="000000" w:themeColor="text1"/>
          <w:sz w:val="24"/>
          <w:szCs w:val="24"/>
        </w:rPr>
        <w:t>、《建筑防火通用规范》</w:t>
      </w:r>
      <w:r>
        <w:rPr>
          <w:rFonts w:hint="eastAsia"/>
          <w:color w:val="000000" w:themeColor="text1"/>
          <w:sz w:val="24"/>
          <w:szCs w:val="24"/>
        </w:rPr>
        <w:t>（</w:t>
      </w:r>
      <w:r>
        <w:rPr>
          <w:color w:val="000000" w:themeColor="text1"/>
          <w:sz w:val="24"/>
          <w:szCs w:val="24"/>
        </w:rPr>
        <w:t>GB55037-2022</w:t>
      </w:r>
      <w:r>
        <w:rPr>
          <w:rFonts w:hint="eastAsia"/>
          <w:color w:val="000000" w:themeColor="text1"/>
          <w:sz w:val="24"/>
          <w:szCs w:val="24"/>
        </w:rPr>
        <w:t>）</w:t>
      </w:r>
      <w:r>
        <w:rPr>
          <w:color w:val="000000" w:themeColor="text1"/>
          <w:sz w:val="24"/>
          <w:szCs w:val="24"/>
        </w:rPr>
        <w:t>的规定，贯彻</w:t>
      </w:r>
      <w:r>
        <w:rPr>
          <w:color w:val="000000" w:themeColor="text1"/>
          <w:sz w:val="24"/>
          <w:szCs w:val="24"/>
        </w:rPr>
        <w:t>“</w:t>
      </w:r>
      <w:r>
        <w:rPr>
          <w:color w:val="000000" w:themeColor="text1"/>
          <w:sz w:val="24"/>
          <w:szCs w:val="24"/>
        </w:rPr>
        <w:t>预防为主，防消结合</w:t>
      </w:r>
      <w:r>
        <w:rPr>
          <w:color w:val="000000" w:themeColor="text1"/>
          <w:sz w:val="24"/>
          <w:szCs w:val="24"/>
        </w:rPr>
        <w:t>”</w:t>
      </w:r>
      <w:r>
        <w:rPr>
          <w:color w:val="000000" w:themeColor="text1"/>
          <w:sz w:val="24"/>
          <w:szCs w:val="24"/>
        </w:rPr>
        <w:t>的方针。井站、集气站属于五级站，按要求配置灭火器材，可扑灭初期火灾</w:t>
      </w:r>
      <w:r>
        <w:rPr>
          <w:color w:val="000000" w:themeColor="text1"/>
          <w:sz w:val="24"/>
          <w:szCs w:val="24"/>
        </w:rPr>
        <w:t>,</w:t>
      </w:r>
      <w:r>
        <w:rPr>
          <w:color w:val="000000" w:themeColor="text1"/>
          <w:sz w:val="24"/>
          <w:szCs w:val="24"/>
        </w:rPr>
        <w:t>可在新增井台配置</w:t>
      </w:r>
      <w:r>
        <w:rPr>
          <w:color w:val="000000" w:themeColor="text1"/>
          <w:sz w:val="24"/>
          <w:szCs w:val="24"/>
        </w:rPr>
        <w:t>2</w:t>
      </w:r>
      <w:r>
        <w:rPr>
          <w:color w:val="000000" w:themeColor="text1"/>
          <w:sz w:val="24"/>
          <w:szCs w:val="24"/>
        </w:rPr>
        <w:t>具</w:t>
      </w:r>
      <w:r>
        <w:rPr>
          <w:color w:val="000000" w:themeColor="text1"/>
          <w:sz w:val="24"/>
          <w:szCs w:val="24"/>
        </w:rPr>
        <w:t>MF/ABC8</w:t>
      </w:r>
      <w:r>
        <w:rPr>
          <w:color w:val="000000" w:themeColor="text1"/>
          <w:sz w:val="24"/>
          <w:szCs w:val="24"/>
        </w:rPr>
        <w:t>手提式磷酸铵盐干粉灭火器，配置一定数量的推车式及移动式磷酸铵盐干粉灭火器及二氧化碳灭火器。一旦发生火灾，可随时启用扑救。</w:t>
      </w:r>
    </w:p>
    <w:p w14:paraId="2184FA15"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11</w:t>
      </w:r>
      <w:r>
        <w:rPr>
          <w:rFonts w:hint="eastAsia"/>
          <w:color w:val="000000" w:themeColor="text1"/>
          <w:sz w:val="24"/>
          <w:szCs w:val="24"/>
        </w:rPr>
        <w:t>）</w:t>
      </w:r>
      <w:r>
        <w:rPr>
          <w:color w:val="000000" w:themeColor="text1"/>
          <w:sz w:val="24"/>
          <w:szCs w:val="24"/>
        </w:rPr>
        <w:t>其他防火防爆安全措施</w:t>
      </w:r>
    </w:p>
    <w:p w14:paraId="057ABDFE" w14:textId="77777777" w:rsidR="002E0859" w:rsidRDefault="00000000">
      <w:pPr>
        <w:pStyle w:val="a0"/>
        <w:spacing w:line="360" w:lineRule="auto"/>
        <w:ind w:firstLine="480"/>
        <w:rPr>
          <w:color w:val="000000" w:themeColor="text1"/>
          <w:sz w:val="24"/>
          <w:szCs w:val="24"/>
        </w:rPr>
      </w:pPr>
      <w:r>
        <w:rPr>
          <w:color w:val="000000" w:themeColor="text1"/>
          <w:sz w:val="24"/>
          <w:szCs w:val="24"/>
        </w:rPr>
        <w:t>通信工程采用工业以太网</w:t>
      </w:r>
      <w:r>
        <w:rPr>
          <w:color w:val="000000" w:themeColor="text1"/>
          <w:sz w:val="24"/>
          <w:szCs w:val="24"/>
        </w:rPr>
        <w:t>+</w:t>
      </w:r>
      <w:r>
        <w:rPr>
          <w:color w:val="000000" w:themeColor="text1"/>
          <w:sz w:val="24"/>
          <w:szCs w:val="24"/>
        </w:rPr>
        <w:t>光纤传输方案。此外，沿线所设工艺站场附近均有中国电信网络接入和中国移动信号覆盖，脱水站、各集气站、各采气平台及阀室采用</w:t>
      </w:r>
      <w:r>
        <w:rPr>
          <w:color w:val="000000" w:themeColor="text1"/>
          <w:sz w:val="24"/>
          <w:szCs w:val="24"/>
        </w:rPr>
        <w:t>GPRS</w:t>
      </w:r>
      <w:r>
        <w:rPr>
          <w:color w:val="000000" w:themeColor="text1"/>
          <w:sz w:val="24"/>
          <w:szCs w:val="24"/>
        </w:rPr>
        <w:t>无线公网作为仪表数据信号的备用传输方式。站场设置工业电视监控系统、周界防御系统、语音告警广播系统、火灾报警与消防联动系统、巡线抢修及应急通信系统、火灾报警系统。</w:t>
      </w:r>
    </w:p>
    <w:p w14:paraId="50D75BE4" w14:textId="77777777" w:rsidR="002E0859" w:rsidRDefault="00000000">
      <w:pPr>
        <w:pStyle w:val="a0"/>
        <w:spacing w:line="360" w:lineRule="auto"/>
        <w:ind w:firstLine="480"/>
        <w:rPr>
          <w:color w:val="000000" w:themeColor="text1"/>
          <w:sz w:val="24"/>
          <w:szCs w:val="24"/>
        </w:rPr>
      </w:pPr>
      <w:r>
        <w:rPr>
          <w:color w:val="000000" w:themeColor="text1"/>
          <w:sz w:val="24"/>
          <w:szCs w:val="24"/>
        </w:rPr>
        <w:t>安防、视频监控采用工业电视监视系统，集气站和平台的工艺设备区配置室外网络防爆高清球型摄像机，大门口设置室外网络高清枪式摄像机，围墙对角设置非防爆型高速网络高清球机，用以对周围的情况进行监视，以便预防意外闯入和及时发现险情给予报警及火灾确认等。</w:t>
      </w:r>
    </w:p>
    <w:p w14:paraId="70ED1084" w14:textId="77777777" w:rsidR="002E0859" w:rsidRDefault="00000000">
      <w:pPr>
        <w:pStyle w:val="a0"/>
        <w:spacing w:line="360" w:lineRule="auto"/>
        <w:ind w:firstLine="480"/>
        <w:rPr>
          <w:color w:val="000000" w:themeColor="text1"/>
          <w:sz w:val="24"/>
          <w:szCs w:val="24"/>
        </w:rPr>
      </w:pPr>
      <w:r>
        <w:rPr>
          <w:color w:val="000000" w:themeColor="text1"/>
          <w:sz w:val="24"/>
          <w:szCs w:val="24"/>
        </w:rPr>
        <w:t>集气站及平台均安装周界防越报警系统，每面围墙上安装一对光纤入侵探测装置，形成周界封闭警戒系统。</w:t>
      </w:r>
    </w:p>
    <w:p w14:paraId="519F9E39" w14:textId="77777777" w:rsidR="002E0859" w:rsidRDefault="00000000">
      <w:pPr>
        <w:pStyle w:val="a0"/>
        <w:spacing w:line="360" w:lineRule="auto"/>
        <w:ind w:firstLine="480"/>
        <w:rPr>
          <w:color w:val="000000" w:themeColor="text1"/>
          <w:sz w:val="24"/>
          <w:szCs w:val="24"/>
        </w:rPr>
      </w:pPr>
      <w:r>
        <w:rPr>
          <w:color w:val="000000" w:themeColor="text1"/>
          <w:sz w:val="24"/>
          <w:szCs w:val="24"/>
        </w:rPr>
        <w:t>集气站及平台设置语音告警广播系统，工业电视监控及周界防御系统发现警情时，自动向可疑目标发出语音警告或警报信号，威慑和阻止非正常入侵行为。高噪声、和高危险度场合下运行和调试检修人员流动作业对调度通信的需要，并在事故状态下紧急疏散相关工作人员提供广播呼叫服务。</w:t>
      </w:r>
    </w:p>
    <w:p w14:paraId="7385DDBA" w14:textId="77777777" w:rsidR="002E0859" w:rsidRDefault="00000000">
      <w:pPr>
        <w:pStyle w:val="a0"/>
        <w:spacing w:line="360" w:lineRule="auto"/>
        <w:ind w:firstLine="480"/>
        <w:rPr>
          <w:color w:val="000000" w:themeColor="text1"/>
          <w:sz w:val="24"/>
          <w:szCs w:val="24"/>
        </w:rPr>
      </w:pPr>
      <w:r>
        <w:rPr>
          <w:color w:val="000000" w:themeColor="text1"/>
          <w:sz w:val="24"/>
          <w:szCs w:val="24"/>
        </w:rPr>
        <w:t>为有效管理站内、平台上的进出，防止不法分子和未经许可的人员进出。平台及集气站内设门禁系统，设门禁控制器。系统采用国际最通用的非接触</w:t>
      </w:r>
      <w:r>
        <w:rPr>
          <w:color w:val="000000" w:themeColor="text1"/>
          <w:sz w:val="24"/>
          <w:szCs w:val="24"/>
        </w:rPr>
        <w:t>IC</w:t>
      </w:r>
      <w:r>
        <w:rPr>
          <w:color w:val="000000" w:themeColor="text1"/>
          <w:sz w:val="24"/>
          <w:szCs w:val="24"/>
        </w:rPr>
        <w:t>卡门禁系统。在通信设备与自控设备、供电设备接口处设置电涌保护器。通信设备机房工作接地、保护接地和防雷接地采用三合一的联合接地，各站场阀室通信设备与电力专业设计的共用联合接地装置端子做可靠的连接，接地电阻</w:t>
      </w:r>
      <w:r>
        <w:rPr>
          <w:color w:val="000000" w:themeColor="text1"/>
          <w:sz w:val="24"/>
          <w:szCs w:val="24"/>
        </w:rPr>
        <w:t>≤4</w:t>
      </w:r>
      <w:r>
        <w:rPr>
          <w:color w:val="000000" w:themeColor="text1"/>
          <w:sz w:val="24"/>
          <w:szCs w:val="24"/>
          <w:lang w:eastAsia="en-US"/>
        </w:rPr>
        <w:t>Ω</w:t>
      </w:r>
      <w:r>
        <w:rPr>
          <w:color w:val="000000" w:themeColor="text1"/>
          <w:sz w:val="24"/>
          <w:szCs w:val="24"/>
        </w:rPr>
        <w:t>。</w:t>
      </w:r>
    </w:p>
    <w:p w14:paraId="71980D6C" w14:textId="77777777" w:rsidR="002E0859" w:rsidRDefault="00000000">
      <w:pPr>
        <w:ind w:firstLine="560"/>
        <w:rPr>
          <w:color w:val="000000" w:themeColor="text1"/>
        </w:rPr>
      </w:pPr>
      <w:r>
        <w:rPr>
          <w:rFonts w:hint="eastAsia"/>
          <w:color w:val="000000" w:themeColor="text1"/>
        </w:rPr>
        <w:lastRenderedPageBreak/>
        <w:br w:type="page"/>
      </w:r>
    </w:p>
    <w:p w14:paraId="7147D4F4" w14:textId="77777777" w:rsidR="002E0859" w:rsidRDefault="00000000">
      <w:pPr>
        <w:pStyle w:val="2"/>
        <w:keepNext w:val="0"/>
        <w:keepLines w:val="0"/>
        <w:spacing w:before="120" w:after="120" w:line="360" w:lineRule="auto"/>
        <w:jc w:val="center"/>
        <w:rPr>
          <w:color w:val="000000" w:themeColor="text1"/>
        </w:rPr>
      </w:pPr>
      <w:bookmarkStart w:id="59" w:name="_Toc2980"/>
      <w:r>
        <w:rPr>
          <w:rFonts w:hint="eastAsia"/>
          <w:color w:val="000000" w:themeColor="text1"/>
        </w:rPr>
        <w:lastRenderedPageBreak/>
        <w:t>补充的安全对策措施及建议</w:t>
      </w:r>
      <w:bookmarkEnd w:id="59"/>
    </w:p>
    <w:p w14:paraId="6BC1840F"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建设项目选址的安全对策措施</w:t>
      </w:r>
    </w:p>
    <w:p w14:paraId="79F4112E"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3441AE8"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管道线路和站场平面布置的安全对策措施</w:t>
      </w:r>
    </w:p>
    <w:p w14:paraId="06C9003D"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681AE259"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主要技术、工艺或者方式和装置、设备、设施的安全对策措施</w:t>
      </w:r>
    </w:p>
    <w:p w14:paraId="6A6A6764"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0F0D5939"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公用工程和辅助生产设施的对策措施</w:t>
      </w:r>
    </w:p>
    <w:p w14:paraId="0E2496C8"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2CB93D8A" w14:textId="77777777" w:rsidR="002E0859" w:rsidRDefault="00000000">
      <w:pPr>
        <w:pStyle w:val="3"/>
        <w:keepNext w:val="0"/>
        <w:keepLines w:val="0"/>
        <w:spacing w:beforeLines="50" w:before="120" w:afterLines="50" w:after="120" w:line="360" w:lineRule="auto"/>
        <w:ind w:left="0"/>
        <w:rPr>
          <w:color w:val="000000" w:themeColor="text1"/>
          <w:sz w:val="24"/>
          <w:szCs w:val="24"/>
        </w:rPr>
      </w:pPr>
      <w:r>
        <w:rPr>
          <w:rFonts w:hint="eastAsia"/>
          <w:color w:val="000000" w:themeColor="text1"/>
          <w:sz w:val="24"/>
          <w:szCs w:val="24"/>
        </w:rPr>
        <w:t>安全管理建议</w:t>
      </w:r>
    </w:p>
    <w:p w14:paraId="597AAA87" w14:textId="77777777" w:rsidR="002E0859" w:rsidRDefault="00000000">
      <w:pPr>
        <w:pStyle w:val="a0"/>
        <w:spacing w:line="360" w:lineRule="auto"/>
        <w:ind w:firstLine="480"/>
        <w:rPr>
          <w:color w:val="000000" w:themeColor="text1"/>
          <w:sz w:val="24"/>
          <w:szCs w:val="24"/>
        </w:rPr>
      </w:pPr>
      <w:r>
        <w:rPr>
          <w:rFonts w:hint="eastAsia"/>
          <w:color w:val="000000" w:themeColor="text1"/>
          <w:sz w:val="24"/>
          <w:szCs w:val="24"/>
        </w:rPr>
        <w:t>涉及企业机密，不予公开。</w:t>
      </w:r>
    </w:p>
    <w:p w14:paraId="51ECDD40" w14:textId="77777777" w:rsidR="002E0859" w:rsidRDefault="002E0859">
      <w:pPr>
        <w:pStyle w:val="a0"/>
        <w:spacing w:line="360" w:lineRule="auto"/>
        <w:ind w:firstLine="480"/>
        <w:rPr>
          <w:color w:val="000000" w:themeColor="text1"/>
          <w:sz w:val="24"/>
          <w:szCs w:val="24"/>
        </w:rPr>
      </w:pPr>
    </w:p>
    <w:p w14:paraId="06F0C2C9" w14:textId="77777777" w:rsidR="002E0859" w:rsidRDefault="00000000">
      <w:pPr>
        <w:ind w:firstLine="480"/>
        <w:rPr>
          <w:color w:val="000000" w:themeColor="text1"/>
          <w:sz w:val="24"/>
          <w:szCs w:val="24"/>
        </w:rPr>
      </w:pPr>
      <w:r>
        <w:rPr>
          <w:color w:val="000000" w:themeColor="text1"/>
          <w:sz w:val="24"/>
          <w:szCs w:val="24"/>
        </w:rPr>
        <w:br w:type="page"/>
      </w:r>
    </w:p>
    <w:p w14:paraId="5D6D4706" w14:textId="77777777" w:rsidR="002E0859" w:rsidRDefault="00000000">
      <w:pPr>
        <w:pStyle w:val="1"/>
        <w:keepNext w:val="0"/>
        <w:keepLines w:val="0"/>
        <w:spacing w:before="240" w:after="240" w:line="360" w:lineRule="auto"/>
        <w:rPr>
          <w:color w:val="000000" w:themeColor="text1"/>
        </w:rPr>
      </w:pPr>
      <w:bookmarkStart w:id="60" w:name="_Toc30788"/>
      <w:r>
        <w:rPr>
          <w:rFonts w:hint="eastAsia"/>
          <w:color w:val="000000" w:themeColor="text1"/>
        </w:rPr>
        <w:lastRenderedPageBreak/>
        <w:t>评价结论</w:t>
      </w:r>
      <w:bookmarkEnd w:id="60"/>
    </w:p>
    <w:p w14:paraId="444A9F40" w14:textId="77777777" w:rsidR="002E0859" w:rsidRDefault="00000000">
      <w:pPr>
        <w:topLinePunct w:val="0"/>
        <w:spacing w:line="360" w:lineRule="auto"/>
        <w:ind w:firstLine="480"/>
        <w:rPr>
          <w:snapToGrid w:val="0"/>
          <w:color w:val="000000" w:themeColor="text1"/>
          <w:kern w:val="0"/>
          <w:sz w:val="24"/>
          <w:szCs w:val="24"/>
        </w:rPr>
      </w:pPr>
      <w:r>
        <w:rPr>
          <w:snapToGrid w:val="0"/>
          <w:color w:val="000000" w:themeColor="text1"/>
          <w:kern w:val="0"/>
          <w:sz w:val="24"/>
          <w:szCs w:val="24"/>
        </w:rPr>
        <w:t>评价项目组在对</w:t>
      </w:r>
      <w:r>
        <w:rPr>
          <w:rFonts w:hint="eastAsia"/>
          <w:color w:val="000000" w:themeColor="text1"/>
          <w:sz w:val="24"/>
          <w:szCs w:val="24"/>
        </w:rPr>
        <w:t>涪陵页岩气田江东区块焦页</w:t>
      </w:r>
      <w:r>
        <w:rPr>
          <w:rFonts w:hint="eastAsia"/>
          <w:color w:val="000000" w:themeColor="text1"/>
          <w:sz w:val="24"/>
          <w:szCs w:val="24"/>
        </w:rPr>
        <w:t>90</w:t>
      </w:r>
      <w:r>
        <w:rPr>
          <w:rFonts w:hint="eastAsia"/>
          <w:color w:val="000000" w:themeColor="text1"/>
          <w:sz w:val="24"/>
          <w:szCs w:val="24"/>
        </w:rPr>
        <w:t>号评价井组</w:t>
      </w:r>
      <w:r>
        <w:rPr>
          <w:snapToGrid w:val="0"/>
          <w:color w:val="000000" w:themeColor="text1"/>
          <w:kern w:val="0"/>
          <w:sz w:val="24"/>
          <w:szCs w:val="24"/>
        </w:rPr>
        <w:t>存在的危险、有害因素进行全面分析的基础上，运用了安全检查表法、预先危险性分析法</w:t>
      </w:r>
      <w:r>
        <w:rPr>
          <w:rFonts w:hint="eastAsia"/>
          <w:snapToGrid w:val="0"/>
          <w:color w:val="000000" w:themeColor="text1"/>
          <w:kern w:val="0"/>
          <w:sz w:val="24"/>
          <w:szCs w:val="24"/>
        </w:rPr>
        <w:t>及</w:t>
      </w:r>
      <w:r>
        <w:rPr>
          <w:rFonts w:hint="eastAsia"/>
          <w:color w:val="000000" w:themeColor="text1"/>
          <w:sz w:val="24"/>
          <w:szCs w:val="24"/>
        </w:rPr>
        <w:t>事故后果</w:t>
      </w:r>
      <w:r>
        <w:rPr>
          <w:color w:val="000000" w:themeColor="text1"/>
          <w:sz w:val="24"/>
          <w:szCs w:val="24"/>
        </w:rPr>
        <w:t>模拟</w:t>
      </w:r>
      <w:r>
        <w:rPr>
          <w:snapToGrid w:val="0"/>
          <w:color w:val="000000" w:themeColor="text1"/>
          <w:kern w:val="0"/>
          <w:sz w:val="24"/>
          <w:szCs w:val="24"/>
        </w:rPr>
        <w:t>进行了分析评价，并提出了减少危险发生的相应对策措施。</w:t>
      </w:r>
    </w:p>
    <w:p w14:paraId="7DCC2D91" w14:textId="77777777" w:rsidR="002E0859" w:rsidRDefault="00000000">
      <w:pPr>
        <w:pStyle w:val="2"/>
        <w:spacing w:before="120" w:after="120" w:line="360" w:lineRule="auto"/>
        <w:jc w:val="center"/>
        <w:rPr>
          <w:color w:val="000000" w:themeColor="text1"/>
        </w:rPr>
      </w:pPr>
      <w:bookmarkStart w:id="61" w:name="_Toc18831"/>
      <w:bookmarkStart w:id="62" w:name="_Toc32014"/>
      <w:bookmarkStart w:id="63" w:name="_Toc109115843"/>
      <w:bookmarkStart w:id="64" w:name="_Toc25245"/>
      <w:r>
        <w:rPr>
          <w:color w:val="000000" w:themeColor="text1"/>
        </w:rPr>
        <w:t>项目主要特点及主要危险、有害因素评价结果</w:t>
      </w:r>
      <w:bookmarkEnd w:id="61"/>
      <w:bookmarkEnd w:id="62"/>
      <w:bookmarkEnd w:id="63"/>
      <w:bookmarkEnd w:id="64"/>
    </w:p>
    <w:p w14:paraId="1CFD1348" w14:textId="77777777" w:rsidR="002E0859" w:rsidRDefault="00000000">
      <w:pPr>
        <w:numPr>
          <w:ilvl w:val="0"/>
          <w:numId w:val="31"/>
        </w:numPr>
        <w:topLinePunct w:val="0"/>
        <w:spacing w:line="360" w:lineRule="auto"/>
        <w:ind w:firstLineChars="0"/>
        <w:rPr>
          <w:color w:val="000000" w:themeColor="text1"/>
          <w:sz w:val="24"/>
          <w:szCs w:val="24"/>
        </w:rPr>
      </w:pPr>
      <w:r>
        <w:rPr>
          <w:color w:val="000000" w:themeColor="text1"/>
          <w:sz w:val="24"/>
          <w:szCs w:val="24"/>
        </w:rPr>
        <w:t>钻井施工过程中涉及的危险有害物质有页岩天然气（以下均称天然气）、汽油、柴油，天然气中含有二氧化碳，以及钻井用钻井液、固井化学品，配浆用氢氧化钠，测井过程中使用放射源等。根据可行研究报告，焦页</w:t>
      </w:r>
      <w:r>
        <w:rPr>
          <w:color w:val="000000" w:themeColor="text1"/>
          <w:sz w:val="24"/>
          <w:szCs w:val="24"/>
        </w:rPr>
        <w:t>1HF</w:t>
      </w:r>
      <w:r>
        <w:rPr>
          <w:color w:val="000000" w:themeColor="text1"/>
          <w:sz w:val="24"/>
          <w:szCs w:val="24"/>
        </w:rPr>
        <w:t>井气样分析解释结果，本项目天然气中不含硫化氢。采气工程涉及的主要危险有害物质有天然气、液氮、火工品、酸液（盐酸）、汽油、柴油等。地面工程涉及的危险有害物质主要有天然气、二氧化碳（压缩的或液化的）、氮气（压缩的或液化的）、化学助剂（防垢剂、杀菌剂、缓蚀剂）等。</w:t>
      </w:r>
    </w:p>
    <w:p w14:paraId="33D97185" w14:textId="77777777" w:rsidR="002E0859" w:rsidRDefault="00000000">
      <w:pPr>
        <w:numPr>
          <w:ilvl w:val="0"/>
          <w:numId w:val="31"/>
        </w:numPr>
        <w:topLinePunct w:val="0"/>
        <w:spacing w:line="360" w:lineRule="auto"/>
        <w:ind w:firstLineChars="0"/>
        <w:rPr>
          <w:color w:val="000000" w:themeColor="text1"/>
          <w:sz w:val="24"/>
          <w:szCs w:val="24"/>
        </w:rPr>
      </w:pPr>
      <w:r>
        <w:rPr>
          <w:color w:val="000000" w:themeColor="text1"/>
          <w:sz w:val="24"/>
          <w:szCs w:val="24"/>
        </w:rPr>
        <w:t>本工程在施工及生产运行过程中可能存在的主要危险有害因素为火灾爆炸、物体打击、机械伤害、起重伤害、</w:t>
      </w:r>
      <w:r>
        <w:rPr>
          <w:rFonts w:hint="eastAsia"/>
          <w:color w:val="000000" w:themeColor="text1"/>
          <w:sz w:val="24"/>
          <w:szCs w:val="24"/>
        </w:rPr>
        <w:t>容器爆炸、</w:t>
      </w:r>
      <w:r>
        <w:rPr>
          <w:color w:val="000000" w:themeColor="text1"/>
          <w:sz w:val="24"/>
          <w:szCs w:val="24"/>
        </w:rPr>
        <w:t>高处坠落、触电、中毒和窒息、</w:t>
      </w:r>
      <w:r>
        <w:rPr>
          <w:rFonts w:hint="eastAsia"/>
          <w:color w:val="000000" w:themeColor="text1"/>
          <w:sz w:val="24"/>
          <w:szCs w:val="24"/>
        </w:rPr>
        <w:t>灼烫、</w:t>
      </w:r>
      <w:r>
        <w:rPr>
          <w:color w:val="000000" w:themeColor="text1"/>
          <w:sz w:val="24"/>
          <w:szCs w:val="24"/>
        </w:rPr>
        <w:t>坍塌等。</w:t>
      </w:r>
    </w:p>
    <w:p w14:paraId="37E4D648" w14:textId="77777777" w:rsidR="002E0859" w:rsidRDefault="00000000">
      <w:pPr>
        <w:numPr>
          <w:ilvl w:val="0"/>
          <w:numId w:val="31"/>
        </w:numPr>
        <w:topLinePunct w:val="0"/>
        <w:spacing w:line="360" w:lineRule="auto"/>
        <w:ind w:firstLineChars="0"/>
        <w:rPr>
          <w:color w:val="000000" w:themeColor="text1"/>
          <w:sz w:val="24"/>
          <w:szCs w:val="24"/>
        </w:rPr>
      </w:pPr>
      <w:r>
        <w:rPr>
          <w:color w:val="000000" w:themeColor="text1"/>
          <w:sz w:val="24"/>
          <w:szCs w:val="24"/>
        </w:rPr>
        <w:t>自然环境中存在的主要危险有害因素为地震、雷</w:t>
      </w:r>
      <w:r>
        <w:rPr>
          <w:rFonts w:hint="eastAsia"/>
          <w:color w:val="000000" w:themeColor="text1"/>
          <w:sz w:val="24"/>
          <w:szCs w:val="24"/>
        </w:rPr>
        <w:t>电</w:t>
      </w:r>
      <w:r>
        <w:rPr>
          <w:color w:val="000000" w:themeColor="text1"/>
          <w:sz w:val="24"/>
          <w:szCs w:val="24"/>
        </w:rPr>
        <w:t>、</w:t>
      </w:r>
      <w:r>
        <w:rPr>
          <w:rFonts w:hint="eastAsia"/>
          <w:color w:val="000000" w:themeColor="text1"/>
          <w:sz w:val="24"/>
          <w:szCs w:val="24"/>
        </w:rPr>
        <w:t>高温和低温</w:t>
      </w:r>
      <w:r>
        <w:rPr>
          <w:color w:val="000000" w:themeColor="text1"/>
          <w:sz w:val="24"/>
          <w:szCs w:val="24"/>
        </w:rPr>
        <w:t>、</w:t>
      </w:r>
      <w:r>
        <w:rPr>
          <w:rFonts w:hint="eastAsia"/>
          <w:color w:val="000000" w:themeColor="text1"/>
          <w:sz w:val="24"/>
          <w:szCs w:val="24"/>
        </w:rPr>
        <w:t>洪涝、大风、山体滑坡、泥石流、腐蚀</w:t>
      </w:r>
      <w:r>
        <w:rPr>
          <w:color w:val="000000" w:themeColor="text1"/>
          <w:sz w:val="24"/>
          <w:szCs w:val="24"/>
        </w:rPr>
        <w:t>等，自然条件中的不利因素在本区无明显突出现象，均可通过一定的技术和管理措施得到有效控制。</w:t>
      </w:r>
    </w:p>
    <w:p w14:paraId="60FD4F43" w14:textId="77777777" w:rsidR="002E0859" w:rsidRDefault="00000000">
      <w:pPr>
        <w:numPr>
          <w:ilvl w:val="0"/>
          <w:numId w:val="31"/>
        </w:numPr>
        <w:topLinePunct w:val="0"/>
        <w:spacing w:line="360" w:lineRule="auto"/>
        <w:ind w:firstLineChars="0"/>
        <w:rPr>
          <w:bCs/>
          <w:color w:val="000000" w:themeColor="text1"/>
          <w:sz w:val="24"/>
          <w:szCs w:val="24"/>
        </w:rPr>
      </w:pPr>
      <w:r>
        <w:rPr>
          <w:color w:val="000000" w:themeColor="text1"/>
          <w:sz w:val="24"/>
          <w:szCs w:val="24"/>
        </w:rPr>
        <w:t>本项目不构成危险化学品重大危险源</w:t>
      </w:r>
      <w:r>
        <w:rPr>
          <w:bCs/>
          <w:color w:val="000000" w:themeColor="text1"/>
          <w:sz w:val="24"/>
          <w:szCs w:val="24"/>
        </w:rPr>
        <w:t>。</w:t>
      </w:r>
    </w:p>
    <w:p w14:paraId="70D6A5A3" w14:textId="77777777" w:rsidR="002E0859" w:rsidRDefault="00000000">
      <w:pPr>
        <w:numPr>
          <w:ilvl w:val="0"/>
          <w:numId w:val="31"/>
        </w:numPr>
        <w:topLinePunct w:val="0"/>
        <w:spacing w:line="360" w:lineRule="auto"/>
        <w:ind w:firstLineChars="0"/>
        <w:rPr>
          <w:snapToGrid w:val="0"/>
          <w:color w:val="000000" w:themeColor="text1"/>
          <w:kern w:val="0"/>
          <w:sz w:val="24"/>
          <w:szCs w:val="24"/>
        </w:rPr>
      </w:pPr>
      <w:r>
        <w:rPr>
          <w:snapToGrid w:val="0"/>
          <w:color w:val="000000" w:themeColor="text1"/>
          <w:kern w:val="0"/>
          <w:sz w:val="24"/>
          <w:szCs w:val="24"/>
        </w:rPr>
        <w:t>运用安全检查表法对该项目进行检查，工艺技术成熟，设备选型合理，对于方案未提及的内容本报告在安全对策措施中提出了建议。</w:t>
      </w:r>
    </w:p>
    <w:p w14:paraId="759D586C" w14:textId="77777777" w:rsidR="002E0859" w:rsidRDefault="00000000">
      <w:pPr>
        <w:pStyle w:val="2"/>
        <w:spacing w:before="120" w:after="120" w:line="360" w:lineRule="auto"/>
        <w:jc w:val="center"/>
        <w:rPr>
          <w:color w:val="000000" w:themeColor="text1"/>
        </w:rPr>
      </w:pPr>
      <w:bookmarkStart w:id="65" w:name="_Toc26597"/>
      <w:bookmarkStart w:id="66" w:name="_Toc16564"/>
      <w:bookmarkStart w:id="67" w:name="_Toc109115844"/>
      <w:bookmarkStart w:id="68" w:name="_Toc5983"/>
      <w:r>
        <w:rPr>
          <w:color w:val="000000" w:themeColor="text1"/>
        </w:rPr>
        <w:t>应重点防范的重大风险和应重视的安全对策措施建议</w:t>
      </w:r>
      <w:bookmarkEnd w:id="65"/>
      <w:bookmarkEnd w:id="66"/>
      <w:bookmarkEnd w:id="67"/>
      <w:bookmarkEnd w:id="68"/>
    </w:p>
    <w:p w14:paraId="30560AF7"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本工程重点防范的危险因素为天然气泄漏引起的火灾、爆炸事故。</w:t>
      </w:r>
    </w:p>
    <w:p w14:paraId="6FEF7693" w14:textId="77777777" w:rsidR="002E0859" w:rsidRDefault="00000000">
      <w:pPr>
        <w:numPr>
          <w:ilvl w:val="0"/>
          <w:numId w:val="32"/>
        </w:numPr>
        <w:topLinePunct w:val="0"/>
        <w:spacing w:line="360" w:lineRule="auto"/>
        <w:ind w:firstLine="480"/>
        <w:rPr>
          <w:color w:val="000000" w:themeColor="text1"/>
          <w:sz w:val="24"/>
          <w:szCs w:val="24"/>
        </w:rPr>
      </w:pPr>
      <w:r>
        <w:rPr>
          <w:color w:val="000000" w:themeColor="text1"/>
          <w:sz w:val="24"/>
          <w:szCs w:val="24"/>
        </w:rPr>
        <w:t>通过安全检查表分析，本工程可研报告对</w:t>
      </w:r>
      <w:r>
        <w:rPr>
          <w:rFonts w:hint="eastAsia"/>
          <w:color w:val="000000" w:themeColor="text1"/>
          <w:sz w:val="24"/>
          <w:szCs w:val="24"/>
        </w:rPr>
        <w:t>钻井工程、采气工程及地面工程</w:t>
      </w:r>
      <w:r>
        <w:rPr>
          <w:color w:val="000000" w:themeColor="text1"/>
          <w:sz w:val="24"/>
          <w:szCs w:val="24"/>
        </w:rPr>
        <w:t>各种主要危害按规定做了考虑，需补充的措施见</w:t>
      </w:r>
      <w:r>
        <w:rPr>
          <w:color w:val="000000" w:themeColor="text1"/>
          <w:sz w:val="24"/>
          <w:szCs w:val="24"/>
        </w:rPr>
        <w:t>“</w:t>
      </w:r>
      <w:r>
        <w:rPr>
          <w:rFonts w:hint="eastAsia"/>
          <w:color w:val="000000" w:themeColor="text1"/>
          <w:sz w:val="24"/>
          <w:szCs w:val="24"/>
        </w:rPr>
        <w:t>补充的安全对策措施及建议</w:t>
      </w:r>
      <w:r>
        <w:rPr>
          <w:color w:val="000000" w:themeColor="text1"/>
          <w:sz w:val="24"/>
          <w:szCs w:val="24"/>
        </w:rPr>
        <w:t>”</w:t>
      </w:r>
      <w:r>
        <w:rPr>
          <w:color w:val="000000" w:themeColor="text1"/>
          <w:sz w:val="24"/>
          <w:szCs w:val="24"/>
        </w:rPr>
        <w:t>章节。</w:t>
      </w:r>
    </w:p>
    <w:p w14:paraId="50A4E53B" w14:textId="77777777" w:rsidR="002E0859" w:rsidRDefault="00000000">
      <w:pPr>
        <w:numPr>
          <w:ilvl w:val="0"/>
          <w:numId w:val="32"/>
        </w:numPr>
        <w:topLinePunct w:val="0"/>
        <w:spacing w:line="360" w:lineRule="auto"/>
        <w:ind w:firstLine="480"/>
        <w:rPr>
          <w:color w:val="000000" w:themeColor="text1"/>
          <w:sz w:val="24"/>
          <w:szCs w:val="24"/>
        </w:rPr>
      </w:pPr>
      <w:r>
        <w:rPr>
          <w:color w:val="000000" w:themeColor="text1"/>
          <w:sz w:val="24"/>
          <w:szCs w:val="24"/>
        </w:rPr>
        <w:t>通过预先危险性分析，本工程</w:t>
      </w:r>
      <w:r>
        <w:rPr>
          <w:rFonts w:hint="eastAsia"/>
          <w:color w:val="000000" w:themeColor="text1"/>
          <w:sz w:val="24"/>
          <w:szCs w:val="24"/>
        </w:rPr>
        <w:t>采气工程</w:t>
      </w:r>
      <w:r>
        <w:rPr>
          <w:color w:val="000000" w:themeColor="text1"/>
          <w:sz w:val="24"/>
          <w:szCs w:val="24"/>
        </w:rPr>
        <w:t>主要的危险是</w:t>
      </w:r>
      <w:r>
        <w:rPr>
          <w:rFonts w:hint="eastAsia"/>
          <w:color w:val="000000" w:themeColor="text1"/>
          <w:sz w:val="24"/>
          <w:szCs w:val="24"/>
        </w:rPr>
        <w:t>井喷事故</w:t>
      </w:r>
      <w:r>
        <w:rPr>
          <w:color w:val="000000" w:themeColor="text1"/>
          <w:sz w:val="24"/>
          <w:szCs w:val="24"/>
        </w:rPr>
        <w:t>，应进行重点防范。</w:t>
      </w:r>
    </w:p>
    <w:p w14:paraId="60FADDC6" w14:textId="77777777" w:rsidR="002E0859" w:rsidRDefault="00000000">
      <w:pPr>
        <w:numPr>
          <w:ilvl w:val="0"/>
          <w:numId w:val="32"/>
        </w:numPr>
        <w:topLinePunct w:val="0"/>
        <w:spacing w:line="360" w:lineRule="auto"/>
        <w:ind w:firstLine="480"/>
        <w:rPr>
          <w:color w:val="000000" w:themeColor="text1"/>
          <w:sz w:val="24"/>
          <w:szCs w:val="24"/>
        </w:rPr>
      </w:pPr>
      <w:r>
        <w:rPr>
          <w:color w:val="000000" w:themeColor="text1"/>
          <w:sz w:val="24"/>
          <w:szCs w:val="24"/>
        </w:rPr>
        <w:t>通过</w:t>
      </w:r>
      <w:r>
        <w:rPr>
          <w:rFonts w:hint="eastAsia"/>
          <w:color w:val="000000" w:themeColor="text1"/>
          <w:sz w:val="24"/>
          <w:szCs w:val="24"/>
        </w:rPr>
        <w:t>事故后果模拟</w:t>
      </w:r>
      <w:r>
        <w:rPr>
          <w:color w:val="000000" w:themeColor="text1"/>
          <w:sz w:val="24"/>
          <w:szCs w:val="24"/>
        </w:rPr>
        <w:t>分析可以看出，天然气发生泄漏后</w:t>
      </w:r>
      <w:r>
        <w:rPr>
          <w:rFonts w:hint="eastAsia"/>
          <w:color w:val="000000" w:themeColor="text1"/>
          <w:sz w:val="24"/>
          <w:szCs w:val="24"/>
        </w:rPr>
        <w:t>发生闪火及云爆的危险性，应进行重点防范</w:t>
      </w:r>
      <w:r>
        <w:rPr>
          <w:color w:val="000000" w:themeColor="text1"/>
          <w:sz w:val="24"/>
          <w:szCs w:val="24"/>
        </w:rPr>
        <w:t>。计算采用数学模型运用软件得出事故模拟结果，事故发生的概率是极低的，</w:t>
      </w:r>
      <w:r>
        <w:rPr>
          <w:rFonts w:hint="eastAsia"/>
          <w:color w:val="000000" w:themeColor="text1"/>
          <w:sz w:val="24"/>
          <w:szCs w:val="24"/>
        </w:rPr>
        <w:t>可以</w:t>
      </w:r>
      <w:r>
        <w:rPr>
          <w:color w:val="000000" w:themeColor="text1"/>
          <w:sz w:val="24"/>
          <w:szCs w:val="24"/>
        </w:rPr>
        <w:t>根据实际情况参照计算结果，将天然气站场周围可能受事故影响的人群纳入</w:t>
      </w:r>
      <w:r>
        <w:rPr>
          <w:color w:val="000000" w:themeColor="text1"/>
          <w:sz w:val="24"/>
          <w:szCs w:val="24"/>
        </w:rPr>
        <w:lastRenderedPageBreak/>
        <w:t>应急体系，编制详细应急疏散和救援方案，有针对性地进行宣传教育，并定期演练。</w:t>
      </w:r>
    </w:p>
    <w:p w14:paraId="131AF0DD" w14:textId="77777777" w:rsidR="002E0859" w:rsidRDefault="00000000">
      <w:pPr>
        <w:topLinePunct w:val="0"/>
        <w:spacing w:line="360" w:lineRule="auto"/>
        <w:ind w:firstLine="480"/>
        <w:rPr>
          <w:color w:val="000000" w:themeColor="text1"/>
          <w:sz w:val="24"/>
          <w:szCs w:val="24"/>
        </w:rPr>
      </w:pPr>
      <w:r>
        <w:rPr>
          <w:color w:val="000000" w:themeColor="text1"/>
          <w:sz w:val="24"/>
          <w:szCs w:val="24"/>
        </w:rPr>
        <w:t>本工程在实施过程中，除需满足设计中已有的安全措施外，还应重视本报告第</w:t>
      </w:r>
      <w:r>
        <w:rPr>
          <w:color w:val="000000" w:themeColor="text1"/>
          <w:sz w:val="24"/>
          <w:szCs w:val="24"/>
        </w:rPr>
        <w:t>7</w:t>
      </w:r>
      <w:r>
        <w:rPr>
          <w:color w:val="000000" w:themeColor="text1"/>
          <w:sz w:val="24"/>
          <w:szCs w:val="24"/>
        </w:rPr>
        <w:t>章中提出的相关安全对策措施及管理建议，并做好相关管理记录。</w:t>
      </w:r>
    </w:p>
    <w:p w14:paraId="0B971266" w14:textId="77777777" w:rsidR="002E0859" w:rsidRDefault="00000000">
      <w:pPr>
        <w:pStyle w:val="2"/>
        <w:spacing w:before="120" w:after="120" w:line="360" w:lineRule="auto"/>
        <w:jc w:val="center"/>
        <w:rPr>
          <w:color w:val="000000" w:themeColor="text1"/>
        </w:rPr>
      </w:pPr>
      <w:bookmarkStart w:id="69" w:name="_Toc27213"/>
      <w:bookmarkStart w:id="70" w:name="_Toc29770"/>
      <w:bookmarkStart w:id="71" w:name="_Toc22213"/>
      <w:bookmarkStart w:id="72" w:name="_Toc109115845"/>
      <w:r>
        <w:rPr>
          <w:color w:val="000000" w:themeColor="text1"/>
        </w:rPr>
        <w:t>项目潜在的危险、有害因素控制</w:t>
      </w:r>
      <w:bookmarkEnd w:id="69"/>
      <w:bookmarkEnd w:id="70"/>
      <w:bookmarkEnd w:id="71"/>
      <w:bookmarkEnd w:id="72"/>
    </w:p>
    <w:p w14:paraId="3DA98ACD" w14:textId="77777777" w:rsidR="002E0859" w:rsidRDefault="00000000">
      <w:pPr>
        <w:topLinePunct w:val="0"/>
        <w:spacing w:line="360" w:lineRule="auto"/>
        <w:ind w:firstLine="480"/>
        <w:rPr>
          <w:bCs/>
          <w:color w:val="000000" w:themeColor="text1"/>
          <w:sz w:val="24"/>
          <w:szCs w:val="24"/>
        </w:rPr>
      </w:pPr>
      <w:r>
        <w:rPr>
          <w:color w:val="000000" w:themeColor="text1"/>
          <w:sz w:val="24"/>
          <w:szCs w:val="24"/>
        </w:rPr>
        <w:t>本项目方案设计中提出的相关安全措施基本满足《石油天然气工程设计防火规范》（</w:t>
      </w:r>
      <w:r>
        <w:rPr>
          <w:color w:val="000000" w:themeColor="text1"/>
          <w:sz w:val="24"/>
          <w:szCs w:val="24"/>
        </w:rPr>
        <w:t>GB50183-2004</w:t>
      </w:r>
      <w:r>
        <w:rPr>
          <w:color w:val="000000" w:themeColor="text1"/>
          <w:sz w:val="24"/>
          <w:szCs w:val="24"/>
        </w:rPr>
        <w:t>）、《气田集输设计规范》（</w:t>
      </w:r>
      <w:r>
        <w:rPr>
          <w:color w:val="000000" w:themeColor="text1"/>
          <w:sz w:val="24"/>
          <w:szCs w:val="24"/>
        </w:rPr>
        <w:t>GB50349-2015</w:t>
      </w:r>
      <w:r>
        <w:rPr>
          <w:color w:val="000000" w:themeColor="text1"/>
          <w:sz w:val="24"/>
          <w:szCs w:val="24"/>
        </w:rPr>
        <w:t>）、《陆上石油天然气开采安全规程》（</w:t>
      </w:r>
      <w:r>
        <w:rPr>
          <w:color w:val="000000" w:themeColor="text1"/>
          <w:sz w:val="24"/>
          <w:szCs w:val="24"/>
        </w:rPr>
        <w:t>GB42294-2022</w:t>
      </w:r>
      <w:r>
        <w:rPr>
          <w:color w:val="000000" w:themeColor="text1"/>
          <w:sz w:val="24"/>
          <w:szCs w:val="24"/>
        </w:rPr>
        <w:t>）</w:t>
      </w:r>
      <w:r>
        <w:rPr>
          <w:rFonts w:hint="eastAsia"/>
          <w:color w:val="000000" w:themeColor="text1"/>
          <w:sz w:val="24"/>
          <w:szCs w:val="24"/>
        </w:rPr>
        <w:t>、</w:t>
      </w:r>
      <w:r>
        <w:rPr>
          <w:color w:val="000000" w:themeColor="text1"/>
          <w:sz w:val="24"/>
          <w:szCs w:val="24"/>
        </w:rPr>
        <w:t>《页岩气气田集输工程设计规范》（</w:t>
      </w:r>
      <w:r>
        <w:rPr>
          <w:color w:val="000000" w:themeColor="text1"/>
          <w:sz w:val="24"/>
          <w:szCs w:val="24"/>
        </w:rPr>
        <w:t>NB/T14006-2020</w:t>
      </w:r>
      <w:r>
        <w:rPr>
          <w:color w:val="000000" w:themeColor="text1"/>
          <w:sz w:val="24"/>
          <w:szCs w:val="24"/>
        </w:rPr>
        <w:t>）、《石油天然气安全规程》（</w:t>
      </w:r>
      <w:r>
        <w:rPr>
          <w:color w:val="000000" w:themeColor="text1"/>
          <w:sz w:val="24"/>
          <w:szCs w:val="24"/>
        </w:rPr>
        <w:t>AQ2012-2007</w:t>
      </w:r>
      <w:r>
        <w:rPr>
          <w:color w:val="000000" w:themeColor="text1"/>
          <w:sz w:val="24"/>
          <w:szCs w:val="24"/>
        </w:rPr>
        <w:t>）、《页岩气安全规程》（</w:t>
      </w:r>
      <w:r>
        <w:rPr>
          <w:color w:val="000000" w:themeColor="text1"/>
          <w:sz w:val="24"/>
          <w:szCs w:val="24"/>
        </w:rPr>
        <w:t>NB/T10399-2020</w:t>
      </w:r>
      <w:r>
        <w:rPr>
          <w:color w:val="000000" w:themeColor="text1"/>
          <w:sz w:val="24"/>
          <w:szCs w:val="24"/>
        </w:rPr>
        <w:t>）等标准、规范的要求。在下一步设计、施工、运行过程中，按照方案设计中提出的相关安全措施实施、充分重视本报告提出的补充安全措施要求，本工程的危险有害因素能够得到有效控制。</w:t>
      </w:r>
    </w:p>
    <w:p w14:paraId="2C3EB9B5" w14:textId="77777777" w:rsidR="002E0859" w:rsidRDefault="00000000">
      <w:pPr>
        <w:pStyle w:val="2"/>
        <w:spacing w:before="120" w:after="120" w:line="360" w:lineRule="auto"/>
        <w:jc w:val="center"/>
        <w:rPr>
          <w:color w:val="000000" w:themeColor="text1"/>
        </w:rPr>
      </w:pPr>
      <w:bookmarkStart w:id="73" w:name="_Toc8751"/>
      <w:bookmarkStart w:id="74" w:name="_Toc28696"/>
      <w:bookmarkStart w:id="75" w:name="_Toc109115846"/>
      <w:bookmarkStart w:id="76" w:name="_Toc366604299"/>
      <w:bookmarkStart w:id="77" w:name="_Toc10272"/>
      <w:r>
        <w:rPr>
          <w:color w:val="000000" w:themeColor="text1"/>
        </w:rPr>
        <w:t>综合评价结论</w:t>
      </w:r>
      <w:bookmarkEnd w:id="73"/>
      <w:bookmarkEnd w:id="74"/>
      <w:bookmarkEnd w:id="75"/>
      <w:bookmarkEnd w:id="76"/>
      <w:bookmarkEnd w:id="77"/>
    </w:p>
    <w:p w14:paraId="7D67296B" w14:textId="77777777" w:rsidR="002E0859" w:rsidRDefault="00000000">
      <w:pPr>
        <w:topLinePunct w:val="0"/>
        <w:spacing w:line="360" w:lineRule="auto"/>
        <w:ind w:firstLine="482"/>
        <w:rPr>
          <w:b/>
          <w:bCs/>
          <w:snapToGrid w:val="0"/>
          <w:color w:val="000000" w:themeColor="text1"/>
          <w:kern w:val="0"/>
          <w:sz w:val="24"/>
          <w:szCs w:val="24"/>
        </w:rPr>
      </w:pPr>
      <w:r>
        <w:rPr>
          <w:rFonts w:hint="eastAsia"/>
          <w:b/>
          <w:bCs/>
          <w:snapToGrid w:val="0"/>
          <w:color w:val="000000" w:themeColor="text1"/>
          <w:kern w:val="0"/>
          <w:sz w:val="24"/>
          <w:szCs w:val="24"/>
        </w:rPr>
        <w:t>综上所述，中石化重庆涪陵页岩气勘探开发有限公司涪陵页岩气田江东区块焦页</w:t>
      </w:r>
      <w:r>
        <w:rPr>
          <w:rFonts w:hint="eastAsia"/>
          <w:b/>
          <w:bCs/>
          <w:snapToGrid w:val="0"/>
          <w:color w:val="000000" w:themeColor="text1"/>
          <w:kern w:val="0"/>
          <w:sz w:val="24"/>
          <w:szCs w:val="24"/>
        </w:rPr>
        <w:t>90</w:t>
      </w:r>
      <w:r>
        <w:rPr>
          <w:rFonts w:hint="eastAsia"/>
          <w:b/>
          <w:bCs/>
          <w:snapToGrid w:val="0"/>
          <w:color w:val="000000" w:themeColor="text1"/>
          <w:kern w:val="0"/>
          <w:sz w:val="24"/>
          <w:szCs w:val="24"/>
        </w:rPr>
        <w:t>号评价井组若按可研报告和本报告所提出的相关建议、措施执行，并在设计、施工和运行管理中严格执行</w:t>
      </w:r>
      <w:r>
        <w:rPr>
          <w:rFonts w:hint="eastAsia"/>
          <w:b/>
          <w:bCs/>
          <w:snapToGrid w:val="0"/>
          <w:color w:val="000000" w:themeColor="text1"/>
          <w:kern w:val="0"/>
          <w:sz w:val="24"/>
          <w:szCs w:val="24"/>
        </w:rPr>
        <w:t>HSE</w:t>
      </w:r>
      <w:r>
        <w:rPr>
          <w:rFonts w:hint="eastAsia"/>
          <w:b/>
          <w:bCs/>
          <w:snapToGrid w:val="0"/>
          <w:color w:val="000000" w:themeColor="text1"/>
          <w:kern w:val="0"/>
          <w:sz w:val="24"/>
          <w:szCs w:val="24"/>
        </w:rPr>
        <w:t>管理体系，特别是焦页</w:t>
      </w:r>
      <w:r>
        <w:rPr>
          <w:rFonts w:hint="eastAsia"/>
          <w:b/>
          <w:bCs/>
          <w:snapToGrid w:val="0"/>
          <w:color w:val="000000" w:themeColor="text1"/>
          <w:kern w:val="0"/>
          <w:sz w:val="24"/>
          <w:szCs w:val="24"/>
        </w:rPr>
        <w:t>90</w:t>
      </w:r>
      <w:r>
        <w:rPr>
          <w:rFonts w:hint="eastAsia"/>
          <w:b/>
          <w:bCs/>
          <w:snapToGrid w:val="0"/>
          <w:color w:val="000000" w:themeColor="text1"/>
          <w:kern w:val="0"/>
          <w:sz w:val="24"/>
          <w:szCs w:val="24"/>
        </w:rPr>
        <w:t>号平台新钻井井口距离周边居民散户距离不足问题，应该严格落实、执行本报告提出的安全措施后，本工程的安全性和可靠性均可得到保障，项目在安全上可行。</w:t>
      </w:r>
    </w:p>
    <w:p w14:paraId="79ACF7D0" w14:textId="77777777" w:rsidR="002E0859" w:rsidRDefault="002E0859">
      <w:pPr>
        <w:topLinePunct w:val="0"/>
        <w:adjustRightInd/>
        <w:snapToGrid/>
        <w:spacing w:line="360" w:lineRule="auto"/>
        <w:ind w:firstLineChars="0" w:firstLine="0"/>
        <w:rPr>
          <w:color w:val="000000" w:themeColor="text1"/>
          <w:sz w:val="24"/>
          <w:szCs w:val="24"/>
        </w:rPr>
      </w:pPr>
    </w:p>
    <w:sectPr w:rsidR="002E0859">
      <w:headerReference w:type="default" r:id="rId31"/>
      <w:footerReference w:type="default" r:id="rId32"/>
      <w:pgSz w:w="11905" w:h="16838"/>
      <w:pgMar w:top="1417" w:right="1134" w:bottom="1134" w:left="1587" w:header="794" w:footer="992" w:gutter="0"/>
      <w:cols w:space="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3226D2" w14:textId="77777777" w:rsidR="009C5E5D" w:rsidRDefault="009C5E5D">
      <w:pPr>
        <w:spacing w:line="240" w:lineRule="auto"/>
        <w:ind w:firstLine="560"/>
      </w:pPr>
      <w:r>
        <w:separator/>
      </w:r>
    </w:p>
  </w:endnote>
  <w:endnote w:type="continuationSeparator" w:id="0">
    <w:p w14:paraId="42D4C813" w14:textId="77777777" w:rsidR="009C5E5D" w:rsidRDefault="009C5E5D">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17F72F" w14:textId="77777777" w:rsidR="002E0859" w:rsidRDefault="00000000">
    <w:pPr>
      <w:pStyle w:val="a9"/>
      <w:ind w:firstLine="360"/>
    </w:pPr>
    <w:r>
      <w:rPr>
        <w:noProof/>
      </w:rPr>
      <mc:AlternateContent>
        <mc:Choice Requires="wps">
          <w:drawing>
            <wp:anchor distT="0" distB="0" distL="114300" distR="114300" simplePos="0" relativeHeight="251661312" behindDoc="0" locked="0" layoutInCell="1" allowOverlap="1" wp14:anchorId="061989C4" wp14:editId="1CC6D62F">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AD7A1" w14:textId="77777777" w:rsidR="002E0859" w:rsidRDefault="00000000">
                          <w:pPr>
                            <w:pStyle w:val="a9"/>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61989C4" id="_x0000_t202" coordsize="21600,21600" o:spt="202" path="m,l,21600r21600,l21600,xe">
              <v:stroke joinstyle="miter"/>
              <v:path gradientshapeok="t" o:connecttype="rect"/>
            </v:shapetype>
            <v:shape id="文本框 57"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E9AD7A1" w14:textId="77777777" w:rsidR="002E0859" w:rsidRDefault="00000000">
                    <w:pPr>
                      <w:pStyle w:val="a9"/>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8A446" w14:textId="77777777" w:rsidR="002E0859" w:rsidRDefault="002E0859">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CAE03A" w14:textId="77777777" w:rsidR="002E0859" w:rsidRDefault="00000000">
    <w:pPr>
      <w:pStyle w:val="a9"/>
      <w:ind w:firstLine="360"/>
    </w:pPr>
    <w:r>
      <w:rPr>
        <w:noProof/>
      </w:rPr>
      <mc:AlternateContent>
        <mc:Choice Requires="wps">
          <w:drawing>
            <wp:anchor distT="0" distB="0" distL="114300" distR="114300" simplePos="0" relativeHeight="251662336" behindDoc="0" locked="0" layoutInCell="1" allowOverlap="1" wp14:anchorId="13138279" wp14:editId="6E8114AD">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EE7B46" w14:textId="77777777" w:rsidR="002E0859" w:rsidRDefault="00000000">
                          <w:pPr>
                            <w:pStyle w:val="a9"/>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3138279" id="_x0000_t202" coordsize="21600,21600" o:spt="202" path="m,l,21600r21600,l21600,xe">
              <v:stroke joinstyle="miter"/>
              <v:path gradientshapeok="t" o:connecttype="rect"/>
            </v:shapetype>
            <v:shape id="文本框 61" o:spid="_x0000_s1028"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9EE7B46" w14:textId="77777777" w:rsidR="002E0859" w:rsidRDefault="00000000">
                    <w:pPr>
                      <w:pStyle w:val="a9"/>
                      <w:ind w:firstLine="360"/>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2410E" w14:textId="77777777" w:rsidR="002E0859" w:rsidRDefault="002E0859">
    <w:pPr>
      <w:pStyle w:val="a9"/>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C08F69" w14:textId="77777777" w:rsidR="002E0859" w:rsidRDefault="00000000">
    <w:pPr>
      <w:pStyle w:val="a9"/>
      <w:ind w:firstLine="360"/>
    </w:pPr>
    <w:r>
      <w:rPr>
        <w:noProof/>
      </w:rPr>
      <mc:AlternateContent>
        <mc:Choice Requires="wps">
          <w:drawing>
            <wp:anchor distT="0" distB="0" distL="114300" distR="114300" simplePos="0" relativeHeight="251670528" behindDoc="0" locked="0" layoutInCell="1" allowOverlap="1" wp14:anchorId="69031DF1" wp14:editId="37A09260">
              <wp:simplePos x="0" y="0"/>
              <wp:positionH relativeFrom="margin">
                <wp:posOffset>2741295</wp:posOffset>
              </wp:positionH>
              <wp:positionV relativeFrom="paragraph">
                <wp:posOffset>200025</wp:posOffset>
              </wp:positionV>
              <wp:extent cx="50165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016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745E2C" w14:textId="77777777" w:rsidR="002E0859" w:rsidRDefault="00000000">
                          <w:pPr>
                            <w:pStyle w:val="a9"/>
                            <w:spacing w:line="240" w:lineRule="auto"/>
                            <w:ind w:firstLineChars="0" w:firstLine="0"/>
                            <w:jc w:val="cen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69031DF1" id="_x0000_t202" coordsize="21600,21600" o:spt="202" path="m,l,21600r21600,l21600,xe">
              <v:stroke joinstyle="miter"/>
              <v:path gradientshapeok="t" o:connecttype="rect"/>
            </v:shapetype>
            <v:shape id="文本框 4" o:spid="_x0000_s1029" type="#_x0000_t202" style="position:absolute;left:0;text-align:left;margin-left:215.85pt;margin-top:15.75pt;width:39.5pt;height:2in;z-index:2516705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" filled="f" stroked="f" strokeweight=".5pt">
              <v:textbox style="mso-fit-shape-to-text:t" inset="0,0,0,0">
                <w:txbxContent>
                  <w:p w14:paraId="00745E2C" w14:textId="77777777" w:rsidR="002E0859" w:rsidRDefault="00000000">
                    <w:pPr>
                      <w:pStyle w:val="a9"/>
                      <w:spacing w:line="240" w:lineRule="auto"/>
                      <w:ind w:firstLineChars="0" w:firstLine="0"/>
                      <w:jc w:val="cen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5D0172" w14:textId="77777777" w:rsidR="009C5E5D" w:rsidRDefault="009C5E5D">
      <w:pPr>
        <w:spacing w:line="240" w:lineRule="auto"/>
        <w:ind w:firstLine="560"/>
      </w:pPr>
      <w:r>
        <w:separator/>
      </w:r>
    </w:p>
  </w:footnote>
  <w:footnote w:type="continuationSeparator" w:id="0">
    <w:p w14:paraId="324C30A6" w14:textId="77777777" w:rsidR="009C5E5D" w:rsidRDefault="009C5E5D">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9D43B0" w14:textId="77777777" w:rsidR="002E0859" w:rsidRDefault="002E0859">
    <w:pPr>
      <w:pStyle w:val="aa"/>
      <w:ind w:firstLineChars="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8DC6C9" w14:textId="77777777" w:rsidR="002E0859" w:rsidRDefault="00000000">
    <w:pPr>
      <w:pStyle w:val="aa"/>
      <w:pBdr>
        <w:bottom w:val="single" w:sz="4" w:space="1" w:color="auto"/>
      </w:pBdr>
      <w:ind w:firstLineChars="0" w:firstLine="0"/>
      <w:jc w:val="center"/>
    </w:pPr>
    <w:r>
      <w:rPr>
        <w:rFonts w:hint="eastAsia"/>
      </w:rPr>
      <w:t>中石化重庆涪陵页岩气勘探开发有限公司涪陵页岩气田江东区块焦页</w:t>
    </w:r>
    <w:r>
      <w:rPr>
        <w:rFonts w:hint="eastAsia"/>
      </w:rPr>
      <w:t>90</w:t>
    </w:r>
    <w:r>
      <w:rPr>
        <w:rFonts w:hint="eastAsia"/>
      </w:rPr>
      <w:t>号评价井组安全预评价</w:t>
    </w:r>
  </w:p>
  <w:p w14:paraId="690FF997" w14:textId="77777777" w:rsidR="002E0859" w:rsidRDefault="002E0859">
    <w:pPr>
      <w:pStyle w:val="aa"/>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C49E8F" w14:textId="77777777" w:rsidR="002E0859" w:rsidRDefault="002E0859">
    <w:pPr>
      <w:pStyle w:val="aa"/>
      <w:ind w:firstLineChars="0" w:firstLine="0"/>
      <w:jc w:val="center"/>
    </w:pPr>
  </w:p>
  <w:p w14:paraId="48039549" w14:textId="77777777" w:rsidR="002E0859" w:rsidRDefault="002E0859">
    <w:pPr>
      <w:pStyle w:val="aa"/>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0E5CF2" w14:textId="77777777" w:rsidR="002E0859" w:rsidRDefault="002E0859">
    <w:pPr>
      <w:pStyle w:val="aa"/>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D3AE8A" w14:textId="77777777" w:rsidR="002E0859" w:rsidRDefault="00000000">
    <w:pPr>
      <w:pStyle w:val="aa"/>
      <w:pBdr>
        <w:bottom w:val="single" w:sz="4" w:space="1" w:color="auto"/>
      </w:pBdr>
      <w:ind w:firstLineChars="0" w:firstLine="0"/>
      <w:jc w:val="center"/>
    </w:pPr>
    <w:r>
      <w:rPr>
        <w:rFonts w:hint="eastAsia"/>
      </w:rPr>
      <w:t>中石化重庆涪陵页岩气勘探开发有限公司涪陵页岩气田江东区块焦页</w:t>
    </w:r>
    <w:r>
      <w:rPr>
        <w:rFonts w:hint="eastAsia"/>
      </w:rPr>
      <w:t>90</w:t>
    </w:r>
    <w:r>
      <w:rPr>
        <w:rFonts w:hint="eastAsia"/>
      </w:rPr>
      <w:t>号评价井组安全预评价</w:t>
    </w:r>
  </w:p>
  <w:p w14:paraId="42DBC2FE" w14:textId="77777777" w:rsidR="002E0859" w:rsidRDefault="002E0859">
    <w:pPr>
      <w:pStyle w:val="aa"/>
      <w:ind w:firstLineChars="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E1F3B4" w14:textId="77777777" w:rsidR="002E0859" w:rsidRDefault="00000000">
    <w:pPr>
      <w:pStyle w:val="aa"/>
      <w:pBdr>
        <w:bottom w:val="single" w:sz="4" w:space="1" w:color="auto"/>
      </w:pBdr>
      <w:ind w:firstLineChars="0" w:firstLine="0"/>
      <w:jc w:val="center"/>
    </w:pPr>
    <w:r>
      <w:rPr>
        <w:rFonts w:hint="eastAsia"/>
      </w:rPr>
      <w:t>中石化重庆涪陵页岩气勘探开发有限公司涪陵页岩气田江东区块焦页</w:t>
    </w:r>
    <w:r>
      <w:rPr>
        <w:rFonts w:hint="eastAsia"/>
      </w:rPr>
      <w:t>90</w:t>
    </w:r>
    <w:r>
      <w:rPr>
        <w:rFonts w:hint="eastAsia"/>
      </w:rPr>
      <w:t>号评价井组安全预评价</w:t>
    </w:r>
  </w:p>
  <w:p w14:paraId="6D4F3367" w14:textId="77777777" w:rsidR="002E0859" w:rsidRDefault="002E0859">
    <w:pPr>
      <w:pStyle w:val="aa"/>
      <w:ind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6937E0"/>
    <w:multiLevelType w:val="singleLevel"/>
    <w:tmpl w:val="886937E0"/>
    <w:lvl w:ilvl="0">
      <w:start w:val="1"/>
      <w:numFmt w:val="decimal"/>
      <w:suff w:val="nothing"/>
      <w:lvlText w:val="%1、"/>
      <w:lvlJc w:val="left"/>
    </w:lvl>
  </w:abstractNum>
  <w:abstractNum w:abstractNumId="1" w15:restartNumberingAfterBreak="0">
    <w:nsid w:val="89BED1BD"/>
    <w:multiLevelType w:val="singleLevel"/>
    <w:tmpl w:val="89BED1BD"/>
    <w:lvl w:ilvl="0">
      <w:start w:val="1"/>
      <w:numFmt w:val="decimal"/>
      <w:suff w:val="nothing"/>
      <w:lvlText w:val="%1、"/>
      <w:lvlJc w:val="left"/>
    </w:lvl>
  </w:abstractNum>
  <w:abstractNum w:abstractNumId="2" w15:restartNumberingAfterBreak="0">
    <w:nsid w:val="93D79362"/>
    <w:multiLevelType w:val="singleLevel"/>
    <w:tmpl w:val="93D79362"/>
    <w:lvl w:ilvl="0">
      <w:start w:val="1"/>
      <w:numFmt w:val="decimal"/>
      <w:suff w:val="nothing"/>
      <w:lvlText w:val="%1、"/>
      <w:lvlJc w:val="left"/>
    </w:lvl>
  </w:abstractNum>
  <w:abstractNum w:abstractNumId="3" w15:restartNumberingAfterBreak="0">
    <w:nsid w:val="9456EEFA"/>
    <w:multiLevelType w:val="singleLevel"/>
    <w:tmpl w:val="9456EEFA"/>
    <w:lvl w:ilvl="0">
      <w:start w:val="1"/>
      <w:numFmt w:val="decimal"/>
      <w:suff w:val="nothing"/>
      <w:lvlText w:val="%1、"/>
      <w:lvlJc w:val="left"/>
    </w:lvl>
  </w:abstractNum>
  <w:abstractNum w:abstractNumId="4" w15:restartNumberingAfterBreak="0">
    <w:nsid w:val="9677B211"/>
    <w:multiLevelType w:val="singleLevel"/>
    <w:tmpl w:val="9677B211"/>
    <w:lvl w:ilvl="0">
      <w:start w:val="1"/>
      <w:numFmt w:val="decimal"/>
      <w:suff w:val="nothing"/>
      <w:lvlText w:val="%1、"/>
      <w:lvlJc w:val="left"/>
    </w:lvl>
  </w:abstractNum>
  <w:abstractNum w:abstractNumId="5" w15:restartNumberingAfterBreak="0">
    <w:nsid w:val="99741C7F"/>
    <w:multiLevelType w:val="singleLevel"/>
    <w:tmpl w:val="99741C7F"/>
    <w:lvl w:ilvl="0">
      <w:start w:val="1"/>
      <w:numFmt w:val="decimal"/>
      <w:suff w:val="nothing"/>
      <w:lvlText w:val="%1、"/>
      <w:lvlJc w:val="left"/>
    </w:lvl>
  </w:abstractNum>
  <w:abstractNum w:abstractNumId="6" w15:restartNumberingAfterBreak="0">
    <w:nsid w:val="9A762354"/>
    <w:multiLevelType w:val="singleLevel"/>
    <w:tmpl w:val="9A762354"/>
    <w:lvl w:ilvl="0">
      <w:start w:val="1"/>
      <w:numFmt w:val="decimal"/>
      <w:suff w:val="nothing"/>
      <w:lvlText w:val="%1、"/>
      <w:lvlJc w:val="left"/>
    </w:lvl>
  </w:abstractNum>
  <w:abstractNum w:abstractNumId="7" w15:restartNumberingAfterBreak="0">
    <w:nsid w:val="A64BED55"/>
    <w:multiLevelType w:val="singleLevel"/>
    <w:tmpl w:val="A64BED55"/>
    <w:lvl w:ilvl="0">
      <w:start w:val="1"/>
      <w:numFmt w:val="decimal"/>
      <w:suff w:val="nothing"/>
      <w:lvlText w:val="%1、"/>
      <w:lvlJc w:val="left"/>
    </w:lvl>
  </w:abstractNum>
  <w:abstractNum w:abstractNumId="8" w15:restartNumberingAfterBreak="0">
    <w:nsid w:val="A6EF02A8"/>
    <w:multiLevelType w:val="singleLevel"/>
    <w:tmpl w:val="A6EF02A8"/>
    <w:lvl w:ilvl="0">
      <w:start w:val="1"/>
      <w:numFmt w:val="decimalEnclosedCircleChinese"/>
      <w:suff w:val="nothing"/>
      <w:lvlText w:val="%1　"/>
      <w:lvlJc w:val="left"/>
      <w:pPr>
        <w:ind w:left="0" w:firstLine="400"/>
      </w:pPr>
      <w:rPr>
        <w:rFonts w:hint="eastAsia"/>
      </w:rPr>
    </w:lvl>
  </w:abstractNum>
  <w:abstractNum w:abstractNumId="9" w15:restartNumberingAfterBreak="0">
    <w:nsid w:val="B01CB692"/>
    <w:multiLevelType w:val="singleLevel"/>
    <w:tmpl w:val="B01CB692"/>
    <w:lvl w:ilvl="0">
      <w:start w:val="2"/>
      <w:numFmt w:val="decimal"/>
      <w:suff w:val="nothing"/>
      <w:lvlText w:val="%1、"/>
      <w:lvlJc w:val="left"/>
    </w:lvl>
  </w:abstractNum>
  <w:abstractNum w:abstractNumId="10" w15:restartNumberingAfterBreak="0">
    <w:nsid w:val="B0B7D575"/>
    <w:multiLevelType w:val="singleLevel"/>
    <w:tmpl w:val="B0B7D575"/>
    <w:lvl w:ilvl="0">
      <w:start w:val="1"/>
      <w:numFmt w:val="decimal"/>
      <w:suff w:val="nothing"/>
      <w:lvlText w:val="%1、"/>
      <w:lvlJc w:val="left"/>
    </w:lvl>
  </w:abstractNum>
  <w:abstractNum w:abstractNumId="11" w15:restartNumberingAfterBreak="0">
    <w:nsid w:val="D33FA54E"/>
    <w:multiLevelType w:val="singleLevel"/>
    <w:tmpl w:val="D33FA54E"/>
    <w:lvl w:ilvl="0">
      <w:start w:val="1"/>
      <w:numFmt w:val="decimal"/>
      <w:suff w:val="nothing"/>
      <w:lvlText w:val="%1、"/>
      <w:lvlJc w:val="left"/>
    </w:lvl>
  </w:abstractNum>
  <w:abstractNum w:abstractNumId="12" w15:restartNumberingAfterBreak="0">
    <w:nsid w:val="DA597A12"/>
    <w:multiLevelType w:val="singleLevel"/>
    <w:tmpl w:val="DA597A12"/>
    <w:lvl w:ilvl="0">
      <w:start w:val="1"/>
      <w:numFmt w:val="decimal"/>
      <w:suff w:val="nothing"/>
      <w:lvlText w:val="%1、"/>
      <w:lvlJc w:val="left"/>
    </w:lvl>
  </w:abstractNum>
  <w:abstractNum w:abstractNumId="13" w15:restartNumberingAfterBreak="0">
    <w:nsid w:val="DD9D026E"/>
    <w:multiLevelType w:val="singleLevel"/>
    <w:tmpl w:val="DD9D026E"/>
    <w:lvl w:ilvl="0">
      <w:start w:val="1"/>
      <w:numFmt w:val="decimal"/>
      <w:lvlText w:val="%1)"/>
      <w:lvlJc w:val="left"/>
      <w:pPr>
        <w:ind w:left="425" w:hanging="425"/>
      </w:pPr>
      <w:rPr>
        <w:rFonts w:hint="default"/>
      </w:rPr>
    </w:lvl>
  </w:abstractNum>
  <w:abstractNum w:abstractNumId="14" w15:restartNumberingAfterBreak="0">
    <w:nsid w:val="E633D6D0"/>
    <w:multiLevelType w:val="singleLevel"/>
    <w:tmpl w:val="E633D6D0"/>
    <w:lvl w:ilvl="0">
      <w:start w:val="1"/>
      <w:numFmt w:val="decimalEnclosedCircleChinese"/>
      <w:suff w:val="nothing"/>
      <w:lvlText w:val="%1　"/>
      <w:lvlJc w:val="left"/>
      <w:pPr>
        <w:ind w:left="0" w:firstLine="400"/>
      </w:pPr>
      <w:rPr>
        <w:rFonts w:hint="eastAsia"/>
      </w:rPr>
    </w:lvl>
  </w:abstractNum>
  <w:abstractNum w:abstractNumId="15" w15:restartNumberingAfterBreak="0">
    <w:nsid w:val="E9C5A02F"/>
    <w:multiLevelType w:val="singleLevel"/>
    <w:tmpl w:val="E9C5A02F"/>
    <w:lvl w:ilvl="0">
      <w:start w:val="1"/>
      <w:numFmt w:val="decimal"/>
      <w:suff w:val="nothing"/>
      <w:lvlText w:val="%1、"/>
      <w:lvlJc w:val="left"/>
    </w:lvl>
  </w:abstractNum>
  <w:abstractNum w:abstractNumId="16" w15:restartNumberingAfterBreak="0">
    <w:nsid w:val="F8DB9F7B"/>
    <w:multiLevelType w:val="singleLevel"/>
    <w:tmpl w:val="F8DB9F7B"/>
    <w:lvl w:ilvl="0">
      <w:start w:val="1"/>
      <w:numFmt w:val="decimal"/>
      <w:suff w:val="nothing"/>
      <w:lvlText w:val="%1、"/>
      <w:lvlJc w:val="left"/>
    </w:lvl>
  </w:abstractNum>
  <w:abstractNum w:abstractNumId="17" w15:restartNumberingAfterBreak="0">
    <w:nsid w:val="019970DA"/>
    <w:multiLevelType w:val="singleLevel"/>
    <w:tmpl w:val="019970DA"/>
    <w:lvl w:ilvl="0">
      <w:start w:val="2"/>
      <w:numFmt w:val="decimal"/>
      <w:suff w:val="nothing"/>
      <w:lvlText w:val="（%1）"/>
      <w:lvlJc w:val="left"/>
    </w:lvl>
  </w:abstractNum>
  <w:abstractNum w:abstractNumId="18" w15:restartNumberingAfterBreak="0">
    <w:nsid w:val="0262190B"/>
    <w:multiLevelType w:val="singleLevel"/>
    <w:tmpl w:val="0262190B"/>
    <w:lvl w:ilvl="0">
      <w:start w:val="1"/>
      <w:numFmt w:val="decimal"/>
      <w:lvlText w:val="%1."/>
      <w:lvlJc w:val="left"/>
      <w:pPr>
        <w:ind w:left="425" w:hanging="425"/>
      </w:pPr>
      <w:rPr>
        <w:rFonts w:hint="default"/>
      </w:rPr>
    </w:lvl>
  </w:abstractNum>
  <w:abstractNum w:abstractNumId="19" w15:restartNumberingAfterBreak="0">
    <w:nsid w:val="0691933D"/>
    <w:multiLevelType w:val="singleLevel"/>
    <w:tmpl w:val="0691933D"/>
    <w:lvl w:ilvl="0">
      <w:start w:val="1"/>
      <w:numFmt w:val="decimalEnclosedCircleChinese"/>
      <w:suff w:val="nothing"/>
      <w:lvlText w:val="%1　"/>
      <w:lvlJc w:val="left"/>
      <w:pPr>
        <w:ind w:left="0" w:firstLine="400"/>
      </w:pPr>
      <w:rPr>
        <w:rFonts w:hint="eastAsia"/>
      </w:rPr>
    </w:lvl>
  </w:abstractNum>
  <w:abstractNum w:abstractNumId="20" w15:restartNumberingAfterBreak="0">
    <w:nsid w:val="19A876E8"/>
    <w:multiLevelType w:val="singleLevel"/>
    <w:tmpl w:val="19A876E8"/>
    <w:lvl w:ilvl="0">
      <w:start w:val="1"/>
      <w:numFmt w:val="decimalEnclosedCircleChinese"/>
      <w:suff w:val="nothing"/>
      <w:lvlText w:val="%1　"/>
      <w:lvlJc w:val="left"/>
      <w:pPr>
        <w:ind w:left="0" w:firstLine="400"/>
      </w:pPr>
      <w:rPr>
        <w:rFonts w:hint="eastAsia"/>
      </w:rPr>
    </w:lvl>
  </w:abstractNum>
  <w:abstractNum w:abstractNumId="21" w15:restartNumberingAfterBreak="0">
    <w:nsid w:val="1C17C5D7"/>
    <w:multiLevelType w:val="singleLevel"/>
    <w:tmpl w:val="1C17C5D7"/>
    <w:lvl w:ilvl="0">
      <w:start w:val="1"/>
      <w:numFmt w:val="decimal"/>
      <w:lvlText w:val="%1."/>
      <w:lvlJc w:val="left"/>
      <w:pPr>
        <w:ind w:left="425" w:hanging="425"/>
      </w:pPr>
      <w:rPr>
        <w:rFonts w:hint="default"/>
      </w:rPr>
    </w:lvl>
  </w:abstractNum>
  <w:abstractNum w:abstractNumId="22" w15:restartNumberingAfterBreak="0">
    <w:nsid w:val="1D6141C7"/>
    <w:multiLevelType w:val="multilevel"/>
    <w:tmpl w:val="1D6141C7"/>
    <w:lvl w:ilvl="0">
      <w:start w:val="1"/>
      <w:numFmt w:val="decimal"/>
      <w:pStyle w:val="1"/>
      <w:suff w:val="nothing"/>
      <w:lvlText w:val="%1　"/>
      <w:lvlJc w:val="left"/>
      <w:pPr>
        <w:ind w:left="0" w:firstLine="0"/>
      </w:pPr>
      <w:rPr>
        <w:rFonts w:ascii="Times New Roman" w:eastAsia="黑体" w:hAnsi="Times New Roman" w:hint="default"/>
        <w:spacing w:val="0"/>
        <w:w w:val="100"/>
        <w:position w:val="0"/>
        <w:sz w:val="32"/>
      </w:rPr>
    </w:lvl>
    <w:lvl w:ilvl="1">
      <w:start w:val="1"/>
      <w:numFmt w:val="decimal"/>
      <w:pStyle w:val="2"/>
      <w:suff w:val="nothing"/>
      <w:lvlText w:val="%1.%2　"/>
      <w:lvlJc w:val="left"/>
      <w:pPr>
        <w:ind w:left="0" w:firstLine="0"/>
      </w:pPr>
      <w:rPr>
        <w:rFonts w:ascii="Times New Roman" w:eastAsia="黑体" w:hAnsi="Times New Roman" w:hint="default"/>
        <w:color w:val="000000"/>
        <w:sz w:val="28"/>
      </w:rPr>
    </w:lvl>
    <w:lvl w:ilvl="2">
      <w:start w:val="1"/>
      <w:numFmt w:val="decimal"/>
      <w:pStyle w:val="3"/>
      <w:suff w:val="nothing"/>
      <w:lvlText w:val="%1.%2.%3　"/>
      <w:lvlJc w:val="left"/>
      <w:pPr>
        <w:ind w:left="2835" w:firstLine="0"/>
      </w:pPr>
      <w:rPr>
        <w:rFonts w:ascii="Times New Roman" w:eastAsia="黑体" w:hAnsi="Times New Roman" w:hint="default"/>
        <w:sz w:val="24"/>
        <w:szCs w:val="24"/>
      </w:rPr>
    </w:lvl>
    <w:lvl w:ilvl="3">
      <w:start w:val="1"/>
      <w:numFmt w:val="decimal"/>
      <w:pStyle w:val="4"/>
      <w:suff w:val="nothing"/>
      <w:lvlText w:val="%1.%2.%3.%4　"/>
      <w:lvlJc w:val="left"/>
      <w:pPr>
        <w:ind w:left="0" w:firstLine="0"/>
      </w:pPr>
      <w:rPr>
        <w:rFonts w:ascii="Times New Roman" w:eastAsia="宋体" w:hAnsi="Times New Roman" w:hint="default"/>
        <w:b/>
        <w:i w:val="0"/>
        <w:sz w:val="24"/>
        <w:szCs w:val="24"/>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3" w15:restartNumberingAfterBreak="0">
    <w:nsid w:val="1D9BC53C"/>
    <w:multiLevelType w:val="singleLevel"/>
    <w:tmpl w:val="1D9BC53C"/>
    <w:lvl w:ilvl="0">
      <w:start w:val="1"/>
      <w:numFmt w:val="decimal"/>
      <w:suff w:val="nothing"/>
      <w:lvlText w:val="%1、"/>
      <w:lvlJc w:val="left"/>
    </w:lvl>
  </w:abstractNum>
  <w:abstractNum w:abstractNumId="24" w15:restartNumberingAfterBreak="0">
    <w:nsid w:val="24A0640B"/>
    <w:multiLevelType w:val="singleLevel"/>
    <w:tmpl w:val="24A0640B"/>
    <w:lvl w:ilvl="0">
      <w:start w:val="4"/>
      <w:numFmt w:val="decimal"/>
      <w:suff w:val="nothing"/>
      <w:lvlText w:val="（%1）"/>
      <w:lvlJc w:val="left"/>
    </w:lvl>
  </w:abstractNum>
  <w:abstractNum w:abstractNumId="25" w15:restartNumberingAfterBreak="0">
    <w:nsid w:val="2CA7338B"/>
    <w:multiLevelType w:val="singleLevel"/>
    <w:tmpl w:val="2CA7338B"/>
    <w:lvl w:ilvl="0">
      <w:start w:val="1"/>
      <w:numFmt w:val="decimal"/>
      <w:suff w:val="nothing"/>
      <w:lvlText w:val="%1、"/>
      <w:lvlJc w:val="left"/>
    </w:lvl>
  </w:abstractNum>
  <w:abstractNum w:abstractNumId="26" w15:restartNumberingAfterBreak="0">
    <w:nsid w:val="48D27164"/>
    <w:multiLevelType w:val="singleLevel"/>
    <w:tmpl w:val="48D27164"/>
    <w:lvl w:ilvl="0">
      <w:start w:val="1"/>
      <w:numFmt w:val="decimal"/>
      <w:suff w:val="nothing"/>
      <w:lvlText w:val="%1、"/>
      <w:lvlJc w:val="left"/>
    </w:lvl>
  </w:abstractNum>
  <w:abstractNum w:abstractNumId="27" w15:restartNumberingAfterBreak="0">
    <w:nsid w:val="4C1F05FE"/>
    <w:multiLevelType w:val="singleLevel"/>
    <w:tmpl w:val="4C1F05FE"/>
    <w:lvl w:ilvl="0">
      <w:start w:val="1"/>
      <w:numFmt w:val="decimal"/>
      <w:suff w:val="nothing"/>
      <w:lvlText w:val="%1、"/>
      <w:lvlJc w:val="left"/>
    </w:lvl>
  </w:abstractNum>
  <w:abstractNum w:abstractNumId="28" w15:restartNumberingAfterBreak="0">
    <w:nsid w:val="4DF14757"/>
    <w:multiLevelType w:val="singleLevel"/>
    <w:tmpl w:val="4DF14757"/>
    <w:lvl w:ilvl="0">
      <w:start w:val="1"/>
      <w:numFmt w:val="decimal"/>
      <w:suff w:val="nothing"/>
      <w:lvlText w:val="%1、"/>
      <w:lvlJc w:val="left"/>
    </w:lvl>
  </w:abstractNum>
  <w:abstractNum w:abstractNumId="29" w15:restartNumberingAfterBreak="0">
    <w:nsid w:val="565CE75B"/>
    <w:multiLevelType w:val="singleLevel"/>
    <w:tmpl w:val="565CE75B"/>
    <w:lvl w:ilvl="0">
      <w:start w:val="1"/>
      <w:numFmt w:val="decimal"/>
      <w:suff w:val="nothing"/>
      <w:lvlText w:val="%1、"/>
      <w:lvlJc w:val="left"/>
      <w:pPr>
        <w:tabs>
          <w:tab w:val="left" w:pos="454"/>
        </w:tabs>
        <w:ind w:left="0" w:firstLine="454"/>
      </w:pPr>
      <w:rPr>
        <w:rFonts w:ascii="Times New Roman" w:eastAsia="宋体" w:hAnsi="Times New Roman" w:cs="宋体" w:hint="default"/>
      </w:rPr>
    </w:lvl>
  </w:abstractNum>
  <w:abstractNum w:abstractNumId="30" w15:restartNumberingAfterBreak="0">
    <w:nsid w:val="5BF20948"/>
    <w:multiLevelType w:val="singleLevel"/>
    <w:tmpl w:val="5BF20948"/>
    <w:lvl w:ilvl="0">
      <w:start w:val="1"/>
      <w:numFmt w:val="decimal"/>
      <w:suff w:val="nothing"/>
      <w:lvlText w:val="%1、"/>
      <w:lvlJc w:val="left"/>
    </w:lvl>
  </w:abstractNum>
  <w:abstractNum w:abstractNumId="31" w15:restartNumberingAfterBreak="0">
    <w:nsid w:val="68F18B0C"/>
    <w:multiLevelType w:val="singleLevel"/>
    <w:tmpl w:val="68F18B0C"/>
    <w:lvl w:ilvl="0">
      <w:start w:val="1"/>
      <w:numFmt w:val="decimalEnclosedCircleChinese"/>
      <w:suff w:val="nothing"/>
      <w:lvlText w:val="%1　"/>
      <w:lvlJc w:val="left"/>
      <w:pPr>
        <w:ind w:left="0" w:firstLine="400"/>
      </w:pPr>
      <w:rPr>
        <w:rFonts w:hint="eastAsia"/>
      </w:rPr>
    </w:lvl>
  </w:abstractNum>
  <w:num w:numId="1" w16cid:durableId="1598126513">
    <w:abstractNumId w:val="22"/>
  </w:num>
  <w:num w:numId="2" w16cid:durableId="1222012230">
    <w:abstractNumId w:val="15"/>
  </w:num>
  <w:num w:numId="3" w16cid:durableId="742722774">
    <w:abstractNumId w:val="7"/>
  </w:num>
  <w:num w:numId="4" w16cid:durableId="1912301960">
    <w:abstractNumId w:val="5"/>
  </w:num>
  <w:num w:numId="5" w16cid:durableId="1034381780">
    <w:abstractNumId w:val="25"/>
  </w:num>
  <w:num w:numId="6" w16cid:durableId="645550998">
    <w:abstractNumId w:val="0"/>
  </w:num>
  <w:num w:numId="7" w16cid:durableId="1695885596">
    <w:abstractNumId w:val="28"/>
  </w:num>
  <w:num w:numId="8" w16cid:durableId="1368411065">
    <w:abstractNumId w:val="2"/>
  </w:num>
  <w:num w:numId="9" w16cid:durableId="1132479146">
    <w:abstractNumId w:val="6"/>
  </w:num>
  <w:num w:numId="10" w16cid:durableId="1745105856">
    <w:abstractNumId w:val="9"/>
  </w:num>
  <w:num w:numId="11" w16cid:durableId="1706709353">
    <w:abstractNumId w:val="13"/>
  </w:num>
  <w:num w:numId="12" w16cid:durableId="619649323">
    <w:abstractNumId w:val="12"/>
  </w:num>
  <w:num w:numId="13" w16cid:durableId="803695839">
    <w:abstractNumId w:val="17"/>
  </w:num>
  <w:num w:numId="14" w16cid:durableId="1631203726">
    <w:abstractNumId w:val="24"/>
  </w:num>
  <w:num w:numId="15" w16cid:durableId="1417900315">
    <w:abstractNumId w:val="16"/>
  </w:num>
  <w:num w:numId="16" w16cid:durableId="700714828">
    <w:abstractNumId w:val="30"/>
  </w:num>
  <w:num w:numId="17" w16cid:durableId="1374231073">
    <w:abstractNumId w:val="18"/>
  </w:num>
  <w:num w:numId="18" w16cid:durableId="754013983">
    <w:abstractNumId w:val="21"/>
  </w:num>
  <w:num w:numId="19" w16cid:durableId="683287425">
    <w:abstractNumId w:val="4"/>
  </w:num>
  <w:num w:numId="20" w16cid:durableId="269581930">
    <w:abstractNumId w:val="23"/>
  </w:num>
  <w:num w:numId="21" w16cid:durableId="1149204719">
    <w:abstractNumId w:val="1"/>
  </w:num>
  <w:num w:numId="22" w16cid:durableId="294796457">
    <w:abstractNumId w:val="10"/>
  </w:num>
  <w:num w:numId="23" w16cid:durableId="1623421337">
    <w:abstractNumId w:val="11"/>
  </w:num>
  <w:num w:numId="24" w16cid:durableId="1800882592">
    <w:abstractNumId w:val="27"/>
  </w:num>
  <w:num w:numId="25" w16cid:durableId="1470366425">
    <w:abstractNumId w:val="3"/>
  </w:num>
  <w:num w:numId="26" w16cid:durableId="1062215271">
    <w:abstractNumId w:val="14"/>
  </w:num>
  <w:num w:numId="27" w16cid:durableId="501821513">
    <w:abstractNumId w:val="20"/>
  </w:num>
  <w:num w:numId="28" w16cid:durableId="2079789296">
    <w:abstractNumId w:val="8"/>
  </w:num>
  <w:num w:numId="29" w16cid:durableId="213397929">
    <w:abstractNumId w:val="31"/>
  </w:num>
  <w:num w:numId="30" w16cid:durableId="1270625190">
    <w:abstractNumId w:val="19"/>
  </w:num>
  <w:num w:numId="31" w16cid:durableId="2080207016">
    <w:abstractNumId w:val="29"/>
  </w:num>
  <w:num w:numId="32" w16cid:durableId="151172411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defaultTabStop w:val="420"/>
  <w:drawingGridHorizontalSpacing w:val="280"/>
  <w:drawingGridVerticalSpacing w:val="-794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E3MzQwMTVkNjA3YTVlMDE5NGE5MzNiMTBhZTliYzAifQ=="/>
  </w:docVars>
  <w:rsids>
    <w:rsidRoot w:val="00172A27"/>
    <w:rsid w:val="00172A27"/>
    <w:rsid w:val="002E0859"/>
    <w:rsid w:val="0058523E"/>
    <w:rsid w:val="005D2854"/>
    <w:rsid w:val="006D77C3"/>
    <w:rsid w:val="007255D7"/>
    <w:rsid w:val="009C5E5D"/>
    <w:rsid w:val="00AD4CE2"/>
    <w:rsid w:val="00C808BA"/>
    <w:rsid w:val="00E0153D"/>
    <w:rsid w:val="00E90597"/>
    <w:rsid w:val="00FA1595"/>
    <w:rsid w:val="01170C55"/>
    <w:rsid w:val="012B4D07"/>
    <w:rsid w:val="01711656"/>
    <w:rsid w:val="0176006D"/>
    <w:rsid w:val="019F1377"/>
    <w:rsid w:val="01D379F0"/>
    <w:rsid w:val="020C3484"/>
    <w:rsid w:val="02317AF5"/>
    <w:rsid w:val="03101E00"/>
    <w:rsid w:val="03391E1F"/>
    <w:rsid w:val="03BC7892"/>
    <w:rsid w:val="04B85E33"/>
    <w:rsid w:val="04BC1F2C"/>
    <w:rsid w:val="05410997"/>
    <w:rsid w:val="05B40D8D"/>
    <w:rsid w:val="069C0B90"/>
    <w:rsid w:val="06C84AC8"/>
    <w:rsid w:val="06E31BE3"/>
    <w:rsid w:val="06FD08ED"/>
    <w:rsid w:val="071E3128"/>
    <w:rsid w:val="072639A0"/>
    <w:rsid w:val="07E2214C"/>
    <w:rsid w:val="083117D0"/>
    <w:rsid w:val="08C6458E"/>
    <w:rsid w:val="091F4B4B"/>
    <w:rsid w:val="09B07E99"/>
    <w:rsid w:val="09D31C89"/>
    <w:rsid w:val="0A280258"/>
    <w:rsid w:val="0A8C7FBE"/>
    <w:rsid w:val="0ABF5171"/>
    <w:rsid w:val="0AD100C7"/>
    <w:rsid w:val="0AD16319"/>
    <w:rsid w:val="0AE147AE"/>
    <w:rsid w:val="0B896BF3"/>
    <w:rsid w:val="0B9F3D21"/>
    <w:rsid w:val="0CB90E13"/>
    <w:rsid w:val="0CEF0CD8"/>
    <w:rsid w:val="0CFA1B57"/>
    <w:rsid w:val="0D146618"/>
    <w:rsid w:val="0D6613E9"/>
    <w:rsid w:val="0D8C558A"/>
    <w:rsid w:val="0DE3525C"/>
    <w:rsid w:val="0E887A67"/>
    <w:rsid w:val="0F73799F"/>
    <w:rsid w:val="0F977B31"/>
    <w:rsid w:val="0FCF76A4"/>
    <w:rsid w:val="10795489"/>
    <w:rsid w:val="10C0060A"/>
    <w:rsid w:val="110A466F"/>
    <w:rsid w:val="119E3805"/>
    <w:rsid w:val="11C46911"/>
    <w:rsid w:val="11D74D27"/>
    <w:rsid w:val="125A4E46"/>
    <w:rsid w:val="12691A62"/>
    <w:rsid w:val="12A32349"/>
    <w:rsid w:val="12C164CC"/>
    <w:rsid w:val="130519D9"/>
    <w:rsid w:val="133A3ECC"/>
    <w:rsid w:val="13575D11"/>
    <w:rsid w:val="135D7717"/>
    <w:rsid w:val="138E4DA7"/>
    <w:rsid w:val="13FD017F"/>
    <w:rsid w:val="14214C4A"/>
    <w:rsid w:val="14693A81"/>
    <w:rsid w:val="157C0F6F"/>
    <w:rsid w:val="159641E1"/>
    <w:rsid w:val="15C72A4F"/>
    <w:rsid w:val="16094BB9"/>
    <w:rsid w:val="164B0471"/>
    <w:rsid w:val="16953A28"/>
    <w:rsid w:val="16A9130C"/>
    <w:rsid w:val="16AD19E8"/>
    <w:rsid w:val="16AD3796"/>
    <w:rsid w:val="16DA7BD2"/>
    <w:rsid w:val="17572611"/>
    <w:rsid w:val="178070FD"/>
    <w:rsid w:val="17B1397C"/>
    <w:rsid w:val="17E106B9"/>
    <w:rsid w:val="18357EE7"/>
    <w:rsid w:val="185D2F9A"/>
    <w:rsid w:val="19151AC7"/>
    <w:rsid w:val="19265A82"/>
    <w:rsid w:val="192D294A"/>
    <w:rsid w:val="1A676352"/>
    <w:rsid w:val="1AD67034"/>
    <w:rsid w:val="1B152FFB"/>
    <w:rsid w:val="1B1E53EC"/>
    <w:rsid w:val="1B222279"/>
    <w:rsid w:val="1B543F7D"/>
    <w:rsid w:val="1B5B67BF"/>
    <w:rsid w:val="1B662AAD"/>
    <w:rsid w:val="1B7532B5"/>
    <w:rsid w:val="1BE97638"/>
    <w:rsid w:val="1CA64FD4"/>
    <w:rsid w:val="1D545960"/>
    <w:rsid w:val="1D7620C0"/>
    <w:rsid w:val="1DEB53CD"/>
    <w:rsid w:val="1E1A7ED1"/>
    <w:rsid w:val="1E9777B7"/>
    <w:rsid w:val="1EDF6DFF"/>
    <w:rsid w:val="1F7E2174"/>
    <w:rsid w:val="1FB060A5"/>
    <w:rsid w:val="1FDC50EC"/>
    <w:rsid w:val="1FE30229"/>
    <w:rsid w:val="2005777A"/>
    <w:rsid w:val="21354B49"/>
    <w:rsid w:val="214D4265"/>
    <w:rsid w:val="216C24A0"/>
    <w:rsid w:val="21CD2F3E"/>
    <w:rsid w:val="21D56297"/>
    <w:rsid w:val="22055A69"/>
    <w:rsid w:val="22121299"/>
    <w:rsid w:val="222F59A7"/>
    <w:rsid w:val="2256708A"/>
    <w:rsid w:val="22981523"/>
    <w:rsid w:val="22F56C5B"/>
    <w:rsid w:val="232A43C0"/>
    <w:rsid w:val="23447230"/>
    <w:rsid w:val="23535F77"/>
    <w:rsid w:val="241A2687"/>
    <w:rsid w:val="24362377"/>
    <w:rsid w:val="2455546D"/>
    <w:rsid w:val="24572F93"/>
    <w:rsid w:val="247507F8"/>
    <w:rsid w:val="24F320C9"/>
    <w:rsid w:val="25415D2D"/>
    <w:rsid w:val="26211B75"/>
    <w:rsid w:val="266E67DB"/>
    <w:rsid w:val="27102BBA"/>
    <w:rsid w:val="27566050"/>
    <w:rsid w:val="28410E63"/>
    <w:rsid w:val="28730004"/>
    <w:rsid w:val="28816866"/>
    <w:rsid w:val="289E5635"/>
    <w:rsid w:val="296A3D2E"/>
    <w:rsid w:val="29E076DA"/>
    <w:rsid w:val="29F00112"/>
    <w:rsid w:val="2A5561C7"/>
    <w:rsid w:val="2A9036A3"/>
    <w:rsid w:val="2AB033FD"/>
    <w:rsid w:val="2B7C0995"/>
    <w:rsid w:val="2BC53A12"/>
    <w:rsid w:val="2BE617CC"/>
    <w:rsid w:val="2BEB3C1D"/>
    <w:rsid w:val="2BFD7DB0"/>
    <w:rsid w:val="2C78619D"/>
    <w:rsid w:val="2C9B2839"/>
    <w:rsid w:val="2C9F197B"/>
    <w:rsid w:val="2CAB642E"/>
    <w:rsid w:val="2EBC0FFC"/>
    <w:rsid w:val="2F495922"/>
    <w:rsid w:val="2F5603B6"/>
    <w:rsid w:val="2F6F3887"/>
    <w:rsid w:val="2FA379D4"/>
    <w:rsid w:val="306A22A0"/>
    <w:rsid w:val="30B005FB"/>
    <w:rsid w:val="30C61BCC"/>
    <w:rsid w:val="30CC4D09"/>
    <w:rsid w:val="30DE3262"/>
    <w:rsid w:val="31177BA4"/>
    <w:rsid w:val="313C1E8F"/>
    <w:rsid w:val="3273128F"/>
    <w:rsid w:val="32D35EE3"/>
    <w:rsid w:val="33446DD8"/>
    <w:rsid w:val="33AD7074"/>
    <w:rsid w:val="345D2848"/>
    <w:rsid w:val="34B14942"/>
    <w:rsid w:val="352275ED"/>
    <w:rsid w:val="35482F49"/>
    <w:rsid w:val="36985DB9"/>
    <w:rsid w:val="372D1E0B"/>
    <w:rsid w:val="37CB7AC8"/>
    <w:rsid w:val="38872968"/>
    <w:rsid w:val="388A1731"/>
    <w:rsid w:val="38AA3B82"/>
    <w:rsid w:val="39942EF0"/>
    <w:rsid w:val="39B06EF3"/>
    <w:rsid w:val="3ACC4221"/>
    <w:rsid w:val="3AE535C6"/>
    <w:rsid w:val="3B6C128B"/>
    <w:rsid w:val="3C03771E"/>
    <w:rsid w:val="3C261771"/>
    <w:rsid w:val="3C4B2C56"/>
    <w:rsid w:val="3C830972"/>
    <w:rsid w:val="3D0641F3"/>
    <w:rsid w:val="3D3B56F0"/>
    <w:rsid w:val="3D5F13DF"/>
    <w:rsid w:val="3DB57251"/>
    <w:rsid w:val="3DBA4867"/>
    <w:rsid w:val="3E5C0B3F"/>
    <w:rsid w:val="3ECB4852"/>
    <w:rsid w:val="3F485A1E"/>
    <w:rsid w:val="3F4B1A51"/>
    <w:rsid w:val="404F1B83"/>
    <w:rsid w:val="40736F4F"/>
    <w:rsid w:val="407F255D"/>
    <w:rsid w:val="409A6144"/>
    <w:rsid w:val="40AD5B64"/>
    <w:rsid w:val="40C47D8F"/>
    <w:rsid w:val="40D62BE7"/>
    <w:rsid w:val="40D86436"/>
    <w:rsid w:val="415B1A74"/>
    <w:rsid w:val="418B4EC6"/>
    <w:rsid w:val="422455FC"/>
    <w:rsid w:val="42474BE4"/>
    <w:rsid w:val="42845443"/>
    <w:rsid w:val="42A9029B"/>
    <w:rsid w:val="42AB29D0"/>
    <w:rsid w:val="42F94A6E"/>
    <w:rsid w:val="433C5E7C"/>
    <w:rsid w:val="43AD2778"/>
    <w:rsid w:val="44A91191"/>
    <w:rsid w:val="44ED72D0"/>
    <w:rsid w:val="451948D5"/>
    <w:rsid w:val="45322F35"/>
    <w:rsid w:val="47237081"/>
    <w:rsid w:val="47444AD1"/>
    <w:rsid w:val="48BC749A"/>
    <w:rsid w:val="491C3609"/>
    <w:rsid w:val="4944532B"/>
    <w:rsid w:val="496419EC"/>
    <w:rsid w:val="496E6505"/>
    <w:rsid w:val="49B04973"/>
    <w:rsid w:val="49BB2E7E"/>
    <w:rsid w:val="49DE6DEE"/>
    <w:rsid w:val="49F20EE5"/>
    <w:rsid w:val="49F619EE"/>
    <w:rsid w:val="4A187736"/>
    <w:rsid w:val="4A372D9B"/>
    <w:rsid w:val="4B111850"/>
    <w:rsid w:val="4B8F50B8"/>
    <w:rsid w:val="4BB4028E"/>
    <w:rsid w:val="4BE551A5"/>
    <w:rsid w:val="4C88556D"/>
    <w:rsid w:val="4D0363E1"/>
    <w:rsid w:val="4DB0533F"/>
    <w:rsid w:val="4DC713BA"/>
    <w:rsid w:val="4DEB4679"/>
    <w:rsid w:val="4E61488B"/>
    <w:rsid w:val="4E955004"/>
    <w:rsid w:val="4F5F701C"/>
    <w:rsid w:val="4F9B22A6"/>
    <w:rsid w:val="4FDC028B"/>
    <w:rsid w:val="507606A6"/>
    <w:rsid w:val="51263CA3"/>
    <w:rsid w:val="512A18AC"/>
    <w:rsid w:val="513B5867"/>
    <w:rsid w:val="5167288E"/>
    <w:rsid w:val="51B710C6"/>
    <w:rsid w:val="51E57A85"/>
    <w:rsid w:val="51F40FEE"/>
    <w:rsid w:val="51FF7AC7"/>
    <w:rsid w:val="530235D6"/>
    <w:rsid w:val="53C5766A"/>
    <w:rsid w:val="541E2875"/>
    <w:rsid w:val="5428043D"/>
    <w:rsid w:val="5438608E"/>
    <w:rsid w:val="548F1073"/>
    <w:rsid w:val="54A11688"/>
    <w:rsid w:val="54EA651F"/>
    <w:rsid w:val="55620966"/>
    <w:rsid w:val="55D911AB"/>
    <w:rsid w:val="56326341"/>
    <w:rsid w:val="56E37A63"/>
    <w:rsid w:val="56FE1490"/>
    <w:rsid w:val="57392849"/>
    <w:rsid w:val="573A3ECB"/>
    <w:rsid w:val="584119B5"/>
    <w:rsid w:val="587D6765"/>
    <w:rsid w:val="59DD5217"/>
    <w:rsid w:val="5A644A40"/>
    <w:rsid w:val="5AF947C9"/>
    <w:rsid w:val="5B1C2265"/>
    <w:rsid w:val="5B4E427E"/>
    <w:rsid w:val="5B6B6089"/>
    <w:rsid w:val="5CF521AE"/>
    <w:rsid w:val="5D3F5F0C"/>
    <w:rsid w:val="5D944335"/>
    <w:rsid w:val="5DC80482"/>
    <w:rsid w:val="5DD97537"/>
    <w:rsid w:val="5DDF7B22"/>
    <w:rsid w:val="5E282CCF"/>
    <w:rsid w:val="5E457D25"/>
    <w:rsid w:val="5EDC461B"/>
    <w:rsid w:val="5F69359F"/>
    <w:rsid w:val="5FF00E91"/>
    <w:rsid w:val="60361AE9"/>
    <w:rsid w:val="60530A95"/>
    <w:rsid w:val="61550DBD"/>
    <w:rsid w:val="61F65DD1"/>
    <w:rsid w:val="621C6FEF"/>
    <w:rsid w:val="626B7BBE"/>
    <w:rsid w:val="627818F5"/>
    <w:rsid w:val="62D81168"/>
    <w:rsid w:val="63767291"/>
    <w:rsid w:val="63D32113"/>
    <w:rsid w:val="64AA0DE0"/>
    <w:rsid w:val="64CD1CA4"/>
    <w:rsid w:val="65CF638C"/>
    <w:rsid w:val="667C1E0A"/>
    <w:rsid w:val="67114C48"/>
    <w:rsid w:val="68A90F2B"/>
    <w:rsid w:val="69A43B52"/>
    <w:rsid w:val="6A1011E7"/>
    <w:rsid w:val="6A2353BE"/>
    <w:rsid w:val="6A590DE0"/>
    <w:rsid w:val="6ADF6E0B"/>
    <w:rsid w:val="6B296741"/>
    <w:rsid w:val="6CCD1611"/>
    <w:rsid w:val="6CFA617E"/>
    <w:rsid w:val="6D283E71"/>
    <w:rsid w:val="6D35260A"/>
    <w:rsid w:val="6D664409"/>
    <w:rsid w:val="6D7D1F79"/>
    <w:rsid w:val="6D96027F"/>
    <w:rsid w:val="6DB427D1"/>
    <w:rsid w:val="6ED73AEE"/>
    <w:rsid w:val="6EF47329"/>
    <w:rsid w:val="6F345978"/>
    <w:rsid w:val="6FB56B53"/>
    <w:rsid w:val="70123A24"/>
    <w:rsid w:val="701A6335"/>
    <w:rsid w:val="7036127C"/>
    <w:rsid w:val="70904F00"/>
    <w:rsid w:val="70DD67AD"/>
    <w:rsid w:val="713F6856"/>
    <w:rsid w:val="72872262"/>
    <w:rsid w:val="728C4044"/>
    <w:rsid w:val="72A11576"/>
    <w:rsid w:val="72A3221D"/>
    <w:rsid w:val="72BD70BE"/>
    <w:rsid w:val="7313581A"/>
    <w:rsid w:val="73357F10"/>
    <w:rsid w:val="73483566"/>
    <w:rsid w:val="734C302C"/>
    <w:rsid w:val="747B2BE8"/>
    <w:rsid w:val="751A5B91"/>
    <w:rsid w:val="75C4732A"/>
    <w:rsid w:val="76EE0B02"/>
    <w:rsid w:val="77493F8A"/>
    <w:rsid w:val="776D5ECB"/>
    <w:rsid w:val="77811ADB"/>
    <w:rsid w:val="782902B2"/>
    <w:rsid w:val="78C10208"/>
    <w:rsid w:val="78E026CC"/>
    <w:rsid w:val="79062AD2"/>
    <w:rsid w:val="79974DFF"/>
    <w:rsid w:val="799E1135"/>
    <w:rsid w:val="79C33113"/>
    <w:rsid w:val="7A3644D3"/>
    <w:rsid w:val="7A5C1746"/>
    <w:rsid w:val="7A8E533A"/>
    <w:rsid w:val="7ABC4A73"/>
    <w:rsid w:val="7B890B47"/>
    <w:rsid w:val="7BB75966"/>
    <w:rsid w:val="7C3C2310"/>
    <w:rsid w:val="7CB812FC"/>
    <w:rsid w:val="7D456FA2"/>
    <w:rsid w:val="7D60202E"/>
    <w:rsid w:val="7DA168CE"/>
    <w:rsid w:val="7DBD487B"/>
    <w:rsid w:val="7E862239"/>
    <w:rsid w:val="7EFC1C0D"/>
    <w:rsid w:val="7F062761"/>
    <w:rsid w:val="7F4853E1"/>
    <w:rsid w:val="7FA35A4A"/>
    <w:rsid w:val="7FB57F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67EFB62"/>
  <w15:docId w15:val="{E8996AE8-9B13-4783-A469-2C506B3BA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semiHidden="1"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pPr>
      <w:widowControl w:val="0"/>
      <w:topLinePunct/>
      <w:adjustRightInd w:val="0"/>
      <w:snapToGrid w:val="0"/>
      <w:spacing w:line="560" w:lineRule="exact"/>
      <w:ind w:firstLineChars="200" w:firstLine="640"/>
      <w:jc w:val="both"/>
    </w:pPr>
    <w:rPr>
      <w:kern w:val="2"/>
      <w:sz w:val="28"/>
      <w:szCs w:val="28"/>
    </w:rPr>
  </w:style>
  <w:style w:type="paragraph" w:styleId="1">
    <w:name w:val="heading 1"/>
    <w:basedOn w:val="a"/>
    <w:next w:val="a"/>
    <w:autoRedefine/>
    <w:qFormat/>
    <w:pPr>
      <w:keepNext/>
      <w:keepLines/>
      <w:numPr>
        <w:numId w:val="1"/>
      </w:numPr>
      <w:spacing w:beforeLines="100" w:afterLines="100"/>
      <w:ind w:firstLineChars="0"/>
      <w:jc w:val="center"/>
      <w:outlineLvl w:val="0"/>
    </w:pPr>
    <w:rPr>
      <w:rFonts w:eastAsia="黑体"/>
      <w:bCs/>
      <w:kern w:val="44"/>
      <w:sz w:val="32"/>
      <w:szCs w:val="44"/>
    </w:rPr>
  </w:style>
  <w:style w:type="paragraph" w:styleId="2">
    <w:name w:val="heading 2"/>
    <w:basedOn w:val="a"/>
    <w:next w:val="a"/>
    <w:autoRedefine/>
    <w:qFormat/>
    <w:pPr>
      <w:keepNext/>
      <w:keepLines/>
      <w:numPr>
        <w:ilvl w:val="1"/>
        <w:numId w:val="1"/>
      </w:numPr>
      <w:spacing w:beforeLines="50" w:afterLines="50"/>
      <w:ind w:firstLineChars="0"/>
      <w:outlineLvl w:val="1"/>
    </w:pPr>
    <w:rPr>
      <w:rFonts w:eastAsia="黑体"/>
      <w:bCs/>
      <w:szCs w:val="32"/>
    </w:rPr>
  </w:style>
  <w:style w:type="paragraph" w:styleId="3">
    <w:name w:val="heading 3"/>
    <w:basedOn w:val="a"/>
    <w:next w:val="a"/>
    <w:autoRedefine/>
    <w:unhideWhenUsed/>
    <w:qFormat/>
    <w:pPr>
      <w:keepNext/>
      <w:keepLines/>
      <w:numPr>
        <w:ilvl w:val="2"/>
        <w:numId w:val="1"/>
      </w:numPr>
      <w:ind w:firstLineChars="0"/>
      <w:outlineLvl w:val="2"/>
    </w:pPr>
    <w:rPr>
      <w:rFonts w:eastAsia="黑体"/>
      <w:bCs/>
      <w:szCs w:val="32"/>
    </w:rPr>
  </w:style>
  <w:style w:type="paragraph" w:styleId="4">
    <w:name w:val="heading 4"/>
    <w:basedOn w:val="a"/>
    <w:next w:val="a"/>
    <w:autoRedefine/>
    <w:unhideWhenUsed/>
    <w:qFormat/>
    <w:pPr>
      <w:keepNext/>
      <w:keepLines/>
      <w:numPr>
        <w:ilvl w:val="3"/>
        <w:numId w:val="1"/>
      </w:numPr>
      <w:ind w:firstLineChars="0"/>
      <w:outlineLvl w:val="3"/>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样式"/>
    <w:basedOn w:val="a"/>
    <w:autoRedefine/>
    <w:qFormat/>
    <w:pPr>
      <w:spacing w:line="520" w:lineRule="exact"/>
      <w:ind w:firstLine="562"/>
    </w:pPr>
    <w:rPr>
      <w:color w:val="000000"/>
    </w:rPr>
  </w:style>
  <w:style w:type="paragraph" w:styleId="a4">
    <w:name w:val="Normal Indent"/>
    <w:basedOn w:val="a"/>
    <w:next w:val="20"/>
    <w:autoRedefine/>
    <w:qFormat/>
    <w:pPr>
      <w:spacing w:line="240" w:lineRule="auto"/>
      <w:ind w:firstLine="420"/>
    </w:pPr>
    <w:rPr>
      <w:rFonts w:ascii="宋体"/>
      <w:sz w:val="21"/>
      <w:szCs w:val="20"/>
    </w:rPr>
  </w:style>
  <w:style w:type="paragraph" w:styleId="20">
    <w:name w:val="Body Text First Indent 2"/>
    <w:basedOn w:val="a5"/>
    <w:next w:val="a"/>
    <w:autoRedefine/>
    <w:uiPriority w:val="99"/>
    <w:semiHidden/>
    <w:unhideWhenUsed/>
    <w:qFormat/>
    <w:pPr>
      <w:spacing w:after="120"/>
      <w:ind w:leftChars="200" w:left="420" w:firstLine="420"/>
    </w:pPr>
  </w:style>
  <w:style w:type="paragraph" w:styleId="a5">
    <w:name w:val="Body Text Indent"/>
    <w:basedOn w:val="a"/>
    <w:autoRedefine/>
    <w:qFormat/>
    <w:pPr>
      <w:ind w:leftChars="350" w:left="840"/>
    </w:pPr>
  </w:style>
  <w:style w:type="paragraph" w:styleId="a6">
    <w:name w:val="caption"/>
    <w:basedOn w:val="a"/>
    <w:next w:val="a"/>
    <w:autoRedefine/>
    <w:uiPriority w:val="35"/>
    <w:unhideWhenUsed/>
    <w:qFormat/>
    <w:pPr>
      <w:spacing w:line="360" w:lineRule="auto"/>
      <w:jc w:val="center"/>
    </w:pPr>
    <w:rPr>
      <w:rFonts w:eastAsia="黑体"/>
      <w:sz w:val="21"/>
    </w:rPr>
  </w:style>
  <w:style w:type="paragraph" w:styleId="a7">
    <w:name w:val="annotation text"/>
    <w:basedOn w:val="a"/>
    <w:autoRedefine/>
    <w:qFormat/>
    <w:pPr>
      <w:jc w:val="left"/>
    </w:pPr>
  </w:style>
  <w:style w:type="paragraph" w:styleId="a8">
    <w:name w:val="Body Text"/>
    <w:basedOn w:val="a"/>
    <w:autoRedefine/>
    <w:qFormat/>
    <w:rPr>
      <w:rFonts w:ascii="宋体" w:hAnsi="宋体" w:cs="宋体"/>
      <w:lang w:eastAsia="en-US"/>
    </w:rPr>
  </w:style>
  <w:style w:type="paragraph" w:styleId="a9">
    <w:name w:val="footer"/>
    <w:basedOn w:val="a"/>
    <w:autoRedefine/>
    <w:uiPriority w:val="99"/>
    <w:semiHidden/>
    <w:unhideWhenUsed/>
    <w:qFormat/>
    <w:pPr>
      <w:tabs>
        <w:tab w:val="center" w:pos="4153"/>
        <w:tab w:val="right" w:pos="8306"/>
      </w:tabs>
      <w:jc w:val="left"/>
    </w:pPr>
    <w:rPr>
      <w:sz w:val="18"/>
    </w:rPr>
  </w:style>
  <w:style w:type="paragraph" w:styleId="aa">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styleId="TOC1">
    <w:name w:val="toc 1"/>
    <w:basedOn w:val="a"/>
    <w:next w:val="a"/>
    <w:autoRedefine/>
    <w:uiPriority w:val="39"/>
    <w:semiHidden/>
    <w:unhideWhenUsed/>
    <w:qFormat/>
  </w:style>
  <w:style w:type="paragraph" w:styleId="TOC2">
    <w:name w:val="toc 2"/>
    <w:basedOn w:val="a"/>
    <w:next w:val="a"/>
    <w:autoRedefine/>
    <w:uiPriority w:val="39"/>
    <w:semiHidden/>
    <w:unhideWhenUsed/>
    <w:qFormat/>
    <w:pPr>
      <w:ind w:leftChars="200" w:left="420"/>
    </w:pPr>
  </w:style>
  <w:style w:type="paragraph" w:styleId="ab">
    <w:name w:val="Normal (Web)"/>
    <w:basedOn w:val="a"/>
    <w:autoRedefine/>
    <w:qFormat/>
    <w:pPr>
      <w:spacing w:beforeAutospacing="1" w:afterAutospacing="1" w:line="240" w:lineRule="auto"/>
      <w:ind w:firstLineChars="0" w:firstLine="0"/>
      <w:jc w:val="center"/>
    </w:pPr>
    <w:rPr>
      <w:rFonts w:cs="宋体"/>
      <w:kern w:val="0"/>
      <w:sz w:val="21"/>
    </w:rPr>
  </w:style>
  <w:style w:type="table" w:styleId="ac">
    <w:name w:val="Table Grid"/>
    <w:basedOn w:val="a2"/>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1"/>
    <w:autoRedefine/>
    <w:uiPriority w:val="22"/>
    <w:qFormat/>
    <w:rPr>
      <w:b/>
    </w:rPr>
  </w:style>
  <w:style w:type="paragraph" w:customStyle="1" w:styleId="2SLCON22">
    <w:name w:val="样式 正文 首行缩进:  2 字符 SL CON + 首行缩进:  2 字符 + 首行缩进:  2 字符 + 首行缩..."/>
    <w:basedOn w:val="2SLCON220"/>
    <w:autoRedefine/>
    <w:qFormat/>
    <w:pPr>
      <w:ind w:firstLine="560"/>
    </w:pPr>
  </w:style>
  <w:style w:type="paragraph" w:customStyle="1" w:styleId="2SLCON220">
    <w:name w:val="样式 样式 正文 首行缩进:  2 字符 SL CON + 首行缩进:  2 字符 + 首行缩进:  2 字符"/>
    <w:basedOn w:val="2SLCON2"/>
    <w:autoRedefine/>
    <w:qFormat/>
  </w:style>
  <w:style w:type="paragraph" w:customStyle="1" w:styleId="2SLCON2">
    <w:name w:val="样式 正文 首行缩进:  2 字符 SL CON + 首行缩进:  2 字符"/>
    <w:basedOn w:val="2SLCON"/>
    <w:autoRedefine/>
    <w:qFormat/>
    <w:rPr>
      <w:szCs w:val="20"/>
    </w:rPr>
  </w:style>
  <w:style w:type="paragraph" w:customStyle="1" w:styleId="2SLCON">
    <w:name w:val="正文 首行缩进:  2 字符 SL CON"/>
    <w:basedOn w:val="a"/>
    <w:autoRedefine/>
    <w:qFormat/>
    <w:pPr>
      <w:widowControl/>
      <w:tabs>
        <w:tab w:val="left" w:pos="377"/>
      </w:tabs>
      <w:spacing w:line="360" w:lineRule="auto"/>
      <w:ind w:firstLine="200"/>
    </w:pPr>
    <w:rPr>
      <w:rFonts w:ascii="宋体" w:cs="宋体"/>
      <w:kern w:val="0"/>
    </w:rPr>
  </w:style>
  <w:style w:type="paragraph" w:customStyle="1" w:styleId="Default">
    <w:name w:val="Default"/>
    <w:autoRedefine/>
    <w:qFormat/>
    <w:pPr>
      <w:widowControl w:val="0"/>
      <w:autoSpaceDE w:val="0"/>
      <w:autoSpaceDN w:val="0"/>
      <w:adjustRightInd w:val="0"/>
    </w:pPr>
    <w:rPr>
      <w:rFonts w:ascii="黑体" w:eastAsia="黑体" w:cs="黑体"/>
      <w:color w:val="000000"/>
      <w:sz w:val="24"/>
      <w:szCs w:val="24"/>
    </w:rPr>
  </w:style>
  <w:style w:type="paragraph" w:customStyle="1" w:styleId="InTable">
    <w:name w:val="In Table"/>
    <w:basedOn w:val="a"/>
    <w:autoRedefine/>
    <w:qFormat/>
    <w:pPr>
      <w:tabs>
        <w:tab w:val="left" w:pos="2200"/>
        <w:tab w:val="left" w:pos="3960"/>
        <w:tab w:val="left" w:pos="5280"/>
      </w:tabs>
      <w:spacing w:beforeLines="40" w:before="124" w:afterLines="40" w:after="124" w:line="0" w:lineRule="atLeast"/>
      <w:jc w:val="center"/>
    </w:pPr>
    <w:rPr>
      <w:rFonts w:ascii="Tahoma" w:eastAsia="华文中宋" w:hAnsi="Tahoma"/>
      <w:kern w:val="0"/>
      <w:sz w:val="21"/>
      <w:szCs w:val="20"/>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 w:type="paragraph" w:styleId="ae">
    <w:name w:val="List Paragraph"/>
    <w:basedOn w:val="a"/>
    <w:autoRedefine/>
    <w:uiPriority w:val="99"/>
    <w:qFormat/>
    <w:pPr>
      <w:ind w:firstLine="420"/>
    </w:pPr>
  </w:style>
  <w:style w:type="paragraph" w:customStyle="1" w:styleId="10">
    <w:name w:val="标题1"/>
    <w:basedOn w:val="a"/>
    <w:autoRedefine/>
    <w:qFormat/>
    <w:pPr>
      <w:spacing w:line="500" w:lineRule="exact"/>
      <w:jc w:val="center"/>
      <w:outlineLvl w:val="0"/>
    </w:pPr>
    <w:rPr>
      <w:rFonts w:ascii="宋体" w:eastAsia="仿宋_GB2312" w:hAnsi="宋体" w:cs="宋体"/>
      <w:kern w:val="0"/>
      <w:szCs w:val="18"/>
    </w:rPr>
  </w:style>
  <w:style w:type="table" w:customStyle="1" w:styleId="TableNormal">
    <w:name w:val="Table Normal"/>
    <w:autoRedefine/>
    <w:uiPriority w:val="2"/>
    <w:semiHidden/>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TableText">
    <w:name w:val="Table Text"/>
    <w:basedOn w:val="a"/>
    <w:autoRedefine/>
    <w:semiHidden/>
    <w:qFormat/>
    <w:rPr>
      <w:rFonts w:ascii="宋体" w:hAnsi="宋体" w:cs="宋体"/>
      <w:sz w:val="20"/>
      <w:szCs w:val="20"/>
      <w:lang w:eastAsia="en-US"/>
    </w:rPr>
  </w:style>
  <w:style w:type="paragraph" w:customStyle="1" w:styleId="ParaCharCharCharCharCharCharChar">
    <w:name w:val="默认段落字体 Para Char Char Char Char Char Char Char"/>
    <w:basedOn w:val="a"/>
    <w:autoRedefine/>
    <w:qFormat/>
    <w:rPr>
      <w:sz w:val="24"/>
    </w:rPr>
  </w:style>
  <w:style w:type="paragraph" w:customStyle="1" w:styleId="af">
    <w:name w:val="表内序号"/>
    <w:basedOn w:val="a"/>
    <w:autoRedefine/>
    <w:qFormat/>
    <w:pPr>
      <w:spacing w:line="400" w:lineRule="exact"/>
    </w:pPr>
    <w:rPr>
      <w:szCs w:val="20"/>
    </w:rPr>
  </w:style>
  <w:style w:type="paragraph" w:customStyle="1" w:styleId="11">
    <w:name w:val="索引 11"/>
    <w:basedOn w:val="a"/>
    <w:next w:val="a"/>
    <w:autoRedefine/>
    <w:qFormat/>
    <w:pPr>
      <w:spacing w:line="360" w:lineRule="exact"/>
    </w:pPr>
    <w:rPr>
      <w:szCs w:val="20"/>
    </w:rPr>
  </w:style>
  <w:style w:type="paragraph" w:customStyle="1" w:styleId="af0">
    <w:name w:val="表格内容"/>
    <w:basedOn w:val="af1"/>
    <w:next w:val="a"/>
    <w:autoRedefine/>
    <w:qFormat/>
    <w:pPr>
      <w:wordWrap w:val="0"/>
      <w:spacing w:line="240" w:lineRule="auto"/>
    </w:pPr>
    <w:rPr>
      <w:rFonts w:eastAsia="宋体"/>
    </w:rPr>
  </w:style>
  <w:style w:type="paragraph" w:customStyle="1" w:styleId="af1">
    <w:name w:val="表格标题"/>
    <w:basedOn w:val="a"/>
    <w:autoRedefine/>
    <w:uiPriority w:val="99"/>
    <w:qFormat/>
    <w:pPr>
      <w:tabs>
        <w:tab w:val="left" w:pos="0"/>
      </w:tabs>
      <w:ind w:firstLineChars="0" w:firstLine="0"/>
      <w:jc w:val="center"/>
    </w:pPr>
    <w:rPr>
      <w:rFonts w:eastAsia="黑体"/>
      <w:sz w:val="21"/>
      <w:szCs w:val="22"/>
    </w:rPr>
  </w:style>
  <w:style w:type="character" w:customStyle="1" w:styleId="font01">
    <w:name w:val="font01"/>
    <w:basedOn w:val="a1"/>
    <w:autoRedefine/>
    <w:qFormat/>
    <w:rPr>
      <w:rFonts w:ascii="宋体" w:eastAsia="宋体" w:hAnsi="宋体" w:cs="宋体" w:hint="eastAsia"/>
      <w:color w:val="auto"/>
      <w:sz w:val="24"/>
      <w:szCs w:val="24"/>
      <w:u w:val="none"/>
    </w:rPr>
  </w:style>
  <w:style w:type="paragraph" w:customStyle="1" w:styleId="21">
    <w:name w:val="文本框2"/>
    <w:autoRedefine/>
    <w:qFormat/>
    <w:pPr>
      <w:widowControl w:val="0"/>
      <w:topLinePunct/>
      <w:ind w:firstLineChars="200" w:firstLine="640"/>
      <w:jc w:val="center"/>
    </w:pPr>
    <w:rPr>
      <w:rFonts w:ascii="宋体" w:hAnsi="宋体"/>
      <w:spacing w:val="-10"/>
      <w:kern w:val="2"/>
      <w:sz w:val="21"/>
      <w:szCs w:val="22"/>
    </w:rPr>
  </w:style>
  <w:style w:type="paragraph" w:customStyle="1" w:styleId="af2">
    <w:name w:val="文本框"/>
    <w:autoRedefine/>
    <w:qFormat/>
    <w:pPr>
      <w:widowControl w:val="0"/>
      <w:topLinePunct/>
      <w:adjustRightInd w:val="0"/>
      <w:snapToGrid w:val="0"/>
      <w:spacing w:line="300" w:lineRule="exact"/>
      <w:ind w:firstLineChars="200" w:firstLine="640"/>
      <w:jc w:val="center"/>
    </w:pPr>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2.jpeg"/><Relationship Id="rId26" Type="http://schemas.openxmlformats.org/officeDocument/2006/relationships/hyperlink" Target="file:///E:\&#24037;&#20316;\@&#20844;&#21496;&#31649;&#29702;\@&#39033;&#30446;&#31649;&#29702;\20240520\&#28074;&#38517;90&#21495;&#65288;&#19978;&#20256;&#26102;&#38388;5.8&#21495;&#20043;&#21069;&#65289;\6.4.4.6" TargetMode="External"/><Relationship Id="rId3" Type="http://schemas.openxmlformats.org/officeDocument/2006/relationships/styles" Target="styles.xml"/><Relationship Id="rId21" Type="http://schemas.openxmlformats.org/officeDocument/2006/relationships/hyperlink" Target="file:///E:\&#24037;&#20316;\@&#20844;&#21496;&#31649;&#29702;\@&#39033;&#30446;&#31649;&#29702;\20240520\&#28074;&#38517;90&#21495;&#65288;&#19978;&#20256;&#26102;&#38388;5.8&#21495;&#20043;&#21069;&#65289;\5.2.5.3"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png"/><Relationship Id="rId25" Type="http://schemas.openxmlformats.org/officeDocument/2006/relationships/hyperlink" Target="file:///E:\&#24037;&#20316;\@&#20844;&#21496;&#31649;&#29702;\@&#39033;&#30446;&#31649;&#29702;\20240520\&#28074;&#38517;90&#21495;&#65288;&#19978;&#20256;&#26102;&#38388;5.8&#21495;&#20043;&#21069;&#65289;\6.4.4.5"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file:///E:\&#24037;&#20316;\@&#20844;&#21496;&#31649;&#29702;\@&#39033;&#30446;&#31649;&#29702;\20240520\&#28074;&#38517;90&#21495;&#65288;&#19978;&#20256;&#26102;&#38388;5.8&#21495;&#20043;&#21069;&#65289;\5.2.5.2"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file:///E:\&#24037;&#20316;\@&#20844;&#21496;&#31649;&#29702;\@&#39033;&#30446;&#31649;&#29702;\20240520\&#28074;&#38517;90&#21495;&#65288;&#19978;&#20256;&#26102;&#38388;5.8&#21495;&#20043;&#21069;&#65289;\6.4.4.4" TargetMode="External"/><Relationship Id="rId32"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yperlink" Target="file:///E:\&#24037;&#20316;\@&#20844;&#21496;&#31649;&#29702;\@&#39033;&#30446;&#31649;&#29702;\20240520\&#28074;&#38517;90&#21495;&#65288;&#19978;&#20256;&#26102;&#38388;5.8&#21495;&#20043;&#21069;&#65289;\5.2.12.5" TargetMode="External"/><Relationship Id="rId28" Type="http://schemas.openxmlformats.org/officeDocument/2006/relationships/image" Target="media/image4.png"/><Relationship Id="rId10" Type="http://schemas.openxmlformats.org/officeDocument/2006/relationships/header" Target="header2.xml"/><Relationship Id="rId19" Type="http://schemas.openxmlformats.org/officeDocument/2006/relationships/hyperlink" Target="file:///E:\&#24037;&#20316;\@&#20844;&#21496;&#31649;&#29702;\@&#39033;&#30446;&#31649;&#29702;\20240520\&#28074;&#38517;90&#21495;&#65288;&#19978;&#20256;&#26102;&#38388;5.8&#21495;&#20043;&#21069;&#65289;\5.2.5.1" TargetMode="Externa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yperlink" Target="file:///E:\&#24037;&#20316;\@&#20844;&#21496;&#31649;&#29702;\@&#39033;&#30446;&#31649;&#29702;\20240520\&#28074;&#38517;90&#21495;&#65288;&#19978;&#20256;&#26102;&#38388;5.8&#21495;&#20043;&#21069;&#65289;\5.2.5.4" TargetMode="External"/><Relationship Id="rId27" Type="http://schemas.openxmlformats.org/officeDocument/2006/relationships/image" Target="media/image3.jpeg"/><Relationship Id="rId30" Type="http://schemas.openxmlformats.org/officeDocument/2006/relationships/hyperlink" Target="file:///E:\&#24037;&#20316;\@&#20844;&#21496;&#31649;&#29702;\@&#39033;&#30446;&#31649;&#29702;\20240520\&#28074;&#38517;90&#21495;&#65288;&#19978;&#20256;&#26102;&#38388;5.8&#21495;&#20043;&#21069;&#65289;\5.3.1.1" TargetMode="Externa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145</Pages>
  <Words>17716</Words>
  <Characters>100982</Characters>
  <Application>Microsoft Office Word</Application>
  <DocSecurity>0</DocSecurity>
  <Lines>841</Lines>
  <Paragraphs>236</Paragraphs>
  <ScaleCrop>false</ScaleCrop>
  <Company/>
  <LinksUpToDate>false</LinksUpToDate>
  <CharactersWithSpaces>118462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瑞峰 刘</dc:creator>
  <cp:lastModifiedBy>清 邓</cp:lastModifiedBy>
  <cp:revision>2</cp:revision>
  <cp:lastPrinted>2024-04-25T08:54:00Z</cp:lastPrinted>
  <dcterms:created xsi:type="dcterms:W3CDTF">2024-05-20T02:05:00Z</dcterms:created>
  <dcterms:modified xsi:type="dcterms:W3CDTF">2024-05-20T02:05:00Z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68658D25288B4557A78C65D3161440DC_13</vt:lpwstr>
  </property>
</Properties>
</file>